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86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Frankiewicz Rebecca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Chief Strategy Off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16,719.304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38,381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38,381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performance share units granted in 2023 (which were not derivative securities received under the Company's 2011 Equity Incentive Plan, exempt under Rule 16b-3).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13, 2029 and will be settled in shares of ManpowerGroup common stock on a 1 for 1 basis.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3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99765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2026-02-18T20:12:50Z</dcterms:created>
  <dcterms:modified xsi:type="dcterms:W3CDTF">2026-02-18T20:12:50Z</dcterms:modified>
</cp:coreProperties>
</file>