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35560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94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Hall Patricia Hemingway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ManpowerGroup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1,371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90.18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1,371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71.31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2,609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-3927475</wp:posOffset>
            </wp:positionV>
            <wp:extent cx="7033895" cy="3969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96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2021 and will be settled in shares of ManpowerGroup common stock on a 1 for 1 basis on the earlier of January 1, 2024 or within 30 days after the reporting person's termination of service as a director, except as otherwise provided in the "Terms and Conditions" (as defined below).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-9525</wp:posOffset>
            </wp:positionV>
            <wp:extent cx="1344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897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-16510</wp:posOffset>
            </wp:positionV>
            <wp:extent cx="4826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7029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4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1789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2021-01-05T16:33:06Z</dcterms:created>
  <dcterms:modified xsi:type="dcterms:W3CDTF">2021-01-05T16:33:06Z</dcterms:modified>
</cp:coreProperties>
</file>