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6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8"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1"/>
              </w:rPr>
              <w:t>For the transition period from:</w:t>
            </w:r>
          </w:p>
        </w:tc>
        <w:tc>
          <w:tcPr>
            <w:tcW w:w="520" w:type="dxa"/>
            <w:vAlign w:val="bottom"/>
          </w:tcPr>
          <w:p>
            <w:pPr>
              <w:spacing w:after="0"/>
              <w:rPr>
                <w:sz w:val="17"/>
                <w:szCs w:val="17"/>
                <w:color w:val="auto"/>
              </w:rPr>
            </w:pPr>
          </w:p>
        </w:tc>
        <w:tc>
          <w:tcPr>
            <w:tcW w:w="350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83"/>
        </w:trPr>
        <w:tc>
          <w:tcPr>
            <w:tcW w:w="23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740" w:type="dxa"/>
            <w:vAlign w:val="bottom"/>
          </w:tcPr>
          <w:p>
            <w:pPr>
              <w:ind w:left="200"/>
              <w:spacing w:after="0"/>
              <w:rPr>
                <w:sz w:val="20"/>
                <w:szCs w:val="20"/>
                <w:color w:val="auto"/>
              </w:rPr>
            </w:pPr>
            <w:r>
              <w:rPr>
                <w:rFonts w:ascii="Arial" w:cs="Arial" w:eastAsia="Arial" w:hAnsi="Arial"/>
                <w:sz w:val="18"/>
                <w:szCs w:val="18"/>
                <w:b w:val="1"/>
                <w:bCs w:val="1"/>
                <w:color w:val="auto"/>
                <w:w w:val="87"/>
              </w:rPr>
              <w:t>Commission file number: 1-10686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640" w:type="dxa"/>
        <w:tblCellMar>
          <w:top w:w="0" w:type="dxa"/>
          <w:left w:w="0" w:type="dxa"/>
          <w:bottom w:w="0" w:type="dxa"/>
          <w:right w:w="0" w:type="dxa"/>
        </w:tblCellMar>
      </w:tblPr>
      <w:tr>
        <w:trPr>
          <w:trHeight w:val="530"/>
        </w:trPr>
        <w:tc>
          <w:tcPr>
            <w:tcW w:w="2240" w:type="dxa"/>
            <w:vAlign w:val="bottom"/>
          </w:tcPr>
          <w:p>
            <w:pPr>
              <w:spacing w:after="0"/>
              <w:rPr>
                <w:sz w:val="24"/>
                <w:szCs w:val="24"/>
                <w:color w:val="auto"/>
              </w:rPr>
            </w:pPr>
          </w:p>
        </w:tc>
        <w:tc>
          <w:tcPr>
            <w:tcW w:w="5380" w:type="dxa"/>
            <w:vAlign w:val="bottom"/>
            <w:gridSpan w:val="3"/>
          </w:tcPr>
          <w:p>
            <w:pPr>
              <w:jc w:val="center"/>
              <w:ind w:right="1632"/>
              <w:spacing w:after="0"/>
              <w:rPr>
                <w:sz w:val="20"/>
                <w:szCs w:val="20"/>
                <w:color w:val="auto"/>
              </w:rPr>
            </w:pPr>
            <w:r>
              <w:rPr>
                <w:rFonts w:ascii="Arial" w:cs="Arial" w:eastAsia="Arial" w:hAnsi="Arial"/>
                <w:sz w:val="43"/>
                <w:szCs w:val="43"/>
                <w:b w:val="1"/>
                <w:bCs w:val="1"/>
                <w:color w:val="auto"/>
              </w:rPr>
              <w:t>MANPOWER INC.</w:t>
            </w:r>
          </w:p>
        </w:tc>
      </w:tr>
      <w:tr>
        <w:trPr>
          <w:trHeight w:val="174"/>
        </w:trPr>
        <w:tc>
          <w:tcPr>
            <w:tcW w:w="2240" w:type="dxa"/>
            <w:vAlign w:val="bottom"/>
          </w:tcPr>
          <w:p>
            <w:pPr>
              <w:spacing w:after="0"/>
              <w:rPr>
                <w:sz w:val="15"/>
                <w:szCs w:val="15"/>
                <w:color w:val="auto"/>
              </w:rPr>
            </w:pPr>
          </w:p>
        </w:tc>
        <w:tc>
          <w:tcPr>
            <w:tcW w:w="5380" w:type="dxa"/>
            <w:vAlign w:val="bottom"/>
            <w:gridSpan w:val="3"/>
          </w:tcPr>
          <w:p>
            <w:pPr>
              <w:jc w:val="center"/>
              <w:ind w:right="16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44"/>
        </w:trPr>
        <w:tc>
          <w:tcPr>
            <w:tcW w:w="2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2340" w:type="dxa"/>
            <w:vAlign w:val="bottom"/>
          </w:tcPr>
          <w:p>
            <w:pPr>
              <w:spacing w:after="0"/>
              <w:rPr>
                <w:sz w:val="21"/>
                <w:szCs w:val="21"/>
                <w:color w:val="auto"/>
              </w:rPr>
            </w:pPr>
          </w:p>
        </w:tc>
      </w:tr>
      <w:tr>
        <w:trPr>
          <w:trHeight w:val="453"/>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38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39-1672779</w:t>
            </w:r>
          </w:p>
        </w:tc>
      </w:tr>
      <w:tr>
        <w:trPr>
          <w:trHeight w:val="149"/>
        </w:trPr>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6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340" w:type="dxa"/>
            <w:vAlign w:val="bottom"/>
          </w:tcPr>
          <w:p>
            <w:pPr>
              <w:jc w:val="center"/>
              <w:ind w:left="12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7"/>
              </w:rPr>
              <w:t>of incorporation)</w:t>
            </w:r>
          </w:p>
        </w:tc>
        <w:tc>
          <w:tcPr>
            <w:tcW w:w="6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340" w:type="dxa"/>
            <w:vAlign w:val="bottom"/>
          </w:tcPr>
          <w:p>
            <w:pPr>
              <w:jc w:val="center"/>
              <w:ind w:left="1232"/>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5301 N. Ironwood Road</w:t>
            </w: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31"/>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Milwaukee, Wisconsin</w:t>
            </w:r>
          </w:p>
        </w:tc>
        <w:tc>
          <w:tcPr>
            <w:tcW w:w="5380" w:type="dxa"/>
            <w:vAlign w:val="bottom"/>
            <w:gridSpan w:val="3"/>
          </w:tcPr>
          <w:p>
            <w:pPr>
              <w:jc w:val="right"/>
              <w:ind w:right="232"/>
              <w:spacing w:after="0"/>
              <w:rPr>
                <w:sz w:val="20"/>
                <w:szCs w:val="20"/>
                <w:color w:val="auto"/>
              </w:rPr>
            </w:pPr>
            <w:r>
              <w:rPr>
                <w:rFonts w:ascii="Arial" w:cs="Arial" w:eastAsia="Arial" w:hAnsi="Arial"/>
                <w:sz w:val="18"/>
                <w:szCs w:val="18"/>
                <w:b w:val="1"/>
                <w:bCs w:val="1"/>
                <w:color w:val="auto"/>
              </w:rPr>
              <w:t>53217</w:t>
            </w:r>
          </w:p>
        </w:tc>
      </w:tr>
      <w:tr>
        <w:trPr>
          <w:trHeight w:val="174"/>
        </w:trPr>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6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340" w:type="dxa"/>
            <w:vAlign w:val="bottom"/>
          </w:tcPr>
          <w:p>
            <w:pPr>
              <w:jc w:val="center"/>
              <w:ind w:left="1232"/>
              <w:spacing w:after="0"/>
              <w:rPr>
                <w:sz w:val="20"/>
                <w:szCs w:val="20"/>
                <w:color w:val="auto"/>
              </w:rPr>
            </w:pPr>
            <w:r>
              <w:rPr>
                <w:rFonts w:ascii="Arial" w:cs="Arial" w:eastAsia="Arial" w:hAnsi="Arial"/>
                <w:sz w:val="14"/>
                <w:szCs w:val="14"/>
                <w:b w:val="1"/>
                <w:bCs w:val="1"/>
                <w:color w:val="auto"/>
                <w:w w:val="92"/>
              </w:rPr>
              <w:t>(Zip Code)</w:t>
            </w:r>
          </w:p>
        </w:tc>
      </w:tr>
      <w:tr>
        <w:trPr>
          <w:trHeight w:val="350"/>
        </w:trPr>
        <w:tc>
          <w:tcPr>
            <w:tcW w:w="7620" w:type="dxa"/>
            <w:vAlign w:val="bottom"/>
            <w:gridSpan w:val="4"/>
          </w:tcPr>
          <w:p>
            <w:pPr>
              <w:jc w:val="center"/>
              <w:ind w:left="461"/>
              <w:spacing w:after="0"/>
              <w:rPr>
                <w:sz w:val="20"/>
                <w:szCs w:val="20"/>
                <w:color w:val="auto"/>
              </w:rPr>
            </w:pPr>
            <w:r>
              <w:rPr>
                <w:rFonts w:ascii="Arial" w:cs="Arial" w:eastAsia="Arial" w:hAnsi="Arial"/>
                <w:sz w:val="18"/>
                <w:szCs w:val="18"/>
                <w:b w:val="1"/>
                <w:bCs w:val="1"/>
                <w:color w:val="auto"/>
                <w:w w:val="87"/>
              </w:rPr>
              <w:t>Registrant’s telephone number, including area code: (414) 961-1000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right="194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Outstanding</w:t>
            </w:r>
          </w:p>
        </w:tc>
        <w:tc>
          <w:tcPr>
            <w:tcW w:w="2080" w:type="dxa"/>
            <w:vAlign w:val="bottom"/>
          </w:tcPr>
          <w:p>
            <w:pPr>
              <w:spacing w:after="0"/>
              <w:rPr>
                <w:sz w:val="14"/>
                <w:szCs w:val="14"/>
                <w:color w:val="auto"/>
              </w:rPr>
            </w:pPr>
          </w:p>
        </w:tc>
      </w:tr>
      <w:tr>
        <w:trPr>
          <w:trHeight w:val="174"/>
        </w:trPr>
        <w:tc>
          <w:tcPr>
            <w:tcW w:w="2540" w:type="dxa"/>
            <w:vAlign w:val="bottom"/>
          </w:tcPr>
          <w:p>
            <w:pPr>
              <w:spacing w:after="0"/>
              <w:rPr>
                <w:sz w:val="15"/>
                <w:szCs w:val="15"/>
                <w:color w:val="auto"/>
              </w:rPr>
            </w:pPr>
          </w:p>
        </w:tc>
        <w:tc>
          <w:tcPr>
            <w:tcW w:w="5600" w:type="dxa"/>
            <w:vAlign w:val="bottom"/>
            <w:gridSpan w:val="2"/>
          </w:tcPr>
          <w:p>
            <w:pPr>
              <w:jc w:val="center"/>
              <w:ind w:right="5180"/>
              <w:spacing w:after="0"/>
              <w:rPr>
                <w:sz w:val="20"/>
                <w:szCs w:val="20"/>
                <w:color w:val="auto"/>
              </w:rPr>
            </w:pPr>
            <w:r>
              <w:rPr>
                <w:rFonts w:ascii="Arial" w:cs="Arial" w:eastAsia="Arial" w:hAnsi="Arial"/>
                <w:sz w:val="14"/>
                <w:szCs w:val="14"/>
                <w:b w:val="1"/>
                <w:bCs w:val="1"/>
                <w:color w:val="auto"/>
                <w:w w:val="80"/>
              </w:rPr>
              <w:t>Class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at July 30, 2004</w:t>
            </w:r>
          </w:p>
        </w:tc>
        <w:tc>
          <w:tcPr>
            <w:tcW w:w="2080" w:type="dxa"/>
            <w:vAlign w:val="bottom"/>
          </w:tcPr>
          <w:p>
            <w:pPr>
              <w:spacing w:after="0"/>
              <w:rPr>
                <w:sz w:val="15"/>
                <w:szCs w:val="15"/>
                <w:color w:val="auto"/>
              </w:rPr>
            </w:pPr>
          </w:p>
        </w:tc>
      </w:tr>
      <w:tr>
        <w:trPr>
          <w:trHeight w:val="95"/>
        </w:trPr>
        <w:tc>
          <w:tcPr>
            <w:tcW w:w="25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r>
      <w:tr>
        <w:trPr>
          <w:trHeight w:val="316"/>
        </w:trPr>
        <w:tc>
          <w:tcPr>
            <w:tcW w:w="8140" w:type="dxa"/>
            <w:vAlign w:val="bottom"/>
            <w:gridSpan w:val="3"/>
          </w:tcPr>
          <w:p>
            <w:pPr>
              <w:jc w:val="center"/>
              <w:ind w:right="2640"/>
              <w:spacing w:after="0"/>
              <w:rPr>
                <w:sz w:val="20"/>
                <w:szCs w:val="20"/>
                <w:color w:val="auto"/>
              </w:rPr>
            </w:pPr>
            <w:r>
              <w:rPr>
                <w:rFonts w:ascii="Arial" w:cs="Arial" w:eastAsia="Arial" w:hAnsi="Arial"/>
                <w:sz w:val="18"/>
                <w:szCs w:val="18"/>
                <w:color w:val="auto"/>
                <w:w w:val="88"/>
              </w:rPr>
              <w:t>Common Stock, $.01 par value</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90,114,008</w:t>
            </w:r>
          </w:p>
        </w:tc>
        <w:tc>
          <w:tcPr>
            <w:tcW w:w="2080" w:type="dxa"/>
            <w:vAlign w:val="bottom"/>
          </w:tcPr>
          <w:p>
            <w:pPr>
              <w:spacing w:after="0"/>
              <w:rPr>
                <w:sz w:val="24"/>
                <w:szCs w:val="24"/>
                <w:color w:val="auto"/>
              </w:rPr>
            </w:pPr>
          </w:p>
        </w:tc>
      </w:tr>
      <w:tr>
        <w:trPr>
          <w:trHeight w:val="269"/>
        </w:trPr>
        <w:tc>
          <w:tcPr>
            <w:tcW w:w="25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5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7"/>
          </w:tcPr>
          <w:p>
            <w:pPr>
              <w:jc w:val="center"/>
              <w:ind w:right="3000"/>
              <w:spacing w:after="0"/>
              <w:rPr>
                <w:sz w:val="20"/>
                <w:szCs w:val="20"/>
                <w:color w:val="auto"/>
              </w:rPr>
            </w:pPr>
            <w:r>
              <w:rPr>
                <w:rFonts w:ascii="Arial" w:cs="Arial" w:eastAsia="Arial" w:hAnsi="Arial"/>
                <w:sz w:val="18"/>
                <w:szCs w:val="18"/>
                <w:b w:val="1"/>
                <w:bCs w:val="1"/>
                <w:color w:val="auto"/>
                <w:w w:val="97"/>
              </w:rPr>
              <w:t>MANPOWER INC. AND SUBSIDIARIES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gridSpan w:val="2"/>
          </w:tcPr>
          <w:p>
            <w:pPr>
              <w:jc w:val="center"/>
              <w:ind w:right="4780"/>
              <w:spacing w:after="0"/>
              <w:rPr>
                <w:sz w:val="20"/>
                <w:szCs w:val="20"/>
                <w:color w:val="auto"/>
              </w:rPr>
            </w:pPr>
            <w:r>
              <w:rPr>
                <w:rFonts w:ascii="Arial" w:cs="Arial" w:eastAsia="Arial" w:hAnsi="Arial"/>
                <w:sz w:val="18"/>
                <w:szCs w:val="18"/>
                <w:b w:val="1"/>
                <w:bCs w:val="1"/>
                <w:color w:val="auto"/>
              </w:rPr>
              <w:t>INDEX</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95"/>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34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340" w:type="dxa"/>
            <w:vAlign w:val="bottom"/>
            <w:gridSpan w:val="9"/>
            <w:vMerge w:val="restart"/>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340" w:type="dxa"/>
            <w:vAlign w:val="bottom"/>
            <w:tcBorders>
              <w:bottom w:val="single" w:sz="8" w:color="0000EE"/>
            </w:tcBorders>
            <w:gridSpan w:val="8"/>
            <w:vMerge w:val="continue"/>
          </w:tcPr>
          <w:p>
            <w:pPr>
              <w:spacing w:after="0"/>
              <w:rPr>
                <w:sz w:val="24"/>
                <w:szCs w:val="24"/>
                <w:color w:val="auto"/>
              </w:rPr>
            </w:pPr>
          </w:p>
        </w:tc>
        <w:tc>
          <w:tcPr>
            <w:tcW w:w="7340" w:type="dxa"/>
            <w:vAlign w:val="bottom"/>
            <w:gridSpan w:val="9"/>
            <w:vMerge w:val="continue"/>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right"/>
              <w:ind w:right="412"/>
              <w:spacing w:after="0"/>
              <w:rPr>
                <w:sz w:val="20"/>
                <w:szCs w:val="20"/>
                <w:color w:val="auto"/>
              </w:rPr>
            </w:pPr>
            <w:r>
              <w:rPr>
                <w:rFonts w:ascii="Arial" w:cs="Arial" w:eastAsia="Arial" w:hAnsi="Arial"/>
                <w:sz w:val="18"/>
                <w:szCs w:val="18"/>
                <w:color w:val="auto"/>
              </w:rPr>
              <w:t>Item 1</w:t>
            </w:r>
          </w:p>
        </w:tc>
        <w:tc>
          <w:tcPr>
            <w:tcW w:w="96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w:t>
              </w:r>
            </w:hyperlink>
          </w:p>
        </w:tc>
        <w:tc>
          <w:tcPr>
            <w:tcW w:w="720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Cash Flows</w:t>
              </w:r>
            </w:hyperlink>
          </w:p>
        </w:tc>
        <w:tc>
          <w:tcPr>
            <w:tcW w:w="644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right"/>
              <w:ind w:right="412"/>
              <w:spacing w:after="0"/>
              <w:rPr>
                <w:sz w:val="20"/>
                <w:szCs w:val="20"/>
                <w:color w:val="auto"/>
              </w:rPr>
            </w:pPr>
            <w:r>
              <w:rPr>
                <w:rFonts w:ascii="Arial" w:cs="Arial" w:eastAsia="Arial" w:hAnsi="Arial"/>
                <w:sz w:val="18"/>
                <w:szCs w:val="18"/>
                <w:color w:val="auto"/>
              </w:rPr>
              <w:t>Item 2</w:t>
            </w:r>
          </w:p>
        </w:tc>
        <w:tc>
          <w:tcPr>
            <w:tcW w:w="9680" w:type="dxa"/>
            <w:vAlign w:val="bottom"/>
            <w:gridSpan w:val="1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304"/>
        </w:trPr>
        <w:tc>
          <w:tcPr>
            <w:tcW w:w="1140" w:type="dxa"/>
            <w:vAlign w:val="bottom"/>
          </w:tcPr>
          <w:p>
            <w:pPr>
              <w:jc w:val="right"/>
              <w:ind w:right="412"/>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140" w:type="dxa"/>
            <w:vAlign w:val="bottom"/>
          </w:tcPr>
          <w:p>
            <w:pPr>
              <w:jc w:val="right"/>
              <w:ind w:right="412"/>
              <w:spacing w:after="0"/>
              <w:rPr>
                <w:sz w:val="20"/>
                <w:szCs w:val="20"/>
                <w:color w:val="auto"/>
              </w:rPr>
            </w:pPr>
            <w:r>
              <w:rPr>
                <w:rFonts w:ascii="Arial" w:cs="Arial" w:eastAsia="Arial" w:hAnsi="Arial"/>
                <w:sz w:val="18"/>
                <w:szCs w:val="18"/>
                <w:color w:val="auto"/>
              </w:rPr>
              <w:t>Item 4</w:t>
            </w:r>
          </w:p>
        </w:tc>
        <w:tc>
          <w:tcPr>
            <w:tcW w:w="968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right"/>
              <w:ind w:right="412"/>
              <w:spacing w:after="0"/>
              <w:rPr>
                <w:sz w:val="20"/>
                <w:szCs w:val="20"/>
                <w:color w:val="auto"/>
              </w:rPr>
            </w:pPr>
            <w:r>
              <w:rPr>
                <w:rFonts w:ascii="Arial" w:cs="Arial" w:eastAsia="Arial" w:hAnsi="Arial"/>
                <w:sz w:val="18"/>
                <w:szCs w:val="18"/>
                <w:b w:val="1"/>
                <w:bCs w:val="1"/>
                <w:color w:val="auto"/>
                <w:w w:val="96"/>
              </w:rPr>
              <w:t>PART II</w:t>
            </w:r>
          </w:p>
        </w:tc>
        <w:tc>
          <w:tcPr>
            <w:tcW w:w="198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OTHER INFORMATION</w:t>
              </w:r>
            </w:hyperlink>
          </w:p>
        </w:tc>
        <w:tc>
          <w:tcPr>
            <w:tcW w:w="770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right"/>
              <w:ind w:right="412"/>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Submission of Matters to a Vote of Security Holders</w:t>
              </w:r>
            </w:hyperlink>
          </w:p>
        </w:tc>
        <w:tc>
          <w:tcPr>
            <w:tcW w:w="600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40" w:type="dxa"/>
            <w:vAlign w:val="bottom"/>
          </w:tcPr>
          <w:p>
            <w:pPr>
              <w:jc w:val="right"/>
              <w:ind w:right="412"/>
              <w:spacing w:after="0"/>
              <w:rPr>
                <w:sz w:val="20"/>
                <w:szCs w:val="20"/>
                <w:color w:val="auto"/>
              </w:rPr>
            </w:pPr>
            <w:r>
              <w:rPr>
                <w:rFonts w:ascii="Arial" w:cs="Arial" w:eastAsia="Arial" w:hAnsi="Arial"/>
                <w:sz w:val="18"/>
                <w:szCs w:val="18"/>
                <w:color w:val="auto"/>
              </w:rPr>
              <w:t>Item 5</w:t>
            </w:r>
          </w:p>
        </w:tc>
        <w:tc>
          <w:tcPr>
            <w:tcW w:w="968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724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right"/>
              <w:ind w:right="412"/>
              <w:spacing w:after="0"/>
              <w:rPr>
                <w:sz w:val="20"/>
                <w:szCs w:val="20"/>
                <w:color w:val="auto"/>
              </w:rPr>
            </w:pPr>
            <w:r>
              <w:rPr>
                <w:rFonts w:ascii="Arial" w:cs="Arial" w:eastAsia="Arial" w:hAnsi="Arial"/>
                <w:sz w:val="18"/>
                <w:szCs w:val="18"/>
                <w:color w:val="auto"/>
              </w:rPr>
              <w:t>Item 6</w:t>
            </w:r>
          </w:p>
        </w:tc>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Exhibits and Reports on Form 8-K</w:t>
              </w:r>
            </w:hyperlink>
          </w:p>
        </w:tc>
        <w:tc>
          <w:tcPr>
            <w:tcW w:w="724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0820" w:type="dxa"/>
            <w:vAlign w:val="bottom"/>
            <w:gridSpan w:val="18"/>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FINANCIAL MEASURES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304"/>
        </w:trPr>
        <w:tc>
          <w:tcPr>
            <w:tcW w:w="11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4"/>
              </w:rPr>
            </w:pPr>
            <w:hyperlink w:anchor="page27">
              <w:r>
                <w:rPr>
                  <w:rFonts w:ascii="Arial" w:cs="Arial" w:eastAsia="Arial" w:hAnsi="Arial"/>
                  <w:sz w:val="18"/>
                  <w:szCs w:val="18"/>
                  <w:b w:val="1"/>
                  <w:bCs w:val="1"/>
                  <w:color w:val="0000EE"/>
                  <w:w w:val="94"/>
                </w:rPr>
                <w:t>SIGNATURES</w:t>
              </w:r>
            </w:hyperlink>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0820" w:type="dxa"/>
            <w:vAlign w:val="bottom"/>
            <w:gridSpan w:val="18"/>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EXHIBIT INDEX</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83"/>
        </w:trPr>
        <w:tc>
          <w:tcPr>
            <w:tcW w:w="1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80" w:type="dxa"/>
            <w:vAlign w:val="bottom"/>
            <w:gridSpan w:val="15"/>
          </w:tcPr>
          <w:p>
            <w:pPr>
              <w:jc w:val="center"/>
              <w:ind w:left="2552"/>
              <w:spacing w:after="0"/>
              <w:rPr>
                <w:sz w:val="20"/>
                <w:szCs w:val="20"/>
                <w:color w:val="auto"/>
              </w:rPr>
            </w:pPr>
            <w:r>
              <w:rPr>
                <w:rFonts w:ascii="Arial" w:cs="Arial" w:eastAsia="Arial" w:hAnsi="Arial"/>
                <w:sz w:val="18"/>
                <w:szCs w:val="18"/>
                <w:color w:val="auto"/>
                <w:w w:val="79"/>
              </w:rPr>
              <w:t>2</w:t>
            </w:r>
          </w:p>
        </w:tc>
        <w:tc>
          <w:tcPr>
            <w:tcW w:w="3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 Financial Statements</w:t>
      </w:r>
    </w:p>
    <w:p>
      <w:pPr>
        <w:spacing w:after="0" w:line="15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7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440.4</w:t>
            </w:r>
          </w:p>
        </w:tc>
        <w:tc>
          <w:tcPr>
            <w:tcW w:w="7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$82.3 and $79.1, respectively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2,882.0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3,581.1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3,237.1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less accumulated amortization of $57.3 and $53.6, respectively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1,241.3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Investments in licensees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1,561.7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property and equipment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5,351.7</w:t>
            </w:r>
          </w:p>
        </w:tc>
        <w:tc>
          <w:tcPr>
            <w:tcW w:w="7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4,384.9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9380" w:type="dxa"/>
            <w:vAlign w:val="bottom"/>
          </w:tcPr>
          <w:p>
            <w:pPr>
              <w:jc w:val="center"/>
              <w:ind w:left="1912"/>
              <w:spacing w:after="0"/>
              <w:rPr>
                <w:sz w:val="20"/>
                <w:szCs w:val="20"/>
                <w:color w:val="auto"/>
              </w:rPr>
            </w:pPr>
            <w:r>
              <w:rPr>
                <w:rFonts w:ascii="Arial" w:cs="Arial" w:eastAsia="Arial" w:hAnsi="Arial"/>
                <w:sz w:val="18"/>
                <w:szCs w:val="18"/>
                <w:color w:val="auto"/>
                <w:w w:val="87"/>
              </w:rPr>
              <w:t>The accompanying notes to consolidated financial statements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jc w:val="center"/>
              <w:ind w:left="1912"/>
              <w:spacing w:after="0"/>
              <w:rPr>
                <w:sz w:val="20"/>
                <w:szCs w:val="20"/>
                <w:color w:val="auto"/>
              </w:rPr>
            </w:pPr>
            <w:r>
              <w:rPr>
                <w:rFonts w:ascii="Arial" w:cs="Arial" w:eastAsia="Arial" w:hAnsi="Arial"/>
                <w:sz w:val="18"/>
                <w:szCs w:val="18"/>
                <w:color w:val="auto"/>
                <w:w w:val="85"/>
              </w:rPr>
              <w:t>are an integral part of these balance sheets.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400" w:type="dxa"/>
            <w:vAlign w:val="bottom"/>
            <w:gridSpan w:val="2"/>
          </w:tcPr>
          <w:p>
            <w:pPr>
              <w:jc w:val="center"/>
              <w:ind w:left="1952"/>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-694690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-694690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-694690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-694690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-694690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-694690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714.1</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476.0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Value added taxes payable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401.0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2,422.9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373.6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other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w w:val="95"/>
              </w:rPr>
              <w:t>Common stock, $.01 par value, authorized 125,000,000 shares, issued 100,034,151 and 88,604,575 shares, respectively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2,291.3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8"/>
                <w:szCs w:val="18"/>
                <w:color w:val="auto"/>
              </w:rPr>
              <w:t>(84.0)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Treasury stock at cost, 9,946,475 and 9,945,200 shares, respectively</w:t>
            </w:r>
          </w:p>
        </w:tc>
        <w:tc>
          <w:tcPr>
            <w:tcW w:w="100" w:type="dxa"/>
            <w:vAlign w:val="bottom"/>
          </w:tcPr>
          <w:p>
            <w:pPr>
              <w:spacing w:after="0"/>
              <w:rPr>
                <w:sz w:val="19"/>
                <w:szCs w:val="19"/>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8"/>
                <w:szCs w:val="18"/>
                <w:color w:val="auto"/>
                <w:w w:val="98"/>
              </w:rPr>
              <w:t>(283.8)</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1,930.9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5,351.7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9220" w:type="dxa"/>
            <w:vAlign w:val="bottom"/>
            <w:gridSpan w:val="2"/>
          </w:tcPr>
          <w:p>
            <w:pPr>
              <w:jc w:val="center"/>
              <w:ind w:left="2072"/>
              <w:spacing w:after="0"/>
              <w:rPr>
                <w:sz w:val="20"/>
                <w:szCs w:val="20"/>
                <w:color w:val="auto"/>
              </w:rPr>
            </w:pPr>
            <w:r>
              <w:rPr>
                <w:rFonts w:ascii="Arial" w:cs="Arial" w:eastAsia="Arial" w:hAnsi="Arial"/>
                <w:sz w:val="18"/>
                <w:szCs w:val="18"/>
                <w:color w:val="auto"/>
                <w:w w:val="87"/>
              </w:rPr>
              <w:t>The accompanying notes to consolidated financial statements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jc w:val="center"/>
              <w:ind w:left="2072"/>
              <w:spacing w:after="0"/>
              <w:rPr>
                <w:sz w:val="20"/>
                <w:szCs w:val="20"/>
                <w:color w:val="auto"/>
              </w:rPr>
            </w:pPr>
            <w:r>
              <w:rPr>
                <w:rFonts w:ascii="Arial" w:cs="Arial" w:eastAsia="Arial" w:hAnsi="Arial"/>
                <w:sz w:val="18"/>
                <w:szCs w:val="18"/>
                <w:color w:val="auto"/>
                <w:w w:val="85"/>
              </w:rPr>
              <w:t>are an integral part of these balance sheets.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220" w:type="dxa"/>
            <w:vAlign w:val="bottom"/>
            <w:gridSpan w:val="2"/>
          </w:tcPr>
          <w:p>
            <w:pPr>
              <w:jc w:val="center"/>
              <w:ind w:left="2132"/>
              <w:spacing w:after="0"/>
              <w:rPr>
                <w:sz w:val="20"/>
                <w:szCs w:val="20"/>
                <w:color w:val="auto"/>
              </w:rPr>
            </w:pPr>
            <w:r>
              <w:rPr>
                <w:rFonts w:ascii="Arial" w:cs="Arial" w:eastAsia="Arial" w:hAnsi="Arial"/>
                <w:sz w:val="18"/>
                <w:szCs w:val="18"/>
                <w:color w:val="auto"/>
                <w:w w:val="79"/>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-694690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-694690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-694690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-694690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-694690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-694690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7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3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6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3,622.4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3,013.4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6,956.5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5,692.1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2,943.1</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2,491.9</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5,660.7</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4,704.6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1,295.8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584.1</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464.5</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1,144.4</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897.5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gridSpan w:val="2"/>
          </w:tcPr>
          <w:p>
            <w:pPr>
              <w:spacing w:after="0"/>
              <w:rPr>
                <w:sz w:val="20"/>
                <w:szCs w:val="20"/>
                <w:color w:val="auto"/>
              </w:rPr>
            </w:pPr>
            <w:r>
              <w:rPr>
                <w:rFonts w:ascii="Arial" w:cs="Arial" w:eastAsia="Arial" w:hAnsi="Arial"/>
                <w:sz w:val="18"/>
                <w:szCs w:val="18"/>
                <w:color w:val="auto"/>
              </w:rPr>
              <w:t>Interest and other expenses</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18.7</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50.4</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 diluted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-1229995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-1229995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-1229995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-1229995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-1229995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-1229995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-1229995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-1229995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-1229995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-1229995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-1229995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-1229995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-929640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-929640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-929640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-929640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-929640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-929640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-929640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-929640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-929640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-929640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-929640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-929640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-629285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-629285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-629285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-629285</wp:posOffset>
            </wp:positionV>
            <wp:extent cx="44132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-629285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-629285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-629285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-629285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-629285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-629285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-329565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-329565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-329565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-329565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-329565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-329565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-329565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-329565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-329565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44132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these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7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6 Months Ended</w:t>
      </w:r>
    </w:p>
    <w:p>
      <w:pPr>
        <w:spacing w:after="0" w:line="1"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60325</wp:posOffset>
            </wp:positionV>
            <wp:extent cx="11061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7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2004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70" w:type="dxa"/>
            <w:vAlign w:val="bottom"/>
          </w:tcPr>
          <w:p>
            <w:pPr>
              <w:jc w:val="right"/>
              <w:spacing w:after="0"/>
              <w:rPr>
                <w:sz w:val="20"/>
                <w:szCs w:val="20"/>
                <w:color w:val="auto"/>
              </w:rPr>
            </w:pPr>
            <w:r>
              <w:rPr>
                <w:rFonts w:ascii="Arial" w:cs="Arial" w:eastAsia="Arial" w:hAnsi="Arial"/>
                <w:sz w:val="18"/>
                <w:szCs w:val="18"/>
                <w:color w:val="auto"/>
              </w:rPr>
              <w:t>92.7</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11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41.4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Amortization of discount on convertible debentures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280"/>
              <w:spacing w:after="0"/>
              <w:rPr>
                <w:sz w:val="20"/>
                <w:szCs w:val="20"/>
                <w:color w:val="auto"/>
              </w:rPr>
            </w:pPr>
            <w:r>
              <w:rPr>
                <w:rFonts w:ascii="Arial" w:cs="Arial" w:eastAsia="Arial" w:hAnsi="Arial"/>
                <w:sz w:val="18"/>
                <w:szCs w:val="18"/>
                <w:color w:val="auto"/>
              </w:rPr>
              <w:t>Deferred income taxes</w:t>
            </w:r>
          </w:p>
        </w:tc>
        <w:tc>
          <w:tcPr>
            <w:tcW w:w="110" w:type="dxa"/>
            <w:vAlign w:val="bottom"/>
          </w:tcPr>
          <w:p>
            <w:pPr>
              <w:spacing w:after="0"/>
              <w:rPr>
                <w:sz w:val="18"/>
                <w:szCs w:val="18"/>
                <w:color w:val="auto"/>
              </w:rPr>
            </w:pPr>
          </w:p>
        </w:tc>
        <w:tc>
          <w:tcPr>
            <w:tcW w:w="1130" w:type="dxa"/>
            <w:vAlign w:val="bottom"/>
            <w:gridSpan w:val="2"/>
          </w:tcPr>
          <w:p>
            <w:pPr>
              <w:jc w:val="right"/>
              <w:ind w:right="6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Provision for doubtful accounts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280"/>
              <w:spacing w:after="0"/>
              <w:rPr>
                <w:sz w:val="20"/>
                <w:szCs w:val="20"/>
                <w:color w:val="auto"/>
              </w:rPr>
            </w:pPr>
            <w:r>
              <w:rPr>
                <w:rFonts w:ascii="Arial" w:cs="Arial" w:eastAsia="Arial" w:hAnsi="Arial"/>
                <w:sz w:val="18"/>
                <w:szCs w:val="18"/>
                <w:color w:val="auto"/>
              </w:rPr>
              <w:t>Other non-operating gains</w:t>
            </w:r>
          </w:p>
        </w:tc>
        <w:tc>
          <w:tcPr>
            <w:tcW w:w="110" w:type="dxa"/>
            <w:vAlign w:val="bottom"/>
          </w:tcPr>
          <w:p>
            <w:pPr>
              <w:spacing w:after="0"/>
              <w:rPr>
                <w:sz w:val="18"/>
                <w:szCs w:val="18"/>
                <w:color w:val="auto"/>
              </w:rPr>
            </w:pPr>
          </w:p>
        </w:tc>
        <w:tc>
          <w:tcPr>
            <w:tcW w:w="1130" w:type="dxa"/>
            <w:vAlign w:val="bottom"/>
            <w:gridSpan w:val="2"/>
          </w:tcPr>
          <w:p>
            <w:pPr>
              <w:jc w:val="right"/>
              <w:ind w:right="60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720"/>
              <w:spacing w:after="0"/>
              <w:rPr>
                <w:sz w:val="20"/>
                <w:szCs w:val="20"/>
                <w:color w:val="auto"/>
              </w:rPr>
            </w:pPr>
            <w:r>
              <w:rPr>
                <w:rFonts w:ascii="Arial" w:cs="Arial" w:eastAsia="Arial" w:hAnsi="Arial"/>
                <w:sz w:val="18"/>
                <w:szCs w:val="18"/>
                <w:color w:val="auto"/>
              </w:rPr>
              <w:t>Accounts receivable</w:t>
            </w:r>
          </w:p>
        </w:tc>
        <w:tc>
          <w:tcPr>
            <w:tcW w:w="110" w:type="dxa"/>
            <w:vAlign w:val="bottom"/>
          </w:tcPr>
          <w:p>
            <w:pPr>
              <w:spacing w:after="0"/>
              <w:rPr>
                <w:sz w:val="18"/>
                <w:szCs w:val="18"/>
                <w:color w:val="auto"/>
              </w:rPr>
            </w:pPr>
          </w:p>
        </w:tc>
        <w:tc>
          <w:tcPr>
            <w:tcW w:w="113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(245.1)</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Other assets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1720"/>
              <w:spacing w:after="0"/>
              <w:rPr>
                <w:sz w:val="20"/>
                <w:szCs w:val="20"/>
                <w:color w:val="auto"/>
              </w:rPr>
            </w:pPr>
            <w:r>
              <w:rPr>
                <w:rFonts w:ascii="Arial" w:cs="Arial" w:eastAsia="Arial" w:hAnsi="Arial"/>
                <w:sz w:val="18"/>
                <w:szCs w:val="18"/>
                <w:color w:val="auto"/>
              </w:rPr>
              <w:t>Other liabilities</w:t>
            </w:r>
          </w:p>
        </w:tc>
        <w:tc>
          <w:tcPr>
            <w:tcW w:w="110" w:type="dxa"/>
            <w:vAlign w:val="bottom"/>
          </w:tcPr>
          <w:p>
            <w:pPr>
              <w:spacing w:after="0"/>
              <w:rPr>
                <w:sz w:val="19"/>
                <w:szCs w:val="19"/>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w w:val="97"/>
              </w:rPr>
              <w:t>172.3</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10" w:type="dxa"/>
            <w:vAlign w:val="bottom"/>
          </w:tcPr>
          <w:p>
            <w:pPr>
              <w:spacing w:after="0"/>
              <w:rPr>
                <w:sz w:val="18"/>
                <w:szCs w:val="18"/>
                <w:color w:val="auto"/>
              </w:rPr>
            </w:pPr>
          </w:p>
        </w:tc>
        <w:tc>
          <w:tcPr>
            <w:tcW w:w="1130" w:type="dxa"/>
            <w:vAlign w:val="bottom"/>
            <w:gridSpan w:val="2"/>
          </w:tcPr>
          <w:p>
            <w:pPr>
              <w:jc w:val="right"/>
              <w:ind w:right="60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(103.6)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Proceeds from the sale of an equity interest</w:t>
            </w:r>
          </w:p>
        </w:tc>
        <w:tc>
          <w:tcPr>
            <w:tcW w:w="11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29.8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used by investing activities</w:t>
            </w: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Net change in short-term borrowings</w:t>
            </w:r>
          </w:p>
        </w:tc>
        <w:tc>
          <w:tcPr>
            <w:tcW w:w="11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8.7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long-term debt</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Repayments of long-term debt</w:t>
            </w:r>
          </w:p>
        </w:tc>
        <w:tc>
          <w:tcPr>
            <w:tcW w:w="110" w:type="dxa"/>
            <w:vAlign w:val="bottom"/>
          </w:tcPr>
          <w:p>
            <w:pPr>
              <w:spacing w:after="0"/>
              <w:rPr>
                <w:sz w:val="18"/>
                <w:szCs w:val="18"/>
                <w:color w:val="auto"/>
              </w:rPr>
            </w:pPr>
          </w:p>
        </w:tc>
        <w:tc>
          <w:tcPr>
            <w:tcW w:w="1130" w:type="dxa"/>
            <w:vAlign w:val="bottom"/>
            <w:gridSpan w:val="2"/>
          </w:tcPr>
          <w:p>
            <w:pPr>
              <w:jc w:val="right"/>
              <w:ind w:right="60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and purchase plans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10" w:type="dxa"/>
            <w:vAlign w:val="bottom"/>
          </w:tcPr>
          <w:p>
            <w:pPr>
              <w:spacing w:after="0"/>
              <w:rPr>
                <w:sz w:val="19"/>
                <w:szCs w:val="19"/>
                <w:color w:val="auto"/>
              </w:rPr>
            </w:pPr>
          </w:p>
        </w:tc>
        <w:tc>
          <w:tcPr>
            <w:tcW w:w="1130" w:type="dxa"/>
            <w:vAlign w:val="bottom"/>
            <w:gridSpan w:val="2"/>
          </w:tcPr>
          <w:p>
            <w:pPr>
              <w:jc w:val="right"/>
              <w:ind w:right="60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(used) by financing activities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(31.9)</w:t>
            </w:r>
          </w:p>
        </w:tc>
        <w:tc>
          <w:tcPr>
            <w:tcW w:w="0" w:type="dxa"/>
            <w:vAlign w:val="bottom"/>
          </w:tcPr>
          <w:p>
            <w:pPr>
              <w:spacing w:after="0"/>
              <w:rPr>
                <w:sz w:val="1"/>
                <w:szCs w:val="1"/>
                <w:color w:val="auto"/>
              </w:rPr>
            </w:pPr>
          </w:p>
        </w:tc>
      </w:tr>
      <w:tr>
        <w:trPr>
          <w:trHeight w:val="322"/>
        </w:trPr>
        <w:tc>
          <w:tcPr>
            <w:tcW w:w="95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10" w:type="dxa"/>
            <w:vAlign w:val="bottom"/>
          </w:tcPr>
          <w:p>
            <w:pPr>
              <w:spacing w:after="0"/>
              <w:rPr>
                <w:sz w:val="24"/>
                <w:szCs w:val="24"/>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w w:val="97"/>
              </w:rPr>
              <w:t>426.2</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440.4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47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70" w:type="dxa"/>
            <w:vAlign w:val="bottom"/>
          </w:tcPr>
          <w:p>
            <w:pPr>
              <w:jc w:val="right"/>
              <w:spacing w:after="0"/>
              <w:rPr>
                <w:sz w:val="20"/>
                <w:szCs w:val="20"/>
                <w:color w:val="auto"/>
              </w:rPr>
            </w:pPr>
            <w:r>
              <w:rPr>
                <w:rFonts w:ascii="Arial" w:cs="Arial" w:eastAsia="Arial" w:hAnsi="Arial"/>
                <w:sz w:val="18"/>
                <w:szCs w:val="18"/>
                <w:color w:val="auto"/>
              </w:rPr>
              <w:t>18.8</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5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47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10" w:type="dxa"/>
            <w:vAlign w:val="bottom"/>
          </w:tcPr>
          <w:p>
            <w:pPr>
              <w:spacing w:after="0"/>
              <w:rPr>
                <w:sz w:val="9"/>
                <w:szCs w:val="9"/>
                <w:color w:val="auto"/>
              </w:rPr>
            </w:pPr>
          </w:p>
        </w:tc>
        <w:tc>
          <w:tcPr>
            <w:tcW w:w="47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9540" w:type="dxa"/>
            <w:vAlign w:val="bottom"/>
          </w:tcPr>
          <w:p>
            <w:pPr>
              <w:ind w:left="3540"/>
              <w:spacing w:after="0"/>
              <w:rPr>
                <w:sz w:val="20"/>
                <w:szCs w:val="20"/>
                <w:color w:val="auto"/>
              </w:rPr>
            </w:pPr>
            <w:r>
              <w:rPr>
                <w:rFonts w:ascii="Arial" w:cs="Arial" w:eastAsia="Arial" w:hAnsi="Arial"/>
                <w:sz w:val="18"/>
                <w:szCs w:val="18"/>
                <w:color w:val="auto"/>
              </w:rPr>
              <w:t>The accompanying notes to consolidated financial statements</w:t>
            </w:r>
          </w:p>
        </w:tc>
        <w:tc>
          <w:tcPr>
            <w:tcW w:w="110" w:type="dxa"/>
            <w:vAlign w:val="bottom"/>
          </w:tcPr>
          <w:p>
            <w:pPr>
              <w:spacing w:after="0"/>
              <w:rPr>
                <w:sz w:val="24"/>
                <w:szCs w:val="24"/>
                <w:color w:val="auto"/>
              </w:rPr>
            </w:pPr>
          </w:p>
        </w:tc>
        <w:tc>
          <w:tcPr>
            <w:tcW w:w="47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320"/>
              <w:spacing w:after="0"/>
              <w:rPr>
                <w:sz w:val="20"/>
                <w:szCs w:val="20"/>
                <w:color w:val="auto"/>
              </w:rPr>
            </w:pPr>
            <w:r>
              <w:rPr>
                <w:rFonts w:ascii="Arial" w:cs="Arial" w:eastAsia="Arial" w:hAnsi="Arial"/>
                <w:sz w:val="18"/>
                <w:szCs w:val="18"/>
                <w:color w:val="auto"/>
              </w:rPr>
              <w:t>are an integral part of these statements.</w:t>
            </w:r>
          </w:p>
        </w:tc>
        <w:tc>
          <w:tcPr>
            <w:tcW w:w="110" w:type="dxa"/>
            <w:vAlign w:val="bottom"/>
          </w:tcPr>
          <w:p>
            <w:pPr>
              <w:spacing w:after="0"/>
              <w:rPr>
                <w:sz w:val="19"/>
                <w:szCs w:val="19"/>
                <w:color w:val="auto"/>
              </w:rPr>
            </w:pPr>
          </w:p>
        </w:tc>
        <w:tc>
          <w:tcPr>
            <w:tcW w:w="47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-1200785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-1200785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-1200785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-1200785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-1200785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-1200785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-763270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-763270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-763270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-763270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-763270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-763270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-463550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-463550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-463550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-463550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-463550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-463550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7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June 30, 2004 and 2003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ind w:right="7920" w:firstLine="8"/>
        <w:spacing w:after="0" w:line="328"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 xml:space="preserve">Basis of Presentation and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2003 Annual Report to Shareholders.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have used estimates to establish liability balances for various items, including amounts related to social program remittances in France and payroll tax audit exposures. The liabilities are determined in each country, based on our historical experience and related trends, and will be adjusted to the extent that our actual experience differs from our current estimates. In France, we are currently under audit for payroll tax remittances made during 2001 and for remittances made during 2002 and 2003. We have received a preliminary notification related to 2001 and have responded to the notification with additional information. We currently do not expect a significant adjustment to our estimate of additional remittances as a result of this notification.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 Plans</w:t>
      </w:r>
    </w:p>
    <w:p>
      <w:pPr>
        <w:spacing w:after="0" w:line="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account for all of our fixed stock option plans and our 1990 Employee Stock Purchase Plan in accordance with APB Opinion No. 25, “Accounting for Stock Issued to Employees,” and related Interpretations. No stock-based employee compensation expense is reflected in Net earnings as all options granted under those plans had an exercise price equal to the market value of the underlying common stock on the date of grant. The following table illustrates the effect on Net earnings and Net earnings per share if we had applied the fair value recognition provisions of Statement of Financial Accounting Standards (“SFAS”) No. 123, “Accounting for Stock-based Compensation,” to stock-based employee compensation.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3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6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5"/>
              </w:rPr>
              <w:t>92.7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5"/>
              </w:rPr>
              <w:t>Less: Total stock-based employee compensation expense determined under the fair value method for all</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awards, net of related tax effects</w:t>
            </w:r>
          </w:p>
        </w:tc>
        <w:tc>
          <w:tcPr>
            <w:tcW w:w="100" w:type="dxa"/>
            <w:vAlign w:val="bottom"/>
          </w:tcPr>
          <w:p>
            <w:pPr>
              <w:spacing w:after="0"/>
              <w:rPr>
                <w:sz w:val="19"/>
                <w:szCs w:val="19"/>
                <w:color w:val="auto"/>
              </w:rPr>
            </w:pPr>
          </w:p>
        </w:tc>
        <w:tc>
          <w:tcPr>
            <w:tcW w:w="880" w:type="dxa"/>
            <w:vAlign w:val="bottom"/>
            <w:gridSpan w:val="2"/>
          </w:tcPr>
          <w:p>
            <w:pPr>
              <w:jc w:val="right"/>
              <w:ind w:right="432"/>
              <w:spacing w:after="0"/>
              <w:rPr>
                <w:sz w:val="20"/>
                <w:szCs w:val="20"/>
                <w:color w:val="auto"/>
              </w:rPr>
            </w:pPr>
            <w:r>
              <w:rPr>
                <w:rFonts w:ascii="Arial" w:cs="Arial" w:eastAsia="Arial" w:hAnsi="Arial"/>
                <w:sz w:val="18"/>
                <w:szCs w:val="18"/>
                <w:color w:val="auto"/>
                <w:w w:val="97"/>
              </w:rPr>
              <w:t>(2.7)</w:t>
            </w:r>
          </w:p>
        </w:tc>
        <w:tc>
          <w:tcPr>
            <w:tcW w:w="10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32"/>
              <w:spacing w:after="0"/>
              <w:rPr>
                <w:sz w:val="20"/>
                <w:szCs w:val="20"/>
                <w:color w:val="auto"/>
              </w:rPr>
            </w:pPr>
            <w:r>
              <w:rPr>
                <w:rFonts w:ascii="Arial" w:cs="Arial" w:eastAsia="Arial" w:hAnsi="Arial"/>
                <w:sz w:val="18"/>
                <w:szCs w:val="18"/>
                <w:color w:val="auto"/>
                <w:w w:val="97"/>
              </w:rPr>
              <w:t>(4.7)</w:t>
            </w:r>
          </w:p>
        </w:tc>
        <w:tc>
          <w:tcPr>
            <w:tcW w:w="10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earnings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50.4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5"/>
              </w:rPr>
              <w:t>88.0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Add: Amortization of discount on convertible debentures, net of taxes</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9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earnings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5"/>
              </w:rPr>
              <w:t>89.2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92"/>
              <w:spacing w:after="0"/>
              <w:rPr>
                <w:sz w:val="20"/>
                <w:szCs w:val="20"/>
                <w:color w:val="auto"/>
              </w:rPr>
            </w:pPr>
            <w:r>
              <w:rPr>
                <w:rFonts w:ascii="Arial" w:cs="Arial" w:eastAsia="Arial" w:hAnsi="Arial"/>
                <w:sz w:val="18"/>
                <w:szCs w:val="18"/>
                <w:color w:val="auto"/>
                <w:w w:val="85"/>
              </w:rPr>
              <w:t>1.06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5"/>
              </w:rPr>
              <w:t>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000" w:type="dxa"/>
            <w:vAlign w:val="bottom"/>
            <w:gridSpan w:val="2"/>
          </w:tcPr>
          <w:p>
            <w:pPr>
              <w:spacing w:after="0"/>
              <w:rPr>
                <w:sz w:val="20"/>
                <w:szCs w:val="20"/>
                <w:color w:val="auto"/>
              </w:rPr>
            </w:pPr>
            <w:r>
              <w:rPr>
                <w:rFonts w:ascii="Arial" w:cs="Arial" w:eastAsia="Arial" w:hAnsi="Arial"/>
                <w:sz w:val="18"/>
                <w:szCs w:val="18"/>
                <w:color w:val="auto"/>
              </w:rPr>
              <w:t>Net earnings per share – diluted: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85"/>
              </w:rPr>
              <w:t>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Pro forma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92"/>
              <w:spacing w:after="0"/>
              <w:rPr>
                <w:sz w:val="20"/>
                <w:szCs w:val="20"/>
                <w:color w:val="auto"/>
              </w:rPr>
            </w:pPr>
            <w:r>
              <w:rPr>
                <w:rFonts w:ascii="Arial" w:cs="Arial" w:eastAsia="Arial" w:hAnsi="Arial"/>
                <w:sz w:val="18"/>
                <w:szCs w:val="18"/>
                <w:color w:val="auto"/>
              </w:rPr>
              <w:t>.97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-991870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-991870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-991870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-991870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-991870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-991870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-991870</wp:posOffset>
            </wp:positionV>
            <wp:extent cx="29591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-991870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-991870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-991870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second quarter of 2004 and 2003, we recognized $.2 and $.2 of expense, net of tax, respectively, related to restricted stock grants and for the first six months of 2004 and 2003, we recognized $.3 and $.2, respectively.</w:t>
      </w:r>
    </w:p>
    <w:p>
      <w:pPr>
        <w:spacing w:after="0" w:line="118"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Issued Accounting Standards</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December 2003, the Financial Accounting Standards Board (“FASB”) revised SFAS No. 132, “Employers’ Disclosures about Pensions and Other Postretirement Benefits,” to require additional disclosures about the assets, obligations, cash flows, and net periodic benefit cost of defined benefit pension plans and other defined benefit postretirement plans. We adopted this Statement as of December 31, 2003, which requires interim-period disclosures of the components of net periodic benefit cost and, if significantly different from previously disclosed amounts, the amount of contributions and projected contributions to fund pension plans and other postretirement benefit plans.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During January 2003, the FASB issued Interpretation No. 46, “Consolidation of Variable Interest Entities,” which clarifies the consolidation and disclosure requirements related to variable interests in a variable interest entity. A variable interest entity is an entity for which control is achieved through means other than voting rights. The consolidation provisions of this Interpretation, as revised, were effective immediately for interests created after January 31, 2003, and were effective on March 31, 2004 for interests created before February 1, 2003. This Interpretation did not have an impact on our consolidated financial statements as we do not have any variable interest entities that require consolidation.</w:t>
      </w:r>
    </w:p>
    <w:p>
      <w:pPr>
        <w:spacing w:after="0" w:line="1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May 2004, the FASB issued FASB Staff Position (“FSP”) No. 106-2, “Accounting and Disclosure Requirements Related to the Medicare Prescription Drug, Improvement and Modernization Act of 2003 (“the Act”),” which provides guidance on accounting for the effects of the new Medicare prescription drug legislation. FSP 106-2 is effective for us in the third quarter of 2004. The Act, which was signed into law on December 8, 2003, introduces a prescription drug benefit under Medicare (Medicare Part D) as well as a federal subsidy to sponsors of retiree health care benefit plans that provide a benefit that is at least actuarially equivalent to Medicare Part D. We have not yet determined whether the prescription drug benefits offered under our Retiree Health Care Plan are actuarially equivalent to Medicare Part D, therefore our related net periodic benefit cost does not reflect any amount associated with the subsidy. We do not expect the adoption of this FSP to be material to our consolidated financial statements.</w:t>
      </w:r>
    </w:p>
    <w:p>
      <w:pPr>
        <w:spacing w:after="0" w:line="105"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January 22, 2004, we completed our exchange offer to acquire Right Management Consultants, Inc. (“RMC”), the world’s largest career transition and organizational consulting services firm, operating through over 300 offices in 35 countries. The results of RMC’s operations are included in our consolidated financial statements since that date. The acquisition of RMC expands the range of services that we offer to customers as a strategic partner throughout every stage of the employment cycle. We have merged our Empower operations into RMC, resulting in a separate reportable segment referred to as Right.</w:t>
      </w:r>
    </w:p>
    <w:p>
      <w:pPr>
        <w:spacing w:after="0" w:line="99"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Substantially all of RMC’s outstanding shares were tendered and exchanged at a rate of .3874 of a share of our common stock and cash was paid for fractional shares for each RMC share. The remaining outstanding shares were converted into the right to acquire our common stock at the same exchange rate.</w:t>
      </w:r>
    </w:p>
    <w:p>
      <w:pPr>
        <w:spacing w:after="0" w:line="4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preliminary purchase price reflected in the consolidated financial statements as of June 30, 2004, which is subject to revision, was comprised of the following items: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our common stock issued</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Fair value of RMC stock options assumed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repaid upon change of control</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Severance and additional SERP liabilities, net of deferred tax assets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Estimated acquisition-related costs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Preliminary purchase price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have issued 8,852,000 shares of our common stock and the value of such shares was calculated based on an average price over a 2-day period prior to the completion of the transaction.</w:t>
      </w:r>
    </w:p>
    <w:p>
      <w:pPr>
        <w:spacing w:after="0" w:line="118"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We assumed both of RMC’s stock option plans, converting outstanding options to purchase shares of RMC common stock into options to purchase 1,962,000 shares of our common stock. The fair value of these options was based on an independent valuation using the Black-Scholes option-pricing model.</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were required to repay certain of RMC’s long-term debt due to change of control provisions contained in these agreements. We financed this repayment with excess cash and borrowings under our U.S. Receivables Facility, which were subsequently repaid.</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preliminary purchase price also includes amounts paid or accrued for a severance agreement and the estimated liability resulting from the accelerated vesting of RMC’s Supplemental Executive Retirement Plan (“SERP”). The estimated liability resulting from the accelerated vesting of the SERP was based on a preliminary independent valuation. Deferred tax assets of $4.6 were recorded related to these items.</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estimated acquisition-related costs consist primarily of investment banking, legal and accounting fees, printing costs and other external costs directly related to the acquisition. This amount may change as amounts are finalized.</w:t>
      </w:r>
    </w:p>
    <w:p>
      <w:pPr>
        <w:spacing w:after="0" w:line="11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purchase price allocation has not been completed, as we do not yet have a final valuation of the intangible assets acquired. The total purchase price will be allocated to RMC’s net tangible and identifiable intangible assets based upon their fair values as of the acquisition date. In connection with this acquisition, we have also established reserves for severances and other exit costs related to RMC. The excess of the purchase price over the net tangible and identifiable intangible assets will be recorded as goodwill.</w:t>
      </w:r>
    </w:p>
    <w:p>
      <w:pPr>
        <w:spacing w:after="0" w:line="13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Based on a preliminary independent valuation, we have identified approximately $160.0 of amortizable intangible assets related to RMC’s customer list, technology and franchise agreements. These items were preliminarily assigned an estimated weighted-average useful life of 15 years. We have also preliminarily identified approximately $190.0 as a non-amortizable intangible asset related to RMC’s tradename. Based on this preliminary independent valuation and the estimated fair value of tangible assets acquired, approximately $330.0 in goodwill has been recorded as of June 30, 2004. We currently estimate that approximately $10.0 of goodwill resulting from this transaction will be deductible for tax purposes</w:t>
      </w:r>
      <w:r>
        <w:rPr>
          <w:rFonts w:ascii="Arial" w:cs="Arial" w:eastAsia="Arial" w:hAnsi="Arial"/>
          <w:sz w:val="16"/>
          <w:szCs w:val="16"/>
          <w:b w:val="1"/>
          <w:bCs w:val="1"/>
          <w:color w:val="auto"/>
        </w:rPr>
        <w:t>.</w:t>
      </w:r>
    </w:p>
    <w:p>
      <w:pPr>
        <w:spacing w:after="0" w:line="10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pro forma consolidated results below combine the historical results of our operations and RMC’s operations for the three and six months ended June 30, 2004 and 2003, respectively, and have been prepared to reflect the acquisition as if it had been consummated on January 1, 2003.</w:t>
      </w:r>
    </w:p>
    <w:p>
      <w:pPr>
        <w:spacing w:after="0" w:line="5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rPr>
              <w:t>3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6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3,622.4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3,131.8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6,980.5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5,933.9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earnings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40.7</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earnings per share – diluted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a European acquisition completed during the first quarter of 2004, we established a reserve of $16.7 for severances and other exit costs related to the acquired company. These expenses are being funded by the inflow of cash that resulted from the acquisition, the majority of which is expected to be paid out during 2004. Since the date of the acquisition, there has been $9.1 paid from this reserve.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47"/>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provided for income taxes during the first half of 2004 at a rate of 35.2%, based on our current estimate of the annual effective tax rate of 36.0%, adjusted for the tax impact of the non-operating gains recorded in the first quarter. These non-operating gains include the sale of our equity interest in a European internet job board. This rate is higher than the U.S. Federal statutory rate of 35.0% due primarily to the impact of higher U.S. state income taxes. For the year ended December 31, 2003 we provided for income taxes at a rate of 38.0%. The estimated effective tax rate for 2004, excluding the non-operating gains in the first quarter, is lower than the 2003 rate due to the tax effects of certain internal corporate restructurings that began in late 2003.</w:t>
      </w:r>
    </w:p>
    <w:p>
      <w:pPr>
        <w:spacing w:after="0" w:line="102"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We have tax contingencies recorded for items in various countries, including amounts related to items under audit. These amounts are adjusted to the extent the related items are settled. During July 2004, we received notification that income tax audits for certain years have been completed. Based on the results of these audits, we will reverse a tax contingency of approximately $8.0 to income in the third quarter of 2004.</w:t>
      </w:r>
    </w:p>
    <w:p>
      <w:pPr>
        <w:spacing w:after="0" w:line="93" w:lineRule="exact"/>
        <w:rPr>
          <w:sz w:val="20"/>
          <w:szCs w:val="20"/>
          <w:color w:val="auto"/>
        </w:rPr>
      </w:pPr>
    </w:p>
    <w:p>
      <w:pPr>
        <w:ind w:left="260" w:hanging="247"/>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and Net earnings per share – diluted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w w:val="94"/>
              </w:rPr>
              <w:t>3 Months Ended</w:t>
            </w:r>
          </w:p>
        </w:tc>
        <w:tc>
          <w:tcPr>
            <w:tcW w:w="500" w:type="dxa"/>
            <w:vAlign w:val="bottom"/>
          </w:tcPr>
          <w:p>
            <w:pPr>
              <w:spacing w:after="0"/>
              <w:rPr>
                <w:sz w:val="14"/>
                <w:szCs w:val="14"/>
                <w:color w:val="auto"/>
              </w:rPr>
            </w:pPr>
          </w:p>
        </w:tc>
        <w:tc>
          <w:tcPr>
            <w:tcW w:w="134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6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2"/>
              </w:rPr>
              <w:t>June 30,</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June 30,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9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Net earnings available to common shareholders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53.1</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29.1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89.6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Net earnings available to common shareholders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53.1</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29.1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discount on convertible debentures, net of taxes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54.3</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89.6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Effect of dilutive stock options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convertible debentures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97.4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-2010410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-2010410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-2010410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-2010410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-2010410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-2010410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-2010410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-2010410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-2010410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-2010410</wp:posOffset>
            </wp:positionV>
            <wp:extent cx="26162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calculation of Net earnings per share – diluted does not include certain stock option grants because the exercise price for these options is greater than the average market price of the common shares during the period. There were .2 million and .7 million of such options excluded from the calculation for the three months ended June 30, 2004 and 2003, respectively. There were .2 million and 2.4 million of such options excluded from the calculation for the six months ended June 30, 2004 and 2003, respectively.</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second quarter of 2004, our unsecured zero-coupon convertible debentures, due August 17, 2021 (“Debentures”) became convertible because our share price exceeded certain thresholds defined in the agreement (see below for further information). Therefore, the 6.1 million shares of common stock that are contingently issuable under the Debentures are included in the calculation of Net earnings per share – diluted, using the “if-converted” method, effective April 1, 2004. Under the “if-converted” method, net earnings available to common shareholders are adjusted for the amortization of the discount on the Debentures, net of tax, for the respective periods.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Debentures remain convertible until August 11, 2004, and therefore the 6.1 million shares of common stock that are contingently issuable under the Debentures will be included in Net earnings per share – diluted during that portion of the third quarter of 2004. If the Debentures remain, or become convertible in future periods, or if certain other conditions are met at the end of a reporting period, the 6.1 million shares of common stock will be included in the calculation of Net earnings per share – diluted for the related period.</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Debentures, which are convertible into shares of our common stock at an accreted price of approximately $43.00 per share (initially $39.50), become convertible from the thirtieth trading day in a quarter through the twenty-ninth trading day in the following quarter when our share price for at least 20 of the first 30 trading days of a quarter is more than 110% of the accreted value per convertible share on the thirtieth trading day of that quarter. Given the accreted value per convertible share on the thirtieth trading day of the third and fourth quarters of 2004, our share price will have to exceed $47.50 and $47.85, respectively, during the relevant measurement periods to be convertible. The Debentures are also convertible in certain other circumstances as set forth in the indenture.</w:t>
      </w:r>
    </w:p>
    <w:p>
      <w:pPr>
        <w:spacing w:after="0" w:line="102" w:lineRule="exact"/>
        <w:rPr>
          <w:sz w:val="20"/>
          <w:szCs w:val="20"/>
          <w:color w:val="auto"/>
        </w:rPr>
      </w:pPr>
    </w:p>
    <w:p>
      <w:pPr>
        <w:ind w:left="260" w:hanging="247"/>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Accounts Receivable Securitization</w:t>
      </w:r>
    </w:p>
    <w:p>
      <w:pPr>
        <w:spacing w:after="0" w:line="7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In July 2004, we amended our U.S. Receivables Facility to extend to July 2005. All other terms remain unchanged. As of June 30, 2004, there were no borrowings outstanding under this agreement.</w:t>
      </w:r>
    </w:p>
    <w:p>
      <w:pPr>
        <w:spacing w:after="0" w:line="118" w:lineRule="exact"/>
        <w:rPr>
          <w:sz w:val="20"/>
          <w:szCs w:val="20"/>
          <w:color w:val="auto"/>
        </w:rPr>
      </w:pPr>
    </w:p>
    <w:p>
      <w:pPr>
        <w:ind w:left="260" w:hanging="247"/>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our plans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20" w:type="dxa"/>
            <w:vAlign w:val="bottom"/>
            <w:gridSpan w:val="10"/>
          </w:tcPr>
          <w:p>
            <w:pPr>
              <w:jc w:val="right"/>
              <w:ind w:right="372"/>
              <w:spacing w:after="0"/>
              <w:rPr>
                <w:sz w:val="20"/>
                <w:szCs w:val="20"/>
                <w:color w:val="auto"/>
              </w:rPr>
            </w:pPr>
            <w:r>
              <w:rPr>
                <w:rFonts w:ascii="Arial" w:cs="Arial" w:eastAsia="Arial" w:hAnsi="Arial"/>
                <w:sz w:val="14"/>
                <w:szCs w:val="14"/>
                <w:b w:val="1"/>
                <w:bCs w:val="1"/>
                <w:color w:val="auto"/>
              </w:rPr>
              <w:t>Defined Benefit Pension Plans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8"/>
              </w:rPr>
              <w:t>3 Months Ended</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8"/>
              </w:rPr>
              <w:t>6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2003</w:t>
            </w:r>
          </w:p>
        </w:tc>
        <w:tc>
          <w:tcPr>
            <w:tcW w:w="340" w:type="dxa"/>
            <w:vAlign w:val="bottom"/>
          </w:tcPr>
          <w:p>
            <w:pPr>
              <w:spacing w:after="0"/>
              <w:rPr>
                <w:sz w:val="22"/>
                <w:szCs w:val="22"/>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jc w:val="right"/>
              <w:ind w:right="16"/>
              <w:spacing w:after="0"/>
              <w:rPr>
                <w:sz w:val="20"/>
                <w:szCs w:val="20"/>
                <w:color w:val="auto"/>
              </w:rPr>
            </w:pPr>
            <w:r>
              <w:rPr>
                <w:rFonts w:ascii="Arial" w:cs="Arial" w:eastAsia="Arial" w:hAnsi="Arial"/>
                <w:sz w:val="14"/>
                <w:szCs w:val="14"/>
                <w:b w:val="1"/>
                <w:bCs w:val="1"/>
                <w:color w:val="auto"/>
                <w:w w:val="76"/>
              </w:rPr>
              <w:t>2003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cost</w:t>
            </w: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1"/>
              </w:rPr>
              <w:t>(4.3)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Amortization of unrecognized loss (gain)</w:t>
            </w: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benefit cost</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8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gridSpan w:val="2"/>
          </w:tcPr>
          <w:p>
            <w:pPr>
              <w:spacing w:after="0"/>
              <w:rPr>
                <w:sz w:val="11"/>
                <w:szCs w:val="11"/>
                <w:color w:val="auto"/>
              </w:rPr>
            </w:pPr>
          </w:p>
        </w:tc>
        <w:tc>
          <w:tcPr>
            <w:tcW w:w="420" w:type="dxa"/>
            <w:vAlign w:val="bottom"/>
            <w:tcBorders>
              <w:bottom w:val="single" w:sz="8" w:color="auto"/>
            </w:tcBorders>
            <w:gridSpan w:val="3"/>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gridSpan w:val="9"/>
          </w:tcPr>
          <w:p>
            <w:pPr>
              <w:jc w:val="right"/>
              <w:ind w:right="512"/>
              <w:spacing w:after="0"/>
              <w:rPr>
                <w:sz w:val="20"/>
                <w:szCs w:val="20"/>
                <w:color w:val="auto"/>
              </w:rPr>
            </w:pPr>
            <w:r>
              <w:rPr>
                <w:rFonts w:ascii="Arial" w:cs="Arial" w:eastAsia="Arial" w:hAnsi="Arial"/>
                <w:sz w:val="14"/>
                <w:szCs w:val="14"/>
                <w:b w:val="1"/>
                <w:bCs w:val="1"/>
                <w:color w:val="auto"/>
                <w:w w:val="89"/>
              </w:rPr>
              <w:t>Retiree Health Care Plan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gridSpan w:val="3"/>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6"/>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8"/>
              </w:rPr>
              <w:t>3 Months Ended</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8"/>
              </w:rPr>
              <w:t>6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2003</w:t>
            </w:r>
          </w:p>
        </w:tc>
        <w:tc>
          <w:tcPr>
            <w:tcW w:w="340" w:type="dxa"/>
            <w:vAlign w:val="bottom"/>
          </w:tcPr>
          <w:p>
            <w:pPr>
              <w:spacing w:after="0"/>
              <w:rPr>
                <w:sz w:val="22"/>
                <w:szCs w:val="22"/>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jc w:val="right"/>
              <w:ind w:right="16"/>
              <w:spacing w:after="0"/>
              <w:rPr>
                <w:sz w:val="20"/>
                <w:szCs w:val="20"/>
                <w:color w:val="auto"/>
              </w:rPr>
            </w:pPr>
            <w:r>
              <w:rPr>
                <w:rFonts w:ascii="Arial" w:cs="Arial" w:eastAsia="Arial" w:hAnsi="Arial"/>
                <w:sz w:val="14"/>
                <w:szCs w:val="14"/>
                <w:b w:val="1"/>
                <w:bCs w:val="1"/>
                <w:color w:val="auto"/>
                <w:w w:val="76"/>
              </w:rPr>
              <w:t>2003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gridSpan w:val="3"/>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gridSpan w:val="3"/>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cost</w:t>
            </w: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Amortization of unrecognized loss (gain)</w:t>
            </w: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7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gridSpan w:val="3"/>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gridSpan w:val="3"/>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benefit cost</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620" w:type="dxa"/>
            <w:vAlign w:val="bottom"/>
            <w:vMerge w:val="restart"/>
          </w:tcPr>
          <w:p>
            <w:pPr>
              <w:jc w:val="right"/>
              <w:ind w:right="1298"/>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-2230120</wp:posOffset>
            </wp:positionV>
            <wp:extent cx="28702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-2230120</wp:posOffset>
            </wp:positionV>
            <wp:extent cx="31305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-2230120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-2230120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-2230120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-2230120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-2230120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-2230120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-325755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-325755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-325755</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Contributions made to our U.S. pension plans were $.8 and $.9 for the three months and six months ended June 30, 2004, respectively. Contributions made to our retiree health plan were $.5 for the six months ended June 30, 2004. As previously disclosed in our financial statements for the year ended December 31, 2003, we expect to contribute $1.8 to our U.S. pension plans and $1.1 to our retiree health care plan during 2004.</w:t>
      </w:r>
    </w:p>
    <w:p>
      <w:pPr>
        <w:spacing w:after="0" w:line="93"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Shareholders’ Equity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consists of the following:</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3 Months Ended</w:t>
            </w:r>
          </w:p>
        </w:tc>
        <w:tc>
          <w:tcPr>
            <w:tcW w:w="580" w:type="dxa"/>
            <w:vAlign w:val="bottom"/>
          </w:tcPr>
          <w:p>
            <w:pPr>
              <w:spacing w:after="0"/>
              <w:rPr>
                <w:sz w:val="14"/>
                <w:szCs w:val="14"/>
                <w:color w:val="auto"/>
              </w:rPr>
            </w:pPr>
          </w:p>
        </w:tc>
        <w:tc>
          <w:tcPr>
            <w:tcW w:w="1560" w:type="dxa"/>
            <w:vAlign w:val="bottom"/>
            <w:gridSpan w:val="6"/>
          </w:tcPr>
          <w:p>
            <w:pPr>
              <w:jc w:val="right"/>
              <w:ind w:right="236"/>
              <w:spacing w:after="0"/>
              <w:rPr>
                <w:sz w:val="20"/>
                <w:szCs w:val="20"/>
                <w:color w:val="auto"/>
              </w:rPr>
            </w:pPr>
            <w:r>
              <w:rPr>
                <w:rFonts w:ascii="Arial" w:cs="Arial" w:eastAsia="Arial" w:hAnsi="Arial"/>
                <w:sz w:val="14"/>
                <w:szCs w:val="14"/>
                <w:b w:val="1"/>
                <w:bCs w:val="1"/>
                <w:color w:val="auto"/>
              </w:rPr>
              <w:t>6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13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22"/>
                <w:szCs w:val="2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10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$ 53.1</w:t>
            </w: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$ 92.7</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(loss) gain</w:t>
            </w:r>
          </w:p>
        </w:tc>
        <w:tc>
          <w:tcPr>
            <w:tcW w:w="19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(32.0)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Unrealized gain on available-for-sale securities – net of tax</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derivative financial instruments – net of tax</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$ 23.8</w:t>
            </w: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$ 70.8</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On April 27, 2004, the Board of Directors declared a cash dividend of $.10 per share, which was paid on June 14, 2004 to shareholders of record on June 3, 2004.</w:t>
      </w:r>
    </w:p>
    <w:p>
      <w:pPr>
        <w:spacing w:after="0" w:line="19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Interest and Other Expense (Income)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(income) consists of the following:</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9"/>
              </w:rPr>
              <w:t>3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6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3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18"/>
              <w:spacing w:after="0"/>
              <w:rPr>
                <w:sz w:val="20"/>
                <w:szCs w:val="20"/>
                <w:color w:val="auto"/>
              </w:rPr>
            </w:pPr>
            <w:r>
              <w:rPr>
                <w:rFonts w:ascii="Arial" w:cs="Arial" w:eastAsia="Arial" w:hAnsi="Arial"/>
                <w:sz w:val="14"/>
                <w:szCs w:val="14"/>
                <w:b w:val="1"/>
                <w:bCs w:val="1"/>
                <w:color w:val="auto"/>
                <w:w w:val="76"/>
              </w:rPr>
              <w:t>2004</w:t>
            </w:r>
          </w:p>
        </w:tc>
        <w:tc>
          <w:tcPr>
            <w:tcW w:w="6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23.1</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income</w:t>
            </w:r>
          </w:p>
        </w:tc>
        <w:tc>
          <w:tcPr>
            <w:tcW w:w="244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Miscellaneous expense (income), net</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(11.1)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-29210</wp:posOffset>
            </wp:positionV>
            <wp:extent cx="28702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8702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2131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Miscellaneous (income) expense for the six months ended June 30, 2004 includes non-operating gains of $14.2 (approximately $.12 per share – diluted), primarily related to the sale of our equity interest in a European internet job board.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Segment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95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88"/>
              </w:rPr>
              <w:t>3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6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10" w:type="dxa"/>
            <w:vAlign w:val="bottom"/>
            <w:gridSpan w:val="2"/>
          </w:tcPr>
          <w:p>
            <w:pPr>
              <w:jc w:val="center"/>
              <w:ind w:left="445"/>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7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United States (a)</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tcPr>
          <w:p>
            <w:pPr>
              <w:jc w:val="right"/>
              <w:spacing w:after="0"/>
              <w:rPr>
                <w:sz w:val="20"/>
                <w:szCs w:val="20"/>
                <w:color w:val="auto"/>
              </w:rPr>
            </w:pPr>
            <w:r>
              <w:rPr>
                <w:rFonts w:ascii="Arial" w:cs="Arial" w:eastAsia="Arial" w:hAnsi="Arial"/>
                <w:sz w:val="18"/>
                <w:szCs w:val="18"/>
                <w:color w:val="auto"/>
              </w:rPr>
              <w:t>517.3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483.9</w:t>
            </w:r>
          </w:p>
        </w:tc>
        <w:tc>
          <w:tcPr>
            <w:tcW w:w="3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1,172.0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2,414.8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EMEA</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89"/>
              </w:rPr>
              <w:t>1,202.2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951.2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2,343.1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1,837.6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Right (b)</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Other Operations</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504.7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389.6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Consolidated (a)</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3,013.4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6,956.5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Unit Profit:</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United States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tcPr>
          <w:p>
            <w:pPr>
              <w:jc w:val="right"/>
              <w:spacing w:after="0"/>
              <w:rPr>
                <w:sz w:val="20"/>
                <w:szCs w:val="20"/>
                <w:color w:val="auto"/>
              </w:rPr>
            </w:pPr>
            <w:r>
              <w:rPr>
                <w:rFonts w:ascii="Arial" w:cs="Arial" w:eastAsia="Arial" w:hAnsi="Arial"/>
                <w:sz w:val="18"/>
                <w:szCs w:val="18"/>
                <w:color w:val="auto"/>
              </w:rPr>
              <w:t>14.1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EMEA</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Right</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Other Operations</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20.7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Consolidated</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14.4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other intangible assets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Interest and other expense (income)</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12.3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Earnings before income taxes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-2136775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-2136775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-2136775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-2136775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-2136775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-2136775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-2136775</wp:posOffset>
            </wp:positionV>
            <wp:extent cx="114490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4490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-172720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-172720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-172720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-172720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-172720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-172720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-172720</wp:posOffset>
            </wp:positionV>
            <wp:extent cx="43307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20" w:hanging="452"/>
        <w:spacing w:after="0" w:line="298"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United States, where a majority of our franchises operate, Revenues from services include fees received from the related franchise offices of $5.8 and $4.9 for the three months ended June 30, 2004 and 2003, respectively, and $12.0 and $10.1 for the six months ended June 30, 2004 and 2003, respectively. These fees are primarily based on revenues generated by the franchise offices, which were $289.7 and $248.4 for the three months ended June 30, 2004 and 2003, respectively, and $552.7 and $478.0 for the six months ended June 30, 2004 and 2003, respectively.</w:t>
      </w:r>
    </w:p>
    <w:p>
      <w:pPr>
        <w:spacing w:after="0" w:line="18" w:lineRule="exact"/>
        <w:rPr>
          <w:rFonts w:ascii="Arial" w:cs="Arial" w:eastAsia="Arial" w:hAnsi="Arial"/>
          <w:sz w:val="16"/>
          <w:szCs w:val="16"/>
          <w:color w:val="auto"/>
        </w:rPr>
      </w:pPr>
    </w:p>
    <w:p>
      <w:pPr>
        <w:ind w:left="460" w:right="80"/>
        <w:spacing w:after="0" w:line="252" w:lineRule="auto"/>
        <w:rPr>
          <w:rFonts w:ascii="Arial" w:cs="Arial" w:eastAsia="Arial" w:hAnsi="Arial"/>
          <w:sz w:val="16"/>
          <w:szCs w:val="16"/>
          <w:color w:val="auto"/>
        </w:rPr>
      </w:pPr>
      <w:r>
        <w:rPr>
          <w:rFonts w:ascii="Arial" w:cs="Arial" w:eastAsia="Arial" w:hAnsi="Arial"/>
          <w:sz w:val="18"/>
          <w:szCs w:val="18"/>
          <w:color w:val="auto"/>
        </w:rPr>
        <w:t>Our consolidated Revenues from services include fees received from our franchise offices of $7.9 and $5.9 for the three months ended June 30, 2004 and 2003, respectively, and $16.1 and $11.9 for the six months ended June 30, 2004 and 2003, respectively. These fees are primarily based on revenues generated by the franchise offices, which were $350.4 and $294.1 for the three months ended June 30, 2004 and 2003, respectively, and $671.9 and $560.8 for the six months ended June 30, 2004 and 2003, respectively.</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operations of Right Management Consultants, since its acquisition in January 2004, and the Empower Group.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60"/>
        <w:spacing w:after="0" w:line="328" w:lineRule="auto"/>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 Operating Results - Three Months Ended June 30, 2004 and 2003</w:t>
      </w:r>
    </w:p>
    <w:p>
      <w:pPr>
        <w:spacing w:after="0" w:line="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Revenues from services increased 20.2% to $3,622.4 million for the second quarter of 2004 from the same period in 2003. Revenues were favorably impacted by changes in foreign currency exchange rates during the period due to the weakening of the U.S. Dollar relative to the currencies in most of our non-U.S. markets. In constant currency, revenues increased 14.3%. Revenue growth in the second quarter of 2004 was also favorably impacted by acquisitions, primarily Right Management Consultants, Inc. (“RMC”). Revenues increased 16.2% excluding acquisitions or 10.5% on an organic constant currency basis. This growth rate is a result of improving economic conditions and increased demand for our services in many of our markets. (See Financial Measures on pages 25 and 26 for further information on constant currency and organic constant currency.)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Gross profit increased 30.2% to $679.3 million for the second quarter of 2004. In constant currency, Gross profit increased 24.3%. Gross profit margin was</w:t>
      </w:r>
    </w:p>
    <w:p>
      <w:pPr>
        <w:spacing w:after="0" w:line="38"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18.8%, an increase of 150 basis points (1.5%) from the second quarter of 2003. Gross profit growth from acquisitions, primarily from RMC, was $65.6 million, which favorably impacted gross profit margin by 130 basis points (1.3%). Excluding acquisitions, gross profit margin was 17.5% for the second quarter of 2004, an increase of 20 basis points over the gross profit margin of 17.3% in the year earlier period. This improvement is primarily a result of a change in the mix of services provided, toward those with higher gross profit margins due to the growth at Jefferson Wells. This improvement was partially offset by increased social costs, including increased U.S. workers’ compensation costs and state unemployment taxes.</w:t>
      </w:r>
    </w:p>
    <w:p>
      <w:pPr>
        <w:spacing w:after="0" w:line="103"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Selling and administrative expenses increased 25.7% from the second quarter of 2003, to $584.1 million in the second quarter of 2004. These expenses increased 19.9% in constant currency. This increase is primarily due to the increase in business and the impact of acquisitions, including the intangible asset amortization resulting from the RMC acquisition of $3.4 million in the second quarter of 2004. Excluding the impact of acquisitions, these expenses increased 13.6%, or 8.3% on an organic constant currency basis. As a percent of revenues, Selling and administrative expenses were 16.1% in the second quarter of 2004 compared to</w:t>
      </w:r>
    </w:p>
    <w:p>
      <w:pPr>
        <w:spacing w:after="0" w:line="3"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15.4% in the second quarter of 2003. This ratio is impacted by the acquisition of RMC, because RMC has a different cost structure than our existing business. Excluding acquisitions, Selling and administrative expenses were 15.1% of revenues, which is improved from the second quarter of 2003, due to productivity improvements and effective expense management in conjunction with growing revenues.</w:t>
      </w:r>
    </w:p>
    <w:p>
      <w:pPr>
        <w:spacing w:after="0" w:line="13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Operating profit increased 67.0% for the second quarter of 2004 compared to 2003, with an operating profit margin of 2.6% in 2004 compared to 1.9% in 2003. On a constant currency basis, Operating profit increased 60.0%. Excluding the impact of acquisitions, Operating profit increased 50.8%, or 44.0% on an organic constant currency basis in the second quarter of 2004. Operating profit margin excluding acquisitions improved to 2.5% for the second quarter of 2004 compared to 1.9% in 2003.</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Interest and other expenses were $12.3 million in the second quarter of 2004 compared to $9.2 million for the same period in 2003. Net interest expense increased $2.1 million in the quarter to $10.4 million due to lower interest income. Translation losses in the second quarter of 2004 were $.2 million compared to a $.3 million gain in the year earlier period. Miscellaneous expenses, net, which consist of bank fees and other non-operating income and expenses, were $1.7 million in the second quarter of 2004 compared to $1.2 million in year earlier period.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provided for income taxes during the second quarter of 2004 at a rate of 36.0%, based on our current estimate of the annual effective tax rate, adjusted for the impact of non-operating gains recorded in the first quarter of 2004. This rate is higher than the U.S. Federal statutory rate of 35% due primarily to the impact of higher U.S. state income taxes. For the year ended December 31, 2003 we provided for income taxes at a rate of 38.0%. The estimated effective tax rate for 2004, excluding the non-operating gains in the first quarter, is lower than the 2003 rate due to the tax effects of certain internal corporate restructurings that began in late 2003.</w:t>
      </w:r>
    </w:p>
    <w:p>
      <w:pPr>
        <w:spacing w:after="0" w:line="1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Net earnings per share – diluted increased 51.4% to $.56 in the second quarter of 2004 compared to $.37 in the second quarter of 2003. In constant currency, Net earnings per share – diluted increased 45.9%. The higher foreign currency exchange rates positively impacted Net earnings per share – diluted by approximately $.02 in the second quarter of 2004.</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second quarter of 2004, our unsecured zero-coupon convertible debentures, due August 17, 2021 (“Debentures”) became convertible because our share price exceeded certain thresholds defined in the agreement. Therefore, the 6.1 million shares of common stock that are contingently issuable under the Debentures are included in our calculation of weighted average shares – diluted for the second quarter of 2004. Net earnings per share – diluted for the second quarter of 2004 was reduced by $.02 compared to the second quarter of 2003 as a result of including the contingently issuable shares in the calculation. (See note 5 for further information.)</w:t>
      </w:r>
    </w:p>
    <w:p>
      <w:pPr>
        <w:spacing w:after="0" w:line="1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Debentures remain convertible until August 11, 2004, and therefore the 6.1 million shares of common stock that are contingently issuable under the Debentures will be included in Net earnings per share – diluted during that portion of the third quarter of 2004. If the Debentures remain, or become convertible in future periods, or if certain other conditions are met at the end of a reporting period, the 6.1 million shares of common stock will be included in the calculation of Net earnings per share – diluted for the related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United States, revenues increased 6.9% in the second quarter of 2004 compared to the second quarter of 2003, which is an increase from the 2.4% year-over-year growth rate experienced in the first quarter of 2004. This increased growth is a result of the improving economic conditions in the United States, which led to an increase in customer demand for our services. Franchise acquisitions had a minimal impact on revenue growth for the quarter. Excluding these acquisitions, revenues increased 6.8% from the second quarter of 2003. Revenues increased 4.7% for the first half of 2004 compared to 2003 (4.6% excluding franchise acquisitions).</w:t>
      </w:r>
    </w:p>
    <w:p>
      <w:pPr>
        <w:spacing w:after="0" w:line="1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Revenues include fees received from our franchise offices of $5.8 million and $4.9 million for the three months ended June 30, 2004 and 2003, respectively, and $12.0 million and $10.1 million for the six months ended June 30, 2004 and 2003, respectively. These fees are primarily based on revenues generated by the franchise offices, which were $289.7 million and $248.4 million for the three months ended June 30, 2004 and 2003, respectively, and $552.7 million and $478.0 million for the six months ended June 30, 2004 and 2003, respectively.</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gross profit margin declined during the second quarter of 2004 compared to the second quarter of 2003 as a result of higher workers’ compensation costs, state unemployment taxes and a shift in the business mix toward lower gross profit margin business. This decline is a slight improvement from that experienced in the first quarter of 2004.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Selling and administrative expenses declined slightly in the second quarter of 2004 compared to the year earlier period, due to the impact of productivity improvements and cost control efforts implemented over the past few years.</w:t>
      </w:r>
    </w:p>
    <w:p>
      <w:pPr>
        <w:spacing w:after="0" w:line="118"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Operating unit profit (“OUP”) margin in the United States improved to 2.7% in the second quarter of 2004 compared to 2.1% in the second quarter of 2003, which reflects the increased leveraging of expenses offset somewhat by the decline in gross profit margin. For the first half of 2004, OUP margin was 1.7% compared to 1.4% in 2003.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France, revenues increased 9.1% (2.9% in Euro) during the second quarter of 2004 compared to 2003. This quarterly growth rate, in Euro, is consistent with that experienced in the first quarter of 2004 due to an extra billing day in the second quarter of 2004 compared to 2003. Revenues in the first half of 2004 are 2.7% above prior year levels.</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gross profit margin declined slightly in the second quarter of 2004 compared to 2003 as a result of increased pricing pressures, which have continued since the first quarter of 2004.</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Selling and administrative expenses increased in Euro during the second quarter of 2004 compared to the second quarter 2003. This increase, in Euro, is primarily due to investments made in new offices during 2004.</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During the second quarter of 2004 and 2003, OUP margin in France was 3.1% and 3.6%, respectively, and 2.8% and 3.2% for the first half of 2004 and 2003, respectively. This decrease primarily reflects the decline in gross profit margin levels.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EMEA, which represents operations throughout Europe, the Middle East and Africa (excluding France), revenues increased 26.4% in the second quarter of 2004 compared to the second quarter of 2003 (an increase of 17.8% on a constant currency basis, or 16.0% in organic constant currency). On a constant currency basis, year-over-year revenue growth rates have increased from that experienced in the first quarter. Local currency revenue growth was experienced in all major markets, with the highest growth rates reported in Italy, Germany, and Elan.</w:t>
      </w:r>
    </w:p>
    <w:p>
      <w:pPr>
        <w:spacing w:after="0" w:line="9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gross profit margin for the second quarter of 2004 was stable with the second quarter of 2003, reflecting an improvement from the first quarter of 2004. In the first quarter of 2004, gross profit margin was below prior year levels as a result of pricing pressures and changes in the mix of business (related to both a shift of business mix to geographical operations with lower gross profit margins and a shift of business mix to services with lower gross profit margins).</w:t>
      </w:r>
    </w:p>
    <w:p>
      <w:pPr>
        <w:spacing w:after="0" w:line="9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Selling and administrative expenses continue to be effectively managed despite the need to support the increased revenues and the investments in new office openings in certain markets.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OUP margin for EMEA was 2.2% and .8% for the first quarter of 2004 and 2003, respectively, and 1.7% and .9% for the first half of 2004 and 2003,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improvement in OUP margin was primarily the result of leveraging our expense base with the increased revenue levels.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22, 2004, we completed our exchange offer to acquire RMC, the world’s largest career transition and organizational consulting services firm, operating through over 300 offices in 35 countries. The results of RMC’s operations are included in our consolidated financial statements since that date. The acquisition of RMC expands the range of services that we offer to customers as a strategic partner throughout every stage of the employment cycle. We have merged our Empower operations into RMC, resulting in a separate reportable segment referred to as Right. (See note 3 to the consolidated financial statements for further information.)</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for the Right segment were $119.9 million in the second quarter of 2004 and $221.7 million for the first half of 2004. We have experienced increased activity in the organizational consulting services throughout the first half of 2004. However, demand for Right’s career transition services has decreased due to the lower demand for career transition services as a result of improving economic conditions.</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Gross profit margin for the second quarter of 2004 is slightly improved from the previous quarter as a result of the second quarter including a full three months of Right’s higher margin career transition services compared to the first quarter.</w:t>
      </w:r>
    </w:p>
    <w:p>
      <w:pPr>
        <w:spacing w:after="0" w:line="11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OUP margin for the Right segment was 10.4% in the second quarter of 2004 and 9.8% in the first half of 2004. OUP in the second quarter of 2004 was impacted by approximately $1.0 million in severance and office closure costs resulting from the merger of our Empower operations into RMC (approximately $2.5 million for the first half of 2004).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Operations</w:t>
      </w:r>
    </w:p>
    <w:p>
      <w:pPr>
        <w:spacing w:after="0" w:line="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Revenues of Other Operations increased 29.6% (24.9% in constant currency) during the second quarter of 2004 compared to 2003. This growth rate, in constant currency, is an increase from that experienced during the first quarter of 2004. Revenue increases for the second quarter, in constant currency, were experienced in virtually all markets in this segment. Revenue increased 131.2% at Jefferson Wells. Australia, Canada, Japan and Mexico each reported revenue increases of at least 9%. For the first half of 2004, revenues for this segment have increased 31.6% from the year earlier period (23.4% in constant currency).</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gross profit margin increased in the second quarter of 2004 compared to 2003 due primarily to increased business and staff utilization at Jefferson Wells, and a shift in the mix of business toward those services with higher gross profit margins. Gross profit margin has also increased from the first quarter of 2004 due to the increased business at Jefferson Wells.</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Selling and administrative expenses increased in the second quarter of 2004 compared to the second quarter of 2003 to support the increasing revenue levels and as a result of investments in new office openings in certain markets.</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OUP margin for Other Operations in the second quarter of 2004 was 4.1% compared to 1.7% for the same period in 2003. This improvement is due to the higher gross profit margins. OUP margin for the first half of 2004 and 2003 was 3.9% and 1.3%, respectively.</w:t>
      </w:r>
    </w:p>
    <w:p>
      <w:pPr>
        <w:spacing w:after="0" w:line="11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Jefferson Wells reported a revenue increase of 131.2% in the second quarter of 2004 due to increased demand for internal audit and control services, including Sarbanes-Oxley compliance services. Demand also increased for finance and accounting, and tax services. Jefferson Wells has been a main contributor to the increased profitability of this segment in the first half of 2004.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Six Months Ended June 30, 2004 and 2003</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Revenues from services increased 22.2% to $6,956.5 million for the first half of 2004 from the same period in 2003. Revenues were favorably impacted by changes in foreign currency exchange rates during the period due to the weakening of the U.S. Dollar relative to the currencies in most of our non-U.S. markets. In constant currency, revenues increased 12.9%. Revenue growth in the first six months of 2004 was also favorably impacted by acquisitions, primarily RMC. Revenues increased 18.3% excluding acquisitions or 9.2% on an organic constant currency basis. This growth rate is a result of improving economic conditions and increased demand for our services in many of our markets. (See Financial Measures on pages 25 and 26 for further information on constant currency and organic constant currency.)</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Gross profit increased 31.2% to $1,295.8 million for the first six months of 2004. In constant currency, Gross profit increased 21.7% compared to the first half of 2003. Gross profit margin was 18.6%, an increase of 130 basis points (1.3%) from the first half of 2003. Gross profit growth from acquisitions, primarily from RMC, was $116.7 million, which favorably impacted gross profit margin by 110 basis points (1.1%). Excluding acquisitions, gross profit margin was 17.5% for the first half of 2004, an increase of 20 basis points over the gross profit margin of 17.3% in the year earlier period. This improvement is primarily a result of a change in the mix of services provided, toward those with higher gross profit margins due to the growth at Jefferson Wells. This improvement is partially offset by increased social costs, including increased U.S. workers’ compensation costs and state unemployment taxes.</w:t>
      </w:r>
    </w:p>
    <w:p>
      <w:pPr>
        <w:spacing w:after="0" w:line="10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Selling and administrative expenses increased 27.5% from the first six months of 2003, to $1,144.4 million in the first six months of 2004. These expenses increased 18.3% in constant currency. This increase is primarily due to the increase in business and the impact of acquisitions, including the intangible asset amortization resulting from the RMC acquisition of $5.7 million in the first half of 2004. Excluding the impact of acquisitions, these expenses increased 16.6%, or 8.0% on an organic constant currency basis. As a percent of revenues, Selling and administrative expenses were 16.4% in the first half of 2004 compared to 15.8% in the first half of 2003. This ratio is impacted by the acquisition of RMC, because RMC has a different cost structure than our existing business. Excluding acquisitions, Selling and administrative expenses were 15.5% of revenues, which is improved from the first half of 2003 due to productivity improvements and effective expense management in conjunction with growing revenues.</w:t>
      </w:r>
    </w:p>
    <w:p>
      <w:pPr>
        <w:spacing w:after="0" w:line="10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Operating profit increased 68.3% for the first half of 2004 compared to 2003, with an operating profit margin of 2.2% in 2004 compared to 1.6% in 2003. On a constant currency basis, Operating profit increased 55.5%. Excluding the impact of acquisitions, Operating profit increased 47.3%, or 35.2% on an organic constant currency basis in the first six months of 2004. Operating profit margin excluding acquisitions improved to 2.0% for the first half of 2004 compared to 1.6% in 2003.</w:t>
      </w:r>
    </w:p>
    <w:p>
      <w:pPr>
        <w:spacing w:after="0" w:line="13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Interest and other expenses were $8.3 million the first six months of 2004 compared to $17.8 million for the same period in 2003. Net interest expense increased $3.2 million in the first six months of 2004 to $19.1 million due to the higher borrowing levels earlier in 2004 resulting from our acquisition of RMC, and lower interest income. Translation gains in the first half of 2004 were $.3 million compared to a loss of $1.5 million in the year earlier period. Miscellaneous (income) expense, net, which consists of bank fees and other non-operating income and expenses, was income of $11.1 million in the first half of 2004 compared to expense of $3.4 million in 2003. The income in 2004 includes non-operating gains of $14.2 million (approximately $.12 per share, diluted), primarily related to the sale of our equity interest in a European internet job board. Net proceeds from this transaction were $29.8 million.</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provided for income taxes during the first half of 2004 at a rate of 35.2%, based on our current estimate of the annual effective tax rate of 36.0%, adjusted for the tax impact of the non-operating gains recorded in the first quarter. These non-operating gains include the sale of our equity interest in a European internet job board. This rate is higher than the U.S. Federal statutory rate of 35.0% due primarily to the impact of higher U.S. state income taxes. For the year ended December 31, 2003 we provided for income taxes at a rate of 38.0%. The estimated effective tax rate for 2004, excluding the non-operating gains in the first quarter, is lower than the 2003 rate due to the tax effects of certain internal corporate restructurings that began in late 2003.</w:t>
      </w:r>
    </w:p>
    <w:p>
      <w:pPr>
        <w:spacing w:after="0" w:line="1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earnings per share – diluted increased 80.4% to $1.01 in the first six months of 2004 compared to $.56 in the first six months of 2003. In constant currency, Net earnings per share – diluted increased 67.9%. The higher foreign currency exchange rates positively impacted Net earnings per share – diluted by approximately $.07 in the first half 2004.</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second quarter of 2004, our unsecured zero-coupon convertible debentures, due August 17, 2021 (“Debentures”) became convertible because our share price exceeded certain thresholds defined in the agreement. Therefore, the 6.1 million shares of common stock that are contingently issuable under the Debentures are included in our calculation of weighted average shares – diluted for the first half of 2004 since April 1, 2004. Net earnings per share – diluted for the first half of 2004 was reduced by $.02 compared to the first half of 2003 as a result of including the contingently issuable shares in the calculation. (See note 5 for further information.)</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Debentures remain convertible until August 11, 2004, and therefore the 6.1 million shares of common stock that are contingently issuable under the Debentures will be included in Net earnings per share – diluted during that portion of the third quarter of 2004. If the Debentures remain, or become convertible in future periods, or if certain other conditions are met at the end of a reporting period, the 6.1 million shares of common stock will be included in the calculation of Net earnings per share – diluted for the related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Cash provided by operating activities was $67.6 million in the first half of 2004 compared to $17.7 million for the first half of 2003. This increase is primarily due to the increased operating earnings levels and tax benefit recorded from stock option exercises in 2004.</w:t>
      </w:r>
    </w:p>
    <w:p>
      <w:pPr>
        <w:spacing w:after="0" w:line="11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Capital expenditures were $27.0 million in the first half of 2004 compared to $23.8 million during the first six months of 2003. These expenditures are primarily comprised of purchases of computer equipment, office furniture and other costs related to office openings and refurbishments.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Net borrowings in the first half of 2004 were $8.7 million compared to net repayments of $44.5 million in the year earlier period.</w:t>
      </w:r>
    </w:p>
    <w:p>
      <w:pPr>
        <w:spacing w:after="0" w:line="15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Cash paid for acquisitions of businesses of $103.6 million includes the payment of acquisition-related costs and the $123.8 million repayment of RMC’s long-term debt that we were required to make due to change of control provisions contained in the agreements. We financed the acquisition-related costs and this repayment with excess cash and borrowings under our U.S. Receivables Facility, which has been repaid. Cash acquired of approximately $41.0 million offsets these payments.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Accounts receivable increased to $2,882.0 million as of June 30, 2004 from $2,609.4 million as of December 31, 2003. This increase is due to increased business volumes and the acquisition of RMC, offset by changes in foreign currency exchange rates. At December 31, 2003 exchange rates, the June 30, 2004 balance would have been approximately $62.0 million higher than reported.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of June 30, 2004, we had borrowings of $122.0 million and letters of credit of $73.7 million outstanding under our Five-year Facility, and there were no borrowings outstanding under our commercial paper program.</w:t>
      </w:r>
    </w:p>
    <w:p>
      <w:pPr>
        <w:spacing w:after="0" w:line="11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In July 2004, we amended our U.S. Receivables Facility to extend to July 2005. All other terms remain unchanged. As of June 30, 2004, there were no borrowings outstanding under this agreement.</w:t>
      </w:r>
    </w:p>
    <w:p>
      <w:pPr>
        <w:spacing w:after="0" w:line="1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also maintain separate lines of credit with foreign financial institutions to meet working capital needs of our foreign operations. As of June 30, 2004, such lines totaled $230.1 million, of which $216.3 million was unused. In July 2004, we elected not to renew certain of these unused lines of credit with a total availability of $46.8 million as of June 30, 2004.</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 our debt agreements require, among other things, that we comply with a Debt-to-EBITDA ratio of less than 3.25 to 1 and a fixed charge ratio of greater than 2.00 to 1. As defined in the agreements, we had a Debt-to-EBITDA ratio of 2.22 to 1 and a fixed charge ratio of 2.48 to 1 as of June 30, 2004. Based upon current forecasts, we expect to be in compliance with these covenants throughout 2004.</w:t>
      </w:r>
    </w:p>
    <w:p>
      <w:pPr>
        <w:spacing w:after="0" w:line="12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have aggregate commitments related to debt repayments, operating leases and other commitments of $1,353.4 million as of June 30, 2004 compared to $1,335.7 million as of December 31, 2003.</w:t>
      </w:r>
    </w:p>
    <w:p>
      <w:pPr>
        <w:spacing w:after="0" w:line="11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also have entered into guarantee contracts and stand-by letters of credit that total approximately $139.7 million and $135.4 million as of June 30, 2004 and December 31, 2003, respectively ($66.0 million and $68.7 million for guarantees, respectively, and $73.7 million and $66.7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previously indicated, we completed our exchange offer to acquire RMC on January 22, 2004. Substantially all of RMC’s outstanding shares were tendered and exchanged at a rate of .3874 of a share of our common stock and cash was paid for fractional shares for each RMC share. The remaining outstanding shares were converted into the right to acquire our common stock at the same exchange rate. We have issued 8,852,000 shares of our common stock. We also assumed both of RMC’s stock option plans, converting outstanding options to purchase shares of RMC common stock into options to purchase 1,962,000 shares of our common stock.</w:t>
      </w:r>
    </w:p>
    <w:p>
      <w:pPr>
        <w:spacing w:after="0" w:line="129"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preliminary purchase price of $642.7 million was reflected in the consolidated financial statements as of June 30, 2004 and is subject to revision. The purchase price allocation has not been completed, as we do not yet have a final valuation of the intangible assets acquired.</w:t>
      </w:r>
    </w:p>
    <w:p>
      <w:pPr>
        <w:spacing w:after="0" w:line="7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Based on a preliminary independent valuation, we have identified approximately $160.0 million of amortizable intangible assets related to RMC’s customer list, technology and franchise agreements. These items were preliminarily assigned an estimated weighted-average useful life of 15 years. We have also preliminarily identified approximately $190.0 million as a non-amortizable intangible asset related to RMC’s tradename. Based on this preliminary independent valuation and the estimated fair value of tangible assets acquired, approximately $330.0 million in goodwill has been recorded as of June 30, 2004 (see note 3 to the consolidated financial statements for further information.)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Employment-Related Items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 routine basis, governmental agencies in some of the countries in which we operate will audit our payroll tax calculations and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 We make an estimate of the additional remittances that may be required and record the estimate as a component of Cost of services. The estimate is based on the results of past audits,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w:t>
      </w:r>
    </w:p>
    <w:p>
      <w:pPr>
        <w:spacing w:after="0" w:line="1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France, we are currently under audit for payroll tax remittances made during 2001 and for remittances made during 2002 and 2003. We have received a preliminary notification related to 2001 and have responded to the notification with additional information. We currently do not expect a significant adjustment to our estimate of additional remittances as a result of this notification.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77"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We have tax contingencies recorded for items in various countries, including amounts related to items under audit. These amounts are adjusted to the extent the related items are settled. During July 2004, we received notification that income tax audits for certain years have been completed. Based on the results of these audits, we will reverse a tax contingency of approximately $8.0 million to income in the third quarter of 2004 (approximately $.08 per share - diluted).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December 2003, the Financial Accounting Standards Board (“FASB”) revised SFAS No. 132, “Employers’ Disclosures about Pensions and Other Postretirement Benefits,” to require additional disclosures about the assets, obligations, cash flows, and net periodic benefit cost of defined benefit pension plans and other defined benefit postretirement plans. We adopted this Statement as of December 31, 2003, which requires interim-period disclosures of the components of net periodic benefit cost and, if significantly different from previously disclosed amounts, the amount of contributions and projected contributions to fund pension plans and other postretirement benefit plans.</w:t>
      </w:r>
    </w:p>
    <w:p>
      <w:pPr>
        <w:spacing w:after="0" w:line="12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During January 2003, the FASB issued Interpretation No. 46, “Consolidation of Variable Interest Entities,” which clarifies the consolidation and disclosure requirements related to variable interests in a variable interest entity. A variable interest entity is an entity for which control is achieved through means other than voting rights. The consolidation provisions of this Interpretation, as revised, were effective immediately for interests created after January 31, 2003, and were effective on March 31, 2004 for interests created before February 1, 2003. This Interpretation did not have an impact on our consolidated financial statements as we do not have any variable interest entities that require consolidation.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May 2004, the FASB issued FASB Staff Position (“FSP”) No. 106-2, “Accounting and Disclosure Requirements Related to the Medicare Prescription Drug, Improvement and Modernization Act of 2003 (“the Act”),” which provides guidance on accounting for the effects of the new Medicare prescription drug legislation. FSP 106-2 is effective for us in the third quarter of 2004. The Act, which was signed into law on December 8, 2003, introduces a prescription drug benefit under Medicare (Medicare Part D) as well as a federal subsidy to sponsors of retiree health care benefit plans that provide a benefit that is at least actuarially equivalent to Medicare Part D. We have not yet determined whether the prescription drug benefits offered under our Retiree Health Care Plan are actuarially equivalent to Medicare Part D, therefore our related net periodic benefit cost does not reflect any amount associated with the subsidy. We do not expect the adoption of this FSP to be material to our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under the heading “Forward-Looking Statements” in our annual report on Form 10-K for the year ended December 31, 2003,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“will”,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Our 2003 Annual Report on Form 10-K contains certain disclosures about market risks affecting us. There have been no material changes to the information provided which would require additional disclosures as of the date of this filing.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Submission of Matters to a Vote of Security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was previously provided in our quarterly report on Form 10-Q for the period ending March 31,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Audit Committee of our Board of Directors has approved, during the second quarter, the following non-audit services performed or to be performed for us by our independent registered public accounting firm, PricewaterhouseCoopers LLP:</w:t>
      </w:r>
    </w:p>
    <w:p>
      <w:pPr>
        <w:spacing w:after="0" w:line="3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preparation and/or review of income tax returns;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consultation regarding the appropriate handling of items on our United States tax return.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Exhibits and Reports on Form 8-K</w:t>
      </w:r>
    </w:p>
    <w:p>
      <w:pPr>
        <w:spacing w:after="0" w:line="7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1000"/>
        <w:spacing w:after="0"/>
        <w:tabs>
          <w:tab w:leader="none" w:pos="14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 of Manpower Inc. (as of April 27, 2004).</w:t>
      </w:r>
    </w:p>
    <w:p>
      <w:pPr>
        <w:spacing w:after="0" w:line="7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 Regarding Computation of Ratio of Earnings to Fixed Charges.</w:t>
      </w:r>
    </w:p>
    <w:p>
      <w:pPr>
        <w:spacing w:after="0" w:line="7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1934.</w:t>
      </w:r>
    </w:p>
    <w:p>
      <w:pPr>
        <w:spacing w:after="0" w:line="70" w:lineRule="exact"/>
        <w:rPr>
          <w:sz w:val="20"/>
          <w:szCs w:val="20"/>
          <w:color w:val="auto"/>
        </w:rPr>
      </w:pPr>
    </w:p>
    <w:p>
      <w:pPr>
        <w:ind w:left="1480" w:hanging="566"/>
        <w:spacing w:after="0" w:line="268" w:lineRule="auto"/>
        <w:tabs>
          <w:tab w:leader="none" w:pos="1460" w:val="left"/>
        </w:tabs>
        <w:rPr>
          <w:sz w:val="20"/>
          <w:szCs w:val="20"/>
          <w:color w:val="auto"/>
        </w:rPr>
      </w:pPr>
      <w:r>
        <w:rPr>
          <w:rFonts w:ascii="Arial" w:cs="Arial" w:eastAsia="Arial" w:hAnsi="Arial"/>
          <w:sz w:val="18"/>
          <w:szCs w:val="18"/>
          <w:color w:val="auto"/>
        </w:rPr>
        <w:t>31.2</w:t>
        <w:tab/>
        <w:t>Certification of Michael J. Van Handel, Executive Vice President and Chief Financial Officer, pursuant to Section 13a-14(a) of the Securities Exchange Act of 1934.</w:t>
      </w:r>
    </w:p>
    <w:p>
      <w:pPr>
        <w:spacing w:after="0" w:line="3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Statement of Jeffrey A. Joerres, Chairman and Chief Executive Officer, pursuant to 18 U.S.C. ss. 1350.</w:t>
      </w:r>
    </w:p>
    <w:p>
      <w:pPr>
        <w:spacing w:after="0" w:line="7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Statement of Michael J. Van Handel, Executive Vice President and Chief Financial Officer, pursuant to 18 U.S.C. ss. 1350.</w:t>
      </w:r>
    </w:p>
    <w:p>
      <w:pPr>
        <w:spacing w:after="0" w:line="77" w:lineRule="exact"/>
        <w:rPr>
          <w:sz w:val="20"/>
          <w:szCs w:val="20"/>
          <w:color w:val="auto"/>
        </w:rPr>
      </w:pPr>
    </w:p>
    <w:p>
      <w:pPr>
        <w:ind w:left="900" w:right="3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quarter ended June 30, 2004, we furnished one current report on Form 8-K dated April 19, 2004, with respect to Item 12 – Results of Operations and Financial Condition.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MEASURES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Constant Currency</w:t>
      </w:r>
    </w:p>
    <w:p>
      <w:pPr>
        <w:spacing w:after="0" w:line="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Changes in our revenues and operating profits include the impact of changes in foreign currency exchange rates and acquisitions. We provide “constant currency” and “organic constant currency” calculations in this Quarterly Report to remove the impact of these items. We typically express year-over-year variances that are calculated in constant currency and organic constant currency as a percentage.</w:t>
      </w:r>
    </w:p>
    <w:p>
      <w:pPr>
        <w:spacing w:after="0" w:line="1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Earnings from our subsidiaries are not generally repatriated to the United States, and we typically do not incur significant gains or losses on foreign currency transactions with our subsidiaries. Therefore, changes in foreign currency exchange rates primarily impact only reported earnings and not our actual cash flow or economic condition.</w:t>
      </w:r>
    </w:p>
    <w:p>
      <w:pPr>
        <w:spacing w:after="0" w:line="129"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When we use the term “organic constant currency,” it means that we have further removed the impact of acquisitions in the current period from our constant currency calculation. We believe that this calculation is useful because it allows us to report the actual growth of our pre-existing business.</w:t>
      </w:r>
    </w:p>
    <w:p>
      <w:pPr>
        <w:spacing w:after="0" w:line="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3 Months Ended June 30, 2004</w:t>
            </w: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Impact of</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Organic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5"/>
              </w:rPr>
              <w:t>Variance in</w:t>
            </w: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Acquisitions</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60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rPr>
              <w:t>Reported</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Impact of</w:t>
            </w:r>
          </w:p>
        </w:tc>
        <w:tc>
          <w:tcPr>
            <w:tcW w:w="560" w:type="dxa"/>
            <w:vAlign w:val="bottom"/>
          </w:tcPr>
          <w:p>
            <w:pPr>
              <w:spacing w:after="0"/>
              <w:rPr>
                <w:sz w:val="12"/>
                <w:szCs w:val="12"/>
                <w:color w:val="auto"/>
              </w:rPr>
            </w:pPr>
          </w:p>
        </w:tc>
        <w:tc>
          <w:tcPr>
            <w:tcW w:w="14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Constant</w:t>
            </w: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(in Constant</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Currency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9"/>
              </w:rPr>
              <w:t>Variance</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Currency</w:t>
            </w:r>
          </w:p>
        </w:tc>
        <w:tc>
          <w:tcPr>
            <w:tcW w:w="56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Currency</w:t>
            </w:r>
          </w:p>
        </w:tc>
        <w:tc>
          <w:tcPr>
            <w:tcW w:w="15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Currency)</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600" w:type="dxa"/>
            <w:vAlign w:val="bottom"/>
            <w:gridSpan w:val="3"/>
          </w:tcPr>
          <w:p>
            <w:pPr>
              <w:jc w:val="right"/>
              <w:ind w:right="620"/>
              <w:spacing w:after="0"/>
              <w:rPr>
                <w:sz w:val="20"/>
                <w:szCs w:val="20"/>
                <w:color w:val="auto"/>
              </w:rPr>
            </w:pPr>
            <w:r>
              <w:rPr>
                <w:rFonts w:ascii="Arial" w:cs="Arial" w:eastAsia="Arial" w:hAnsi="Arial"/>
                <w:sz w:val="18"/>
                <w:szCs w:val="18"/>
                <w:color w:val="auto"/>
              </w:rPr>
              <w:t>6.9%</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2000" w:type="dxa"/>
            <w:vAlign w:val="bottom"/>
            <w:gridSpan w:val="3"/>
          </w:tcPr>
          <w:p>
            <w:pPr>
              <w:jc w:val="right"/>
              <w:ind w:right="640"/>
              <w:spacing w:after="0"/>
              <w:rPr>
                <w:sz w:val="20"/>
                <w:szCs w:val="20"/>
                <w:color w:val="auto"/>
              </w:rPr>
            </w:pPr>
            <w:r>
              <w:rPr>
                <w:rFonts w:ascii="Arial" w:cs="Arial" w:eastAsia="Arial" w:hAnsi="Arial"/>
                <w:sz w:val="18"/>
                <w:szCs w:val="18"/>
                <w:color w:val="auto"/>
              </w:rPr>
              <w:t>6.9%</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7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0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2.9</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EMEA</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7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000" w:type="dxa"/>
            <w:vAlign w:val="bottom"/>
            <w:gridSpan w:val="3"/>
          </w:tcPr>
          <w:p>
            <w:pPr>
              <w:jc w:val="right"/>
              <w:ind w:right="780"/>
              <w:spacing w:after="0"/>
              <w:rPr>
                <w:sz w:val="20"/>
                <w:szCs w:val="20"/>
                <w:color w:val="auto"/>
              </w:rPr>
            </w:pPr>
            <w:r>
              <w:rPr>
                <w:rFonts w:ascii="Arial" w:cs="Arial" w:eastAsia="Arial" w:hAnsi="Arial"/>
                <w:sz w:val="18"/>
                <w:szCs w:val="18"/>
                <w:color w:val="auto"/>
              </w:rPr>
              <w:t>17.8</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1.8</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 (a)</w:t>
            </w:r>
          </w:p>
        </w:tc>
        <w:tc>
          <w:tcPr>
            <w:tcW w:w="1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Other Operations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7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000" w:type="dxa"/>
            <w:vAlign w:val="bottom"/>
            <w:gridSpan w:val="3"/>
          </w:tcPr>
          <w:p>
            <w:pPr>
              <w:jc w:val="right"/>
              <w:ind w:right="780"/>
              <w:spacing w:after="0"/>
              <w:rPr>
                <w:sz w:val="20"/>
                <w:szCs w:val="20"/>
                <w:color w:val="auto"/>
              </w:rPr>
            </w:pPr>
            <w:r>
              <w:rPr>
                <w:rFonts w:ascii="Arial" w:cs="Arial" w:eastAsia="Arial" w:hAnsi="Arial"/>
                <w:sz w:val="18"/>
                <w:szCs w:val="18"/>
                <w:color w:val="auto"/>
              </w:rPr>
              <w:t>24.9</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Manpower Inc.</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7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0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14.3</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22"/>
        </w:trPr>
        <w:tc>
          <w:tcPr>
            <w:tcW w:w="3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7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000" w:type="dxa"/>
            <w:vAlign w:val="bottom"/>
            <w:gridSpan w:val="3"/>
          </w:tcPr>
          <w:p>
            <w:pPr>
              <w:jc w:val="right"/>
              <w:ind w:right="780"/>
              <w:spacing w:after="0"/>
              <w:rPr>
                <w:sz w:val="20"/>
                <w:szCs w:val="20"/>
                <w:color w:val="auto"/>
              </w:rPr>
            </w:pPr>
            <w:r>
              <w:rPr>
                <w:rFonts w:ascii="Arial" w:cs="Arial" w:eastAsia="Arial" w:hAnsi="Arial"/>
                <w:sz w:val="18"/>
                <w:szCs w:val="18"/>
                <w:color w:val="auto"/>
              </w:rPr>
              <w:t>24.3</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12.1</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7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0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19.9</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11.6</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22"/>
        </w:trPr>
        <w:tc>
          <w:tcPr>
            <w:tcW w:w="38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7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2000" w:type="dxa"/>
            <w:vAlign w:val="bottom"/>
            <w:gridSpan w:val="3"/>
          </w:tcPr>
          <w:p>
            <w:pPr>
              <w:jc w:val="right"/>
              <w:ind w:right="780"/>
              <w:spacing w:after="0"/>
              <w:rPr>
                <w:sz w:val="20"/>
                <w:szCs w:val="20"/>
                <w:color w:val="auto"/>
              </w:rPr>
            </w:pPr>
            <w:r>
              <w:rPr>
                <w:rFonts w:ascii="Arial" w:cs="Arial" w:eastAsia="Arial" w:hAnsi="Arial"/>
                <w:sz w:val="18"/>
                <w:szCs w:val="18"/>
                <w:color w:val="auto"/>
              </w:rPr>
              <w:t>60.0</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16.0</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7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20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45.9</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00" w:type="dxa"/>
            <w:vAlign w:val="bottom"/>
            <w:gridSpan w:val="3"/>
          </w:tcPr>
          <w:p>
            <w:pPr>
              <w:jc w:val="right"/>
              <w:ind w:right="60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6 Months Ended June 30, 2004</w:t>
            </w: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Impact of</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Organic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Variance in</w:t>
            </w:r>
          </w:p>
        </w:tc>
        <w:tc>
          <w:tcPr>
            <w:tcW w:w="15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Acquisitions</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Reported</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Impact of</w:t>
            </w:r>
          </w:p>
        </w:tc>
        <w:tc>
          <w:tcPr>
            <w:tcW w:w="560" w:type="dxa"/>
            <w:vAlign w:val="bottom"/>
          </w:tcPr>
          <w:p>
            <w:pPr>
              <w:spacing w:after="0"/>
              <w:rPr>
                <w:sz w:val="12"/>
                <w:szCs w:val="12"/>
                <w:color w:val="auto"/>
              </w:rPr>
            </w:pPr>
          </w:p>
        </w:tc>
        <w:tc>
          <w:tcPr>
            <w:tcW w:w="14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Constant</w:t>
            </w:r>
          </w:p>
        </w:tc>
        <w:tc>
          <w:tcPr>
            <w:tcW w:w="15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(in Constant</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Currency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Variance</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Currency</w:t>
            </w:r>
          </w:p>
        </w:tc>
        <w:tc>
          <w:tcPr>
            <w:tcW w:w="56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Currency</w:t>
            </w: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Currency)</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United States</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4.7%</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2020" w:type="dxa"/>
            <w:vAlign w:val="bottom"/>
            <w:gridSpan w:val="3"/>
          </w:tcPr>
          <w:p>
            <w:pPr>
              <w:jc w:val="right"/>
              <w:ind w:right="660"/>
              <w:spacing w:after="0"/>
              <w:rPr>
                <w:sz w:val="20"/>
                <w:szCs w:val="20"/>
                <w:color w:val="auto"/>
              </w:rPr>
            </w:pPr>
            <w:r>
              <w:rPr>
                <w:rFonts w:ascii="Arial" w:cs="Arial" w:eastAsia="Arial" w:hAnsi="Arial"/>
                <w:sz w:val="18"/>
                <w:szCs w:val="18"/>
                <w:color w:val="auto"/>
              </w:rPr>
              <w:t>4.7%</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2.7</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EMEA</w:t>
            </w: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27.5</w:t>
            </w: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2020" w:type="dxa"/>
            <w:vAlign w:val="bottom"/>
            <w:gridSpan w:val="3"/>
          </w:tcPr>
          <w:p>
            <w:pPr>
              <w:jc w:val="right"/>
              <w:ind w:right="800"/>
              <w:spacing w:after="0"/>
              <w:rPr>
                <w:sz w:val="20"/>
                <w:szCs w:val="20"/>
                <w:color w:val="auto"/>
              </w:rPr>
            </w:pPr>
            <w:r>
              <w:rPr>
                <w:rFonts w:ascii="Arial" w:cs="Arial" w:eastAsia="Arial" w:hAnsi="Arial"/>
                <w:sz w:val="18"/>
                <w:szCs w:val="18"/>
                <w:color w:val="auto"/>
              </w:rPr>
              <w:t>15.2</w:t>
            </w: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Right (a)</w:t>
            </w:r>
          </w:p>
        </w:tc>
        <w:tc>
          <w:tcPr>
            <w:tcW w:w="13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Other Operations</w:t>
            </w: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31.6</w:t>
            </w: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2020" w:type="dxa"/>
            <w:vAlign w:val="bottom"/>
            <w:gridSpan w:val="3"/>
          </w:tcPr>
          <w:p>
            <w:pPr>
              <w:jc w:val="right"/>
              <w:ind w:right="800"/>
              <w:spacing w:after="0"/>
              <w:rPr>
                <w:sz w:val="20"/>
                <w:szCs w:val="20"/>
                <w:color w:val="auto"/>
              </w:rPr>
            </w:pPr>
            <w:r>
              <w:rPr>
                <w:rFonts w:ascii="Arial" w:cs="Arial" w:eastAsia="Arial" w:hAnsi="Arial"/>
                <w:sz w:val="18"/>
                <w:szCs w:val="18"/>
                <w:color w:val="auto"/>
              </w:rPr>
              <w:t>23.4</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Manpower Inc.</w:t>
            </w: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12.9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22"/>
        </w:trPr>
        <w:tc>
          <w:tcPr>
            <w:tcW w:w="50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31.2</w:t>
            </w: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4"/>
                <w:szCs w:val="24"/>
                <w:color w:val="auto"/>
              </w:rPr>
            </w:pPr>
          </w:p>
        </w:tc>
        <w:tc>
          <w:tcPr>
            <w:tcW w:w="2020" w:type="dxa"/>
            <w:vAlign w:val="bottom"/>
            <w:gridSpan w:val="3"/>
          </w:tcPr>
          <w:p>
            <w:pPr>
              <w:jc w:val="right"/>
              <w:ind w:right="800"/>
              <w:spacing w:after="0"/>
              <w:rPr>
                <w:sz w:val="20"/>
                <w:szCs w:val="20"/>
                <w:color w:val="auto"/>
              </w:rPr>
            </w:pPr>
            <w:r>
              <w:rPr>
                <w:rFonts w:ascii="Arial" w:cs="Arial" w:eastAsia="Arial" w:hAnsi="Arial"/>
                <w:sz w:val="18"/>
                <w:szCs w:val="18"/>
                <w:color w:val="auto"/>
              </w:rPr>
              <w:t>21.7</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11.2</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27.5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18.3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22"/>
        </w:trPr>
        <w:tc>
          <w:tcPr>
            <w:tcW w:w="504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68.3</w:t>
            </w: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4"/>
                <w:szCs w:val="24"/>
                <w:color w:val="auto"/>
              </w:rPr>
            </w:pPr>
          </w:p>
        </w:tc>
        <w:tc>
          <w:tcPr>
            <w:tcW w:w="2020" w:type="dxa"/>
            <w:vAlign w:val="bottom"/>
            <w:gridSpan w:val="3"/>
          </w:tcPr>
          <w:p>
            <w:pPr>
              <w:jc w:val="right"/>
              <w:ind w:right="800"/>
              <w:spacing w:after="0"/>
              <w:rPr>
                <w:sz w:val="20"/>
                <w:szCs w:val="20"/>
                <w:color w:val="auto"/>
              </w:rPr>
            </w:pPr>
            <w:r>
              <w:rPr>
                <w:rFonts w:ascii="Arial" w:cs="Arial" w:eastAsia="Arial" w:hAnsi="Arial"/>
                <w:sz w:val="18"/>
                <w:szCs w:val="18"/>
                <w:color w:val="auto"/>
              </w:rPr>
              <w:t>55.5</w:t>
            </w:r>
          </w:p>
        </w:tc>
        <w:tc>
          <w:tcPr>
            <w:tcW w:w="720" w:type="dxa"/>
            <w:vAlign w:val="bottom"/>
          </w:tcPr>
          <w:p>
            <w:pPr>
              <w:jc w:val="right"/>
              <w:spacing w:after="0"/>
              <w:rPr>
                <w:sz w:val="20"/>
                <w:szCs w:val="20"/>
                <w:color w:val="auto"/>
              </w:rPr>
            </w:pPr>
            <w:r>
              <w:rPr>
                <w:rFonts w:ascii="Arial" w:cs="Arial" w:eastAsia="Arial" w:hAnsi="Arial"/>
                <w:sz w:val="18"/>
                <w:szCs w:val="18"/>
                <w:color w:val="auto"/>
              </w:rPr>
              <w:t>20.3</w:t>
            </w:r>
          </w:p>
        </w:tc>
        <w:tc>
          <w:tcPr>
            <w:tcW w:w="8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67.9</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8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the operations of Right Management Consultants, Inc. (“RMC”), since its acquisition in January 2004, and the Empower Group. Since RMC comprises most of this segment, the year-over-year variances are not meaningful and have been excluded from the above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(Registrant)</w:t>
      </w:r>
    </w:p>
    <w:p>
      <w:pPr>
        <w:spacing w:after="0" w:line="15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-65405</wp:posOffset>
            </wp:positionV>
            <wp:extent cx="35502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Michael J. Van Handel</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Secretary (Signing on behalf of the Registrant and as the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1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24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980" w:type="dxa"/>
            <w:vAlign w:val="bottom"/>
          </w:tcPr>
          <w:p>
            <w:pPr>
              <w:jc w:val="center"/>
              <w:ind w:right="2292"/>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880" w:type="dxa"/>
            <w:vAlign w:val="bottom"/>
          </w:tcPr>
          <w:p>
            <w:pPr>
              <w:jc w:val="right"/>
              <w:ind w:right="135"/>
              <w:spacing w:after="0"/>
              <w:rPr>
                <w:sz w:val="20"/>
                <w:szCs w:val="20"/>
                <w:color w:val="auto"/>
              </w:rPr>
            </w:pPr>
            <w:r>
              <w:rPr>
                <w:rFonts w:ascii="Arial" w:cs="Arial" w:eastAsia="Arial" w:hAnsi="Arial"/>
                <w:sz w:val="14"/>
                <w:szCs w:val="14"/>
                <w:b w:val="1"/>
                <w:bCs w:val="1"/>
                <w:color w:val="auto"/>
                <w:w w:val="87"/>
              </w:rPr>
              <w:t>Exhibit No.</w:t>
            </w:r>
          </w:p>
        </w:tc>
        <w:tc>
          <w:tcPr>
            <w:tcW w:w="6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980" w:type="dxa"/>
            <w:vAlign w:val="bottom"/>
          </w:tcPr>
          <w:p>
            <w:pPr>
              <w:spacing w:after="0"/>
              <w:rPr>
                <w:sz w:val="8"/>
                <w:szCs w:val="8"/>
                <w:color w:val="auto"/>
              </w:rPr>
            </w:pPr>
          </w:p>
        </w:tc>
      </w:tr>
      <w:tr>
        <w:trPr>
          <w:trHeight w:val="316"/>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Amended and Restated By-Laws of Manpower Inc. (as of April 27, 2004).</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12.1</w:t>
            </w:r>
          </w:p>
        </w:tc>
        <w:tc>
          <w:tcPr>
            <w:tcW w:w="6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18"/>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0"/>
              </w:rPr>
              <w:t>Certification of Jeffrey A. Joerres, Chairman and Chief Executive Officer, pursuant to Section 13a-14(a) of the Securities Exchange Act of</w:t>
            </w:r>
          </w:p>
        </w:tc>
      </w:tr>
      <w:tr>
        <w:trPr>
          <w:trHeight w:val="222"/>
        </w:trPr>
        <w:tc>
          <w:tcPr>
            <w:tcW w:w="880" w:type="dxa"/>
            <w:vAlign w:val="bottom"/>
          </w:tcPr>
          <w:p>
            <w:pPr>
              <w:spacing w:after="0"/>
              <w:rPr>
                <w:sz w:val="19"/>
                <w:szCs w:val="19"/>
                <w:color w:val="auto"/>
              </w:rPr>
            </w:pP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1934.</w:t>
            </w:r>
          </w:p>
        </w:tc>
        <w:tc>
          <w:tcPr>
            <w:tcW w:w="8980" w:type="dxa"/>
            <w:vAlign w:val="bottom"/>
          </w:tcPr>
          <w:p>
            <w:pPr>
              <w:spacing w:after="0"/>
              <w:rPr>
                <w:sz w:val="19"/>
                <w:szCs w:val="19"/>
                <w:color w:val="auto"/>
              </w:rPr>
            </w:pPr>
          </w:p>
        </w:tc>
      </w:tr>
      <w:tr>
        <w:trPr>
          <w:trHeight w:val="318"/>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9"/>
              </w:rPr>
              <w:t>Certification of Michael J. Van Handel, Executive Vice President and Chief Financial Officer, pursuant to Section 13a-14(a) of the Securities</w:t>
            </w:r>
          </w:p>
        </w:tc>
      </w:tr>
      <w:tr>
        <w:trPr>
          <w:trHeight w:val="222"/>
        </w:trPr>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Exchange Act of 1934.</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Statement of Jeffrey A. Joerres, Chairman and Chief Executive Officer, pursuant to 18 U.S.C. ss. 1350.</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32.2</w:t>
            </w:r>
          </w:p>
        </w:tc>
        <w:tc>
          <w:tcPr>
            <w:tcW w:w="6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r>
        <w:trPr>
          <w:trHeight w:val="365"/>
        </w:trPr>
        <w:tc>
          <w:tcPr>
            <w:tcW w:w="880" w:type="dxa"/>
            <w:vAlign w:val="bottom"/>
          </w:tcPr>
          <w:p>
            <w:pPr>
              <w:spacing w:after="0"/>
              <w:rPr>
                <w:sz w:val="24"/>
                <w:szCs w:val="24"/>
                <w:color w:val="auto"/>
              </w:rPr>
            </w:pPr>
          </w:p>
        </w:tc>
        <w:tc>
          <w:tcPr>
            <w:tcW w:w="10520" w:type="dxa"/>
            <w:vAlign w:val="bottom"/>
            <w:gridSpan w:val="3"/>
          </w:tcPr>
          <w:p>
            <w:pPr>
              <w:jc w:val="right"/>
              <w:ind w:right="5512"/>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00"/>
          </w:cols>
          <w:pgMar w:left="240" w:top="459" w:right="2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BY-LAWS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(as of April 27, 2004)</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 OFFICES</w:t>
      </w:r>
    </w:p>
    <w:p>
      <w:pPr>
        <w:spacing w:after="0" w:line="158"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Principal and Other Offices</w:t>
      </w:r>
      <w:r>
        <w:rPr>
          <w:rFonts w:ascii="Arial" w:cs="Arial" w:eastAsia="Arial" w:hAnsi="Arial"/>
          <w:sz w:val="18"/>
          <w:szCs w:val="18"/>
          <w:color w:val="auto"/>
        </w:rPr>
        <w:t>. The principal office of the Corporation shall be located at any place either within or outside the State of Wisconsin as designated in the Corporation’s most current Annual Report filed with the Wisconsin Secretary of State. The Corporation may have such other offices, either within or outside the State of Wisconsin as the Board of Directors may designate or as the business of the Corporation may require from time to time.</w:t>
      </w:r>
    </w:p>
    <w:p>
      <w:pPr>
        <w:spacing w:after="0" w:line="13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required by the Wisconsin business corporation law to be maintained in the State of Wisconsin may, but need not, be the same as any of its places of business. The registered office may be changed from time to time.</w:t>
      </w:r>
    </w:p>
    <w:p>
      <w:pPr>
        <w:spacing w:after="0" w:line="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Registered Agent</w:t>
      </w:r>
      <w:r>
        <w:rPr>
          <w:rFonts w:ascii="Arial" w:cs="Arial" w:eastAsia="Arial" w:hAnsi="Arial"/>
          <w:sz w:val="18"/>
          <w:szCs w:val="18"/>
          <w:color w:val="auto"/>
        </w:rPr>
        <w:t>. The registered agent of the Corporation required by the Wisconsin business corporation law to maintain a business office in the State of Wisconsin may, but need not, be an officer or employee of the Corporation as long as such agent’s business office is identical with the registered office. The registered agent may be changed from time to time.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 SHAREHOLDERS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shareholders shall be held on the third Tuesday in the month of April for each year at 10:00 a.m. (local time) or at such other date and time as shall be fixed by, or at the direction of, the Board of Directors, for the purpose of electing directors for the class of directors whose term expires in such year and for the transaction of such other business as may have been properly brought before the meeting in compliance with the provisions of Section 2.5. If the day fixed for the annual meeting shall be a legal holiday in the State of Wisconsin, such meeting shall be held on the next succeeding business day.</w:t>
      </w:r>
    </w:p>
    <w:p>
      <w:pPr>
        <w:spacing w:after="0" w:line="1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Special Meetings</w:t>
      </w:r>
      <w:r>
        <w:rPr>
          <w:rFonts w:ascii="Arial" w:cs="Arial" w:eastAsia="Arial" w:hAnsi="Arial"/>
          <w:sz w:val="18"/>
          <w:szCs w:val="18"/>
          <w:color w:val="auto"/>
        </w:rPr>
        <w:t xml:space="preserve">. Except as otherwise required by applicable law, special meetings of shareholders of the Corporation may only be called by the Chairman of the Board or the President and Chief Executive Officer pursuant to a resolution approved by not less than three-quarters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Corporation shall hold</w:t>
      </w:r>
    </w:p>
    <w:p>
      <w:pPr>
        <w:sectPr>
          <w:pgSz w:w="11900" w:h="16838" w:orient="portrait"/>
          <w:cols w:equalWidth="0" w:num="1">
            <w:col w:w="11420"/>
          </w:cols>
          <w:pgMar w:left="240" w:top="131" w:right="239" w:bottom="1440" w:gutter="0" w:footer="0" w:header="0"/>
        </w:sectPr>
      </w:pPr>
    </w:p>
    <w:bookmarkStart w:id="29" w:name="page30"/>
    <w:bookmarkEnd w:id="29"/>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special meeting of shareholders of the Corporation if a signed and dated written demand or demands by the holders of at least 10% of all the votes entitled to be cast on any issue proposed to be considered at the proposed special meeting is delivered to the Corporation as required under the Wisconsin business corporation law, which demand or demands must describe one or more identical purposes for which the shareholders demand a meeting be called.</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Place of Meeting</w:t>
      </w:r>
      <w:r>
        <w:rPr>
          <w:rFonts w:ascii="Arial" w:cs="Arial" w:eastAsia="Arial" w:hAnsi="Arial"/>
          <w:sz w:val="18"/>
          <w:szCs w:val="18"/>
          <w:color w:val="auto"/>
        </w:rPr>
        <w:t>. The Board of Directors, the Chairman of the Board or the President and Chief Executive Officer may designate any place, within or outside the State of Wisconsin, as the place of meeting for the annual meeting or for any special meeting. If no designation is made the place of meeting shall be the principal office of the Corporation, but any meeting may be adjourned to reconvene at any place designated by vote of a majority of the shares represented thereat.</w:t>
      </w:r>
    </w:p>
    <w:p>
      <w:pPr>
        <w:spacing w:after="0" w:line="13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Notice of Meeting</w:t>
      </w:r>
      <w:r>
        <w:rPr>
          <w:rFonts w:ascii="Arial" w:cs="Arial" w:eastAsia="Arial" w:hAnsi="Arial"/>
          <w:sz w:val="16"/>
          <w:szCs w:val="16"/>
          <w:color w:val="auto"/>
        </w:rPr>
        <w:t>. The Corporation shall notify shareholders of the date, time and place of each annual and special shareholders meeting. Notice of a special meeting shall include a description of each purpose for which the meeting is called. Notice of all meetings need be given only to shareholders entitled to vote, unless otherwise required by the Wisconsin business corporation law, and shall be given not less than ten nor more than sixty days before the meeting date. The Corporation may give notice in person, by mail or other method of delivery, by telephone, including voice mail, answering machine or answering service or by any other electronic means and, if these forms of personal notice are impracticable, notice may be communicated by a newspaper of general circulation in the area where published, or by radio, television or other form of public broadcast communication. Written notice, which includes notice by electronic transmission, shall be effective when mailed postpaid and addressed to the shareholder’s address shown in the Corporation’s current record of shareholders, or when electronically transmitted to the shareholder in a manner authorized by the shareholder. Oral notice shall be deemed to be effective when communicated. Notice by newspaper, radio, television or other form of public broadcast communication shall be deemed to be effective the date of publication or broadcast.</w:t>
      </w:r>
    </w:p>
    <w:p>
      <w:pPr>
        <w:spacing w:after="0" w:line="10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Advance Notice Shareholder-Proposed Business at Annual Meeting</w:t>
      </w:r>
      <w:r>
        <w:rPr>
          <w:rFonts w:ascii="Arial" w:cs="Arial" w:eastAsia="Arial" w:hAnsi="Arial"/>
          <w:sz w:val="16"/>
          <w:szCs w:val="16"/>
          <w:color w:val="auto"/>
        </w:rPr>
        <w:t>. At an annual meeting of shareholders, only such business shall be conducted as shall have been properly brought before the meeting. To be properly brought before an annual meeting, business must be: (a) specified in the notice of meeting (or any amendment or supplement thereto) given in accordance with Section 2.4, (b) otherwise properly brought before the meeting by or at the direction of the Board of Directors, the Chairman of the Board or the President and Chief Executive Officer, or (c) otherwise properly brought before the meeting by a shareholder. In addition to any other requirements under applicable law, the Articles of Incorporation or the By-Laws for business to be properly brought before an annual meeting by a shareholder, the shareholder must have given timely notice thereof in writing to the Secretary of the Corporation. To be timely, a shareholder’s notice must be delivered to or mailed and received at the principal office of the Corporation, not less than 90 days prior to the anniversary of the annual meeting of shareholders held in the prior year. A shareholder’s notice to the Secretary shall set forth as to each matter the shareholder proposes to bring before the annual meeting (i) a brief description of the business desired to be brought before the annual meeting and the reasons for conducting such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0" w:name="page31"/>
    <w:bookmarkEnd w:id="30"/>
    <w:p>
      <w:pPr>
        <w:ind w:right="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at the annual meeting, (ii) the name and record address of the shareholder proposing such business, (iii) the class and number of shares of the Corporation which are beneficially owned by the shareholder, and (iv) any interest of the shareholder in such business. In addition, any such shareholder shall be required to provide such further information as may be requested by the Corporation in order to comply with federal securities laws, rules and regulations. The Corporation may require evidence by any person giving notice under this Section 2.5 that such person is a bona fide beneficial owner of the Corporation’s shares.</w:t>
      </w:r>
    </w:p>
    <w:p>
      <w:pPr>
        <w:spacing w:after="0" w:line="8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Notwithstanding anything in the By-Laws to the contrary, no business shall be conducted at the annual meeting except in accordance with the procedures set forth in this Section 2.5;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2.5 shall be deemed to preclude discussion by any shareholder of any business properly brought before the annual meeting in accordance with said procedure.</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presiding officer at an annual meeting shall, if the facts warrant, determine and declare to the meeting that business was not properly brought before the meeting in accordance with the provisions of this Section 2.5, and if he should so determine, he shall so declare to the meeting and any such business not properly brought before the meeting shall not be transacted.</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Procedure for Nomination of Directors</w:t>
      </w:r>
      <w:r>
        <w:rPr>
          <w:rFonts w:ascii="Arial" w:cs="Arial" w:eastAsia="Arial" w:hAnsi="Arial"/>
          <w:sz w:val="18"/>
          <w:szCs w:val="18"/>
          <w:color w:val="auto"/>
        </w:rPr>
        <w:t>. Only persons nominated in accordance with all of the procedures set forth in the Corporation’s Articles of Incorporation and By-Laws shall be eligible for election as directors. Nominations of persons for election to the Board of Directors of the Corporation may be made at a meeting of shareholders by or at the direction of the Board of Directors, by any nominating committee or persons appointed by the Board, or by any shareholder of the Corporation entitled to vote for election of directors at the meeting who complies with all of the notice procedures set forth in this Section 2.6.</w:t>
      </w:r>
    </w:p>
    <w:p>
      <w:pPr>
        <w:spacing w:after="0" w:line="129"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Nominations other than those made by or at the direction of the Board of Directors or any nominating committee or person appointed by the Board shall be made pursuant to timely notice in proper written form to the Secretary of the Corporation. To be timely, a shareholder’s request to nominate a person for director, together with the written consent of such person to serve as a director, must be received by the Secretary of the Corporation at the Corporation’s principal office</w:t>
      </w:r>
    </w:p>
    <w:p>
      <w:pPr>
        <w:spacing w:after="0" w:line="1" w:lineRule="exact"/>
        <w:rPr>
          <w:sz w:val="20"/>
          <w:szCs w:val="20"/>
          <w:color w:val="auto"/>
        </w:rPr>
      </w:pPr>
    </w:p>
    <w:p>
      <w:pPr>
        <w:ind w:firstLine="8"/>
        <w:spacing w:after="0" w:line="287" w:lineRule="auto"/>
        <w:tabs>
          <w:tab w:leader="none" w:pos="21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with respect to an election held at an annual meeting of shareholders, not less than 90 days nor more than 150 days prior to the anniversary of the annual meeting of shareholders held in the prior year, or (ii) with respect to an election held at a special meeting of shareholders for the election of directors, not less than the close of business on the eighth day following the date on which notice of such meeting is given to shareholders. To be in proper written form, such shareholder’s notice shall set forth in writing (a) as to each person whom the shareholder proposes to nominate for election or reelection as a director (i) the name, age, business address and residence address of such person, (ii) the principal occupation or employment of such person, (iii) the class and number of shares of stock of the Corporation which are beneficially owned by such person, and (iv) such other information relating to such person as is required to be disclosed in solicitations of proxies for election of directors, or as otherwise required, in each case pursuant to Regulation 14A under the Securities Exchange Act of 1934, as amended, and any successor to such Regulation; and (b) as to the shareholder giving the notice (i) the name and address, as they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1" w:name="page32"/>
    <w:bookmarkEnd w:id="31"/>
    <w:p>
      <w:pPr>
        <w:ind w:right="10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appear on the Corporation’s books, of such shareholder, (ii) the class and number of shares of stock of the Corporation which are beneficially owned by such shareholder, and (iii) a representation that the shareholder is a holder of record of stock of the Corporation entitled to vote at such meeting and intends to appear in person or by proxy at the meeting to nominate the person or persons specified in the notice. The Corporation may require any proposed nominee to furnish such other information as may reasonably be required by the Corporation to determine the eligibility of such proposed nominee to serve as a director of the Corporation or the shareholder to nominate the proposed nominee. The presiding officer at the meeting shall, if the facts so warrant, determine and declare to the meeting that a nomination was not made in accordance with the procedures or other requirements prescribed by the Corporation’s Articles of Incorporation and By-Laws; and if he should so determine, such presiding officer shall so declare to the meeting and the defective nomination(s) shall be disregarded.</w:t>
      </w:r>
    </w:p>
    <w:p>
      <w:pPr>
        <w:spacing w:after="0" w:line="9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Fixing of Record Date</w:t>
      </w:r>
      <w:r>
        <w:rPr>
          <w:rFonts w:ascii="Arial" w:cs="Arial" w:eastAsia="Arial" w:hAnsi="Arial"/>
          <w:sz w:val="16"/>
          <w:szCs w:val="16"/>
          <w:color w:val="auto"/>
        </w:rPr>
        <w:t>. For the purpose of determining shareholders of any voting group entitled to notice of or to vote at any meeting of shareholders or any adjournment thereof, or shareholders entitled to receive payment of any distribution or dividend, or in order to make a determination of shareholders for any other proper purpose, the Board of Directors may fix in advance a date as the record date for any such determination of shareholders. Such record date shall not be more than 70 days prior to the date on which the particular action, requiring such determination of shareholders, is to be taken; provided that for the purpose of determining shareholders of any voting group entitled to notice of or to vote at the annual meeting of shareholders or any adjournment thereof, the record date shall be 70 days prior to the date of the annual meeting of shareholders, unless otherwise determined by the Board of Directors. If no record date is so fixed for the determination of shareholders entitled to notice of, or to vote at a meeting of shareholders, or shareholders entitled to receive a share dividend or distribution, the record date for determination of such shareholders shall be at the close of business on:</w:t>
      </w:r>
    </w:p>
    <w:p>
      <w:pPr>
        <w:spacing w:after="0" w:line="24" w:lineRule="exact"/>
        <w:rPr>
          <w:sz w:val="20"/>
          <w:szCs w:val="20"/>
          <w:color w:val="auto"/>
        </w:rPr>
      </w:pPr>
    </w:p>
    <w:p>
      <w:pPr>
        <w:ind w:left="460" w:right="220" w:firstLine="443"/>
        <w:spacing w:after="0" w:line="332" w:lineRule="auto"/>
        <w:tabs>
          <w:tab w:leader="none" w:pos="1137"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With respect to an annual shareholders meeting or any special shareholders meeting called by the Board of Directors or any person specifically authorized by the Board of Directors or these By-Laws to call a meeting, the day before the first notice is given to shareholders;</w:t>
      </w:r>
    </w:p>
    <w:p>
      <w:pPr>
        <w:spacing w:after="0" w:line="71" w:lineRule="exact"/>
        <w:rPr>
          <w:rFonts w:ascii="Arial" w:cs="Arial" w:eastAsia="Arial" w:hAnsi="Arial"/>
          <w:sz w:val="16"/>
          <w:szCs w:val="16"/>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a special shareholders meeting demanded by the shareholders, the date the first shareholder signs the demand;</w:t>
      </w:r>
    </w:p>
    <w:p>
      <w:pPr>
        <w:spacing w:after="0" w:line="157" w:lineRule="exact"/>
        <w:rPr>
          <w:rFonts w:ascii="Arial" w:cs="Arial" w:eastAsia="Arial" w:hAnsi="Arial"/>
          <w:sz w:val="18"/>
          <w:szCs w:val="18"/>
          <w:color w:val="auto"/>
        </w:rPr>
      </w:pPr>
    </w:p>
    <w:p>
      <w:pPr>
        <w:ind w:left="1140" w:hanging="237"/>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the payment of a share dividend, the date the Board of Directors authorizes the share dividend; and</w:t>
      </w:r>
    </w:p>
    <w:p>
      <w:pPr>
        <w:spacing w:after="0" w:line="157"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a distribution to shareholders (other than one involving a repurchase or reacquisition of shares), the date the Board of Directors authorizes the distribution.</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Voting Lists</w:t>
      </w:r>
      <w:r>
        <w:rPr>
          <w:rFonts w:ascii="Arial" w:cs="Arial" w:eastAsia="Arial" w:hAnsi="Arial"/>
          <w:sz w:val="18"/>
          <w:szCs w:val="18"/>
          <w:color w:val="auto"/>
        </w:rPr>
        <w:t>. After fixing a record date for a meeting, the Corporation shall prepare a list of the names of all its shareholders who are entitled to notice of a shareholders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2" w:name="page33"/>
    <w:bookmarkEnd w:id="3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 The list shall be arranged by class or series of shares and show the address of and the number of shares held by each shareholder. The shareholders list must be available for inspection by any shareholder, beginning two business days after notice of the meeting is given for which the list was prepared and continuing to the date of the meeting. The list shall be available at the Corporation’s principal office or at a place identified in the meeting notice in the city where the meeting is to be held. Subject to the provisions of the Wisconsin business corporation law, a shareholder or his or her agent or attorney may, on written demand, inspect and copy the list during regular business hours and at his or her expense, during the period it is available for inspection. The Corporation shall make the shareholders list available at the meeting, and any shareholder or his or her agent or attorney may inspect the list at any time during the meeting or any adjournment thereof. Refusal or failure to prepare or make available the shareholders list shall not affect the validity of any action taken at such meeting.</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Shareholder Quorum and Voting Requirements</w:t>
      </w:r>
      <w:r>
        <w:rPr>
          <w:rFonts w:ascii="Arial" w:cs="Arial" w:eastAsia="Arial" w:hAnsi="Arial"/>
          <w:sz w:val="18"/>
          <w:szCs w:val="18"/>
          <w:color w:val="auto"/>
        </w:rPr>
        <w:t>. Shares entitled to vote as a separate voting group may take action on a matter at a meeting only if a quorum of those shares exists with respect to that matter. Unless the Articles of Incorporation, By-Laws adopted under authority granted in the Articles of Incorporation or the Wisconsin business corporation law provide otherwise, a majority of the votes entitled to be cast on the matter by the voting group constitutes a quorum of that voting group for action on that matter.</w:t>
      </w:r>
    </w:p>
    <w:p>
      <w:pPr>
        <w:spacing w:after="0" w:line="13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the Articles of Incorporation or the Wisconsin business corporation law provide for voting by two or more voting groups on a matter, action on that matter is taken only when voted upon by each of those voting groups counted separately. Action may be taken by one voting group on a matter even though no action is taken by another voting group entitled to vote on the matter.</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Once a share is represented for any purpose at a meeting, other than for the purpose of objecting to holding the meeting or transacting business at the meeting, it is deemed present for purposes of determining whether a quorum exists, for the remainder of the meeting and for any adjournment of that meeting to the extent provided in Section 2.14.</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If a quorum exists, action on a matter by a voting group is approved if the votes cast within the voting group favoring the action exceed the votes cast opposing the action, unless the Articles of Incorporation, the By-Laws or the Wisconsin business corporation law require a greater number of affirmative votes;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electing directors, unless otherwise provided in the Articles of Incorporation, directors are elected by a plurality of the votes cast by the shares entitled to vote in the election at a meeting at which a quorum is present. For purposes of electing directors, (i) a “plurality” means that the individuals with the largest number of votes are elected as directors up to the maximum number of directors to be chosen at the election, and (ii) votes against a candidate are not given legal effect and are not counted as votes cast in an election of directors.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Proxies</w:t>
      </w:r>
      <w:r>
        <w:rPr>
          <w:rFonts w:ascii="Arial" w:cs="Arial" w:eastAsia="Arial" w:hAnsi="Arial"/>
          <w:sz w:val="18"/>
          <w:szCs w:val="18"/>
          <w:color w:val="auto"/>
        </w:rPr>
        <w:t>. For all meetings of shareholders, a shareholder may authorize another person to act for the shareholder by appointing the person as proxy. A shareholder or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shareholder’s authorized officer, director, employee, agent or attorney-in-fact may use any of the following means to appoint a proxy:</w:t>
      </w:r>
    </w:p>
    <w:p>
      <w:pPr>
        <w:spacing w:after="0" w:line="158" w:lineRule="exact"/>
        <w:rPr>
          <w:sz w:val="20"/>
          <w:szCs w:val="20"/>
          <w:color w:val="auto"/>
        </w:rPr>
      </w:pPr>
    </w:p>
    <w:p>
      <w:pPr>
        <w:ind w:left="460" w:right="320" w:firstLine="443"/>
        <w:spacing w:after="0" w:line="268" w:lineRule="auto"/>
        <w:tabs>
          <w:tab w:leader="none" w:pos="11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writing by signing or causing the shareholder’s signature to be affixed to an appointment form by any reasonable means, including, but not limited to, by facsimile signature;</w:t>
      </w:r>
    </w:p>
    <w:p>
      <w:pPr>
        <w:spacing w:after="0" w:line="118" w:lineRule="exact"/>
        <w:rPr>
          <w:rFonts w:ascii="Arial" w:cs="Arial" w:eastAsia="Arial" w:hAnsi="Arial"/>
          <w:sz w:val="18"/>
          <w:szCs w:val="18"/>
          <w:color w:val="auto"/>
        </w:rPr>
      </w:pPr>
    </w:p>
    <w:p>
      <w:pPr>
        <w:jc w:val="both"/>
        <w:ind w:left="460" w:right="100" w:firstLine="443"/>
        <w:spacing w:after="0" w:line="259" w:lineRule="auto"/>
        <w:tabs>
          <w:tab w:leader="none" w:pos="1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transmitting or authorizing the transmission of an electronic transmission of the appointment to the person who will be appointed as proxy or to a proxy solicitation firm, proxy support service organization or like agent authorized to receive the transmission by the person who will be appointed as proxy; or</w:t>
      </w:r>
    </w:p>
    <w:p>
      <w:pPr>
        <w:spacing w:after="0" w:line="126" w:lineRule="exact"/>
        <w:rPr>
          <w:rFonts w:ascii="Arial" w:cs="Arial" w:eastAsia="Arial" w:hAnsi="Arial"/>
          <w:sz w:val="18"/>
          <w:szCs w:val="18"/>
          <w:color w:val="auto"/>
        </w:rPr>
      </w:pPr>
    </w:p>
    <w:p>
      <w:pPr>
        <w:ind w:left="1140" w:hanging="237"/>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any other means permitted by the Wisconsin business corporation law.</w:t>
      </w:r>
    </w:p>
    <w:p>
      <w:pPr>
        <w:spacing w:after="0" w:line="158" w:lineRule="exact"/>
        <w:rPr>
          <w:sz w:val="20"/>
          <w:szCs w:val="20"/>
          <w:color w:val="auto"/>
        </w:rPr>
      </w:pPr>
    </w:p>
    <w:p>
      <w:pPr>
        <w:jc w:val="both"/>
        <w:ind w:right="300"/>
        <w:spacing w:after="0" w:line="370" w:lineRule="auto"/>
        <w:rPr>
          <w:sz w:val="20"/>
          <w:szCs w:val="20"/>
          <w:color w:val="auto"/>
        </w:rPr>
      </w:pPr>
      <w:r>
        <w:rPr>
          <w:rFonts w:ascii="Arial" w:cs="Arial" w:eastAsia="Arial" w:hAnsi="Arial"/>
          <w:sz w:val="15"/>
          <w:szCs w:val="15"/>
          <w:color w:val="auto"/>
        </w:rPr>
        <w:t>An appointment of a proxy shall be effective when a signed appointment form or an electronic transmission of the appointment is received by the inspector of election or the officer or agent authorized to tabulate votes. No appointment shall be valid after eleven months, unless otherwise provided in the appointment.</w:t>
      </w:r>
    </w:p>
    <w:p>
      <w:pPr>
        <w:spacing w:after="0" w:line="4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Voting of Shares</w:t>
      </w:r>
      <w:r>
        <w:rPr>
          <w:rFonts w:ascii="Arial" w:cs="Arial" w:eastAsia="Arial" w:hAnsi="Arial"/>
          <w:sz w:val="18"/>
          <w:szCs w:val="18"/>
          <w:color w:val="auto"/>
        </w:rPr>
        <w:t>. Unless otherwise provided in the Articles of Incorporation, each outstanding share entitled to vote shall be entitled to one vote upon each matter submitted to a vote at a meeting of shareholders.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No shares in the Corporation held by another corporation may be voted if the Corporation owns, directly or indirectly, a sufficient number of shares entitled to elect a majority of the directors of such other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Corporation shall not be limited in its power to vote any shares, including its own shares, held by it in a fiduciary capacity.</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Voting Shares Owned by the Corporation</w:t>
      </w:r>
      <w:r>
        <w:rPr>
          <w:rFonts w:ascii="Arial" w:cs="Arial" w:eastAsia="Arial" w:hAnsi="Arial"/>
          <w:sz w:val="16"/>
          <w:szCs w:val="16"/>
          <w:color w:val="auto"/>
        </w:rPr>
        <w:t>. Shares of the Corporation belonging to it shall not be voted directly or indirectly at any meeting and shall not be counted in determining the total number of outstanding shares at any given time, but shares held by the Corporation in a fiduciary capacity may be voted and shall be counted in determining the total number of outstanding shares at any given time.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Acceptance of Instruments Showing Shareholder Action</w:t>
      </w:r>
      <w:r>
        <w:rPr>
          <w:rFonts w:ascii="Arial" w:cs="Arial" w:eastAsia="Arial" w:hAnsi="Arial"/>
          <w:sz w:val="18"/>
          <w:szCs w:val="18"/>
          <w:color w:val="auto"/>
        </w:rPr>
        <w:t>.</w:t>
      </w:r>
    </w:p>
    <w:p>
      <w:pPr>
        <w:spacing w:after="0" w:line="158" w:lineRule="exact"/>
        <w:rPr>
          <w:sz w:val="20"/>
          <w:szCs w:val="20"/>
          <w:color w:val="auto"/>
        </w:rPr>
      </w:pPr>
    </w:p>
    <w:p>
      <w:pPr>
        <w:ind w:left="460" w:right="160" w:firstLine="443"/>
        <w:spacing w:after="0" w:line="332" w:lineRule="auto"/>
        <w:tabs>
          <w:tab w:leader="none" w:pos="1137"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name signed on a vote, consent, waiver or proxy appointment corresponds to the name of a shareholder, the Corporation, if acting in good faith, may accept the vote, consent, waiver or proxy appointment and give it effect as the act of the shareholder.</w:t>
      </w:r>
    </w:p>
    <w:p>
      <w:pPr>
        <w:spacing w:after="0" w:line="71" w:lineRule="exact"/>
        <w:rPr>
          <w:rFonts w:ascii="Arial" w:cs="Arial" w:eastAsia="Arial" w:hAnsi="Arial"/>
          <w:sz w:val="16"/>
          <w:szCs w:val="16"/>
          <w:color w:val="auto"/>
        </w:rPr>
      </w:pPr>
    </w:p>
    <w:p>
      <w:pPr>
        <w:ind w:left="460" w:right="60" w:firstLine="443"/>
        <w:spacing w:after="0" w:line="370" w:lineRule="auto"/>
        <w:tabs>
          <w:tab w:leader="none" w:pos="1147" w:val="left"/>
        </w:tabs>
        <w:numPr>
          <w:ilvl w:val="0"/>
          <w:numId w:val="20"/>
        </w:numPr>
        <w:rPr>
          <w:rFonts w:ascii="Arial" w:cs="Arial" w:eastAsia="Arial" w:hAnsi="Arial"/>
          <w:sz w:val="15"/>
          <w:szCs w:val="15"/>
          <w:color w:val="auto"/>
        </w:rPr>
      </w:pPr>
      <w:r>
        <w:rPr>
          <w:rFonts w:ascii="Arial" w:cs="Arial" w:eastAsia="Arial" w:hAnsi="Arial"/>
          <w:sz w:val="15"/>
          <w:szCs w:val="15"/>
          <w:color w:val="auto"/>
        </w:rPr>
        <w:t>If the name signed on a vote, consent, waiver or proxy appointment does not correspond to the name of its shareholder, the Corporation, if acting in good faith, may accept the vote, consent, waiver or proxy appointment and give it effect as the act of the shareholder if any of the following apply: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4" w:name="page35"/>
    <w:bookmarkEnd w:id="34"/>
    <w:p>
      <w:pPr>
        <w:ind w:left="920" w:right="200" w:firstLine="421"/>
        <w:spacing w:after="0" w:line="268" w:lineRule="auto"/>
        <w:tabs>
          <w:tab w:leader="none" w:pos="1588"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shareholder is an entity, within the meaning of the Wisconsin business corporation law, and the name signed purports to be that of an officer or agent of the entity;</w:t>
      </w:r>
    </w:p>
    <w:p>
      <w:pPr>
        <w:spacing w:after="0" w:line="118" w:lineRule="exact"/>
        <w:rPr>
          <w:rFonts w:ascii="Arial" w:cs="Arial" w:eastAsia="Arial" w:hAnsi="Arial"/>
          <w:sz w:val="18"/>
          <w:szCs w:val="18"/>
          <w:color w:val="auto"/>
        </w:rPr>
      </w:pPr>
    </w:p>
    <w:p>
      <w:pPr>
        <w:ind w:left="920" w:right="260" w:firstLine="421"/>
        <w:spacing w:after="0" w:line="259" w:lineRule="auto"/>
        <w:tabs>
          <w:tab w:leader="none" w:pos="15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name signed purports to be that of a personal representative, administrator, executor, guardian or conservator representing the shareholder and, if the Corporation or its agent request, evidence of fiduciary status acceptable to the Corporation is presented with respect to the vote, consent, waiver or proxy appointment;</w:t>
      </w:r>
    </w:p>
    <w:p>
      <w:pPr>
        <w:spacing w:after="0" w:line="126" w:lineRule="exact"/>
        <w:rPr>
          <w:rFonts w:ascii="Arial" w:cs="Arial" w:eastAsia="Arial" w:hAnsi="Arial"/>
          <w:sz w:val="18"/>
          <w:szCs w:val="18"/>
          <w:color w:val="auto"/>
        </w:rPr>
      </w:pPr>
    </w:p>
    <w:p>
      <w:pPr>
        <w:ind w:left="920" w:right="320" w:firstLine="421"/>
        <w:spacing w:after="0" w:line="332" w:lineRule="auto"/>
        <w:tabs>
          <w:tab w:leader="none" w:pos="1588"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name signed purports to be that of a receiver or trustee in bankruptcy of the shareholder and, if the Corporation or its agent request, evidence of this status acceptable to the Corporation is presented with respect to the vote, consent, waiver or proxy appointment;</w:t>
      </w:r>
    </w:p>
    <w:p>
      <w:pPr>
        <w:spacing w:after="0" w:line="71" w:lineRule="exact"/>
        <w:rPr>
          <w:rFonts w:ascii="Arial" w:cs="Arial" w:eastAsia="Arial" w:hAnsi="Arial"/>
          <w:sz w:val="16"/>
          <w:szCs w:val="16"/>
          <w:color w:val="auto"/>
        </w:rPr>
      </w:pPr>
    </w:p>
    <w:p>
      <w:pPr>
        <w:jc w:val="both"/>
        <w:ind w:left="920" w:right="20" w:firstLine="421"/>
        <w:spacing w:after="0" w:line="259" w:lineRule="auto"/>
        <w:tabs>
          <w:tab w:leader="none" w:pos="15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name signed purports to be that of a pledgee, beneficial owner, or attorney-in-fact of the shareholder and, if the Corporation or its agent request, evidence acceptable to the Corporation of the signatory’s authority to sign for the shareholder is presented with respect to the vote, consent, waiver or proxy appointment; or</w:t>
      </w:r>
    </w:p>
    <w:p>
      <w:pPr>
        <w:spacing w:after="0" w:line="126" w:lineRule="exact"/>
        <w:rPr>
          <w:rFonts w:ascii="Arial" w:cs="Arial" w:eastAsia="Arial" w:hAnsi="Arial"/>
          <w:sz w:val="18"/>
          <w:szCs w:val="18"/>
          <w:color w:val="auto"/>
        </w:rPr>
      </w:pPr>
    </w:p>
    <w:p>
      <w:pPr>
        <w:ind w:left="920" w:right="100" w:firstLine="421"/>
        <w:spacing w:after="0" w:line="268" w:lineRule="auto"/>
        <w:tabs>
          <w:tab w:leader="none" w:pos="15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two or more persons are the shareholders as cotenants or fiduciaries and the name signed purports to be the name of at least one of the co-owners and the persons signing appears to be acting on behalf of all co-owners.</w:t>
      </w:r>
    </w:p>
    <w:p>
      <w:pPr>
        <w:spacing w:after="0" w:line="118"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Corporation may reject a vote, consent, waiver or proxy appointment if the Secretary or other officer or agent of the Corporation who is authorized to tabulate votes, acting in good faith, has reasonable basis for doubt about the validity of the signature on it or about the signatory’s authority to sign for the shareholder.</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Adjournments</w:t>
      </w:r>
      <w:r>
        <w:rPr>
          <w:rFonts w:ascii="Arial" w:cs="Arial" w:eastAsia="Arial" w:hAnsi="Arial"/>
          <w:sz w:val="18"/>
          <w:szCs w:val="18"/>
          <w:color w:val="auto"/>
        </w:rPr>
        <w:t>. An annual or special meeting of shareholders may be adjourned at any time, including after action on one or more matters, by a majority of shares represented, even if less than a quorum. The meeting may be adjourned for any purpose, including, but not limited to, allowing additional time to solicit votes on one or more matters, to disseminate additional information to shareholders or to count votes. Upon being reconvened, the adjourned meeting shall be deemed to be a continuation of the initial meeting.</w:t>
      </w:r>
    </w:p>
    <w:p>
      <w:pPr>
        <w:spacing w:after="0" w:line="130" w:lineRule="exact"/>
        <w:rPr>
          <w:sz w:val="20"/>
          <w:szCs w:val="20"/>
          <w:color w:val="auto"/>
        </w:rPr>
      </w:pPr>
    </w:p>
    <w:p>
      <w:pPr>
        <w:ind w:left="460" w:right="260" w:firstLine="443"/>
        <w:spacing w:after="0" w:line="306" w:lineRule="auto"/>
        <w:tabs>
          <w:tab w:leader="none" w:pos="113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Quorum</w:t>
      </w:r>
      <w:r>
        <w:rPr>
          <w:rFonts w:ascii="Arial" w:cs="Arial" w:eastAsia="Arial" w:hAnsi="Arial"/>
          <w:sz w:val="16"/>
          <w:szCs w:val="16"/>
          <w:color w:val="auto"/>
        </w:rPr>
        <w:t>. Once a share is represented for any purpose at the original meeting, other than for the purpose of objecting to holding the meeting or transacting business at a meeting, it is considered present for purposes of determining if a quorum exists, for the remainder of the meeting and for any adjournment of that meeting unless a new record date is or must be set for that adjourned meeting.</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35" w:name="page36"/>
    <w:bookmarkEnd w:id="35"/>
    <w:p>
      <w:pPr>
        <w:jc w:val="both"/>
        <w:ind w:left="460" w:right="160" w:firstLine="443"/>
        <w:spacing w:after="0" w:line="259" w:lineRule="auto"/>
        <w:tabs>
          <w:tab w:leader="none" w:pos="114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Record Date</w:t>
      </w:r>
      <w:r>
        <w:rPr>
          <w:rFonts w:ascii="Arial" w:cs="Arial" w:eastAsia="Arial" w:hAnsi="Arial"/>
          <w:sz w:val="18"/>
          <w:szCs w:val="18"/>
          <w:color w:val="auto"/>
        </w:rPr>
        <w:t>. When a determination of shareholders entitled to notice of or to vote at any meeting of shareholders has been made as provided in Section 2.7, such determination shall be applied to any adjournment thereof unless the Board of Directors fixes a new record date, which it shall do if the meeting is adjourned to a date more than 120 days after the date fixed for the original meeting.</w:t>
      </w:r>
    </w:p>
    <w:p>
      <w:pPr>
        <w:spacing w:after="0" w:line="45" w:lineRule="exact"/>
        <w:rPr>
          <w:rFonts w:ascii="Arial" w:cs="Arial" w:eastAsia="Arial" w:hAnsi="Arial"/>
          <w:sz w:val="18"/>
          <w:szCs w:val="18"/>
          <w:color w:val="auto"/>
        </w:rPr>
      </w:pPr>
    </w:p>
    <w:p>
      <w:pPr>
        <w:ind w:left="460" w:right="40" w:firstLine="443"/>
        <w:spacing w:after="0" w:line="268" w:lineRule="auto"/>
        <w:tabs>
          <w:tab w:leader="none" w:pos="113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Unless a new record date for an adjourned meeting is or must be fixed pursuant to Section 2.14(b), the Corporation is not required to give notice of the new date, time or place if the new date, time or place is announced at the meeting before adjournment.</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Polling</w:t>
      </w:r>
      <w:r>
        <w:rPr>
          <w:rFonts w:ascii="Arial" w:cs="Arial" w:eastAsia="Arial" w:hAnsi="Arial"/>
          <w:sz w:val="16"/>
          <w:szCs w:val="16"/>
          <w:color w:val="auto"/>
        </w:rPr>
        <w:t>. In the sole discretion of the presiding officer of an annual or special meeting of shareholders, polls may be closed at any time after commencement of any annual or special meeting. When there are several matters to be considered at a meeting, the polls may remain open during the meeting as to any or all matters to be considered, as the presiding officer may declare. Polls will remain open as to matters to be considered at any adjournment of the meeting unless the presiding officer declares otherwise. At the sole discretion of the presiding officer, the polls may remain open after adjournment of a meeting for not more than 72 hours for the purpose of collecting proxies and counting votes. All votes submitted prior to the announcement of the results of the balloting shall be valid and counted. The results of balloting shall be final and binding after announcement of such results.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Waiver of Notice by Shareholders</w:t>
      </w:r>
      <w:r>
        <w:rPr>
          <w:rFonts w:ascii="Arial" w:cs="Arial" w:eastAsia="Arial" w:hAnsi="Arial"/>
          <w:sz w:val="16"/>
          <w:szCs w:val="16"/>
          <w:color w:val="auto"/>
        </w:rPr>
        <w:t>. A shareholder may waive any notice required by the Wisconsin business corporation law, the Articles of Incorporation or the By-Laws before or after the date and time stated in the notice. The waiver shall be in writing and signed by the shareholder entitled to the notice, contain the same information that would have been required in the notice under any applicable provisions of the Wisconsin business corporation law, except that the time and place of the meeting need not be stated, and be delivered to the Corporation for inclusion in the Corporation’s records. A shareholder’s attendance at a meeting, in person or by proxy, waives objection to (i) lack of notice or defective notice of the meeting, unless the shareholder at the beginning of the meeting or promptly upon arrival objects to the holding of the meeting or transacting business at the meeting, and (ii) consideration of a particular matter at the meeting that is not within the purpose described in the meeting notice, unless the shareholder objects to considering the matter when it is presented.</w:t>
      </w:r>
    </w:p>
    <w:p>
      <w:pPr>
        <w:spacing w:after="0" w:line="10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Unanimous Consent without Meeting</w:t>
      </w:r>
      <w:r>
        <w:rPr>
          <w:rFonts w:ascii="Arial" w:cs="Arial" w:eastAsia="Arial" w:hAnsi="Arial"/>
          <w:sz w:val="18"/>
          <w:szCs w:val="18"/>
          <w:color w:val="auto"/>
        </w:rPr>
        <w:t>. Any action required or permitted to be taken at a meeting of shareholders may be taken without a meeting only by unanimous written consent or consents signed by all of the shareholders of the Corporation and delivered to the Corporation for inclusion in the Corporation’s records.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III. BOARD OF DIRECTORS</w:t>
      </w:r>
    </w:p>
    <w:p>
      <w:pPr>
        <w:spacing w:after="0" w:line="158"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General Powers</w:t>
      </w:r>
      <w:r>
        <w:rPr>
          <w:rFonts w:ascii="Arial" w:cs="Arial" w:eastAsia="Arial" w:hAnsi="Arial"/>
          <w:sz w:val="16"/>
          <w:szCs w:val="16"/>
          <w:color w:val="auto"/>
        </w:rPr>
        <w:t>. All corporate powers shall be exercised by or under the authority of, and the business and affairs of the Corporation managed under the direction of, its Board of Directors, subject to any limitations set forth in the Articles of Incorporation.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3.2. Number, Classification, Tenure and Qualifications.</w:t>
      </w:r>
    </w:p>
    <w:p>
      <w:pPr>
        <w:spacing w:after="0" w:line="77" w:lineRule="exact"/>
        <w:rPr>
          <w:sz w:val="20"/>
          <w:szCs w:val="20"/>
          <w:color w:val="auto"/>
        </w:rPr>
      </w:pPr>
    </w:p>
    <w:p>
      <w:pPr>
        <w:ind w:left="460" w:right="20" w:firstLine="443"/>
        <w:spacing w:after="0" w:line="256" w:lineRule="auto"/>
        <w:tabs>
          <w:tab w:leader="none" w:pos="113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Number</w:t>
      </w:r>
      <w:r>
        <w:rPr>
          <w:rFonts w:ascii="Arial" w:cs="Arial" w:eastAsia="Arial" w:hAnsi="Arial"/>
          <w:sz w:val="18"/>
          <w:szCs w:val="18"/>
          <w:color w:val="auto"/>
        </w:rPr>
        <w:t>. Except as otherwise provided in the Articles of Incorporation, the number of directors (exclusive of directors, if any, elected by the holders of one or more series of preferred stock, voting separately as a series pursuant to the provisions of the Articles of Incorporation) shall be not less than 3 nor more than 15 directors, the exact number of directors to be determined from time to time by resolution adopted by affirmative vote of a majority of the entire Board of Directors then in office.</w:t>
      </w:r>
    </w:p>
    <w:p>
      <w:pPr>
        <w:spacing w:after="0" w:line="48" w:lineRule="exact"/>
        <w:rPr>
          <w:rFonts w:ascii="Arial" w:cs="Arial" w:eastAsia="Arial" w:hAnsi="Arial"/>
          <w:sz w:val="18"/>
          <w:szCs w:val="18"/>
          <w:color w:val="auto"/>
        </w:rPr>
      </w:pPr>
    </w:p>
    <w:p>
      <w:pPr>
        <w:ind w:left="460" w:right="20" w:firstLine="443"/>
        <w:spacing w:after="0" w:line="255"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Classification</w:t>
      </w:r>
      <w:r>
        <w:rPr>
          <w:rFonts w:ascii="Arial" w:cs="Arial" w:eastAsia="Arial" w:hAnsi="Arial"/>
          <w:sz w:val="18"/>
          <w:szCs w:val="18"/>
          <w:color w:val="auto"/>
        </w:rPr>
        <w:t>. The directors shall be divided into three classes, designated Class I, Class II, and Class III, and the term of directors of each class shall be three years. Each class shall consist, as nearly as possible, of one-third of the total number of directors constituting the entire Board of Directors. If the number of directors is changed by resolution of the Board of Directors pursuant to Section 3.2(a), any increase or decrease shall be apportioned among the classes so as to maintain the number of directors in each class as nearly equal as possible, but in no case shall a decrease in the number of directors shorten the term of any incumbent director.</w:t>
      </w:r>
    </w:p>
    <w:p>
      <w:pPr>
        <w:spacing w:after="0" w:line="48" w:lineRule="exact"/>
        <w:rPr>
          <w:rFonts w:ascii="Arial" w:cs="Arial" w:eastAsia="Arial" w:hAnsi="Arial"/>
          <w:sz w:val="18"/>
          <w:szCs w:val="18"/>
          <w:color w:val="auto"/>
        </w:rPr>
      </w:pPr>
    </w:p>
    <w:p>
      <w:pPr>
        <w:ind w:left="460" w:right="240" w:firstLine="443"/>
        <w:spacing w:after="0" w:line="268" w:lineRule="auto"/>
        <w:tabs>
          <w:tab w:leader="none" w:pos="113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Tenure</w:t>
      </w:r>
      <w:r>
        <w:rPr>
          <w:rFonts w:ascii="Arial" w:cs="Arial" w:eastAsia="Arial" w:hAnsi="Arial"/>
          <w:sz w:val="18"/>
          <w:szCs w:val="18"/>
          <w:color w:val="auto"/>
        </w:rPr>
        <w:t>. A director shall hold office until the annual meeting for the year in which his term expires and until his successor shall be duly elected and shall qualify.</w:t>
      </w:r>
    </w:p>
    <w:p>
      <w:pPr>
        <w:spacing w:after="0" w:line="37" w:lineRule="exact"/>
        <w:rPr>
          <w:rFonts w:ascii="Arial" w:cs="Arial" w:eastAsia="Arial" w:hAnsi="Arial"/>
          <w:sz w:val="18"/>
          <w:szCs w:val="18"/>
          <w:color w:val="auto"/>
        </w:rPr>
      </w:pPr>
    </w:p>
    <w:p>
      <w:pPr>
        <w:jc w:val="both"/>
        <w:ind w:left="460" w:firstLine="443"/>
        <w:spacing w:after="0" w:line="306" w:lineRule="auto"/>
        <w:tabs>
          <w:tab w:leader="none" w:pos="114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Qualifications</w:t>
      </w:r>
      <w:r>
        <w:rPr>
          <w:rFonts w:ascii="Arial" w:cs="Arial" w:eastAsia="Arial" w:hAnsi="Arial"/>
          <w:sz w:val="16"/>
          <w:szCs w:val="16"/>
          <w:color w:val="auto"/>
        </w:rPr>
        <w:t>. A director need not be a resident of the state of Wisconsin or a shareholder of the Corporation except if required by the Articles of Incorporation. The Board of Directors, at its discretion, may establish any qualifications for directors, which qualifications, if any, shall only be applied for determining qualifications of a nominee for director as of the date of the meeting at which such nominee is to be elected or appointed.</w:t>
      </w:r>
    </w:p>
    <w:p>
      <w:pPr>
        <w:spacing w:after="0" w:line="9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Notwithstanding the foregoing, whenever the holders of any one or more classes or series of preferred stock issued by the Corporation shall have the right, voting separately by class or series, to elect directors at an annual or special meeting of shareholders, the election, term of office, filling of vacancies and other features of such directorships shall be governed by the terms of the Articles of Incorporation applicable thereto. Directors so elected shall not be divided into classes unless expressly provided by such Articles, and during the prescribed terms of office of such directors, the Board of Directors shall consist of such directors in addition to the number of directors determined as provided in Section 3.2(a).</w:t>
      </w:r>
    </w:p>
    <w:p>
      <w:pPr>
        <w:spacing w:after="0" w:line="10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Removal</w:t>
      </w:r>
      <w:r>
        <w:rPr>
          <w:rFonts w:ascii="Arial" w:cs="Arial" w:eastAsia="Arial" w:hAnsi="Arial"/>
          <w:sz w:val="16"/>
          <w:szCs w:val="16"/>
          <w:color w:val="auto"/>
        </w:rPr>
        <w:t>. Exclusive of directors, if any, elected by the holders of one or more classes of preferred stock, no director of the Corporation may be removed from office except for Cause and by the affirmative vote of two-thirds of the outstanding shares of capital stock of the Corporation entitled to vote at a meeting of shareholders duly called for such purpose. As used in this Section 3.3, the term “Cause” shall mean solely malfeasance arising from the performance of a director’s duties which has a materially adverse effect on the business of the Corporation.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37" w:name="page38"/>
    <w:bookmarkEnd w:id="37"/>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3.4. </w:t>
      </w:r>
      <w:r>
        <w:rPr>
          <w:rFonts w:ascii="Arial" w:cs="Arial" w:eastAsia="Arial" w:hAnsi="Arial"/>
          <w:sz w:val="18"/>
          <w:szCs w:val="18"/>
          <w:u w:val="single" w:color="auto"/>
          <w:color w:val="auto"/>
        </w:rPr>
        <w:t>Resignation</w:t>
      </w:r>
      <w:r>
        <w:rPr>
          <w:rFonts w:ascii="Arial" w:cs="Arial" w:eastAsia="Arial" w:hAnsi="Arial"/>
          <w:sz w:val="18"/>
          <w:szCs w:val="18"/>
          <w:color w:val="auto"/>
        </w:rPr>
        <w:t>. A director may resign at any time by delivering written notice to the Board of Directors, the Chairman of the Board or to the Corporation (which shall be directed to the Secretary).</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Vacancies</w:t>
      </w:r>
      <w:r>
        <w:rPr>
          <w:rFonts w:ascii="Arial" w:cs="Arial" w:eastAsia="Arial" w:hAnsi="Arial"/>
          <w:sz w:val="16"/>
          <w:szCs w:val="16"/>
          <w:color w:val="auto"/>
        </w:rPr>
        <w:t>. Exclusive of a vacancy in directors, if any, elected by the holders of one or more classes of preferred stock, any vacancy on the Board of Directors, however caused, including, without limitation, any vacancy resulting from an increase in the number of directors, shall be filled by the vote of a majority of the directors then in office, although less than a quorum, or by a sole remaining director. Any director so elected to fill any vacancy in the Board of Directors, including a vacancy created by an increase in the number of directors, shall hold office for the remaining term of directors of the class to which he has been elected and until his successor shall be elected and shall qualify. A vacancy that will occur at a specific later date may be filled before the vacancy occurs, but the new director will not take office until the vacancy occurs.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Committees</w:t>
      </w:r>
      <w:r>
        <w:rPr>
          <w:rFonts w:ascii="Arial" w:cs="Arial" w:eastAsia="Arial" w:hAnsi="Arial"/>
          <w:sz w:val="16"/>
          <w:szCs w:val="16"/>
          <w:color w:val="auto"/>
        </w:rPr>
        <w:t xml:space="preserve">. The Board of Directors by resolution adopted by the affirmative vote of a majority of the number of directors fixed by Section 3.2(a) then in office may create one or more committees, appoint members of the Board of Directors to serve on the committees and designate other members of the Board of Directors to serve as alternates. Each committee shall consist of two or more members of the Board of Directors. Unless otherwise provided by the Board of Directors, members of the committee shall serve at the pleasure of the Board of Directors. The committee may exercise those aspects of the authority of the Board of Directors which are within the scope of the committee’s assigned responsibilities or which the Board of Directors otherwise confers upon such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 committee may not do any of the following:</w:t>
      </w:r>
    </w:p>
    <w:p>
      <w:pPr>
        <w:spacing w:after="0" w:line="26" w:lineRule="exact"/>
        <w:rPr>
          <w:sz w:val="20"/>
          <w:szCs w:val="20"/>
          <w:color w:val="auto"/>
        </w:rPr>
      </w:pPr>
    </w:p>
    <w:p>
      <w:pPr>
        <w:ind w:left="1140" w:hanging="237"/>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distributions;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approve or propose to shareholders action that the Wisconsin business corporation law requires be approved by shareholders;</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fill vacancies on the Board of Directors or, unless the Board of Directors has specifically granted authority to the committee, its committees;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amend the Articles of Incorporation pursuant to the authority of directors to do so granted by the Wisconsin business corporation law;</w:t>
      </w:r>
    </w:p>
    <w:p>
      <w:pPr>
        <w:spacing w:after="0" w:line="99" w:lineRule="exact"/>
        <w:rPr>
          <w:rFonts w:ascii="Arial" w:cs="Arial" w:eastAsia="Arial" w:hAnsi="Arial"/>
          <w:sz w:val="16"/>
          <w:szCs w:val="16"/>
          <w:color w:val="auto"/>
        </w:rPr>
      </w:pPr>
    </w:p>
    <w:p>
      <w:pPr>
        <w:ind w:left="1140" w:hanging="237"/>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adopt, amend, or repeal by-laws;</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approve a plan of merger not requiring shareholder approval;</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or approve reacquisition of shares, except according to a formula or method prescribed by the Board of Directors;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38" w:name="page39"/>
    <w:bookmarkEnd w:id="38"/>
    <w:p>
      <w:pPr>
        <w:ind w:left="460" w:right="100" w:firstLine="443"/>
        <w:spacing w:after="0" w:line="306" w:lineRule="auto"/>
        <w:tabs>
          <w:tab w:leader="none" w:pos="1147"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authorize or approve the issuance or sale or contract for sale of shares or determine the designation and relative rights, preferences, and limitations of a class or series of shares, except that the Board of Directors may authorize a committee (or a senior executive officer of the corporation, including without limitation the President and Chief Executive Officer and any Vice President) to do so within limits prescribed by the Board of Directors.</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Except as required or limited by the Articles of Incorporation, the By-Laws, the Wisconsin business corporation law, or resolution of the Board of Directors, each committee shall be authorized to fix its own rules governing the conduct of its activities. Each committee shall make such reports to the Board of Directors of its activities as the Board of Directors may request.</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Compensation</w:t>
      </w:r>
      <w:r>
        <w:rPr>
          <w:rFonts w:ascii="Arial" w:cs="Arial" w:eastAsia="Arial" w:hAnsi="Arial"/>
          <w:sz w:val="18"/>
          <w:szCs w:val="18"/>
          <w:color w:val="auto"/>
        </w:rPr>
        <w:t>. Except as provided in the Articles of Incorporation, the Board of Directors, irrespective of any personal interest of any of its members, may fix the compensation of directors.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Regular Meeting</w:t>
      </w:r>
      <w:r>
        <w:rPr>
          <w:rFonts w:ascii="Arial" w:cs="Arial" w:eastAsia="Arial" w:hAnsi="Arial"/>
          <w:sz w:val="18"/>
          <w:szCs w:val="18"/>
          <w:color w:val="auto"/>
        </w:rPr>
        <w:t>. A regular meeting of the Board of Directors shall be held without other notice than this By-Law immediately after, and at the same place as, the annual meeting of shareholders, and each adjourned session thereof. A regular meeting of a committee, if any, shall be at such date, place, either within or outside the state of Wisconsin, and time as such committee determines. Other regular meetings of the Board of Directors shall be held at such dates, times and places, either within or without the State of Wisconsin, as the Board of Directors may provide by resolution, which resolution shall constitute exclusive notice of such meeting.</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by or at the request of the Chairman of the Board, the President and Chief Executive Officer or three-quarters of the members of the Board of Directors. Special meetings of a committee may be called by or at the request of the Chairman of a committee or a majority of the committee members. The person or persons authorized to call special meetings of the Board of Directors or a committee may fix any date, time and place, either within or outside the State of Wisconsin, for any special meeting of the Board of Directors or committee called by them.</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Notice; Waiver</w:t>
      </w:r>
      <w:r>
        <w:rPr>
          <w:rFonts w:ascii="Arial" w:cs="Arial" w:eastAsia="Arial" w:hAnsi="Arial"/>
          <w:sz w:val="16"/>
          <w:szCs w:val="16"/>
          <w:color w:val="auto"/>
        </w:rPr>
        <w:t>. Notice of meetings, except for regular meetings, shall be given at least five days previously thereto and shall state the date, time and place of the meeting of the Board of Directors or committee. Neither the business to be transacted at, nor the purpose of, any regular or special meeting of the Board of Directors or committee need be specified in the notice of such meeting. Notice may be communicated in person, by mail or other method of delivery, by telephone, including voice mail, answering machine or answering service or by any other electronic means. Written notice, which includes notice by electronic transmission, is effective at the earliest of the following: (1) when received; (2) on the date shown on the return receipt, if sent by registered or certified mail, return receipt requested, and the receipt is signed by or on behalf of the addressee; (3) two days after it is deposited with 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private carrier; or (4) when electronically transmitted. Oral notice is deemed effective when communicated. Facsimile notice is deemed effective when sent.</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director may waive any notice required by the Wisconsin business corporation law, the Articles of Incorporation or the By-Laws before or after the date and time stated in the notice. The waiver shall be in writing, signed by the director entitled to the notice and retained by the Corporation. Notwithstanding the foregoing, a director’s attendance at or participation in a meeting waives any required notice to such director of the meeting unless the director at the beginning of the meeting or promptly upon such director’s arrival objects to holding the meeting or transacting business at the meeting and does not thereafter vote for or assent to action taken at the meeting.</w:t>
      </w:r>
    </w:p>
    <w:p>
      <w:pPr>
        <w:spacing w:after="0" w:line="1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Quorum; Voting</w:t>
      </w:r>
      <w:r>
        <w:rPr>
          <w:rFonts w:ascii="Arial" w:cs="Arial" w:eastAsia="Arial" w:hAnsi="Arial"/>
          <w:sz w:val="18"/>
          <w:szCs w:val="18"/>
          <w:color w:val="auto"/>
        </w:rPr>
        <w:t xml:space="preserve">. Unless otherwise provided in the Articles of Incorporation or the Wisconsin business corporation law, a majority of the number of directors fixed by Section 3.2(a) or appointed by the Board of Directors to a committee shall constitute a quorum for the transaction of business at any meeting of the Board of Directors or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even though less than such quorum is present at a meeting, a majority of the directors present may adjourn the meeting from time to time without further notice. Except as otherwise provided in the Articles of Incorporation, the By-Laws or the Wisconsin business corporation law, if a quorum is present when a vote is taken, the affirmative vote of a majority of directors present is the act of the Board of Directors or committee.</w:t>
      </w:r>
    </w:p>
    <w:p>
      <w:pPr>
        <w:spacing w:after="0" w:line="13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Presumption of Assent</w:t>
      </w:r>
      <w:r>
        <w:rPr>
          <w:rFonts w:ascii="Arial" w:cs="Arial" w:eastAsia="Arial" w:hAnsi="Arial"/>
          <w:sz w:val="16"/>
          <w:szCs w:val="16"/>
          <w:color w:val="auto"/>
        </w:rPr>
        <w:t>. A director of the Corporation who is present and is announced as present at a meeting of the Board of Directors or a committee thereof at which action on any corporate matter is taken is deemed to have assented to the action taken unless (i) such director objects at the beginning of the meeting or promptly upon arrival to holding the meeting or transacting business at the meeting, (ii) such director dissents or abstains from an action taken and minutes of the meeting are prepared that show the director’s dissent or abstention from the action taken, (iii) such director delivers written notice of his dissent or abstention to the presiding officer of the meeting before its adjournment or to the Corporation (directed to the Secretary) immediately after adjournment of the meeting, or (iv) such director dissents or abstains from an action taken, minutes of the meeting are prepared that fail to show the director’s dissent or abstention from the action taken and the director delivers to the Corporation (directed to the Secretary) a written notice of that failure promptly after receiving the minutes. A director who votes in favor of action taken may not dissent or abstain from that action.</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Informal Action Without Meeting</w:t>
      </w:r>
      <w:r>
        <w:rPr>
          <w:rFonts w:ascii="Arial" w:cs="Arial" w:eastAsia="Arial" w:hAnsi="Arial"/>
          <w:sz w:val="16"/>
          <w:szCs w:val="16"/>
          <w:color w:val="auto"/>
        </w:rPr>
        <w:t>. Any action required or permitted by the Articles of Incorporation, the By-Laws or any provision of law to be taken by the Board of Directors or a committee at a meeting may be taken without a meeting if the action is taken by all of the directors or committee members then in office. The action shall be evidenced by one or more written consents describing the action taken, signed by each director and retained by the Corporation. Any such consent is effective when the last director signs the consent, unless the consent specifies a different effective date.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40" w:name="page41"/>
    <w:bookmarkEnd w:id="40"/>
    <w:p>
      <w:pPr>
        <w:ind w:right="1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3.14. </w:t>
      </w:r>
      <w:r>
        <w:rPr>
          <w:rFonts w:ascii="Arial" w:cs="Arial" w:eastAsia="Arial" w:hAnsi="Arial"/>
          <w:sz w:val="16"/>
          <w:szCs w:val="16"/>
          <w:u w:val="single" w:color="auto"/>
          <w:color w:val="auto"/>
        </w:rPr>
        <w:t>Telephonic or Other Meetings</w:t>
      </w:r>
      <w:r>
        <w:rPr>
          <w:rFonts w:ascii="Arial" w:cs="Arial" w:eastAsia="Arial" w:hAnsi="Arial"/>
          <w:sz w:val="16"/>
          <w:szCs w:val="16"/>
          <w:color w:val="auto"/>
        </w:rPr>
        <w:t>. Unless the Articles of Incorporation provide otherwise, any or all directors may participate in a regular or special meeting of the Board of Directors or any committee thereof by, or conduct the meeting through the use of, any means of communication by which (i) all directors participating may simultaneously hear each other during the meeting, (ii) all communication during the meeting is immediately transmitted to each participating director and (iii) each participating director is able to immediately send messages to all other participating directors. If the meeting is to be conducted through the use of any such means of communication all participating directors shall be informed that a meeting is taking place at which official business may be transacted. A director participating in a meeting by this means is deemed to be present in person at the meeting. Notwithstanding the foregoing, the Chairman of the Board, or other presiding officer, shall, at any time, have the authority to deem any business or resolution not appropriate for meetings held pursuant to this Section 3.14.</w:t>
      </w:r>
    </w:p>
    <w:p>
      <w:pPr>
        <w:spacing w:after="0" w:line="10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Board of Directors shall have a Chairman of the Board, who shall be one of its members, to serve as its leader with respect to its activities. The Chairman of the Board shall be elected by the Board of Directors. The Board of Directors may remove and replace the Chairman of the Board at any time with or without cause. The Chairman of the Board shall not be an officer or employee of the Corporation by virtue of such position. The Chairman of the Board shall preside at all annual and special meetings of shareholders and all regular and special meetings of the Board of Directors, in each case except as he delegates to the President and Chief Executive Officer or as otherwise may be determined by the Board of Directors.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IV. OFFICERS</w:t>
      </w:r>
    </w:p>
    <w:p>
      <w:pPr>
        <w:spacing w:after="0" w:line="158"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Number</w:t>
      </w:r>
      <w:r>
        <w:rPr>
          <w:rFonts w:ascii="Arial" w:cs="Arial" w:eastAsia="Arial" w:hAnsi="Arial"/>
          <w:sz w:val="15"/>
          <w:szCs w:val="15"/>
          <w:color w:val="auto"/>
        </w:rPr>
        <w:t>. The principal officers of the Corporation shall be a President and Chief Executive Officer, one or more Vice Presidents, any number of whom may be designated as Senior Executive Vice President, Executive Vice President or Senior Vice President, a Secretary and a Treasurer, each of whom shall be elected by the Board of Directors. Such other officers as may be deemed necessary may be elected or appointed by or under the authority of the Board of Directors. Such other assistant officers as may be deemed necessary may be appointed by the Board of Directors or the President and Chief Executive Officer for such term as is specified in the appointment. The same natural person may simultaneously hold more than one office in the Corporation.</w:t>
      </w:r>
    </w:p>
    <w:p>
      <w:pPr>
        <w:spacing w:after="0" w:line="8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Election and Term of Office</w:t>
      </w:r>
      <w:r>
        <w:rPr>
          <w:rFonts w:ascii="Arial" w:cs="Arial" w:eastAsia="Arial" w:hAnsi="Arial"/>
          <w:sz w:val="16"/>
          <w:szCs w:val="16"/>
          <w:color w:val="auto"/>
        </w:rPr>
        <w:t>. The officers of the Corporation to be elected by the Board of Directors shall be elected annually by the Board of Directors at the first meeting of the Board of Directors held after the annual meeting of the shareholders. If the election of officers shall not be held at such meeting, such election shall be held as soon thereafter as convenient. Each officer shall hold office until his successor shall have been duly elected or until his death or until he shall resign or shall have been removed in the manner hereinafter provided.</w:t>
      </w:r>
    </w:p>
    <w:p>
      <w:pPr>
        <w:spacing w:after="0" w:line="9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Removal</w:t>
      </w:r>
      <w:r>
        <w:rPr>
          <w:rFonts w:ascii="Arial" w:cs="Arial" w:eastAsia="Arial" w:hAnsi="Arial"/>
          <w:sz w:val="18"/>
          <w:szCs w:val="18"/>
          <w:color w:val="auto"/>
        </w:rPr>
        <w:t>. The Board of Directors may remove any officer at any time with or without cause and notwithstanding the contract rights, if any, of the officer removed.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41" w:name="page42"/>
    <w:bookmarkEnd w:id="41"/>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or the President and Chief Executive Officer may remove any assistant officer who was appointed by the Board or the President and Chief Executive Officer. The appointment of an officer or assistant officer does not itself create contract rights.</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principal office because of death, resignation, removal, disqualification or otherwise, shall be filled by the Board of Directors for the unexpired portion of the term. A vacancy in any assistant office because of death, resignation, removal, disqualification or otherwise may be filled by the Board of Directors or the President and Chief Executive Officer.</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President and Chief Executive Officer</w:t>
      </w:r>
      <w:r>
        <w:rPr>
          <w:rFonts w:ascii="Arial" w:cs="Arial" w:eastAsia="Arial" w:hAnsi="Arial"/>
          <w:sz w:val="16"/>
          <w:szCs w:val="16"/>
          <w:color w:val="auto"/>
        </w:rPr>
        <w:t>. The President and Chief Executive Officer shall be the chief executive officer of the Corporation, shall have executive authority to see that all orders and resolutions of the Board of Directors are carried into effect and shall, subject to the control vested in the Board of Directors by the Wisconsin business corporation law, administer and be responsible for the management of the business and affairs of the Corporation. In the absence of the Chairman of the Board, the President and Chief Executive Officer shall preside at annual and special meetings of shareholders. The President and Chief Executive Officer shall have authority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the Board of Directors; and, except as otherwise provided by law, or limited by the Board of Directors, he may authorize any Vice President or other officer or agent of the Corporation to sign, execute and acknowledge such documents or instruments in his place and stead. The President and Chief Executive Officer shall perform such other duties as are incident to the office of President and Chief Executive Officer or as may be prescribed from time to time by the Board of Directors.</w:t>
      </w:r>
    </w:p>
    <w:p>
      <w:pPr>
        <w:spacing w:after="0" w:line="10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Vice Presidents</w:t>
      </w:r>
      <w:r>
        <w:rPr>
          <w:rFonts w:ascii="Arial" w:cs="Arial" w:eastAsia="Arial" w:hAnsi="Arial"/>
          <w:sz w:val="16"/>
          <w:szCs w:val="16"/>
          <w:color w:val="auto"/>
        </w:rPr>
        <w:t>. One or more of the Vice Presidents may be designated as Senior Executive Vice President, Executive Vice President or Senior Vice President. In the absence of the President and Chief Executive Officer or in the event of his death, inability or refusal to act, the Vice Presidents in the order designated at the time of their election, shall perform the duties of the President and Chief Executive Officer and when so acting shall have all the powers of and be subject to all the restrictions upon the President and Chief Executive Officer. Any Vice President may sign with the Secretary or Assistant Secretary certificates for shares of the Corporation. Any Vice President shall perform such other duties as are incident to the office of Vice President or as may be prescribed from time to time by the Board of Directors or the President and Chief Executive Officer.</w:t>
      </w:r>
    </w:p>
    <w:p>
      <w:pPr>
        <w:spacing w:after="0" w:line="107"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(i) keep the minutes of the shareholders and Board of Directors meetings in one or more books provided for that purpose, (ii) see that all notices are duly given in accordance with the provisions of the By-Laws or as required by law, (iii) be custodian of the Corporation’s records and of the seal of the Corporation, (iv) see that the seal of the Corporation is affixed to all appropriate documents the execution of which on behalf of the Corporation under its seal is duly authorized, (v) keep a register of the address of each shareholder which shall be furnished to the Secretary by such shareholder and (vi) perform all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42" w:name="page43"/>
    <w:bookmarkEnd w:id="42"/>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duties incident to the office of Secretary and such other duties as may be prescribed from time to time by the Board of Directors or the President and Chief Executive Officer.</w:t>
      </w:r>
    </w:p>
    <w:p>
      <w:pPr>
        <w:spacing w:after="0" w:line="118"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 xml:space="preserve">SECTION 4.8. </w:t>
      </w:r>
      <w:r>
        <w:rPr>
          <w:rFonts w:ascii="Arial" w:cs="Arial" w:eastAsia="Arial" w:hAnsi="Arial"/>
          <w:sz w:val="15"/>
          <w:szCs w:val="15"/>
          <w:u w:val="single" w:color="auto"/>
          <w:color w:val="auto"/>
        </w:rPr>
        <w:t>Treasurer</w:t>
      </w:r>
      <w:r>
        <w:rPr>
          <w:rFonts w:ascii="Arial" w:cs="Arial" w:eastAsia="Arial" w:hAnsi="Arial"/>
          <w:sz w:val="15"/>
          <w:szCs w:val="15"/>
          <w:color w:val="auto"/>
        </w:rPr>
        <w:t>. The Treasurer shall: (i) have charge and custody of and be responsible for all funds and securities of the Corporation, (ii) receive and give receipts for moneys due and payable to the Corporation from any source whatsoever, and deposit all such moneys in the name of the Corporation, and</w:t>
      </w:r>
    </w:p>
    <w:p>
      <w:pPr>
        <w:ind w:right="140" w:firstLine="8"/>
        <w:spacing w:after="0" w:line="261" w:lineRule="auto"/>
        <w:tabs>
          <w:tab w:leader="none" w:pos="3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general perform all of the duties incident to the office of Treasurer and have such other duties and exercise such other authority as from time to time may be delegated or assigned by the Board of Directors or the President and Chief Executive Officer.</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Assistant Secretaries and Assistant Treasurers</w:t>
      </w:r>
      <w:r>
        <w:rPr>
          <w:rFonts w:ascii="Arial" w:cs="Arial" w:eastAsia="Arial" w:hAnsi="Arial"/>
          <w:sz w:val="16"/>
          <w:szCs w:val="16"/>
          <w:color w:val="auto"/>
        </w:rPr>
        <w:t>. An Assistant Secretary, if any, when authorized by the Board of Directors, may sign with the President and Chief Executive Officer or any Vice President certificates for shares of the Corporation, the issuance of which shall have been authorized by a resolution of the Board of Directors. An Assistant Treasurer, if any, shall, if required by the Board of Directors, give bonds for the faithful discharge of his duties in such sums and with such sureties as the Board of Directors shall determine. The Assistant Secretaries and Assistant Treasurers, in general, shall perform such duties as shall be assigned to them by the Board of Directors, the President and Chief Executive Officer or the Secretary or the Treasurer, respectively.</w:t>
      </w:r>
    </w:p>
    <w:p>
      <w:pPr>
        <w:spacing w:after="0" w:line="10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Salaries</w:t>
      </w:r>
      <w:r>
        <w:rPr>
          <w:rFonts w:ascii="Arial" w:cs="Arial" w:eastAsia="Arial" w:hAnsi="Arial"/>
          <w:sz w:val="18"/>
          <w:szCs w:val="18"/>
          <w:color w:val="auto"/>
        </w:rPr>
        <w:t>. The salaries of the officers shall be fixed from time to time by the Board of Directors or a committee authorized by the Board to fix the same, and no officer shall be prevented from receiving such salary by reason of the fact that he is also a director of the Corporation or a member of such committee.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V. CONTRACTS; VOTING OF STOCK IN OTHER CORPORATIONS</w:t>
      </w:r>
    </w:p>
    <w:p>
      <w:pPr>
        <w:spacing w:after="0" w:line="158" w:lineRule="exact"/>
        <w:rPr>
          <w:sz w:val="20"/>
          <w:szCs w:val="20"/>
          <w:color w:val="auto"/>
        </w:rPr>
      </w:pPr>
    </w:p>
    <w:p>
      <w:pPr>
        <w:jc w:val="both"/>
        <w:ind w:right="360" w:firstLine="456"/>
        <w:spacing w:after="0" w:line="370"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u w:val="single" w:color="auto"/>
          <w:color w:val="auto"/>
        </w:rPr>
        <w:t>Contracts</w:t>
      </w:r>
      <w:r>
        <w:rPr>
          <w:rFonts w:ascii="Arial" w:cs="Arial" w:eastAsia="Arial" w:hAnsi="Arial"/>
          <w:sz w:val="15"/>
          <w:szCs w:val="15"/>
          <w:color w:val="auto"/>
        </w:rPr>
        <w:t>. The Board of Directors may authorize any officer or officers, committee, or any agent or agents to enter into any contract or execute and deliver any instrument in the name of and on behalf of the Corporation, and such authorization may be general or confined to specific instances.</w:t>
      </w:r>
    </w:p>
    <w:p>
      <w:pPr>
        <w:spacing w:after="0" w:line="4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Voting of Stock in Other Corporations</w:t>
      </w:r>
      <w:r>
        <w:rPr>
          <w:rFonts w:ascii="Arial" w:cs="Arial" w:eastAsia="Arial" w:hAnsi="Arial"/>
          <w:sz w:val="18"/>
          <w:szCs w:val="18"/>
          <w:color w:val="auto"/>
        </w:rPr>
        <w:t>. The Board of Directors by resolution shall from time to time designate one or more persons to vote all stock held by this Corporation in any other corporation or entity, may designate such persons in the alternative and may empower them to execute proxies to vote in their stead. In the absence of any such designation by the Board of Directors, the President and Chief Executive Officer shall be authorized to vote any stock held by the Corporation or execute proxies to vote such stock.</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VI. CERTIFICATES FOR SHARES AND THEIR TRANSFER</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Certificates for Shares</w:t>
      </w:r>
      <w:r>
        <w:rPr>
          <w:rFonts w:ascii="Arial" w:cs="Arial" w:eastAsia="Arial" w:hAnsi="Arial"/>
          <w:sz w:val="18"/>
          <w:szCs w:val="18"/>
          <w:color w:val="auto"/>
        </w:rPr>
        <w:t>. Shares of the Corporation may be issued in certificated or uncertificated form. Such shares shall be in the form determined by, or under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authority of a resolution of, the Board of Directors, which shall be consistent with the requirements of the Wisconsin business corporation law.</w:t>
      </w:r>
    </w:p>
    <w:p>
      <w:pPr>
        <w:spacing w:after="0" w:line="158" w:lineRule="exact"/>
        <w:rPr>
          <w:sz w:val="20"/>
          <w:szCs w:val="20"/>
          <w:color w:val="auto"/>
        </w:rPr>
      </w:pPr>
    </w:p>
    <w:p>
      <w:pPr>
        <w:ind w:left="460" w:right="20" w:firstLine="443"/>
        <w:spacing w:after="0" w:line="290" w:lineRule="auto"/>
        <w:tabs>
          <w:tab w:leader="none" w:pos="1137"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Certificated Shares</w:t>
      </w:r>
      <w:r>
        <w:rPr>
          <w:rFonts w:ascii="Arial" w:cs="Arial" w:eastAsia="Arial" w:hAnsi="Arial"/>
          <w:sz w:val="16"/>
          <w:szCs w:val="16"/>
          <w:color w:val="auto"/>
        </w:rPr>
        <w:t>. Shares represented by certificates shall be signed by the President and Chief Executive Officer or a Vice President and by the Secretary or an Assistant Secretary. The validity of a share certificate is not affected if a person who signed the certificate no longer holds office when the certificate is issued. All certificates for shares shall be consecutively numbered or otherwise identified. The name and address of the person to whom shares are issued, with the number of shares and date of issue, shall be entered on the stock transfer books of the Corporation. All certificates surrendered to the Corporation for transfer shall be canceled and no new certificate shall be issued until the former certificate for a like number of shares shall have been surrendered and canceled, except that in case of a lost, destroyed or mutilated certificate a new one may be issued upon such terms and indemnity to the Corporation as the Board of Directors may prescribe.</w:t>
      </w:r>
    </w:p>
    <w:p>
      <w:pPr>
        <w:spacing w:after="0" w:line="104" w:lineRule="exact"/>
        <w:rPr>
          <w:rFonts w:ascii="Arial" w:cs="Arial" w:eastAsia="Arial" w:hAnsi="Arial"/>
          <w:sz w:val="16"/>
          <w:szCs w:val="16"/>
          <w:color w:val="auto"/>
        </w:rPr>
      </w:pPr>
    </w:p>
    <w:p>
      <w:pPr>
        <w:ind w:left="460" w:firstLine="443"/>
        <w:spacing w:after="0" w:line="290" w:lineRule="auto"/>
        <w:tabs>
          <w:tab w:leader="none" w:pos="1147"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Uncertificated Shares</w:t>
      </w:r>
      <w:r>
        <w:rPr>
          <w:rFonts w:ascii="Arial" w:cs="Arial" w:eastAsia="Arial" w:hAnsi="Arial"/>
          <w:sz w:val="16"/>
          <w:szCs w:val="16"/>
          <w:color w:val="auto"/>
        </w:rPr>
        <w:t>. Shares may also be issued in uncertificated form. Within a reasonable time after issuance or transfer of such shares, the Corporation shall send the shareholder a written statement of the information required on share certificates under the Wisconsin business corporation law, including: (1) the name of the Corporation; (2) the name of person to whom shares were issued; (3) the number and class of shares and the designation of the series, if any, of the shares issued; and (4) either a summary of the designations, relative rights, preferences and limitations, applicable to each class, and the variations in rights, preferences and limitations determined for each series and the authority of the Board of Directors to determine variations for future series, or a conspicuous statement that the Corporation will furnish the information specified in this subsection without charge upon the written request of the shareholder.</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Transfer of Shares</w:t>
      </w:r>
      <w:r>
        <w:rPr>
          <w:rFonts w:ascii="Arial" w:cs="Arial" w:eastAsia="Arial" w:hAnsi="Arial"/>
          <w:sz w:val="16"/>
          <w:szCs w:val="16"/>
          <w:color w:val="auto"/>
        </w:rPr>
        <w:t>. Transfer of shares of the Corporation shall be made only on the stock transfer books of the Corporation by the holder of record of such shares, or his or her legal representative, who shall furnish proper evidence of authority to transfer or by an attorney thereunto authorized by power of attorney duly executed and filed with the Secretary of the Corporation, and on surrender for cancellation of the certificate for such shares, if any. The person in whose name shares stand on the books and records of the Corporation shall be deemed by the Corporation to be the owner thereof for all purposes, except as otherwise required by the Wisconsin business corporation law.</w:t>
      </w:r>
    </w:p>
    <w:p>
      <w:pPr>
        <w:spacing w:after="0" w:line="10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Stock Regulations</w:t>
      </w:r>
      <w:r>
        <w:rPr>
          <w:rFonts w:ascii="Arial" w:cs="Arial" w:eastAsia="Arial" w:hAnsi="Arial"/>
          <w:sz w:val="16"/>
          <w:szCs w:val="16"/>
          <w:color w:val="auto"/>
        </w:rPr>
        <w:t>. The Board of Directors shall have the power and authority to make all such further rules and regulations not inconsistent with the statutes of the State of Wisconsin as they may deem expedient concerning the issue, transfer and registration of shares of the Corporation represented in certificated or uncertificated form, including the appointment or designation of one or more stock transfer agents and one or more stock registrars.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44" w:name="page45"/>
    <w:bookmarkEnd w:id="44"/>
    <w:p>
      <w:pPr>
        <w:ind w:right="3800" w:firstLine="3368"/>
        <w:spacing w:after="0" w:line="475"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ARTICLE VII. INDEMNIFICATION; INSURANCE </w:t>
      </w: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Indemnity of Directors, Officers, Employees and Designated Agents</w:t>
      </w:r>
      <w:r>
        <w:rPr>
          <w:rFonts w:ascii="Arial" w:cs="Arial" w:eastAsia="Arial" w:hAnsi="Arial"/>
          <w:sz w:val="16"/>
          <w:szCs w:val="16"/>
          <w:color w:val="auto"/>
        </w:rPr>
        <w:t>.</w:t>
      </w:r>
    </w:p>
    <w:p>
      <w:pPr>
        <w:spacing w:after="0" w:line="1" w:lineRule="exact"/>
        <w:rPr>
          <w:sz w:val="20"/>
          <w:szCs w:val="20"/>
          <w:color w:val="auto"/>
        </w:rPr>
      </w:pPr>
    </w:p>
    <w:p>
      <w:pPr>
        <w:ind w:left="680" w:hanging="237"/>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Definitions to Indemnification and Insurance Provisions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firstLine="421"/>
        <w:spacing w:after="0" w:line="288" w:lineRule="auto"/>
        <w:tabs>
          <w:tab w:leader="none" w:pos="1128"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“Director, Officer, Employee or Agent” means any of the following: (i) A natural person who is or was a director, officer, employee or agent of the Corporation; (ii) A natural person who, while a director, officer, employee or agent of the Corporation, is or was serving either pursuant to the Corporation’s specific request or as a result of the nature of such person’s duties to the Corporation as a director, officer, partner, trustee, member of any governing or decision making committee, employee or agent of another corporation or foreign corporation, partnership, joint venture, trust or other enterprise; (iii) A natural person who, while a director, officer, employee or agent of the Corporation, is or was serving an employee benefit plan because his or her duties to the Corporation also impose duties on, or otherwise involve services by, the person to the plan or to participants in or beneficiaries of the plan; or (iv) Unless the context requires otherwise, the estate or personal representative of a director, officer, employee or agent. Notwithstanding the foregoing, an agent falls within the foregoing definition only upon a resolution of the Board of Directors or committee appointed thereby that such agent shall be entitled to the indemnification provided herein.</w:t>
      </w:r>
    </w:p>
    <w:p>
      <w:pPr>
        <w:spacing w:after="0" w:line="106" w:lineRule="exact"/>
        <w:rPr>
          <w:rFonts w:ascii="Arial" w:cs="Arial" w:eastAsia="Arial" w:hAnsi="Arial"/>
          <w:sz w:val="16"/>
          <w:szCs w:val="16"/>
          <w:color w:val="auto"/>
        </w:rPr>
      </w:pPr>
    </w:p>
    <w:p>
      <w:pPr>
        <w:ind w:left="460" w:right="20" w:firstLine="421"/>
        <w:spacing w:after="0" w:line="259" w:lineRule="auto"/>
        <w:tabs>
          <w:tab w:leader="none" w:pos="11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“Liability” means the obligation to pay a judgment, penalty, assessment, forfeiture or fine, including an excise tax assessed with respect to an employee benefit plan, the agreement to pay any amount in settlement of a Proceeding (whether or not approved by a court order), and reasonable expenses and interest related to the foregoing.</w:t>
      </w:r>
    </w:p>
    <w:p>
      <w:pPr>
        <w:spacing w:after="0" w:line="126" w:lineRule="exact"/>
        <w:rPr>
          <w:rFonts w:ascii="Arial" w:cs="Arial" w:eastAsia="Arial" w:hAnsi="Arial"/>
          <w:sz w:val="18"/>
          <w:szCs w:val="18"/>
          <w:color w:val="auto"/>
        </w:rPr>
      </w:pPr>
    </w:p>
    <w:p>
      <w:pPr>
        <w:ind w:left="1120" w:hanging="239"/>
        <w:spacing w:after="0"/>
        <w:tabs>
          <w:tab w:leader="none" w:pos="11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“Party” means a natural person who was or is, or who is threatened to be made, a named defendant or respondent in a Proceeding.</w:t>
      </w:r>
    </w:p>
    <w:p>
      <w:pPr>
        <w:spacing w:after="0" w:line="180" w:lineRule="exact"/>
        <w:rPr>
          <w:rFonts w:ascii="Arial" w:cs="Arial" w:eastAsia="Arial" w:hAnsi="Arial"/>
          <w:sz w:val="16"/>
          <w:szCs w:val="16"/>
          <w:color w:val="auto"/>
        </w:rPr>
      </w:pPr>
    </w:p>
    <w:p>
      <w:pPr>
        <w:jc w:val="both"/>
        <w:ind w:left="460" w:right="200" w:firstLine="421"/>
        <w:spacing w:after="0" w:line="294" w:lineRule="auto"/>
        <w:tabs>
          <w:tab w:leader="none" w:pos="1128" w:val="left"/>
        </w:tabs>
        <w:numPr>
          <w:ilvl w:val="1"/>
          <w:numId w:val="30"/>
        </w:numPr>
        <w:rPr>
          <w:rFonts w:ascii="Arial" w:cs="Arial" w:eastAsia="Arial" w:hAnsi="Arial"/>
          <w:sz w:val="16"/>
          <w:szCs w:val="16"/>
          <w:color w:val="auto"/>
        </w:rPr>
      </w:pPr>
      <w:r>
        <w:rPr>
          <w:rFonts w:ascii="Arial" w:cs="Arial" w:eastAsia="Arial" w:hAnsi="Arial"/>
          <w:sz w:val="16"/>
          <w:szCs w:val="16"/>
          <w:color w:val="auto"/>
        </w:rPr>
        <w:t>“Proceeding” means any threatened, pending or completed civil, criminal, administrative or investigative action, suit, arbitration or other proceeding, whether formal or informal (including but not limited to any act or failure to act alleged or determined to have been negligent, to have violated the Employee Retirement Income Security Act of 1974, or to have violated Section 180.0833 of the Wisconsin Statutes, or any successor thereto, regarding improper dividends, distributions of assets, purchases of shares of the Corporation, or loans to officers), which involves foreign, federal, state or local law and which is brought by or in the right of the Corporation or by any other person or entity.</w:t>
      </w:r>
    </w:p>
    <w:p>
      <w:pPr>
        <w:spacing w:after="0" w:line="102" w:lineRule="exact"/>
        <w:rPr>
          <w:rFonts w:ascii="Arial" w:cs="Arial" w:eastAsia="Arial" w:hAnsi="Arial"/>
          <w:sz w:val="16"/>
          <w:szCs w:val="16"/>
          <w:color w:val="auto"/>
        </w:rPr>
      </w:pPr>
    </w:p>
    <w:p>
      <w:pPr>
        <w:ind w:left="460" w:right="120" w:firstLine="421"/>
        <w:spacing w:after="0" w:line="268" w:lineRule="auto"/>
        <w:tabs>
          <w:tab w:leader="none" w:pos="11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“Expenses” means all reasonable fees, costs, charges, disbursements, attorneys’ fees and any other expenses incurred in connection with a Proceeding.</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80" w:right="259" w:bottom="1440" w:gutter="0" w:footer="0" w:header="0"/>
        </w:sectPr>
      </w:pPr>
    </w:p>
    <w:bookmarkStart w:id="45" w:name="page46"/>
    <w:bookmarkEnd w:id="45"/>
    <w:p>
      <w:pPr>
        <w:ind w:left="257" w:hanging="257"/>
        <w:spacing w:after="0"/>
        <w:tabs>
          <w:tab w:leader="none" w:pos="25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of Officers, Directors, Employees and Agents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7" w:right="360" w:firstLine="421"/>
        <w:spacing w:after="0" w:line="259" w:lineRule="auto"/>
        <w:tabs>
          <w:tab w:leader="none" w:pos="686"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Corporation shall indemnify a Director, Officer, Employee or Agent to the extent he or she has been successful on the merits or otherwise in the defense of any Proceeding, for all reasonable Expenses in a Proceeding if the Director, Officer, Employee or Agent was a Party because he or she is a Director, Officer, Employee or Agent of the Corporation.</w:t>
      </w:r>
    </w:p>
    <w:p>
      <w:pPr>
        <w:spacing w:after="0" w:line="126" w:lineRule="exact"/>
        <w:rPr>
          <w:rFonts w:ascii="Arial" w:cs="Arial" w:eastAsia="Arial" w:hAnsi="Arial"/>
          <w:sz w:val="18"/>
          <w:szCs w:val="18"/>
          <w:color w:val="auto"/>
        </w:rPr>
      </w:pPr>
    </w:p>
    <w:p>
      <w:pPr>
        <w:ind w:left="17" w:right="40" w:firstLine="421"/>
        <w:spacing w:after="0" w:line="256" w:lineRule="auto"/>
        <w:tabs>
          <w:tab w:leader="none" w:pos="686"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cases not included under subsection (1), the Corporation shall indemnify a Director, Officer, Employee or Agent against Liability and Expenses incurred in a Proceeding to which the Director, Officer, Employee or Agent was a Party because he or she is a Director, Officer, Employee or Agent of the Corporation, unless it is determined by final judicial adjudication that such person breached or failed to perform a duty owed to the Corporation which constituted any of the following:</w:t>
      </w:r>
    </w:p>
    <w:p>
      <w:pPr>
        <w:spacing w:after="0" w:line="129" w:lineRule="exact"/>
        <w:rPr>
          <w:rFonts w:ascii="Arial" w:cs="Arial" w:eastAsia="Arial" w:hAnsi="Arial"/>
          <w:sz w:val="18"/>
          <w:szCs w:val="18"/>
          <w:color w:val="auto"/>
        </w:rPr>
      </w:pPr>
    </w:p>
    <w:p>
      <w:pPr>
        <w:ind w:left="597" w:right="240" w:firstLine="389"/>
        <w:spacing w:after="0" w:line="268" w:lineRule="auto"/>
        <w:tabs>
          <w:tab w:leader="none" w:pos="1204" w:val="left"/>
        </w:tabs>
        <w:numPr>
          <w:ilvl w:val="2"/>
          <w:numId w:val="31"/>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Officer, Employee or Agent has a material conflict of interest;</w:t>
      </w:r>
    </w:p>
    <w:p>
      <w:pPr>
        <w:spacing w:after="0" w:line="118" w:lineRule="exact"/>
        <w:rPr>
          <w:rFonts w:ascii="Arial" w:cs="Arial" w:eastAsia="Arial" w:hAnsi="Arial"/>
          <w:sz w:val="18"/>
          <w:szCs w:val="18"/>
          <w:color w:val="auto"/>
        </w:rPr>
      </w:pPr>
    </w:p>
    <w:p>
      <w:pPr>
        <w:ind w:left="597" w:firstLine="389"/>
        <w:spacing w:after="0" w:line="268" w:lineRule="auto"/>
        <w:tabs>
          <w:tab w:leader="none" w:pos="1253" w:val="left"/>
        </w:tabs>
        <w:numPr>
          <w:ilvl w:val="2"/>
          <w:numId w:val="31"/>
        </w:numPr>
        <w:rPr>
          <w:rFonts w:ascii="Arial" w:cs="Arial" w:eastAsia="Arial" w:hAnsi="Arial"/>
          <w:sz w:val="18"/>
          <w:szCs w:val="18"/>
          <w:color w:val="auto"/>
        </w:rPr>
      </w:pPr>
      <w:r>
        <w:rPr>
          <w:rFonts w:ascii="Arial" w:cs="Arial" w:eastAsia="Arial" w:hAnsi="Arial"/>
          <w:sz w:val="18"/>
          <w:szCs w:val="18"/>
          <w:color w:val="auto"/>
        </w:rPr>
        <w:t>A violation of criminal law, unless the Director, Officer, Employee or Agent had reasonable cause to believe his or her conduct was lawful or no reasonable cause to believe his or her conduct was unlawful;</w:t>
      </w:r>
    </w:p>
    <w:p>
      <w:pPr>
        <w:spacing w:after="0" w:line="118" w:lineRule="exact"/>
        <w:rPr>
          <w:rFonts w:ascii="Arial" w:cs="Arial" w:eastAsia="Arial" w:hAnsi="Arial"/>
          <w:sz w:val="18"/>
          <w:szCs w:val="18"/>
          <w:color w:val="auto"/>
        </w:rPr>
      </w:pPr>
    </w:p>
    <w:p>
      <w:pPr>
        <w:ind w:left="1297" w:hanging="311"/>
        <w:spacing w:after="0"/>
        <w:tabs>
          <w:tab w:leader="none" w:pos="1297" w:val="left"/>
        </w:tabs>
        <w:numPr>
          <w:ilvl w:val="2"/>
          <w:numId w:val="31"/>
        </w:numPr>
        <w:rPr>
          <w:rFonts w:ascii="Arial" w:cs="Arial" w:eastAsia="Arial" w:hAnsi="Arial"/>
          <w:sz w:val="18"/>
          <w:szCs w:val="18"/>
          <w:color w:val="auto"/>
        </w:rPr>
      </w:pPr>
      <w:r>
        <w:rPr>
          <w:rFonts w:ascii="Arial" w:cs="Arial" w:eastAsia="Arial" w:hAnsi="Arial"/>
          <w:sz w:val="18"/>
          <w:szCs w:val="18"/>
          <w:color w:val="auto"/>
        </w:rPr>
        <w:t>A transaction from which the Director, Officer, Employee or Agent derived an improper personal profit; or</w:t>
      </w:r>
    </w:p>
    <w:p>
      <w:pPr>
        <w:spacing w:after="0" w:line="157" w:lineRule="exact"/>
        <w:rPr>
          <w:rFonts w:ascii="Arial" w:cs="Arial" w:eastAsia="Arial" w:hAnsi="Arial"/>
          <w:sz w:val="18"/>
          <w:szCs w:val="18"/>
          <w:color w:val="auto"/>
        </w:rPr>
      </w:pPr>
    </w:p>
    <w:p>
      <w:pPr>
        <w:ind w:left="1277" w:hanging="291"/>
        <w:spacing w:after="0"/>
        <w:tabs>
          <w:tab w:leader="none" w:pos="1277" w:val="left"/>
        </w:tabs>
        <w:numPr>
          <w:ilvl w:val="2"/>
          <w:numId w:val="31"/>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157" w:lineRule="exact"/>
        <w:rPr>
          <w:rFonts w:ascii="Arial" w:cs="Arial" w:eastAsia="Arial" w:hAnsi="Arial"/>
          <w:sz w:val="18"/>
          <w:szCs w:val="18"/>
          <w:color w:val="auto"/>
        </w:rPr>
      </w:pPr>
    </w:p>
    <w:p>
      <w:pPr>
        <w:ind w:left="17" w:right="500" w:firstLine="421"/>
        <w:spacing w:after="0" w:line="332" w:lineRule="auto"/>
        <w:tabs>
          <w:tab w:leader="none" w:pos="686"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Indemnification under this Section 7.1 is not required to the extent the Director, Officer, Employee or Agent has previously received indemnification or allowance of expenses from any person or entity, including the Corporation, in connection with the same Proceeding.</w:t>
      </w:r>
    </w:p>
    <w:p>
      <w:pPr>
        <w:spacing w:after="0" w:line="71" w:lineRule="exact"/>
        <w:rPr>
          <w:rFonts w:ascii="Arial" w:cs="Arial" w:eastAsia="Arial" w:hAnsi="Arial"/>
          <w:sz w:val="16"/>
          <w:szCs w:val="16"/>
          <w:color w:val="auto"/>
        </w:rPr>
      </w:pPr>
    </w:p>
    <w:p>
      <w:pPr>
        <w:ind w:left="17" w:right="620" w:firstLine="421"/>
        <w:spacing w:after="0" w:line="332" w:lineRule="auto"/>
        <w:tabs>
          <w:tab w:leader="none" w:pos="686"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Indemnification required under subsection (b) (1) shall be made within 10 days of receipt of a written demand for indemnification. Indemnification required under subsection (b) (2) shall be made within 30 days of receipt of a written demand for indemnification.</w:t>
      </w:r>
    </w:p>
    <w:p>
      <w:pPr>
        <w:spacing w:after="0" w:line="71" w:lineRule="exact"/>
        <w:rPr>
          <w:rFonts w:ascii="Arial" w:cs="Arial" w:eastAsia="Arial" w:hAnsi="Arial"/>
          <w:sz w:val="16"/>
          <w:szCs w:val="16"/>
          <w:color w:val="auto"/>
        </w:rPr>
      </w:pPr>
    </w:p>
    <w:p>
      <w:pPr>
        <w:ind w:left="17" w:right="80" w:firstLine="421"/>
        <w:spacing w:after="0" w:line="332" w:lineRule="auto"/>
        <w:tabs>
          <w:tab w:leader="none" w:pos="686" w:val="left"/>
        </w:tabs>
        <w:numPr>
          <w:ilvl w:val="1"/>
          <w:numId w:val="31"/>
        </w:numPr>
        <w:rPr>
          <w:rFonts w:ascii="Arial" w:cs="Arial" w:eastAsia="Arial" w:hAnsi="Arial"/>
          <w:sz w:val="16"/>
          <w:szCs w:val="16"/>
          <w:color w:val="auto"/>
        </w:rPr>
      </w:pPr>
      <w:r>
        <w:rPr>
          <w:rFonts w:ascii="Arial" w:cs="Arial" w:eastAsia="Arial" w:hAnsi="Arial"/>
          <w:sz w:val="16"/>
          <w:szCs w:val="16"/>
          <w:color w:val="auto"/>
        </w:rPr>
        <w:t>Upon written request by a Director, Officer, Employee or Agent who is a Party to a Proceeding, the Corporation shall pay or reimburse his or her reasonable Expenses as incurred if the Director, Officer, Employee or Agent provides the Corporation with all of the following:</w:t>
      </w:r>
    </w:p>
    <w:p>
      <w:pPr>
        <w:spacing w:after="0" w:line="72"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77"/>
          </w:cols>
          <w:pgMar w:left="1143" w:top="280" w:right="279" w:bottom="1440" w:gutter="0" w:footer="0" w:header="0"/>
        </w:sectPr>
      </w:pPr>
    </w:p>
    <w:bookmarkStart w:id="46" w:name="page47"/>
    <w:bookmarkEnd w:id="46"/>
    <w:p>
      <w:pPr>
        <w:ind w:left="1197" w:hanging="211"/>
        <w:spacing w:after="0"/>
        <w:tabs>
          <w:tab w:leader="none" w:pos="1197" w:val="left"/>
        </w:tabs>
        <w:numPr>
          <w:ilvl w:val="2"/>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written affirmation of his or her good faith belief that he or she is entitled to indemnification under Section 7.1; and</w:t>
      </w:r>
    </w:p>
    <w:p>
      <w:pPr>
        <w:spacing w:after="0" w:line="76" w:lineRule="exact"/>
        <w:rPr>
          <w:rFonts w:ascii="Arial" w:cs="Arial" w:eastAsia="Arial" w:hAnsi="Arial"/>
          <w:sz w:val="18"/>
          <w:szCs w:val="18"/>
          <w:color w:val="auto"/>
        </w:rPr>
      </w:pPr>
    </w:p>
    <w:p>
      <w:pPr>
        <w:ind w:left="597" w:right="60" w:firstLine="389"/>
        <w:spacing w:after="0" w:line="256" w:lineRule="auto"/>
        <w:tabs>
          <w:tab w:leader="none" w:pos="1243" w:val="left"/>
        </w:tabs>
        <w:numPr>
          <w:ilvl w:val="2"/>
          <w:numId w:val="32"/>
        </w:numPr>
        <w:rPr>
          <w:rFonts w:ascii="Arial" w:cs="Arial" w:eastAsia="Arial" w:hAnsi="Arial"/>
          <w:sz w:val="18"/>
          <w:szCs w:val="18"/>
          <w:color w:val="auto"/>
        </w:rPr>
      </w:pPr>
      <w:r>
        <w:rPr>
          <w:rFonts w:ascii="Arial" w:cs="Arial" w:eastAsia="Arial" w:hAnsi="Arial"/>
          <w:sz w:val="18"/>
          <w:szCs w:val="18"/>
          <w:color w:val="auto"/>
        </w:rPr>
        <w:t>A written undertaking, executed personally or on his or her behalf, to repay all amounts advanced without interest to the extent that it is ultimately determined that indemnification under Section 7.1(b)(2) is prohibited. The undertaking under this subsection shall be accepted without reference to the ability of the Director, Officer, Employee or Agent to repay the allowance. The undertaking shall be unsecured.</w:t>
      </w:r>
    </w:p>
    <w:p>
      <w:pPr>
        <w:spacing w:after="0" w:line="48" w:lineRule="exact"/>
        <w:rPr>
          <w:rFonts w:ascii="Arial" w:cs="Arial" w:eastAsia="Arial" w:hAnsi="Arial"/>
          <w:sz w:val="18"/>
          <w:szCs w:val="18"/>
          <w:color w:val="auto"/>
        </w:rPr>
      </w:pPr>
    </w:p>
    <w:p>
      <w:pPr>
        <w:ind w:left="237" w:hanging="237"/>
        <w:spacing w:after="0"/>
        <w:tabs>
          <w:tab w:leader="none" w:pos="2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Determination that Indemnification is Proper.</w:t>
      </w:r>
    </w:p>
    <w:p>
      <w:pPr>
        <w:spacing w:after="0" w:line="76" w:lineRule="exact"/>
        <w:rPr>
          <w:rFonts w:ascii="Arial" w:cs="Arial" w:eastAsia="Arial" w:hAnsi="Arial"/>
          <w:sz w:val="18"/>
          <w:szCs w:val="18"/>
          <w:color w:val="auto"/>
        </w:rPr>
      </w:pPr>
    </w:p>
    <w:p>
      <w:pPr>
        <w:ind w:left="17" w:firstLine="421"/>
        <w:spacing w:after="0" w:line="285" w:lineRule="auto"/>
        <w:tabs>
          <w:tab w:leader="none" w:pos="686"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Unless provided otherwise by a written agreement between the Director, Officer, Employee or Agent and the Corporation, determination of whether indemnification is required under subsection (b) shall be made by one of the following methods, which in the case of a Director or Officer seeking indemnification shall be selected by such Director or Officer: (i) by a majority vote of a quorum of the Board of Directors consisting of directors who are not at the time parties to the same or related proceedings or, if a quorum of disinterested directors cannot be obtained, by a majority vote of a committee duly appointed by the Board of Directors (which appointment by the Board may be made by directors who are parties to the proceeding) consisting solely of two or more directors who are not at the time parties to the same or related proceedings, (ii) by a panel of three arbitrators consisting of (a) one arbitrator selected by a quorum of the Board of Directors or its committee constituted as required under (i), above, or, if unable to obtain such a quorum or committee, by a majority vote of the full Board of Directors, including directors who are parties to the same or related proceedings, (b) one arbitrator selected by the person seeking indemnification and (c) one arbitrator selected by the other two arbitrators, (iii) by an affirmative vote of shareholders as provided under Section 2.9, except that shares owned by, or voted under the control of, persons who are at the time parties to the same or related proceedings, whether as plaintiffs or defendants or in any other capacity, may not be voted in making the determination, or (iv) by a court of competent jurisdiction as permitted under the Wisconsin business corporation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additional right to indemnification permissible under the Wisconsin business corporation law and granted by the Corporation, the determination of whether such additional right of indemnification is required shall be made by any method permissible under the Wisconsin business corporation law, as such methods may be limited by the grant of such additional right to indemnification.</w:t>
      </w:r>
    </w:p>
    <w:p>
      <w:pPr>
        <w:spacing w:after="0" w:line="31" w:lineRule="exact"/>
        <w:rPr>
          <w:rFonts w:ascii="Arial" w:cs="Arial" w:eastAsia="Arial" w:hAnsi="Arial"/>
          <w:sz w:val="16"/>
          <w:szCs w:val="16"/>
          <w:color w:val="auto"/>
        </w:rPr>
      </w:pPr>
    </w:p>
    <w:p>
      <w:pPr>
        <w:ind w:left="17" w:right="140" w:firstLine="421"/>
        <w:spacing w:after="0" w:line="259" w:lineRule="auto"/>
        <w:tabs>
          <w:tab w:leader="none" w:pos="68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Director, Officer, Employee or Agent who seeks indemnification under this Section 7.1 shall make a written request to the Corporation. As a further precondition to any right to receive indemnification, the writing shall contain a declaration that the Corporation shall have the right to exercise all rights</w:t>
      </w:r>
    </w:p>
    <w:p>
      <w:pPr>
        <w:spacing w:after="0" w:line="127"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17"/>
          </w:cols>
          <w:pgMar w:left="1143" w:top="280" w:right="239" w:bottom="1440" w:gutter="0" w:footer="0" w:header="0"/>
        </w:sectPr>
      </w:pPr>
    </w:p>
    <w:bookmarkStart w:id="47" w:name="page48"/>
    <w:bookmarkEnd w:id="47"/>
    <w:p>
      <w:pPr>
        <w:ind w:left="92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remedies available to such Director, Officer, Employee or Agent against any other person, corporation, foreign corporation, partnership, joint venture, trust or other enterprise, arising out of, or related to, the Proceeding which resulted in the Liability and the Expense for which such Director, Officer, Employee or Agent is seeking indemnification, and that the Director, Officer, Employee or Agent is hereby deemed to have assigned to the Corporation all such rights and remedies.</w:t>
      </w:r>
    </w:p>
    <w:p>
      <w:pPr>
        <w:spacing w:after="0" w:line="49" w:lineRule="exact"/>
        <w:rPr>
          <w:sz w:val="20"/>
          <w:szCs w:val="20"/>
          <w:color w:val="auto"/>
        </w:rPr>
      </w:pPr>
    </w:p>
    <w:p>
      <w:pPr>
        <w:ind w:left="460" w:right="480" w:firstLine="443"/>
        <w:spacing w:after="0" w:line="306" w:lineRule="auto"/>
        <w:tabs>
          <w:tab w:leader="none" w:pos="1147"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Corporation shall have the power to purchase and maintain insurance on behalf of any person who is a Director, Officer, Employee or Agent against any Liability asserted against or incurred by the individual in any such capacity or arising out of his or her status as such, regardless of whether the Corporation is required or authorized to indemnify or allow expenses to the individual under this Section 7.1.</w:t>
      </w:r>
    </w:p>
    <w:p>
      <w:pPr>
        <w:spacing w:after="0" w:line="12" w:lineRule="exact"/>
        <w:rPr>
          <w:rFonts w:ascii="Arial" w:cs="Arial" w:eastAsia="Arial" w:hAnsi="Arial"/>
          <w:sz w:val="16"/>
          <w:szCs w:val="16"/>
          <w:color w:val="auto"/>
        </w:rPr>
      </w:pPr>
    </w:p>
    <w:p>
      <w:pPr>
        <w:jc w:val="both"/>
        <w:ind w:left="460" w:right="460" w:firstLine="443"/>
        <w:spacing w:after="0" w:line="259" w:lineRule="auto"/>
        <w:tabs>
          <w:tab w:leader="none" w:pos="113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Section 7.1 shall not apply in any circumstance where a court of competent jurisdiction determines that indemnification would be invalid as against public policy, but such provisions shall not apply only to the extent that they are invalid as against public policy and shall otherwise remain in full force and effect.</w:t>
      </w:r>
    </w:p>
    <w:p>
      <w:pPr>
        <w:spacing w:after="0" w:line="45" w:lineRule="exact"/>
        <w:rPr>
          <w:rFonts w:ascii="Arial" w:cs="Arial" w:eastAsia="Arial" w:hAnsi="Arial"/>
          <w:sz w:val="18"/>
          <w:szCs w:val="18"/>
          <w:color w:val="auto"/>
        </w:rPr>
      </w:pPr>
    </w:p>
    <w:p>
      <w:pPr>
        <w:ind w:left="460" w:firstLine="443"/>
        <w:spacing w:after="0" w:line="255" w:lineRule="auto"/>
        <w:tabs>
          <w:tab w:leader="none" w:pos="111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Limitation or Expansion of Indemnification</w:t>
      </w:r>
      <w:r>
        <w:rPr>
          <w:rFonts w:ascii="Arial" w:cs="Arial" w:eastAsia="Arial" w:hAnsi="Arial"/>
          <w:sz w:val="18"/>
          <w:szCs w:val="18"/>
          <w:color w:val="auto"/>
        </w:rPr>
        <w:t>. The right to indemnification under this Section 7.1 may be limited or reduced only by subsequent affirmative vote of not less than two-thirds of the Corporation’s outstanding capital stock entitled to vote on such matters. Any limitation or reduction in the right to indemnification may only be prospective from the date of such vote. The Board of Directors, however, shall have the authority to expand the indemnification permitted under this Section 7.1 to the fullest extent permissible under the Wisconsin business corporation law as in effect on the date of any such resolution with or without further amendment to this Section 7.1.</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 AMENDMENTS</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Amendment by the Board of Directors</w:t>
      </w:r>
      <w:r>
        <w:rPr>
          <w:rFonts w:ascii="Arial" w:cs="Arial" w:eastAsia="Arial" w:hAnsi="Arial"/>
          <w:sz w:val="18"/>
          <w:szCs w:val="18"/>
          <w:color w:val="auto"/>
        </w:rPr>
        <w:t>. The By-Laws of the Corporation may be amended or repealed by the Board of Directors unless any of the following apply:</w:t>
      </w:r>
    </w:p>
    <w:p>
      <w:pPr>
        <w:spacing w:after="0" w:line="37" w:lineRule="exact"/>
        <w:rPr>
          <w:sz w:val="20"/>
          <w:szCs w:val="20"/>
          <w:color w:val="auto"/>
        </w:rPr>
      </w:pPr>
    </w:p>
    <w:p>
      <w:pPr>
        <w:ind w:left="460" w:right="80" w:firstLine="443"/>
        <w:spacing w:after="0" w:line="268" w:lineRule="auto"/>
        <w:tabs>
          <w:tab w:leader="none" w:pos="11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Articles of Incorporation, the particular by-law or the Wisconsin business corporation law reserve this power exclusively to the shareholders in whole or part;</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shareholders in adopting, amending, or repealing a particular by-law provide expressly within the by-law that the Board of Directors may not amend, repeal or readopt that by-law; or</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by-law fixes a greater or lower quorum requirement or greater voting requirement for shareholders.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48" w:name="page49"/>
    <w:bookmarkEnd w:id="48"/>
    <w:p>
      <w:pPr>
        <w:ind w:righ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Action by the Board of Directors to adopt or amend a by-law that changes the quorum or voting requirement for the Board of Directors must meet the same quorum requirement and be adopted by the same vote required to take action under the quorum and voting requirement then in effect.</w:t>
      </w:r>
    </w:p>
    <w:p>
      <w:pPr>
        <w:spacing w:after="0" w:line="7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Amendment by the Corporation’s Shareholders</w:t>
      </w:r>
      <w:r>
        <w:rPr>
          <w:rFonts w:ascii="Arial" w:cs="Arial" w:eastAsia="Arial" w:hAnsi="Arial"/>
          <w:sz w:val="18"/>
          <w:szCs w:val="18"/>
          <w:color w:val="auto"/>
        </w:rPr>
        <w:t>. The Corporation’s shareholders may amend or repeal the Corporation’s By-Laws or adopt new by-laws even though the Board of Directors may also amend or repeal the Corporation’s By-Laws or adopt new by-laws. The adoption or amendment of a by-law that adds, changes or deletes a greater or lower quorum requirement or a greater voting requirement for shareholders or the Board of Directors must meet the same quorum and voting requirement then in effect.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 CORPORATE SEAL</w:t>
      </w:r>
    </w:p>
    <w:p>
      <w:pPr>
        <w:spacing w:after="0" w:line="158"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may provide for a corporate seal which may be circular in form and have inscribed thereon any designation including the name of the Corporation, Wisconsin as the state of incorporation, and the words “Corporate Seal.” Any instrument executed in the corporate name by the proper officers of the Corporation under any seal, including the words “Seal,” “Corporate Seal” or similar designation, is sealed even though the corporate seal is not used.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 EMERGENCY BY-LAWS</w:t>
      </w:r>
    </w:p>
    <w:p>
      <w:pPr>
        <w:spacing w:after="0" w:line="1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Emergency By-Laws</w:t>
      </w:r>
      <w:r>
        <w:rPr>
          <w:rFonts w:ascii="Arial" w:cs="Arial" w:eastAsia="Arial" w:hAnsi="Arial"/>
          <w:sz w:val="16"/>
          <w:szCs w:val="16"/>
          <w:color w:val="auto"/>
        </w:rPr>
        <w:t>. Unless the Articles of Incorporation provide otherwise, the following provisions of this Article X shall be effective during an “Emergency,” which is defined as a catastrophic event that prevents a quorum of the Corporation’s directors from being readily assembled.</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Notice of Board Meetings</w:t>
      </w:r>
      <w:r>
        <w:rPr>
          <w:rFonts w:ascii="Arial" w:cs="Arial" w:eastAsia="Arial" w:hAnsi="Arial"/>
          <w:sz w:val="18"/>
          <w:szCs w:val="18"/>
          <w:color w:val="auto"/>
        </w:rPr>
        <w:t>. During an Emergency, any one member of the Board of Directors or any one of the following officers: Chairman of the Board, President and Chief Executive Officer, any Vice-President or Secretary, may call a meeting of the Board of Directors. Notice of such meeting need be given only to those directors whom it is practicable to reach, and may be given in any practical manner, including by publication or radio. Such notice shall be given at least six hours prior to commencement of the meeting.</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Temporary Directors and Quorum</w:t>
      </w:r>
      <w:r>
        <w:rPr>
          <w:rFonts w:ascii="Arial" w:cs="Arial" w:eastAsia="Arial" w:hAnsi="Arial"/>
          <w:sz w:val="16"/>
          <w:szCs w:val="16"/>
          <w:color w:val="auto"/>
        </w:rPr>
        <w:t>. One or more officers of the Corporation present at the Emergency meeting of the Board of Directors, as is necessary to achieve a quorum, shall be considered to be directors for the meeting, and shall so serve in order of rank, and within the same rank, in order of seniority. In the event that less than a quorum (as determined by Section 3.11) of the directors are present (including any officers who are to serve as directors for the meeting), those directors present (including the officers serving as directors) shall constitute a quorum.</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Actions Permitted To Be Taken</w:t>
      </w:r>
      <w:r>
        <w:rPr>
          <w:rFonts w:ascii="Arial" w:cs="Arial" w:eastAsia="Arial" w:hAnsi="Arial"/>
          <w:sz w:val="16"/>
          <w:szCs w:val="16"/>
          <w:color w:val="auto"/>
        </w:rPr>
        <w:t>. The board as constituted in Section 10.3, and after notice as set forth in Section 10.2 may: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49" w:name="page50"/>
    <w:bookmarkEnd w:id="49"/>
    <w:p>
      <w:pPr>
        <w:ind w:left="1140" w:hanging="237"/>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Officers’ Powers</w:t>
      </w:r>
      <w:r>
        <w:rPr>
          <w:rFonts w:ascii="Arial" w:cs="Arial" w:eastAsia="Arial" w:hAnsi="Arial"/>
          <w:sz w:val="18"/>
          <w:szCs w:val="18"/>
          <w:color w:val="auto"/>
        </w:rPr>
        <w:t>. Prescribe emergency powers to any officers of the Corporation;</w:t>
      </w:r>
    </w:p>
    <w:p>
      <w:pPr>
        <w:spacing w:after="0" w:line="157"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Delegation of Any Power</w:t>
      </w:r>
      <w:r>
        <w:rPr>
          <w:rFonts w:ascii="Arial" w:cs="Arial" w:eastAsia="Arial" w:hAnsi="Arial"/>
          <w:sz w:val="18"/>
          <w:szCs w:val="18"/>
          <w:color w:val="auto"/>
        </w:rPr>
        <w:t>. Delegate to any officer or director, any of the powers of the Board of Directors;</w:t>
      </w:r>
    </w:p>
    <w:p>
      <w:pPr>
        <w:spacing w:after="0" w:line="157" w:lineRule="exact"/>
        <w:rPr>
          <w:rFonts w:ascii="Arial" w:cs="Arial" w:eastAsia="Arial" w:hAnsi="Arial"/>
          <w:sz w:val="18"/>
          <w:szCs w:val="18"/>
          <w:color w:val="auto"/>
        </w:rPr>
      </w:pPr>
    </w:p>
    <w:p>
      <w:pPr>
        <w:ind w:left="1140" w:hanging="237"/>
        <w:spacing w:after="0"/>
        <w:tabs>
          <w:tab w:leader="none" w:pos="1140"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Lines of Succession</w:t>
      </w:r>
      <w:r>
        <w:rPr>
          <w:rFonts w:ascii="Arial" w:cs="Arial" w:eastAsia="Arial" w:hAnsi="Arial"/>
          <w:sz w:val="15"/>
          <w:szCs w:val="15"/>
          <w:color w:val="auto"/>
        </w:rPr>
        <w:t>. Designate lines of succession of officers and agents, in the event that any of them are unable to discharge their duties;</w:t>
      </w:r>
    </w:p>
    <w:p>
      <w:pPr>
        <w:spacing w:after="0" w:line="192" w:lineRule="exact"/>
        <w:rPr>
          <w:rFonts w:ascii="Arial" w:cs="Arial" w:eastAsia="Arial" w:hAnsi="Arial"/>
          <w:sz w:val="15"/>
          <w:szCs w:val="15"/>
          <w:color w:val="auto"/>
        </w:rPr>
      </w:pPr>
    </w:p>
    <w:p>
      <w:pPr>
        <w:ind w:left="460" w:right="120" w:firstLine="443"/>
        <w:spacing w:after="0" w:line="268" w:lineRule="auto"/>
        <w:tabs>
          <w:tab w:leader="none" w:pos="114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Relocate Principal Place of Business</w:t>
      </w:r>
      <w:r>
        <w:rPr>
          <w:rFonts w:ascii="Arial" w:cs="Arial" w:eastAsia="Arial" w:hAnsi="Arial"/>
          <w:sz w:val="18"/>
          <w:szCs w:val="18"/>
          <w:color w:val="auto"/>
        </w:rPr>
        <w:t>. Relocate the principal place of business, or designate successive or simultaneous principal places of business; and</w:t>
      </w:r>
    </w:p>
    <w:p>
      <w:pPr>
        <w:spacing w:after="0" w:line="118" w:lineRule="exact"/>
        <w:rPr>
          <w:rFonts w:ascii="Arial" w:cs="Arial" w:eastAsia="Arial" w:hAnsi="Arial"/>
          <w:sz w:val="18"/>
          <w:szCs w:val="18"/>
          <w:color w:val="auto"/>
        </w:rPr>
      </w:pPr>
    </w:p>
    <w:p>
      <w:pPr>
        <w:ind w:left="1140" w:hanging="237"/>
        <w:spacing w:after="0"/>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All Other Action</w:t>
      </w:r>
      <w:r>
        <w:rPr>
          <w:rFonts w:ascii="Arial" w:cs="Arial" w:eastAsia="Arial" w:hAnsi="Arial"/>
          <w:sz w:val="16"/>
          <w:szCs w:val="16"/>
          <w:color w:val="auto"/>
        </w:rPr>
        <w:t>. Take any and all other action, convenient, helpful, or necessary to carry on the business of the Corporation.</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Corporate action taken in good faith in accordance with the emergency by-laws binds the Corporation and may not be used to impose liability on any of the Corporation’s directors, officers, employees or agents.</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240" w:top="280" w:right="7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12.1</w:t>
      </w:r>
    </w:p>
    <w:p>
      <w:pPr>
        <w:spacing w:after="0" w:line="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gridSpan w:val="9"/>
          </w:tcPr>
          <w:p>
            <w:pPr>
              <w:jc w:val="center"/>
              <w:ind w:left="2472"/>
              <w:spacing w:after="0"/>
              <w:rPr>
                <w:sz w:val="20"/>
                <w:szCs w:val="20"/>
                <w:color w:val="auto"/>
              </w:rPr>
            </w:pPr>
            <w:r>
              <w:rPr>
                <w:rFonts w:ascii="Arial" w:cs="Arial" w:eastAsia="Arial" w:hAnsi="Arial"/>
                <w:sz w:val="18"/>
                <w:szCs w:val="18"/>
                <w:b w:val="1"/>
                <w:bCs w:val="1"/>
                <w:color w:val="auto"/>
                <w:w w:val="98"/>
              </w:rPr>
              <w:t>STATEMENT REGARDING COMPUTATION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40" w:type="dxa"/>
            <w:vAlign w:val="bottom"/>
            <w:gridSpan w:val="9"/>
          </w:tcPr>
          <w:p>
            <w:pPr>
              <w:jc w:val="center"/>
              <w:ind w:left="2472"/>
              <w:spacing w:after="0"/>
              <w:rPr>
                <w:sz w:val="20"/>
                <w:szCs w:val="20"/>
                <w:color w:val="auto"/>
              </w:rPr>
            </w:pPr>
            <w:r>
              <w:rPr>
                <w:rFonts w:ascii="Arial" w:cs="Arial" w:eastAsia="Arial" w:hAnsi="Arial"/>
                <w:sz w:val="18"/>
                <w:szCs w:val="18"/>
                <w:b w:val="1"/>
                <w:bCs w:val="1"/>
                <w:color w:val="auto"/>
                <w:w w:val="97"/>
              </w:rPr>
              <w:t>OF RATIO OF EARNINGS TO FIXED CHARGES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0" w:type="dxa"/>
            <w:vAlign w:val="bottom"/>
            <w:gridSpan w:val="4"/>
          </w:tcPr>
          <w:p>
            <w:pPr>
              <w:jc w:val="center"/>
              <w:ind w:left="12"/>
              <w:spacing w:after="0"/>
              <w:rPr>
                <w:sz w:val="20"/>
                <w:szCs w:val="20"/>
                <w:color w:val="auto"/>
              </w:rPr>
            </w:pPr>
            <w:r>
              <w:rPr>
                <w:rFonts w:ascii="Arial" w:cs="Arial" w:eastAsia="Arial" w:hAnsi="Arial"/>
                <w:sz w:val="18"/>
                <w:szCs w:val="18"/>
                <w:color w:val="auto"/>
                <w:w w:val="95"/>
              </w:rPr>
              <w:t>MANPOWER INC.</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00" w:type="dxa"/>
            <w:vAlign w:val="bottom"/>
            <w:gridSpan w:val="4"/>
          </w:tcPr>
          <w:p>
            <w:pPr>
              <w:jc w:val="center"/>
              <w:ind w:left="32"/>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5"/>
          </w:tcPr>
          <w:p>
            <w:pPr>
              <w:ind w:left="80"/>
              <w:spacing w:after="0"/>
              <w:rPr>
                <w:sz w:val="20"/>
                <w:szCs w:val="20"/>
                <w:color w:val="auto"/>
              </w:rPr>
            </w:pPr>
            <w:r>
              <w:rPr>
                <w:rFonts w:ascii="Arial" w:cs="Arial" w:eastAsia="Arial" w:hAnsi="Arial"/>
                <w:sz w:val="14"/>
                <w:szCs w:val="14"/>
                <w:b w:val="1"/>
                <w:bCs w:val="1"/>
                <w:color w:val="auto"/>
                <w:w w:val="85"/>
              </w:rPr>
              <w:t>6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June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20"/>
              <w:spacing w:after="0"/>
              <w:rPr>
                <w:sz w:val="20"/>
                <w:szCs w:val="20"/>
                <w:color w:val="auto"/>
              </w:rPr>
            </w:pPr>
            <w:r>
              <w:rPr>
                <w:rFonts w:ascii="Arial" w:cs="Arial" w:eastAsia="Arial" w:hAnsi="Arial"/>
                <w:sz w:val="18"/>
                <w:szCs w:val="18"/>
                <w:color w:val="auto"/>
              </w:rPr>
              <w:t>Earnings before income taxes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charges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20"/>
              <w:spacing w:after="0"/>
              <w:rPr>
                <w:sz w:val="20"/>
                <w:szCs w:val="20"/>
                <w:color w:val="auto"/>
              </w:rPr>
            </w:pPr>
            <w:r>
              <w:rPr>
                <w:rFonts w:ascii="Arial" w:cs="Arial" w:eastAsia="Arial" w:hAnsi="Arial"/>
                <w:sz w:val="18"/>
                <w:szCs w:val="18"/>
                <w:color w:val="auto"/>
              </w:rPr>
              <w:t>Interest (expensed or capitalized)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Estimated interest portion of rent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7"/>
            <w:vMerge w:val="restart"/>
          </w:tcPr>
          <w:p>
            <w:pPr>
              <w:ind w:left="400"/>
              <w:spacing w:after="0"/>
              <w:rPr>
                <w:sz w:val="20"/>
                <w:szCs w:val="20"/>
                <w:color w:val="auto"/>
              </w:rPr>
            </w:pPr>
            <w:r>
              <w:rPr>
                <w:rFonts w:ascii="Arial" w:cs="Arial" w:eastAsia="Arial" w:hAnsi="Arial"/>
                <w:sz w:val="14"/>
                <w:szCs w:val="14"/>
                <w:b w:val="1"/>
                <w:bCs w:val="1"/>
                <w:color w:val="auto"/>
                <w:w w:val="85"/>
              </w:rPr>
              <w:t>Years Ended December 31,</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2002</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2001</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1999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20"/>
              <w:spacing w:after="0"/>
              <w:rPr>
                <w:sz w:val="20"/>
                <w:szCs w:val="20"/>
                <w:color w:val="auto"/>
              </w:rPr>
            </w:pPr>
            <w:r>
              <w:rPr>
                <w:rFonts w:ascii="Arial" w:cs="Arial" w:eastAsia="Arial" w:hAnsi="Arial"/>
                <w:sz w:val="18"/>
                <w:szCs w:val="18"/>
                <w:color w:val="auto"/>
              </w:rPr>
              <w:t>Earnings before income taxes</w:t>
            </w:r>
          </w:p>
        </w:tc>
        <w:tc>
          <w:tcPr>
            <w:tcW w:w="1020" w:type="dxa"/>
            <w:vAlign w:val="bottom"/>
            <w:gridSpan w:val="2"/>
          </w:tcPr>
          <w:p>
            <w:pPr>
              <w:jc w:val="center"/>
              <w:ind w:left="81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222.1</w:t>
            </w:r>
          </w:p>
        </w:tc>
        <w:tc>
          <w:tcPr>
            <w:tcW w:w="3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188.0</w:t>
            </w:r>
          </w:p>
        </w:tc>
        <w:tc>
          <w:tcPr>
            <w:tcW w:w="500" w:type="dxa"/>
            <w:vAlign w:val="bottom"/>
          </w:tcPr>
          <w:p>
            <w:pPr>
              <w:spacing w:after="0"/>
              <w:rPr>
                <w:sz w:val="18"/>
                <w:szCs w:val="18"/>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197.9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center"/>
              <w:ind w:left="15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charges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347.1</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304.5</w:t>
            </w:r>
          </w:p>
        </w:tc>
        <w:tc>
          <w:tcPr>
            <w:tcW w:w="50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20"/>
              <w:spacing w:after="0"/>
              <w:rPr>
                <w:sz w:val="20"/>
                <w:szCs w:val="20"/>
                <w:color w:val="auto"/>
              </w:rPr>
            </w:pPr>
            <w:r>
              <w:rPr>
                <w:rFonts w:ascii="Arial" w:cs="Arial" w:eastAsia="Arial" w:hAnsi="Arial"/>
                <w:sz w:val="18"/>
                <w:szCs w:val="18"/>
                <w:color w:val="auto"/>
              </w:rPr>
              <w:t>Interest (expensed or capitalized)</w:t>
            </w:r>
          </w:p>
        </w:tc>
        <w:tc>
          <w:tcPr>
            <w:tcW w:w="1020" w:type="dxa"/>
            <w:vAlign w:val="bottom"/>
            <w:gridSpan w:val="2"/>
          </w:tcPr>
          <w:p>
            <w:pPr>
              <w:jc w:val="center"/>
              <w:ind w:left="81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41.4</w:t>
            </w:r>
          </w:p>
        </w:tc>
        <w:tc>
          <w:tcPr>
            <w:tcW w:w="3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42.4</w:t>
            </w:r>
          </w:p>
        </w:tc>
        <w:tc>
          <w:tcPr>
            <w:tcW w:w="500" w:type="dxa"/>
            <w:vAlign w:val="bottom"/>
          </w:tcPr>
          <w:p>
            <w:pPr>
              <w:spacing w:after="0"/>
              <w:rPr>
                <w:sz w:val="18"/>
                <w:szCs w:val="18"/>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center"/>
              <w:ind w:left="15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Estimated interest portion of rent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116.5</w:t>
            </w:r>
          </w:p>
        </w:tc>
        <w:tc>
          <w:tcPr>
            <w:tcW w:w="50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-3776980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-3776980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-3776980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-2919095</wp:posOffset>
            </wp:positionV>
            <wp:extent cx="60452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-2619375</wp:posOffset>
            </wp:positionV>
            <wp:extent cx="60452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-1186815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-1186815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-1186815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-1186815</wp:posOffset>
            </wp:positionV>
            <wp:extent cx="32131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-1186815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-1186815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-1186815</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-1186815</wp:posOffset>
            </wp:positionV>
            <wp:extent cx="32131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-1186815</wp:posOffset>
            </wp:positionV>
            <wp:extent cx="32131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-329565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-329565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-329565</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-329565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-329565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-329565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-329565</wp:posOffset>
            </wp:positionV>
            <wp:extent cx="32131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-329565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-329565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-329565</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-329565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-329565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-329565</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32131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19" w:lineRule="exact"/>
        <w:rPr>
          <w:sz w:val="20"/>
          <w:szCs w:val="20"/>
          <w:color w:val="auto"/>
        </w:rPr>
      </w:pPr>
    </w:p>
    <w:p>
      <w:pPr>
        <w:ind w:left="460" w:right="340" w:hanging="445"/>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calculation of ratio of earnings to fixed charges set forth above is in accordance with Regulation S-K, Item 601(b)(12). This calculation is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fixed charge ratio that is required by our various borrowing facilities.</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jc w:val="right"/>
        <w:ind w:right="5020"/>
        <w:spacing w:after="0"/>
        <w:rPr>
          <w:sz w:val="20"/>
          <w:szCs w:val="20"/>
          <w:color w:val="auto"/>
        </w:rPr>
      </w:pPr>
      <w:r>
        <w:rPr>
          <w:rFonts w:ascii="Arial" w:cs="Arial" w:eastAsia="Arial" w:hAnsi="Arial"/>
          <w:sz w:val="16"/>
          <w:szCs w:val="16"/>
          <w:color w:val="auto"/>
        </w:rPr>
        <w:t>I, Jeffrey A. Joerres, Chairman and Chief Executive Officer of Manpower Inc., certify that:</w:t>
      </w:r>
    </w:p>
    <w:p>
      <w:pPr>
        <w:spacing w:after="0" w:line="100"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460" w:hanging="446"/>
        <w:spacing w:after="0" w:line="325"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3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20" w:hanging="446"/>
        <w:spacing w:after="0" w:line="325"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2976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77"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460" w:hanging="446"/>
        <w:spacing w:after="0" w:line="325"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3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20" w:hanging="446"/>
        <w:spacing w:after="0" w:line="325"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2976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37" w:lineRule="exact"/>
        <w:rPr>
          <w:sz w:val="20"/>
          <w:szCs w:val="20"/>
          <w:color w:val="auto"/>
        </w:rPr>
      </w:pPr>
    </w:p>
    <w:p>
      <w:pPr>
        <w:ind w:left="900" w:right="18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2004 fully complies with the requirements of Section 13(a) or 15(d), as applicable, of the Securities Exchange Act of 1934,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2976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37" w:lineRule="exact"/>
        <w:rPr>
          <w:sz w:val="20"/>
          <w:szCs w:val="20"/>
          <w:color w:val="auto"/>
        </w:rPr>
      </w:pPr>
    </w:p>
    <w:p>
      <w:pPr>
        <w:ind w:left="900" w:right="18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2004 fully complies with the requirements of Section 13(a) or 15(d), as applicable, of the Securities Exchange Act of 1934,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92976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6"/>
    </w:lvl>
  </w:abstractNum>
  <w:abstractNum w:abstractNumId="8">
    <w:nsid w:val="8EDBDAB"/>
    <w:multiLevelType w:val="hybridMultilevel"/>
    <w:lvl w:ilvl="0">
      <w:lvlJc w:val="left"/>
      <w:lvlText w:val="(%1)"/>
      <w:numFmt w:val="decimal"/>
      <w:start w:val="7"/>
    </w:lvl>
  </w:abstractNum>
  <w:abstractNum w:abstractNumId="9">
    <w:nsid w:val="79838CB2"/>
    <w:multiLevelType w:val="hybridMultilevel"/>
    <w:lvl w:ilvl="0">
      <w:lvlJc w:val="left"/>
      <w:lvlText w:val="(%1)"/>
      <w:numFmt w:val="decimal"/>
      <w:start w:val="8"/>
    </w:lvl>
  </w:abstractNum>
  <w:abstractNum w:abstractNumId="10">
    <w:nsid w:val="4353D0CD"/>
    <w:multiLevelType w:val="hybridMultilevel"/>
    <w:lvl w:ilvl="0">
      <w:lvlJc w:val="left"/>
      <w:lvlText w:val="(%1)"/>
      <w:numFmt w:val="decimal"/>
      <w:start w:val="9"/>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2"/>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Roman"/>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1"/>
    </w:lvl>
    <w:lvl w:ilvl="1">
      <w:lvlJc w:val="left"/>
      <w:lvlText w:val="(%2)"/>
      <w:numFmt w:val="decimal"/>
      <w:start w:val="1"/>
    </w:lvl>
  </w:abstractNum>
  <w:abstractNum w:abstractNumId="21">
    <w:nsid w:val="7C3DBD3D"/>
    <w:multiLevelType w:val="hybridMultilevel"/>
    <w:lvl w:ilvl="0">
      <w:lvlJc w:val="left"/>
      <w:lvlText w:val="(%1)"/>
      <w:numFmt w:val="lowerLetter"/>
      <w:start w:val="3"/>
    </w:lvl>
    <w:lvl w:ilvl="1">
      <w:lvlJc w:val="left"/>
      <w:lvlText w:val="%2"/>
      <w:numFmt w:val="decimal"/>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2"/>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8"/>
    </w:lvl>
  </w:abstractNum>
  <w:abstractNum w:abstractNumId="27">
    <w:nsid w:val="614FD4A1"/>
    <w:multiLevelType w:val="hybridMultilevel"/>
    <w:lvl w:ilvl="0">
      <w:lvlJc w:val="left"/>
      <w:lvlText w:val="(%1)"/>
      <w:numFmt w:val="lowerRoman"/>
      <w:start w:val="3"/>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1"/>
    </w:lvl>
    <w:lvl w:ilvl="1">
      <w:lvlJc w:val="left"/>
      <w:lvlText w:val="(%2)"/>
      <w:numFmt w:val="decimal"/>
      <w:start w:val="1"/>
    </w:lvl>
  </w:abstractNum>
  <w:abstractNum w:abstractNumId="30">
    <w:nsid w:val="440BADF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1">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
    <w:nsid w:val="3804823E"/>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33">
    <w:nsid w:val="77465F01"/>
    <w:multiLevelType w:val="hybridMultilevel"/>
    <w:lvl w:ilvl="0">
      <w:lvlJc w:val="left"/>
      <w:lvlText w:val="(%1)"/>
      <w:numFmt w:val="lowerLetter"/>
      <w:start w:val="4"/>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2019-12-20T17:10:52Z</dcterms:created>
  <dcterms:modified xsi:type="dcterms:W3CDTF">2019-12-20T17:10:52Z</dcterms:modified>
</cp:coreProperties>
</file>