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FORM 8-K</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Date of Report (Date of earliest event reported): January 16, 2004 (January 16, 2004)</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15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9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24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431"/>
        </w:trPr>
        <w:tc>
          <w:tcPr>
            <w:tcW w:w="20" w:type="dxa"/>
            <w:vAlign w:val="bottom"/>
          </w:tcPr>
          <w:p>
            <w:pPr>
              <w:spacing w:after="0"/>
              <w:rPr>
                <w:sz w:val="24"/>
                <w:szCs w:val="24"/>
                <w:color w:val="auto"/>
              </w:rPr>
            </w:pPr>
          </w:p>
        </w:tc>
        <w:tc>
          <w:tcPr>
            <w:tcW w:w="3560" w:type="dxa"/>
            <w:vAlign w:val="bottom"/>
            <w:gridSpan w:val="4"/>
          </w:tcPr>
          <w:p>
            <w:pPr>
              <w:jc w:val="center"/>
              <w:ind w:right="560"/>
              <w:spacing w:after="0"/>
              <w:rPr>
                <w:sz w:val="20"/>
                <w:szCs w:val="20"/>
                <w:color w:val="auto"/>
              </w:rPr>
            </w:pPr>
            <w:r>
              <w:rPr>
                <w:rFonts w:ascii="Arial" w:cs="Arial" w:eastAsia="Arial" w:hAnsi="Arial"/>
                <w:sz w:val="22"/>
                <w:szCs w:val="22"/>
                <w:color w:val="auto"/>
                <w:w w:val="90"/>
              </w:rPr>
              <w:t>(State or other jurisdiction</w:t>
            </w:r>
          </w:p>
        </w:tc>
        <w:tc>
          <w:tcPr>
            <w:tcW w:w="2520" w:type="dxa"/>
            <w:vAlign w:val="bottom"/>
            <w:gridSpan w:val="3"/>
          </w:tcPr>
          <w:p>
            <w:pPr>
              <w:jc w:val="center"/>
              <w:ind w:right="1100"/>
              <w:spacing w:after="0"/>
              <w:rPr>
                <w:sz w:val="20"/>
                <w:szCs w:val="20"/>
                <w:color w:val="auto"/>
              </w:rPr>
            </w:pPr>
            <w:r>
              <w:rPr>
                <w:rFonts w:ascii="Arial" w:cs="Arial" w:eastAsia="Arial" w:hAnsi="Arial"/>
                <w:sz w:val="22"/>
                <w:szCs w:val="22"/>
                <w:color w:val="auto"/>
                <w:w w:val="91"/>
              </w:rPr>
              <w:t>(Commission</w:t>
            </w:r>
          </w:p>
        </w:tc>
        <w:tc>
          <w:tcPr>
            <w:tcW w:w="14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180" w:type="dxa"/>
            <w:vAlign w:val="bottom"/>
            <w:gridSpan w:val="3"/>
          </w:tcPr>
          <w:p>
            <w:pPr>
              <w:jc w:val="center"/>
              <w:ind w:right="920"/>
              <w:spacing w:after="0"/>
              <w:rPr>
                <w:sz w:val="20"/>
                <w:szCs w:val="20"/>
                <w:color w:val="auto"/>
              </w:rPr>
            </w:pPr>
            <w:r>
              <w:rPr>
                <w:rFonts w:ascii="Arial" w:cs="Arial" w:eastAsia="Arial" w:hAnsi="Arial"/>
                <w:sz w:val="22"/>
                <w:szCs w:val="22"/>
                <w:color w:val="auto"/>
                <w:w w:val="91"/>
              </w:rPr>
              <w:t>of incorporation)</w:t>
            </w:r>
          </w:p>
        </w:tc>
        <w:tc>
          <w:tcPr>
            <w:tcW w:w="2520" w:type="dxa"/>
            <w:vAlign w:val="bottom"/>
            <w:gridSpan w:val="3"/>
          </w:tcPr>
          <w:p>
            <w:pPr>
              <w:jc w:val="center"/>
              <w:ind w:right="1100"/>
              <w:spacing w:after="0"/>
              <w:rPr>
                <w:sz w:val="20"/>
                <w:szCs w:val="20"/>
                <w:color w:val="auto"/>
              </w:rPr>
            </w:pPr>
            <w:r>
              <w:rPr>
                <w:rFonts w:ascii="Arial" w:cs="Arial" w:eastAsia="Arial" w:hAnsi="Arial"/>
                <w:sz w:val="22"/>
                <w:szCs w:val="22"/>
                <w:color w:val="auto"/>
                <w:w w:val="92"/>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61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gridSpan w:val="3"/>
          </w:tcPr>
          <w:p>
            <w:pPr>
              <w:jc w:val="center"/>
              <w:ind w:right="540"/>
              <w:spacing w:after="0"/>
              <w:rPr>
                <w:sz w:val="20"/>
                <w:szCs w:val="20"/>
                <w:color w:val="auto"/>
              </w:rPr>
            </w:pPr>
            <w:r>
              <w:rPr>
                <w:rFonts w:ascii="Arial" w:cs="Arial" w:eastAsia="Arial" w:hAnsi="Arial"/>
                <w:sz w:val="22"/>
                <w:szCs w:val="22"/>
                <w:color w:val="auto"/>
                <w:w w:val="90"/>
              </w:rPr>
              <w:t>5301 North Ironwood Road</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right="360"/>
              <w:spacing w:after="0" w:line="224" w:lineRule="exact"/>
              <w:rPr>
                <w:sz w:val="20"/>
                <w:szCs w:val="20"/>
                <w:color w:val="auto"/>
              </w:rPr>
            </w:pPr>
            <w:r>
              <w:rPr>
                <w:rFonts w:ascii="Arial" w:cs="Arial" w:eastAsia="Arial" w:hAnsi="Arial"/>
                <w:sz w:val="22"/>
                <w:szCs w:val="22"/>
                <w:color w:val="auto"/>
                <w:w w:val="91"/>
              </w:rPr>
              <w:t>Milwaukee, Wisconsin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463"/>
        </w:trPr>
        <w:tc>
          <w:tcPr>
            <w:tcW w:w="3580" w:type="dxa"/>
            <w:vAlign w:val="bottom"/>
            <w:gridSpan w:val="5"/>
          </w:tcPr>
          <w:p>
            <w:pPr>
              <w:jc w:val="center"/>
              <w:ind w:right="140"/>
              <w:spacing w:after="0"/>
              <w:rPr>
                <w:sz w:val="20"/>
                <w:szCs w:val="20"/>
                <w:color w:val="auto"/>
              </w:rPr>
            </w:pPr>
            <w:r>
              <w:rPr>
                <w:rFonts w:ascii="Arial" w:cs="Arial" w:eastAsia="Arial" w:hAnsi="Arial"/>
                <w:sz w:val="22"/>
                <w:szCs w:val="22"/>
                <w:color w:val="auto"/>
                <w:w w:val="91"/>
              </w:rPr>
              <w:t>(Address of principal executive offices)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4"/>
          <w:szCs w:val="24"/>
          <w:color w:val="auto"/>
        </w:rPr>
      </w:pPr>
    </w:p>
    <w:p>
      <w:pPr>
        <w:spacing w:after="0" w:line="390" w:lineRule="exact"/>
        <w:rPr>
          <w:sz w:val="24"/>
          <w:szCs w:val="24"/>
          <w:color w:val="auto"/>
        </w:rPr>
      </w:pPr>
    </w:p>
    <w:p>
      <w:pPr>
        <w:ind w:left="1240"/>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40"/>
        <w:spacing w:after="0"/>
        <w:rPr>
          <w:sz w:val="20"/>
          <w:szCs w:val="20"/>
          <w:color w:val="auto"/>
        </w:rPr>
      </w:pPr>
      <w:r>
        <w:rPr>
          <w:rFonts w:ascii="Arial" w:cs="Arial" w:eastAsia="Arial" w:hAnsi="Arial"/>
          <w:sz w:val="22"/>
          <w:szCs w:val="22"/>
          <w:color w:val="auto"/>
        </w:rPr>
        <w:t xml:space="preserve">Item 5. </w:t>
      </w:r>
      <w:r>
        <w:rPr>
          <w:rFonts w:ascii="Arial" w:cs="Arial" w:eastAsia="Arial" w:hAnsi="Arial"/>
          <w:sz w:val="22"/>
          <w:szCs w:val="22"/>
          <w:u w:val="single" w:color="auto"/>
          <w:color w:val="auto"/>
        </w:rPr>
        <w:t>Other Events and Regulation FD Disclosure</w:t>
      </w:r>
      <w:r>
        <w:rPr>
          <w:rFonts w:ascii="Arial" w:cs="Arial" w:eastAsia="Arial" w:hAnsi="Arial"/>
          <w:sz w:val="22"/>
          <w:szCs w:val="22"/>
          <w:color w:val="auto"/>
        </w:rPr>
        <w:t>.</w:t>
      </w:r>
    </w:p>
    <w:p>
      <w:pPr>
        <w:spacing w:after="0" w:line="206" w:lineRule="exact"/>
        <w:rPr>
          <w:sz w:val="24"/>
          <w:szCs w:val="24"/>
          <w:color w:val="auto"/>
        </w:rPr>
      </w:pPr>
    </w:p>
    <w:p>
      <w:pPr>
        <w:ind w:firstLine="324"/>
        <w:spacing w:after="0" w:line="248" w:lineRule="auto"/>
        <w:rPr>
          <w:sz w:val="20"/>
          <w:szCs w:val="20"/>
          <w:color w:val="auto"/>
        </w:rPr>
      </w:pPr>
      <w:r>
        <w:rPr>
          <w:rFonts w:ascii="Arial" w:cs="Arial" w:eastAsia="Arial" w:hAnsi="Arial"/>
          <w:sz w:val="21"/>
          <w:szCs w:val="21"/>
          <w:color w:val="auto"/>
        </w:rPr>
        <w:t>On January 16, 2004, Manpower Inc. ("Manpower") and Right Management Consultants, Inc. ("Right") issued a press release announcing their determination pursuant to their previously announced merger agreement that Manpower will exchange 0.3874 of a share of Manpower common stock for each share of common stock of Right, based on the expectation that Manpower will first accept shares of Right common stock for exchange pursuant to the exchange offer at 12:00 midnight, New York City time, on the evening of January 21, 2004, the initial expiration date of the exchange offer. The press release is attached hereto as an exhibit and is incorporated herein by reference.</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22"/>
          <w:szCs w:val="22"/>
          <w:color w:val="auto"/>
        </w:rPr>
        <w:t xml:space="preserve">Item 7. </w:t>
      </w: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191" w:lineRule="exact"/>
        <w:rPr>
          <w:sz w:val="24"/>
          <w:szCs w:val="24"/>
          <w:color w:val="auto"/>
        </w:rPr>
      </w:pPr>
    </w:p>
    <w:tbl>
      <w:tblPr>
        <w:tblLayout w:type="fixed"/>
        <w:tblInd w:w="2140" w:type="dxa"/>
        <w:tblCellMar>
          <w:top w:w="0" w:type="dxa"/>
          <w:left w:w="0" w:type="dxa"/>
          <w:bottom w:w="0" w:type="dxa"/>
          <w:right w:w="0" w:type="dxa"/>
        </w:tblCellMar>
      </w:tblPr>
      <w:tr>
        <w:trPr>
          <w:trHeight w:val="253"/>
        </w:trPr>
        <w:tc>
          <w:tcPr>
            <w:tcW w:w="150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60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661"/>
        </w:trPr>
        <w:tc>
          <w:tcPr>
            <w:tcW w:w="1000" w:type="dxa"/>
            <w:vAlign w:val="bottom"/>
          </w:tcPr>
          <w:p>
            <w:pPr>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w w:val="86"/>
              </w:rPr>
              <w:t>Press Release dated January 16, 2004 (incorporated by reference</w:t>
            </w:r>
          </w:p>
        </w:tc>
      </w:tr>
      <w:tr>
        <w:trPr>
          <w:trHeight w:val="243"/>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0" w:type="dxa"/>
            <w:vAlign w:val="bottom"/>
            <w:gridSpan w:val="2"/>
          </w:tcPr>
          <w:p>
            <w:pPr>
              <w:spacing w:after="0" w:line="243" w:lineRule="exact"/>
              <w:rPr>
                <w:sz w:val="20"/>
                <w:szCs w:val="20"/>
                <w:color w:val="auto"/>
              </w:rPr>
            </w:pPr>
            <w:r>
              <w:rPr>
                <w:rFonts w:ascii="Arial" w:cs="Arial" w:eastAsia="Arial" w:hAnsi="Arial"/>
                <w:sz w:val="22"/>
                <w:szCs w:val="22"/>
                <w:color w:val="auto"/>
                <w:w w:val="92"/>
              </w:rPr>
              <w:t>to Manpower's filing pursuant to Rule 425 under the Securities</w:t>
            </w:r>
          </w:p>
        </w:tc>
      </w:tr>
      <w:tr>
        <w:trPr>
          <w:trHeight w:val="275"/>
        </w:trPr>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Act of 1933 on January 20, 2004).</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39"/>
        <w:spacing w:after="0"/>
        <w:rPr>
          <w:sz w:val="20"/>
          <w:szCs w:val="20"/>
          <w:color w:val="auto"/>
        </w:rPr>
      </w:pPr>
      <w:r>
        <w:rPr>
          <w:rFonts w:ascii="Arial" w:cs="Arial" w:eastAsia="Arial" w:hAnsi="Arial"/>
          <w:sz w:val="22"/>
          <w:szCs w:val="22"/>
          <w:u w:val="single" w:color="auto"/>
          <w:color w:val="auto"/>
        </w:rPr>
        <w:t>SIGNATURES</w:t>
      </w:r>
    </w:p>
    <w:p>
      <w:pPr>
        <w:spacing w:after="0" w:line="206" w:lineRule="exact"/>
        <w:rPr>
          <w:sz w:val="24"/>
          <w:szCs w:val="24"/>
          <w:color w:val="auto"/>
        </w:rPr>
      </w:pPr>
    </w:p>
    <w:p>
      <w:pPr>
        <w:ind w:right="80"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00"/>
          </w:cols>
          <w:pgMar w:left="240" w:top="685" w:right="359" w:bottom="0" w:gutter="0" w:footer="0" w:header="0"/>
        </w:sectPr>
      </w:pPr>
    </w:p>
    <w:bookmarkStart w:id="1" w:name="page2"/>
    <w:bookmarkEnd w:id="1"/>
    <w:p>
      <w:pPr>
        <w:spacing w:after="0"/>
        <w:tabs>
          <w:tab w:leader="none" w:pos="4280" w:val="left"/>
        </w:tabs>
        <w:rPr>
          <w:sz w:val="20"/>
          <w:szCs w:val="20"/>
          <w:color w:val="auto"/>
        </w:rPr>
      </w:pPr>
      <w:r>
        <w:rPr>
          <w:rFonts w:ascii="Arial" w:cs="Arial" w:eastAsia="Arial" w:hAnsi="Arial"/>
          <w:sz w:val="22"/>
          <w:szCs w:val="22"/>
          <w:color w:val="auto"/>
        </w:rPr>
        <w:t>Dated: January 16, 2004</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4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2934970</wp:posOffset>
            </wp:positionH>
            <wp:positionV relativeFrom="paragraph">
              <wp:posOffset>-17780</wp:posOffset>
            </wp:positionV>
            <wp:extent cx="2442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Michael J. Van Handel</w:t>
      </w:r>
    </w:p>
    <w:p>
      <w:pPr>
        <w:ind w:left="4860"/>
        <w:spacing w:after="0" w:line="234" w:lineRule="auto"/>
        <w:rPr>
          <w:sz w:val="20"/>
          <w:szCs w:val="20"/>
          <w:color w:val="auto"/>
        </w:rPr>
      </w:pPr>
      <w:r>
        <w:rPr>
          <w:rFonts w:ascii="Arial" w:cs="Arial" w:eastAsia="Arial" w:hAnsi="Arial"/>
          <w:sz w:val="22"/>
          <w:szCs w:val="22"/>
          <w:color w:val="auto"/>
        </w:rPr>
        <w:t>Executive Vice President, Chief Financial</w:t>
      </w:r>
    </w:p>
    <w:p>
      <w:pPr>
        <w:ind w:left="4860"/>
        <w:spacing w:after="0"/>
        <w:rPr>
          <w:sz w:val="20"/>
          <w:szCs w:val="20"/>
          <w:color w:val="auto"/>
        </w:rPr>
      </w:pPr>
      <w:r>
        <w:rPr>
          <w:rFonts w:ascii="Arial" w:cs="Arial" w:eastAsia="Arial" w:hAnsi="Arial"/>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100" w:type="dxa"/>
        <w:tblCellMar>
          <w:top w:w="0" w:type="dxa"/>
          <w:left w:w="0" w:type="dxa"/>
          <w:bottom w:w="0" w:type="dxa"/>
          <w:right w:w="0" w:type="dxa"/>
        </w:tblCellMar>
      </w:tblPr>
      <w:tr>
        <w:trPr>
          <w:trHeight w:val="275"/>
        </w:trPr>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580" w:type="dxa"/>
            <w:vAlign w:val="bottom"/>
          </w:tcPr>
          <w:p>
            <w:pPr>
              <w:ind w:left="360"/>
              <w:spacing w:after="0"/>
              <w:rPr>
                <w:sz w:val="20"/>
                <w:szCs w:val="20"/>
                <w:color w:val="auto"/>
              </w:rPr>
            </w:pPr>
            <w:r>
              <w:rPr>
                <w:rFonts w:ascii="Arial" w:cs="Arial" w:eastAsia="Arial" w:hAnsi="Arial"/>
                <w:sz w:val="22"/>
                <w:szCs w:val="22"/>
                <w:color w:val="auto"/>
              </w:rPr>
              <w:t>EXHIBIT INDEX</w:t>
            </w:r>
          </w:p>
        </w:tc>
      </w:tr>
      <w:tr>
        <w:trPr>
          <w:trHeight w:val="881"/>
        </w:trPr>
        <w:tc>
          <w:tcPr>
            <w:tcW w:w="144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55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39"/>
        </w:trPr>
        <w:tc>
          <w:tcPr>
            <w:tcW w:w="1000" w:type="dxa"/>
            <w:vAlign w:val="bottom"/>
          </w:tcPr>
          <w:p>
            <w:pPr>
              <w:spacing w:after="0"/>
              <w:rPr>
                <w:sz w:val="20"/>
                <w:szCs w:val="20"/>
                <w:color w:val="auto"/>
              </w:rPr>
            </w:pPr>
            <w:r>
              <w:rPr>
                <w:rFonts w:ascii="Arial" w:cs="Arial" w:eastAsia="Arial" w:hAnsi="Arial"/>
                <w:sz w:val="22"/>
                <w:szCs w:val="22"/>
                <w:color w:val="auto"/>
              </w:rPr>
              <w:t>99.1</w:t>
            </w:r>
          </w:p>
        </w:tc>
        <w:tc>
          <w:tcPr>
            <w:tcW w:w="44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22"/>
                <w:szCs w:val="22"/>
                <w:color w:val="auto"/>
                <w:w w:val="86"/>
              </w:rPr>
              <w:t>Press Release dated January 16, 2004 (incorporated by reference</w:t>
            </w:r>
          </w:p>
        </w:tc>
      </w:tr>
      <w:tr>
        <w:trPr>
          <w:trHeight w:val="243"/>
        </w:trPr>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580" w:type="dxa"/>
            <w:vAlign w:val="bottom"/>
            <w:gridSpan w:val="2"/>
          </w:tcPr>
          <w:p>
            <w:pPr>
              <w:spacing w:after="0" w:line="243" w:lineRule="exact"/>
              <w:rPr>
                <w:sz w:val="20"/>
                <w:szCs w:val="20"/>
                <w:color w:val="auto"/>
              </w:rPr>
            </w:pPr>
            <w:r>
              <w:rPr>
                <w:rFonts w:ascii="Arial" w:cs="Arial" w:eastAsia="Arial" w:hAnsi="Arial"/>
                <w:sz w:val="22"/>
                <w:szCs w:val="22"/>
                <w:color w:val="auto"/>
                <w:w w:val="91"/>
              </w:rPr>
              <w:t>to Manpower's filing pursuant to Rule 425 under the Securities</w:t>
            </w:r>
          </w:p>
        </w:tc>
      </w:tr>
      <w:tr>
        <w:trPr>
          <w:trHeight w:val="275"/>
        </w:trPr>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580" w:type="dxa"/>
            <w:vAlign w:val="bottom"/>
            <w:gridSpan w:val="2"/>
          </w:tcPr>
          <w:p>
            <w:pPr>
              <w:spacing w:after="0"/>
              <w:rPr>
                <w:sz w:val="20"/>
                <w:szCs w:val="20"/>
                <w:color w:val="auto"/>
              </w:rPr>
            </w:pPr>
            <w:r>
              <w:rPr>
                <w:rFonts w:ascii="Arial" w:cs="Arial" w:eastAsia="Arial" w:hAnsi="Arial"/>
                <w:sz w:val="22"/>
                <w:szCs w:val="22"/>
                <w:color w:val="auto"/>
              </w:rPr>
              <w:t>Act of 1933 on January 20, 2004).</w:t>
            </w:r>
          </w:p>
        </w:tc>
      </w:tr>
    </w:tbl>
    <w:p>
      <w:pPr>
        <w:spacing w:after="0" w:line="1" w:lineRule="exact"/>
        <w:rPr>
          <w:sz w:val="20"/>
          <w:szCs w:val="20"/>
          <w:color w:val="auto"/>
        </w:rPr>
      </w:pPr>
    </w:p>
    <w:sectPr>
      <w:pgSz w:w="11900" w:h="16838" w:orient="portrait"/>
      <w:cols w:equalWidth="0" w:num="1">
        <w:col w:w="10199"/>
      </w:cols>
      <w:pgMar w:left="2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2019-12-11T21:50:52Z</dcterms:created>
  <dcterms:modified xsi:type="dcterms:W3CDTF">2019-12-11T21:50:52Z</dcterms:modified>
</cp:coreProperties>
</file>