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October 21, 2015</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MANPOWERGROUP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820" w:type="dxa"/>
            <w:vAlign w:val="bottom"/>
          </w:tcPr>
          <w:p>
            <w:pPr>
              <w:jc w:val="center"/>
              <w:ind w:right="40"/>
              <w:spacing w:after="0"/>
              <w:rPr>
                <w:sz w:val="20"/>
                <w:szCs w:val="20"/>
                <w:color w:val="auto"/>
              </w:rPr>
            </w:pPr>
            <w:r>
              <w:rPr>
                <w:rFonts w:ascii="Arial" w:cs="Arial" w:eastAsia="Arial" w:hAnsi="Arial"/>
                <w:sz w:val="16"/>
                <w:szCs w:val="16"/>
                <w:b w:val="1"/>
                <w:bCs w:val="1"/>
                <w:color w:val="auto"/>
                <w:w w:val="87"/>
              </w:rPr>
              <w:t>Wisconsin</w:t>
            </w:r>
          </w:p>
        </w:tc>
        <w:tc>
          <w:tcPr>
            <w:tcW w:w="2960" w:type="dxa"/>
            <w:vAlign w:val="bottom"/>
          </w:tcPr>
          <w:p>
            <w:pPr>
              <w:jc w:val="right"/>
              <w:ind w:right="1200"/>
              <w:spacing w:after="0"/>
              <w:rPr>
                <w:sz w:val="20"/>
                <w:szCs w:val="20"/>
                <w:color w:val="auto"/>
              </w:rPr>
            </w:pPr>
            <w:r>
              <w:rPr>
                <w:rFonts w:ascii="Arial" w:cs="Arial" w:eastAsia="Arial" w:hAnsi="Arial"/>
                <w:sz w:val="16"/>
                <w:szCs w:val="16"/>
                <w:b w:val="1"/>
                <w:bCs w:val="1"/>
                <w:color w:val="auto"/>
              </w:rPr>
              <w:t>1-10686</w:t>
            </w:r>
          </w:p>
        </w:tc>
        <w:tc>
          <w:tcPr>
            <w:tcW w:w="3660" w:type="dxa"/>
            <w:vAlign w:val="bottom"/>
          </w:tcPr>
          <w:p>
            <w:pPr>
              <w:jc w:val="right"/>
              <w:ind w:right="1360"/>
              <w:spacing w:after="0"/>
              <w:rPr>
                <w:sz w:val="20"/>
                <w:szCs w:val="20"/>
                <w:color w:val="auto"/>
              </w:rPr>
            </w:pPr>
            <w:r>
              <w:rPr>
                <w:rFonts w:ascii="Arial" w:cs="Arial" w:eastAsia="Arial" w:hAnsi="Arial"/>
                <w:sz w:val="16"/>
                <w:szCs w:val="16"/>
                <w:b w:val="1"/>
                <w:bCs w:val="1"/>
                <w:color w:val="auto"/>
              </w:rPr>
              <w:t>39-1672779</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(State or other jurisdiction of incorporation)</w:t>
            </w:r>
          </w:p>
        </w:tc>
        <w:tc>
          <w:tcPr>
            <w:tcW w:w="296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(Commission File Number)</w:t>
            </w:r>
          </w:p>
        </w:tc>
        <w:tc>
          <w:tcPr>
            <w:tcW w:w="366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748"/>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90"/>
              </w:rPr>
              <w:t>100 Manpower Place</w:t>
            </w:r>
          </w:p>
        </w:tc>
        <w:tc>
          <w:tcPr>
            <w:tcW w:w="29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41"/>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91"/>
              </w:rPr>
              <w:t>Milwaukee, Wisconsin</w:t>
            </w:r>
          </w:p>
        </w:tc>
        <w:tc>
          <w:tcPr>
            <w:tcW w:w="2960" w:type="dxa"/>
            <w:vAlign w:val="bottom"/>
          </w:tcPr>
          <w:p>
            <w:pPr>
              <w:spacing w:after="0"/>
              <w:rPr>
                <w:sz w:val="20"/>
                <w:szCs w:val="20"/>
                <w:color w:val="auto"/>
              </w:rPr>
            </w:pPr>
          </w:p>
        </w:tc>
        <w:tc>
          <w:tcPr>
            <w:tcW w:w="3660" w:type="dxa"/>
            <w:vAlign w:val="bottom"/>
          </w:tcPr>
          <w:p>
            <w:pPr>
              <w:jc w:val="right"/>
              <w:ind w:right="2420"/>
              <w:spacing w:after="0"/>
              <w:rPr>
                <w:sz w:val="20"/>
                <w:szCs w:val="20"/>
                <w:color w:val="auto"/>
              </w:rPr>
            </w:pPr>
            <w:r>
              <w:rPr>
                <w:rFonts w:ascii="Arial" w:cs="Arial" w:eastAsia="Arial" w:hAnsi="Arial"/>
                <w:sz w:val="16"/>
                <w:szCs w:val="16"/>
                <w:b w:val="1"/>
                <w:bCs w:val="1"/>
                <w:color w:val="auto"/>
              </w:rPr>
              <w:t>53212</w:t>
            </w:r>
          </w:p>
        </w:tc>
      </w:tr>
      <w:tr>
        <w:trPr>
          <w:trHeight w:val="24"/>
        </w:trPr>
        <w:tc>
          <w:tcPr>
            <w:tcW w:w="48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9"/>
        </w:trPr>
        <w:tc>
          <w:tcPr>
            <w:tcW w:w="4820" w:type="dxa"/>
            <w:vAlign w:val="bottom"/>
          </w:tcPr>
          <w:p>
            <w:pPr>
              <w:jc w:val="center"/>
              <w:ind w:left="116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960" w:type="dxa"/>
            <w:vAlign w:val="bottom"/>
          </w:tcPr>
          <w:p>
            <w:pPr>
              <w:spacing w:after="0"/>
              <w:rPr>
                <w:sz w:val="18"/>
                <w:szCs w:val="18"/>
                <w:color w:val="auto"/>
              </w:rPr>
            </w:pPr>
          </w:p>
        </w:tc>
        <w:tc>
          <w:tcPr>
            <w:tcW w:w="3660" w:type="dxa"/>
            <w:vAlign w:val="bottom"/>
          </w:tcPr>
          <w:p>
            <w:pPr>
              <w:jc w:val="center"/>
              <w:ind w:right="1640"/>
              <w:spacing w:after="0"/>
              <w:rPr>
                <w:sz w:val="20"/>
                <w:szCs w:val="20"/>
                <w:color w:val="auto"/>
              </w:rPr>
            </w:pPr>
            <w:r>
              <w:rPr>
                <w:rFonts w:ascii="Arial" w:cs="Arial" w:eastAsia="Arial" w:hAnsi="Arial"/>
                <w:sz w:val="16"/>
                <w:szCs w:val="16"/>
                <w:b w:val="1"/>
                <w:bCs w:val="1"/>
                <w:color w:val="auto"/>
                <w:w w:val="93"/>
              </w:rPr>
              <w:t>(Zip Code)</w:t>
            </w:r>
          </w:p>
        </w:tc>
      </w:tr>
    </w:tbl>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0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5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Securities Act (17 CFR 240.14a-12)</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70"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40"/>
          </w:cols>
          <w:pgMar w:left="240" w:top="1008"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6" w:lineRule="exact"/>
        <w:rPr>
          <w:sz w:val="20"/>
          <w:szCs w:val="20"/>
          <w:color w:val="auto"/>
        </w:rPr>
      </w:pPr>
    </w:p>
    <w:p>
      <w:pPr>
        <w:ind w:right="220"/>
        <w:spacing w:after="0" w:line="291" w:lineRule="auto"/>
        <w:rPr>
          <w:sz w:val="20"/>
          <w:szCs w:val="20"/>
          <w:color w:val="auto"/>
        </w:rPr>
      </w:pPr>
      <w:r>
        <w:rPr>
          <w:rFonts w:ascii="Arial" w:cs="Arial" w:eastAsia="Arial" w:hAnsi="Arial"/>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45" w:lineRule="exact"/>
        <w:rPr>
          <w:sz w:val="20"/>
          <w:szCs w:val="20"/>
          <w:color w:val="auto"/>
        </w:rPr>
      </w:pPr>
    </w:p>
    <w:p>
      <w:pPr>
        <w:ind w:right="480"/>
        <w:spacing w:after="0" w:line="279" w:lineRule="auto"/>
        <w:rPr>
          <w:sz w:val="20"/>
          <w:szCs w:val="20"/>
          <w:color w:val="auto"/>
        </w:rPr>
      </w:pPr>
      <w:r>
        <w:rPr>
          <w:rFonts w:ascii="Arial" w:cs="Arial" w:eastAsia="Arial" w:hAnsi="Arial"/>
          <w:sz w:val="16"/>
          <w:szCs w:val="16"/>
          <w:color w:val="auto"/>
        </w:rPr>
        <w:t>On October 21, 2015, we issued a press release announcing our results of operations for the three- and nine-month periods ended September 30, 2015. A copy of the press release is attached hereto as Exhibit 99.1 and is incorporated herein by reference.</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80" w:type="dxa"/>
            <w:vAlign w:val="bottom"/>
          </w:tcPr>
          <w:p>
            <w:pPr>
              <w:spacing w:after="0"/>
              <w:rPr>
                <w:sz w:val="20"/>
                <w:szCs w:val="20"/>
                <w:color w:val="auto"/>
              </w:rPr>
            </w:pPr>
            <w:r>
              <w:rPr>
                <w:rFonts w:ascii="Arial" w:cs="Arial" w:eastAsia="Arial" w:hAnsi="Arial"/>
                <w:sz w:val="16"/>
                <w:szCs w:val="16"/>
                <w:b w:val="1"/>
                <w:bCs w:val="1"/>
                <w:color w:val="auto"/>
              </w:rPr>
              <w:t>Item 9.01.</w:t>
            </w:r>
          </w:p>
        </w:tc>
        <w:tc>
          <w:tcPr>
            <w:tcW w:w="10260" w:type="dxa"/>
            <w:vAlign w:val="bottom"/>
          </w:tcPr>
          <w:p>
            <w:pPr>
              <w:ind w:left="380"/>
              <w:spacing w:after="0"/>
              <w:rPr>
                <w:sz w:val="20"/>
                <w:szCs w:val="20"/>
                <w:color w:val="auto"/>
              </w:rPr>
            </w:pPr>
            <w:r>
              <w:rPr>
                <w:rFonts w:ascii="Arial" w:cs="Arial" w:eastAsia="Arial" w:hAnsi="Arial"/>
                <w:sz w:val="16"/>
                <w:szCs w:val="16"/>
                <w:b w:val="1"/>
                <w:bCs w:val="1"/>
                <w:color w:val="auto"/>
              </w:rPr>
              <w:t>Exhibits</w:t>
            </w:r>
            <w:r>
              <w:rPr>
                <w:rFonts w:ascii="Arial" w:cs="Arial" w:eastAsia="Arial" w:hAnsi="Arial"/>
                <w:sz w:val="16"/>
                <w:szCs w:val="16"/>
                <w:color w:val="auto"/>
              </w:rPr>
              <w:t>.</w:t>
            </w:r>
          </w:p>
        </w:tc>
      </w:tr>
      <w:tr>
        <w:trPr>
          <w:trHeight w:val="531"/>
        </w:trPr>
        <w:tc>
          <w:tcPr>
            <w:tcW w:w="118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10260" w:type="dxa"/>
            <w:vAlign w:val="bottom"/>
          </w:tcPr>
          <w:p>
            <w:pPr>
              <w:ind w:left="1140"/>
              <w:spacing w:after="0"/>
              <w:rPr>
                <w:sz w:val="20"/>
                <w:szCs w:val="20"/>
                <w:color w:val="auto"/>
              </w:rPr>
            </w:pPr>
            <w:r>
              <w:rPr>
                <w:rFonts w:ascii="Arial" w:cs="Arial" w:eastAsia="Arial" w:hAnsi="Arial"/>
                <w:sz w:val="16"/>
                <w:szCs w:val="16"/>
                <w:b w:val="1"/>
                <w:bCs w:val="1"/>
                <w:color w:val="auto"/>
              </w:rPr>
              <w:t>Description</w:t>
            </w:r>
          </w:p>
        </w:tc>
      </w:tr>
      <w:tr>
        <w:trPr>
          <w:trHeight w:val="24"/>
        </w:trPr>
        <w:tc>
          <w:tcPr>
            <w:tcW w:w="1180" w:type="dxa"/>
            <w:vAlign w:val="bottom"/>
            <w:tcBorders>
              <w:bottom w:val="single" w:sz="8" w:color="auto"/>
            </w:tcBorders>
          </w:tcPr>
          <w:p>
            <w:pPr>
              <w:spacing w:after="0"/>
              <w:rPr>
                <w:sz w:val="2"/>
                <w:szCs w:val="2"/>
                <w:color w:val="auto"/>
              </w:rPr>
            </w:pPr>
          </w:p>
        </w:tc>
        <w:tc>
          <w:tcPr>
            <w:tcW w:w="10260" w:type="dxa"/>
            <w:vAlign w:val="bottom"/>
            <w:tcBorders>
              <w:bottom w:val="single" w:sz="8" w:color="auto"/>
            </w:tcBorders>
          </w:tcPr>
          <w:p>
            <w:pPr>
              <w:spacing w:after="0"/>
              <w:rPr>
                <w:sz w:val="2"/>
                <w:szCs w:val="2"/>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6"/>
                <w:szCs w:val="16"/>
                <w:color w:val="auto"/>
              </w:rPr>
              <w:t>99.1</w:t>
            </w:r>
          </w:p>
        </w:tc>
        <w:tc>
          <w:tcPr>
            <w:tcW w:w="10260" w:type="dxa"/>
            <w:vAlign w:val="bottom"/>
          </w:tcPr>
          <w:p>
            <w:pPr>
              <w:ind w:left="1140"/>
              <w:spacing w:after="0"/>
              <w:rPr>
                <w:sz w:val="20"/>
                <w:szCs w:val="20"/>
                <w:color w:val="auto"/>
              </w:rPr>
            </w:pPr>
            <w:r>
              <w:rPr>
                <w:rFonts w:ascii="Arial" w:cs="Arial" w:eastAsia="Arial" w:hAnsi="Arial"/>
                <w:sz w:val="16"/>
                <w:szCs w:val="16"/>
                <w:color w:val="auto"/>
              </w:rPr>
              <w:t>Press Release dated October 21, 2015</w:t>
            </w:r>
          </w:p>
        </w:tc>
      </w:tr>
      <w:tr>
        <w:trPr>
          <w:trHeight w:val="241"/>
        </w:trPr>
        <w:tc>
          <w:tcPr>
            <w:tcW w:w="1180" w:type="dxa"/>
            <w:vAlign w:val="bottom"/>
          </w:tcPr>
          <w:p>
            <w:pPr>
              <w:ind w:left="20"/>
              <w:spacing w:after="0"/>
              <w:rPr>
                <w:sz w:val="20"/>
                <w:szCs w:val="20"/>
                <w:color w:val="auto"/>
              </w:rPr>
            </w:pPr>
            <w:r>
              <w:rPr>
                <w:rFonts w:ascii="Arial" w:cs="Arial" w:eastAsia="Arial" w:hAnsi="Arial"/>
                <w:sz w:val="16"/>
                <w:szCs w:val="16"/>
                <w:color w:val="auto"/>
              </w:rPr>
              <w:t>99.2</w:t>
            </w:r>
          </w:p>
        </w:tc>
        <w:tc>
          <w:tcPr>
            <w:tcW w:w="10260" w:type="dxa"/>
            <w:vAlign w:val="bottom"/>
          </w:tcPr>
          <w:p>
            <w:pPr>
              <w:ind w:left="1140"/>
              <w:spacing w:after="0"/>
              <w:rPr>
                <w:sz w:val="20"/>
                <w:szCs w:val="20"/>
                <w:color w:val="auto"/>
              </w:rPr>
            </w:pPr>
            <w:r>
              <w:rPr>
                <w:rFonts w:ascii="Arial" w:cs="Arial" w:eastAsia="Arial" w:hAnsi="Arial"/>
                <w:sz w:val="16"/>
                <w:szCs w:val="16"/>
                <w:color w:val="auto"/>
              </w:rPr>
              <w:t>Presentation materials for October 21, 2015 conference call</w:t>
            </w:r>
          </w:p>
        </w:tc>
      </w:tr>
    </w:tbl>
    <w:p>
      <w:pPr>
        <w:sectPr>
          <w:pgSz w:w="11900" w:h="16838" w:orient="portrait"/>
          <w:cols w:equalWidth="0" w:num="1">
            <w:col w:w="11440"/>
          </w:cols>
          <w:pgMar w:left="240" w:top="726" w:right="2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6"/>
          <w:szCs w:val="16"/>
          <w:b w:val="1"/>
          <w:bCs w:val="1"/>
          <w:color w:val="auto"/>
        </w:rPr>
        <w:t>SIGNATURES</w:t>
      </w:r>
    </w:p>
    <w:p>
      <w:pPr>
        <w:spacing w:after="0" w:line="206" w:lineRule="exact"/>
        <w:rPr>
          <w:sz w:val="20"/>
          <w:szCs w:val="20"/>
          <w:color w:val="auto"/>
        </w:rPr>
      </w:pPr>
    </w:p>
    <w:p>
      <w:pPr>
        <w:ind w:firstLine="579"/>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MANPOWERGROUP INC.</w:t>
      </w:r>
    </w:p>
    <w:p>
      <w:pPr>
        <w:spacing w:after="0" w:line="299" w:lineRule="exact"/>
        <w:rPr>
          <w:sz w:val="20"/>
          <w:szCs w:val="20"/>
          <w:color w:val="auto"/>
        </w:rPr>
      </w:pPr>
    </w:p>
    <w:p>
      <w:pPr>
        <w:ind w:left="20"/>
        <w:spacing w:after="0"/>
        <w:tabs>
          <w:tab w:leader="none" w:pos="3700" w:val="left"/>
          <w:tab w:leader="none" w:pos="4360" w:val="left"/>
        </w:tabs>
        <w:rPr>
          <w:sz w:val="20"/>
          <w:szCs w:val="20"/>
          <w:color w:val="auto"/>
        </w:rPr>
      </w:pPr>
      <w:r>
        <w:rPr>
          <w:rFonts w:ascii="Arial" w:cs="Arial" w:eastAsia="Arial" w:hAnsi="Arial"/>
          <w:sz w:val="16"/>
          <w:szCs w:val="16"/>
          <w:color w:val="auto"/>
        </w:rPr>
        <w:t>Dated: October 21, 2015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29210</wp:posOffset>
            </wp:positionV>
            <wp:extent cx="19532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3260" cy="7620"/>
                    </a:xfrm>
                    <a:prstGeom prst="rect">
                      <a:avLst/>
                    </a:prstGeom>
                    <a:noFill/>
                  </pic:spPr>
                </pic:pic>
              </a:graphicData>
            </a:graphic>
          </wp:anchor>
        </w:drawing>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Michael J. Van Handel</w:t>
      </w:r>
    </w:p>
    <w:p>
      <w:pPr>
        <w:spacing w:after="0" w:line="21"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Executive Vice President and</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300"/>
          </w:cols>
          <w:pgMar w:left="240" w:top="919"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1560" w:type="dxa"/>
            <w:vAlign w:val="bottom"/>
          </w:tcPr>
          <w:p>
            <w:pPr>
              <w:spacing w:after="0"/>
              <w:rPr>
                <w:sz w:val="18"/>
                <w:szCs w:val="18"/>
                <w:color w:val="auto"/>
              </w:rPr>
            </w:pPr>
          </w:p>
        </w:tc>
        <w:tc>
          <w:tcPr>
            <w:tcW w:w="9880" w:type="dxa"/>
            <w:vAlign w:val="bottom"/>
          </w:tcPr>
          <w:p>
            <w:pPr>
              <w:ind w:left="3540"/>
              <w:spacing w:after="0"/>
              <w:rPr>
                <w:sz w:val="20"/>
                <w:szCs w:val="20"/>
                <w:color w:val="auto"/>
              </w:rPr>
            </w:pPr>
            <w:r>
              <w:rPr>
                <w:rFonts w:ascii="Arial" w:cs="Arial" w:eastAsia="Arial" w:hAnsi="Arial"/>
                <w:sz w:val="16"/>
                <w:szCs w:val="16"/>
                <w:b w:val="1"/>
                <w:bCs w:val="1"/>
                <w:color w:val="auto"/>
              </w:rPr>
              <w:t>EXHIBIT INDEX</w:t>
            </w:r>
          </w:p>
        </w:tc>
      </w:tr>
      <w:tr>
        <w:trPr>
          <w:trHeight w:val="531"/>
        </w:trPr>
        <w:tc>
          <w:tcPr>
            <w:tcW w:w="156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9880" w:type="dxa"/>
            <w:vAlign w:val="bottom"/>
          </w:tcPr>
          <w:p>
            <w:pPr>
              <w:ind w:left="760"/>
              <w:spacing w:after="0"/>
              <w:rPr>
                <w:sz w:val="20"/>
                <w:szCs w:val="20"/>
                <w:color w:val="auto"/>
              </w:rPr>
            </w:pPr>
            <w:r>
              <w:rPr>
                <w:rFonts w:ascii="Arial" w:cs="Arial" w:eastAsia="Arial" w:hAnsi="Arial"/>
                <w:sz w:val="16"/>
                <w:szCs w:val="16"/>
                <w:b w:val="1"/>
                <w:bCs w:val="1"/>
                <w:color w:val="auto"/>
              </w:rPr>
              <w:t>Description</w:t>
            </w:r>
          </w:p>
        </w:tc>
      </w:tr>
      <w:tr>
        <w:trPr>
          <w:trHeight w:val="24"/>
        </w:trPr>
        <w:tc>
          <w:tcPr>
            <w:tcW w:w="1560" w:type="dxa"/>
            <w:vAlign w:val="bottom"/>
            <w:tcBorders>
              <w:bottom w:val="single" w:sz="8" w:color="auto"/>
            </w:tcBorders>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r>
      <w:tr>
        <w:trPr>
          <w:trHeight w:val="209"/>
        </w:trPr>
        <w:tc>
          <w:tcPr>
            <w:tcW w:w="1560" w:type="dxa"/>
            <w:vAlign w:val="bottom"/>
          </w:tcPr>
          <w:p>
            <w:pPr>
              <w:ind w:left="20"/>
              <w:spacing w:after="0"/>
              <w:rPr>
                <w:sz w:val="20"/>
                <w:szCs w:val="20"/>
                <w:color w:val="auto"/>
              </w:rPr>
            </w:pPr>
            <w:r>
              <w:rPr>
                <w:rFonts w:ascii="Arial" w:cs="Arial" w:eastAsia="Arial" w:hAnsi="Arial"/>
                <w:sz w:val="16"/>
                <w:szCs w:val="16"/>
                <w:color w:val="auto"/>
              </w:rPr>
              <w:t>99.1</w:t>
            </w:r>
          </w:p>
        </w:tc>
        <w:tc>
          <w:tcPr>
            <w:tcW w:w="9880" w:type="dxa"/>
            <w:vAlign w:val="bottom"/>
          </w:tcPr>
          <w:p>
            <w:pPr>
              <w:ind w:left="760"/>
              <w:spacing w:after="0"/>
              <w:rPr>
                <w:sz w:val="20"/>
                <w:szCs w:val="20"/>
                <w:color w:val="auto"/>
              </w:rPr>
            </w:pPr>
            <w:r>
              <w:rPr>
                <w:rFonts w:ascii="Arial" w:cs="Arial" w:eastAsia="Arial" w:hAnsi="Arial"/>
                <w:sz w:val="16"/>
                <w:szCs w:val="16"/>
                <w:color w:val="auto"/>
              </w:rPr>
              <w:t>Press Release dated October 21, 2015</w:t>
            </w:r>
          </w:p>
        </w:tc>
      </w:tr>
      <w:tr>
        <w:trPr>
          <w:trHeight w:val="241"/>
        </w:trPr>
        <w:tc>
          <w:tcPr>
            <w:tcW w:w="1560" w:type="dxa"/>
            <w:vAlign w:val="bottom"/>
          </w:tcPr>
          <w:p>
            <w:pPr>
              <w:ind w:left="20"/>
              <w:spacing w:after="0"/>
              <w:rPr>
                <w:sz w:val="20"/>
                <w:szCs w:val="20"/>
                <w:color w:val="auto"/>
              </w:rPr>
            </w:pPr>
            <w:r>
              <w:rPr>
                <w:rFonts w:ascii="Arial" w:cs="Arial" w:eastAsia="Arial" w:hAnsi="Arial"/>
                <w:sz w:val="16"/>
                <w:szCs w:val="16"/>
                <w:color w:val="auto"/>
              </w:rPr>
              <w:t>99.2</w:t>
            </w:r>
          </w:p>
        </w:tc>
        <w:tc>
          <w:tcPr>
            <w:tcW w:w="9880" w:type="dxa"/>
            <w:vAlign w:val="bottom"/>
          </w:tcPr>
          <w:p>
            <w:pPr>
              <w:ind w:left="760"/>
              <w:spacing w:after="0"/>
              <w:rPr>
                <w:sz w:val="20"/>
                <w:szCs w:val="20"/>
                <w:color w:val="auto"/>
              </w:rPr>
            </w:pPr>
            <w:r>
              <w:rPr>
                <w:rFonts w:ascii="Arial" w:cs="Arial" w:eastAsia="Arial" w:hAnsi="Arial"/>
                <w:sz w:val="16"/>
                <w:szCs w:val="16"/>
                <w:color w:val="auto"/>
              </w:rPr>
              <w:t>Presentation materials for October 21, 2015 conference call</w:t>
            </w:r>
          </w:p>
        </w:tc>
      </w:tr>
    </w:tbl>
    <w:p>
      <w:pPr>
        <w:sectPr>
          <w:pgSz w:w="11900" w:h="16838" w:orient="portrait"/>
          <w:cols w:equalWidth="0" w:num="1">
            <w:col w:w="11440"/>
          </w:cols>
          <w:pgMar w:left="240" w:top="919"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1057275" cy="582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57275" cy="58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80"/>
        <w:spacing w:after="0"/>
        <w:tabs>
          <w:tab w:leader="none" w:pos="328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5"/>
          <w:szCs w:val="15"/>
          <w:b w:val="1"/>
          <w:bCs w:val="1"/>
          <w:color w:val="auto"/>
        </w:rPr>
        <w:t>Contact:</w:t>
      </w:r>
    </w:p>
    <w:p>
      <w:pPr>
        <w:spacing w:after="0" w:line="101"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Mike Van Handel</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+1.414.906.6305</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michael.vanhandel@manpowergroup.com</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ManpowerGroup Reports 3</w:t>
      </w:r>
      <w:r>
        <w:rPr>
          <w:rFonts w:ascii="Arial" w:cs="Arial" w:eastAsia="Arial" w:hAnsi="Arial"/>
          <w:sz w:val="25"/>
          <w:szCs w:val="25"/>
          <w:b w:val="1"/>
          <w:bCs w:val="1"/>
          <w:color w:val="auto"/>
          <w:vertAlign w:val="superscript"/>
        </w:rPr>
        <w:t>rd</w:t>
      </w:r>
      <w:r>
        <w:rPr>
          <w:rFonts w:ascii="Arial" w:cs="Arial" w:eastAsia="Arial" w:hAnsi="Arial"/>
          <w:sz w:val="19"/>
          <w:szCs w:val="19"/>
          <w:b w:val="1"/>
          <w:bCs w:val="1"/>
          <w:color w:val="auto"/>
        </w:rPr>
        <w:t xml:space="preserve"> Quarter 2015 Results</w:t>
      </w:r>
    </w:p>
    <w:p>
      <w:pPr>
        <w:spacing w:after="0" w:line="175" w:lineRule="exact"/>
        <w:rPr>
          <w:sz w:val="20"/>
          <w:szCs w:val="20"/>
          <w:color w:val="auto"/>
        </w:rPr>
      </w:pPr>
    </w:p>
    <w:p>
      <w:pPr>
        <w:ind w:right="100"/>
        <w:spacing w:after="0" w:line="358" w:lineRule="auto"/>
        <w:rPr>
          <w:sz w:val="20"/>
          <w:szCs w:val="20"/>
          <w:color w:val="auto"/>
        </w:rPr>
      </w:pPr>
      <w:r>
        <w:rPr>
          <w:rFonts w:ascii="Arial" w:cs="Arial" w:eastAsia="Arial" w:hAnsi="Arial"/>
          <w:sz w:val="18"/>
          <w:szCs w:val="18"/>
          <w:b w:val="1"/>
          <w:bCs w:val="1"/>
          <w:color w:val="auto"/>
        </w:rPr>
        <w:t xml:space="preserve">MILWAUKEE, October 21, 2015 -- </w:t>
      </w:r>
      <w:r>
        <w:rPr>
          <w:rFonts w:ascii="Arial" w:cs="Arial" w:eastAsia="Arial" w:hAnsi="Arial"/>
          <w:sz w:val="18"/>
          <w:szCs w:val="18"/>
          <w:color w:val="auto"/>
        </w:rPr>
        <w:t>ManpowerGroup (NYSE: MAN) today reported that net earnings per diluted share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2015 were $1.61 compared to $1.61 in the prior year period. Net earnings in the quarter were $123.9 million compared to $130.5 million a year earlier. Revenues for the third quarter were $5.0 billion, a decrease of 8% from the year earlier period.</w:t>
      </w:r>
    </w:p>
    <w:p>
      <w:pPr>
        <w:jc w:val="both"/>
        <w:ind w:right="20" w:firstLine="579"/>
        <w:spacing w:after="0" w:line="349" w:lineRule="auto"/>
        <w:rPr>
          <w:sz w:val="20"/>
          <w:szCs w:val="20"/>
          <w:color w:val="auto"/>
        </w:rPr>
      </w:pPr>
      <w:r>
        <w:rPr>
          <w:rFonts w:ascii="Arial" w:cs="Arial" w:eastAsia="Arial" w:hAnsi="Arial"/>
          <w:sz w:val="18"/>
          <w:szCs w:val="18"/>
          <w:color w:val="auto"/>
        </w:rPr>
        <w:t>Financial results in the quarter were significantly impacted by the stronger U.S. dollar relative to several foreign currencies compared to the prior year period. On a constant currency basis, revenues increased 6% and net earnings per diluted share increased 16%. Earnings per share in the quarter were negatively impacted 25 cents by changes in foreign currencies compared to the prior year.</w:t>
      </w:r>
    </w:p>
    <w:p>
      <w:pPr>
        <w:spacing w:after="0" w:line="2" w:lineRule="exact"/>
        <w:rPr>
          <w:sz w:val="20"/>
          <w:szCs w:val="20"/>
          <w:color w:val="auto"/>
        </w:rPr>
      </w:pPr>
    </w:p>
    <w:p>
      <w:pPr>
        <w:ind w:right="20" w:firstLine="579"/>
        <w:spacing w:after="0" w:line="349" w:lineRule="auto"/>
        <w:rPr>
          <w:sz w:val="20"/>
          <w:szCs w:val="20"/>
          <w:color w:val="auto"/>
        </w:rPr>
      </w:pPr>
      <w:r>
        <w:rPr>
          <w:rFonts w:ascii="Arial" w:cs="Arial" w:eastAsia="Arial" w:hAnsi="Arial"/>
          <w:sz w:val="18"/>
          <w:szCs w:val="18"/>
          <w:color w:val="auto"/>
        </w:rPr>
        <w:t>Jonas Prising, ManpowerGroup CEO, said, “Our team executed well in the 3rd quarter, delivering good results despite an increasingly uneven global growth scenario. In this environment of volatile economic growth our clients are seeking to build more agile, flexible organizations to better adapt to any market changes affecting demand for their products and services, and this is where our global workforce solutions can play an important role.”</w:t>
      </w:r>
    </w:p>
    <w:p>
      <w:pPr>
        <w:spacing w:after="0" w:line="2" w:lineRule="exact"/>
        <w:rPr>
          <w:sz w:val="20"/>
          <w:szCs w:val="20"/>
          <w:color w:val="auto"/>
        </w:rPr>
      </w:pPr>
    </w:p>
    <w:p>
      <w:pPr>
        <w:ind w:right="600" w:firstLine="555"/>
        <w:spacing w:after="0" w:line="349" w:lineRule="auto"/>
        <w:rPr>
          <w:sz w:val="20"/>
          <w:szCs w:val="20"/>
          <w:color w:val="auto"/>
        </w:rPr>
      </w:pPr>
      <w:r>
        <w:rPr>
          <w:rFonts w:ascii="Arial" w:cs="Arial" w:eastAsia="Arial" w:hAnsi="Arial"/>
          <w:sz w:val="18"/>
          <w:szCs w:val="18"/>
          <w:color w:val="auto"/>
        </w:rPr>
        <w:t>“We are anticipating the fourth quarter of 2015 diluted net earnings per share to be in the range of $1.47 to $1.55, which includes an estimated unfavorable currency impact of 15 cents,” Prising stated.</w:t>
      </w:r>
    </w:p>
    <w:p>
      <w:pPr>
        <w:spacing w:after="0" w:line="1" w:lineRule="exact"/>
        <w:rPr>
          <w:sz w:val="20"/>
          <w:szCs w:val="20"/>
          <w:color w:val="auto"/>
        </w:rPr>
      </w:pPr>
    </w:p>
    <w:p>
      <w:pPr>
        <w:ind w:right="100" w:firstLine="579"/>
        <w:spacing w:after="0" w:line="351" w:lineRule="auto"/>
        <w:rPr>
          <w:sz w:val="20"/>
          <w:szCs w:val="20"/>
          <w:color w:val="auto"/>
        </w:rPr>
      </w:pPr>
      <w:r>
        <w:rPr>
          <w:rFonts w:ascii="Arial" w:cs="Arial" w:eastAsia="Arial" w:hAnsi="Arial"/>
          <w:sz w:val="18"/>
          <w:szCs w:val="18"/>
          <w:color w:val="auto"/>
        </w:rPr>
        <w:t>Earnings per diluted share for the nine months ended September 30, 2015 were $3.75 compared to $3.82 per diluted share in 2014. Net earnings were $295.3 million compared to $310.4 million in the prior year. Revenues for the nine-month period were $14.4 billion, a decrease of 8% from the prior year in reported U.S. dollars or an increase of 6% in constant currency. Foreign currency exchange rates had an unfavorable impact of 64 cents per share for the nine-month period in 2015. On a constant currency basis, net earnings per diluted share were up 15% for the nine month period.</w:t>
      </w:r>
    </w:p>
    <w:p>
      <w:pPr>
        <w:sectPr>
          <w:pgSz w:w="11900" w:h="16838" w:orient="portrait"/>
          <w:cols w:equalWidth="0" w:num="1">
            <w:col w:w="11440"/>
          </w:cols>
          <w:pgMar w:left="240" w:top="533" w:right="219" w:bottom="1440" w:gutter="0" w:footer="0" w:header="0"/>
        </w:sectPr>
      </w:pPr>
    </w:p>
    <w:bookmarkStart w:id="5" w:name="page6"/>
    <w:bookmarkEnd w:id="5"/>
    <w:p>
      <w:pPr>
        <w:ind w:right="140" w:firstLine="579"/>
        <w:spacing w:after="0" w:line="352" w:lineRule="auto"/>
        <w:rPr>
          <w:sz w:val="20"/>
          <w:szCs w:val="20"/>
          <w:color w:val="auto"/>
        </w:rPr>
      </w:pPr>
      <w:r>
        <w:rPr>
          <w:rFonts w:ascii="Arial" w:cs="Arial" w:eastAsia="Arial" w:hAnsi="Arial"/>
          <w:sz w:val="18"/>
          <w:szCs w:val="18"/>
          <w:color w:val="auto"/>
        </w:rPr>
        <w:t xml:space="preserve">In conjunction with its third quarter earnings release, ManpowerGroup will broadcast its conference call live over the Internet on October 21, 2015 at 7:30 a.m. CDT (8:30 a.m. EDT). Interested parties are invited to listen to the webcast and view the presentation by logging on to </w:t>
      </w:r>
      <w:r>
        <w:rPr>
          <w:rFonts w:ascii="Arial" w:cs="Arial" w:eastAsia="Arial" w:hAnsi="Arial"/>
          <w:sz w:val="18"/>
          <w:szCs w:val="18"/>
          <w:u w:val="single" w:color="auto"/>
          <w:color w:val="0000FF"/>
        </w:rPr>
        <w:t>http://www.manpowergroup.com/investors</w:t>
      </w:r>
      <w:r>
        <w:rPr>
          <w:rFonts w:ascii="Arial" w:cs="Arial" w:eastAsia="Arial" w:hAnsi="Arial"/>
          <w:sz w:val="18"/>
          <w:szCs w:val="18"/>
          <w:color w:val="000000"/>
        </w:rPr>
        <w: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Supplemental financial information referenced in the conference call can be found at </w:t>
      </w:r>
      <w:r>
        <w:rPr>
          <w:rFonts w:ascii="Arial" w:cs="Arial" w:eastAsia="Arial" w:hAnsi="Arial"/>
          <w:sz w:val="18"/>
          <w:szCs w:val="18"/>
          <w:u w:val="single" w:color="auto"/>
          <w:color w:val="0000FF"/>
        </w:rPr>
        <w:t>http://www.manpowergroup.com/investors</w:t>
      </w:r>
      <w:r>
        <w:rPr>
          <w:rFonts w:ascii="Arial" w:cs="Arial" w:eastAsia="Arial" w:hAnsi="Arial"/>
          <w:sz w:val="18"/>
          <w:szCs w:val="18"/>
          <w:color w:val="auto"/>
        </w:rPr>
        <w:t xml:space="preserve"> .</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r>
        <w:rPr>
          <w:rFonts w:ascii="Arial" w:cs="Arial" w:eastAsia="Arial" w:hAnsi="Arial"/>
          <w:sz w:val="16"/>
          <w:szCs w:val="16"/>
          <w:color w:val="auto"/>
        </w:rPr>
        <w:t>™</w:t>
      </w:r>
    </w:p>
    <w:p>
      <w:pPr>
        <w:spacing w:after="0" w:line="65"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 xml:space="preserve">ManpowerGroup® (NYSE: MAN) is the world’s workforce expert, creating innovative workforce solutions for more than 65 years. As workforce experts, we connect more than 600,000 people to meaningful work across a wide range of skills and industries every day. Through our ManpowerGroup family of brands - Manpower®, Experis®, Right Management ® and ManpowerGroup® Solutions - we help more than 400,000 clients in 80 countries and territories address their critical talent needs, providing comprehensive solutions to resource, manage and develop talent. In 2015, ManpowerGroup was named one of the World’s Most Ethical Companies for the fifth consecutive year and one of Fortune’s Most Admired Companies, confirming our position as the most trusted and admired brand in the industry. See how ManpowerGroup makes powering the world of work humanly possible: </w:t>
      </w:r>
      <w:r>
        <w:rPr>
          <w:rFonts w:ascii="Arial" w:cs="Arial" w:eastAsia="Arial" w:hAnsi="Arial"/>
          <w:sz w:val="16"/>
          <w:szCs w:val="16"/>
          <w:u w:val="single" w:color="auto"/>
          <w:color w:val="0000FF"/>
        </w:rPr>
        <w:t>www.manpowergroup.com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65"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2014, which information is incorporated herein by reference.</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20"/>
          </w:cols>
          <w:pgMar w:left="240" w:top="595"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w w:val="93"/>
              </w:rPr>
              <w:t>Three Months Ended September 30</w:t>
            </w:r>
          </w:p>
        </w:tc>
        <w:tc>
          <w:tcPr>
            <w:tcW w:w="1040" w:type="dxa"/>
            <w:vAlign w:val="bottom"/>
          </w:tcPr>
          <w:p>
            <w:pPr>
              <w:spacing w:after="0"/>
              <w:rPr>
                <w:sz w:val="18"/>
                <w:szCs w:val="18"/>
                <w:color w:val="auto"/>
              </w:rPr>
            </w:pPr>
          </w:p>
        </w:tc>
      </w:tr>
      <w:tr>
        <w:trPr>
          <w:trHeight w:val="28"/>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40" w:type="dxa"/>
            <w:vAlign w:val="bottom"/>
          </w:tcPr>
          <w:p>
            <w:pPr>
              <w:spacing w:after="0"/>
              <w:rPr>
                <w:sz w:val="18"/>
                <w:szCs w:val="18"/>
                <w:color w:val="auto"/>
              </w:rPr>
            </w:pPr>
          </w:p>
        </w:tc>
      </w:tr>
      <w:tr>
        <w:trPr>
          <w:trHeight w:val="28"/>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40" w:type="dxa"/>
            <w:vAlign w:val="bottom"/>
          </w:tcPr>
          <w:p>
            <w:pPr>
              <w:jc w:val="right"/>
              <w:ind w:right="320"/>
              <w:spacing w:after="0"/>
              <w:rPr>
                <w:sz w:val="20"/>
                <w:szCs w:val="20"/>
                <w:color w:val="auto"/>
              </w:rPr>
            </w:pPr>
            <w:r>
              <w:rPr>
                <w:rFonts w:ascii="Arial" w:cs="Arial" w:eastAsia="Arial" w:hAnsi="Arial"/>
                <w:sz w:val="16"/>
                <w:szCs w:val="16"/>
                <w:b w:val="1"/>
                <w:bCs w:val="1"/>
                <w:color w:val="auto"/>
                <w:w w:val="89"/>
              </w:rPr>
              <w:t>Constant</w:t>
            </w:r>
          </w:p>
        </w:tc>
      </w:tr>
      <w:tr>
        <w:trPr>
          <w:trHeight w:val="241"/>
        </w:trPr>
        <w:tc>
          <w:tcPr>
            <w:tcW w:w="5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2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92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40" w:type="dxa"/>
            <w:vAlign w:val="bottom"/>
          </w:tcPr>
          <w:p>
            <w:pPr>
              <w:jc w:val="right"/>
              <w:ind w:right="300"/>
              <w:spacing w:after="0"/>
              <w:rPr>
                <w:sz w:val="20"/>
                <w:szCs w:val="20"/>
                <w:color w:val="auto"/>
              </w:rPr>
            </w:pPr>
            <w:r>
              <w:rPr>
                <w:rFonts w:ascii="Arial" w:cs="Arial" w:eastAsia="Arial" w:hAnsi="Arial"/>
                <w:sz w:val="16"/>
                <w:szCs w:val="16"/>
                <w:b w:val="1"/>
                <w:bCs w:val="1"/>
                <w:color w:val="auto"/>
                <w:w w:val="91"/>
              </w:rPr>
              <w:t>Currency</w:t>
            </w:r>
          </w:p>
        </w:tc>
      </w:tr>
      <w:tr>
        <w:trPr>
          <w:trHeight w:val="28"/>
        </w:trPr>
        <w:tc>
          <w:tcPr>
            <w:tcW w:w="5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gridSpan w:val="3"/>
          </w:tcPr>
          <w:p>
            <w:pPr>
              <w:jc w:val="right"/>
              <w:ind w:right="1400"/>
              <w:spacing w:after="0"/>
              <w:rPr>
                <w:sz w:val="20"/>
                <w:szCs w:val="20"/>
                <w:color w:val="auto"/>
              </w:rPr>
            </w:pPr>
            <w:r>
              <w:rPr>
                <w:rFonts w:ascii="Arial" w:cs="Arial" w:eastAsia="Arial" w:hAnsi="Arial"/>
                <w:sz w:val="16"/>
                <w:szCs w:val="16"/>
                <w:color w:val="auto"/>
              </w:rPr>
              <w:t>(Unaudited)</w:t>
            </w:r>
          </w:p>
        </w:tc>
        <w:tc>
          <w:tcPr>
            <w:tcW w:w="1040" w:type="dxa"/>
            <w:vAlign w:val="bottom"/>
          </w:tcPr>
          <w:p>
            <w:pPr>
              <w:spacing w:after="0"/>
              <w:rPr>
                <w:sz w:val="18"/>
                <w:szCs w:val="18"/>
                <w:color w:val="auto"/>
              </w:rPr>
            </w:pPr>
          </w:p>
        </w:tc>
      </w:tr>
      <w:tr>
        <w:trPr>
          <w:trHeight w:val="24"/>
        </w:trPr>
        <w:tc>
          <w:tcPr>
            <w:tcW w:w="5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4,972.5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5,416.0</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-8.2 %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4,120.4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4,510.4</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-8.6 %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5.5%</w:t>
            </w: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905.6</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-5.9 %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645.8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693.3</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-6.9 %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5.3%</w:t>
            </w: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212.3</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-2.8 %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-5.2 %</w:t>
            </w:r>
          </w:p>
        </w:tc>
        <w:tc>
          <w:tcPr>
            <w:tcW w:w="1040" w:type="dxa"/>
            <w:vAlign w:val="bottom"/>
            <w:tcBorders>
              <w:bottom w:val="single" w:sz="8" w:color="CCEEFF"/>
            </w:tcBorders>
          </w:tcPr>
          <w:p>
            <w:pPr>
              <w:spacing w:after="0"/>
              <w:rPr>
                <w:sz w:val="21"/>
                <w:szCs w:val="21"/>
                <w:color w:val="auto"/>
              </w:rPr>
            </w:pPr>
          </w:p>
        </w:tc>
      </w:tr>
      <w:tr>
        <w:trPr>
          <w:trHeight w:val="221"/>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202.4</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-2.7 %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4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71.9</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1.6 %</w:t>
            </w:r>
          </w:p>
        </w:tc>
        <w:tc>
          <w:tcPr>
            <w:tcW w:w="1040" w:type="dxa"/>
            <w:vAlign w:val="bottom"/>
            <w:tcBorders>
              <w:bottom w:val="single" w:sz="8" w:color="CCEEFF"/>
            </w:tcBorders>
          </w:tcPr>
          <w:p>
            <w:pPr>
              <w:spacing w:after="0"/>
              <w:rPr>
                <w:sz w:val="21"/>
                <w:szCs w:val="21"/>
                <w:color w:val="auto"/>
              </w:rPr>
            </w:pPr>
          </w:p>
        </w:tc>
      </w:tr>
      <w:tr>
        <w:trPr>
          <w:trHeight w:val="235"/>
        </w:trPr>
        <w:tc>
          <w:tcPr>
            <w:tcW w:w="5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130.5</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1.64</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-0.6 %</w:t>
            </w:r>
          </w:p>
        </w:tc>
        <w:tc>
          <w:tcPr>
            <w:tcW w:w="1040" w:type="dxa"/>
            <w:vAlign w:val="bottom"/>
            <w:tcBorders>
              <w:bottom w:val="single" w:sz="8" w:color="CCEEFF"/>
            </w:tcBorders>
          </w:tcPr>
          <w:p>
            <w:pPr>
              <w:spacing w:after="0"/>
              <w:rPr>
                <w:sz w:val="22"/>
                <w:szCs w:val="2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79.7</w:t>
            </w:r>
          </w:p>
        </w:tc>
        <w:tc>
          <w:tcPr>
            <w:tcW w:w="202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-4.5 %</w:t>
            </w:r>
          </w:p>
        </w:tc>
        <w:tc>
          <w:tcPr>
            <w:tcW w:w="1040" w:type="dxa"/>
            <w:vAlign w:val="bottom"/>
            <w:tcBorders>
              <w:bottom w:val="single" w:sz="8" w:color="CCEEFF"/>
            </w:tcBorders>
          </w:tcPr>
          <w:p>
            <w:pPr>
              <w:spacing w:after="0"/>
              <w:rPr>
                <w:sz w:val="22"/>
                <w:szCs w:val="22"/>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77.0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81.1</w:t>
            </w:r>
          </w:p>
        </w:tc>
        <w:tc>
          <w:tcPr>
            <w:tcW w:w="20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-5.1 %</w:t>
            </w:r>
          </w:p>
        </w:tc>
        <w:tc>
          <w:tcPr>
            <w:tcW w:w="1040" w:type="dxa"/>
            <w:vAlign w:val="bottom"/>
            <w:tcBorders>
              <w:bottom w:val="single" w:sz="8" w:color="CCEEFF"/>
            </w:tcBorders>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65" w:lineRule="exact"/>
        <w:rPr>
          <w:sz w:val="20"/>
          <w:szCs w:val="20"/>
          <w:color w:val="auto"/>
        </w:rPr>
      </w:pPr>
    </w:p>
    <w:p>
      <w:pPr>
        <w:ind w:left="20" w:right="500" w:firstLine="2"/>
        <w:spacing w:after="0" w:line="265" w:lineRule="auto"/>
        <w:tabs>
          <w:tab w:leader="none" w:pos="238"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$6.6 million and $6.9 million for the three months ended September 30, 2015 and 2014, respectively. These fees are primarily based on revenues generated by the franchise offices, which were $286.4 million and $302.0 million for the three months ended September 30, 2015 and 2014, respectively.</w:t>
      </w:r>
    </w:p>
    <w:p>
      <w:pPr>
        <w:sectPr>
          <w:pgSz w:w="11900" w:h="16838" w:orient="portrait"/>
          <w:cols w:equalWidth="0" w:num="1">
            <w:col w:w="11260"/>
          </w:cols>
          <w:pgMar w:left="420" w:top="679"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w w:val="94"/>
              </w:rPr>
              <w:t>Three Months Ended September 30</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6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32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4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900" w:type="dxa"/>
            <w:vAlign w:val="bottom"/>
          </w:tcPr>
          <w:p>
            <w:pPr>
              <w:jc w:val="right"/>
              <w:ind w:right="800"/>
              <w:spacing w:after="0"/>
              <w:rPr>
                <w:sz w:val="20"/>
                <w:szCs w:val="20"/>
                <w:color w:val="auto"/>
              </w:rPr>
            </w:pPr>
            <w:r>
              <w:rPr>
                <w:rFonts w:ascii="Arial" w:cs="Arial" w:eastAsia="Arial" w:hAnsi="Arial"/>
                <w:sz w:val="16"/>
                <w:szCs w:val="16"/>
                <w:b w:val="1"/>
                <w:bCs w:val="1"/>
                <w:color w:val="auto"/>
              </w:rPr>
              <w:t>Reported</w:t>
            </w:r>
          </w:p>
        </w:tc>
        <w:tc>
          <w:tcPr>
            <w:tcW w:w="1060" w:type="dxa"/>
            <w:vAlign w:val="bottom"/>
          </w:tcPr>
          <w:p>
            <w:pPr>
              <w:jc w:val="right"/>
              <w:ind w:right="30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gridSpan w:val="3"/>
          </w:tcPr>
          <w:p>
            <w:pPr>
              <w:jc w:val="right"/>
              <w:ind w:right="1380"/>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769.6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800.5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367.0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388.5</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-5.6 %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16.4 %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1,136.6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1,189.0</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1,242.5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1,454.3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-14.6 %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324.4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294.1</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10.3 %</w:t>
            </w:r>
          </w:p>
        </w:tc>
        <w:tc>
          <w:tcPr>
            <w:tcW w:w="1060" w:type="dxa"/>
            <w:vAlign w:val="bottom"/>
          </w:tcPr>
          <w:p>
            <w:pPr>
              <w:jc w:val="right"/>
              <w:spacing w:after="0"/>
              <w:rPr>
                <w:sz w:val="20"/>
                <w:szCs w:val="20"/>
                <w:color w:val="auto"/>
              </w:rPr>
            </w:pPr>
            <w:r>
              <w:rPr>
                <w:rFonts w:ascii="Arial" w:cs="Arial" w:eastAsia="Arial" w:hAnsi="Arial"/>
                <w:sz w:val="16"/>
                <w:szCs w:val="16"/>
                <w:color w:val="auto"/>
              </w:rPr>
              <w:t>31.4 %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259.9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1,825.4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2,008.3</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-9.1 %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8.0 %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1,373.4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1,554.6</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-11.7 %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570.2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592.5</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-3.7 %</w:t>
            </w:r>
          </w:p>
        </w:tc>
        <w:tc>
          <w:tcPr>
            <w:tcW w:w="1060" w:type="dxa"/>
            <w:vAlign w:val="bottom"/>
          </w:tcPr>
          <w:p>
            <w:pPr>
              <w:jc w:val="right"/>
              <w:spacing w:after="0"/>
              <w:rPr>
                <w:sz w:val="20"/>
                <w:szCs w:val="20"/>
                <w:color w:val="auto"/>
              </w:rPr>
            </w:pPr>
            <w:r>
              <w:rPr>
                <w:rFonts w:ascii="Arial" w:cs="Arial" w:eastAsia="Arial" w:hAnsi="Arial"/>
                <w:sz w:val="16"/>
                <w:szCs w:val="16"/>
                <w:color w:val="auto"/>
              </w:rPr>
              <w:t>11.9 %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71.6</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-6.6 %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75"/>
        </w:trPr>
        <w:tc>
          <w:tcPr>
            <w:tcW w:w="54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4,972.5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5,416.0</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-8.2 %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5.8 %</w:t>
            </w:r>
          </w:p>
        </w:tc>
      </w:tr>
      <w:tr>
        <w:trPr>
          <w:trHeight w:val="20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41.9</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8.7 %</w:t>
            </w:r>
          </w:p>
        </w:tc>
      </w:tr>
      <w:tr>
        <w:trPr>
          <w:trHeight w:val="245"/>
        </w:trPr>
        <w:tc>
          <w:tcPr>
            <w:tcW w:w="5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14.6</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-9.7 %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10.2 %</w:t>
            </w:r>
          </w:p>
        </w:tc>
      </w:tr>
      <w:tr>
        <w:trPr>
          <w:trHeight w:val="255"/>
        </w:trPr>
        <w:tc>
          <w:tcPr>
            <w:tcW w:w="5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56.5</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07"/>
        </w:trPr>
        <w:tc>
          <w:tcPr>
            <w:tcW w:w="54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84.2</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-11.0 %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17"/>
        </w:trPr>
        <w:tc>
          <w:tcPr>
            <w:tcW w:w="5400" w:type="dxa"/>
            <w:vAlign w:val="bottom"/>
          </w:tcPr>
          <w:p>
            <w:pPr>
              <w:ind w:left="260"/>
              <w:spacing w:after="0"/>
              <w:rPr>
                <w:sz w:val="20"/>
                <w:szCs w:val="20"/>
                <w:color w:val="auto"/>
              </w:rPr>
            </w:pPr>
            <w:r>
              <w:rPr>
                <w:rFonts w:ascii="Arial" w:cs="Arial" w:eastAsia="Arial" w:hAnsi="Arial"/>
                <w:sz w:val="16"/>
                <w:szCs w:val="16"/>
                <w:color w:val="auto"/>
              </w:rPr>
              <w:t>Italy</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14.7</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19.1 %</w:t>
            </w:r>
          </w:p>
        </w:tc>
        <w:tc>
          <w:tcPr>
            <w:tcW w:w="1060" w:type="dxa"/>
            <w:vAlign w:val="bottom"/>
          </w:tcPr>
          <w:p>
            <w:pPr>
              <w:jc w:val="right"/>
              <w:spacing w:after="0"/>
              <w:rPr>
                <w:sz w:val="20"/>
                <w:szCs w:val="20"/>
                <w:color w:val="auto"/>
              </w:rPr>
            </w:pPr>
            <w:r>
              <w:rPr>
                <w:rFonts w:ascii="Arial" w:cs="Arial" w:eastAsia="Arial" w:hAnsi="Arial"/>
                <w:sz w:val="16"/>
                <w:szCs w:val="16"/>
                <w:color w:val="auto"/>
              </w:rPr>
              <w:t>42.1 %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6.1</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18.5 %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38.3 %</w:t>
            </w:r>
          </w:p>
        </w:tc>
      </w:tr>
      <w:tr>
        <w:trPr>
          <w:trHeight w:val="245"/>
        </w:trPr>
        <w:tc>
          <w:tcPr>
            <w:tcW w:w="54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99.7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105.0</w:t>
            </w:r>
          </w:p>
        </w:tc>
        <w:tc>
          <w:tcPr>
            <w:tcW w:w="2000" w:type="dxa"/>
            <w:vAlign w:val="bottom"/>
            <w:tcBorders>
              <w:bottom w:val="single" w:sz="8" w:color="CCEEFF"/>
            </w:tcBorders>
            <w:gridSpan w:val="2"/>
          </w:tcPr>
          <w:p>
            <w:pPr>
              <w:jc w:val="right"/>
              <w:ind w:right="440"/>
              <w:spacing w:after="0"/>
              <w:rPr>
                <w:sz w:val="20"/>
                <w:szCs w:val="20"/>
                <w:color w:val="auto"/>
              </w:rPr>
            </w:pPr>
            <w:r>
              <w:rPr>
                <w:rFonts w:ascii="Arial" w:cs="Arial" w:eastAsia="Arial" w:hAnsi="Arial"/>
                <w:sz w:val="16"/>
                <w:szCs w:val="16"/>
                <w:color w:val="auto"/>
              </w:rPr>
              <w:t>-5.1 %</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13.2 %</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59.6</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-15.4 %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17"/>
        </w:trPr>
        <w:tc>
          <w:tcPr>
            <w:tcW w:w="5400" w:type="dxa"/>
            <w:vAlign w:val="bottom"/>
          </w:tcPr>
          <w:p>
            <w:pPr>
              <w:ind w:left="80"/>
              <w:spacing w:after="0"/>
              <w:rPr>
                <w:sz w:val="20"/>
                <w:szCs w:val="20"/>
                <w:color w:val="auto"/>
              </w:rPr>
            </w:pPr>
            <w:r>
              <w:rPr>
                <w:rFonts w:ascii="Arial" w:cs="Arial" w:eastAsia="Arial" w:hAnsi="Arial"/>
                <w:sz w:val="16"/>
                <w:szCs w:val="16"/>
                <w:color w:val="auto"/>
              </w:rPr>
              <w:t>APME</w:t>
            </w: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21.6</w:t>
            </w:r>
          </w:p>
        </w:tc>
        <w:tc>
          <w:tcPr>
            <w:tcW w:w="2000" w:type="dxa"/>
            <w:vAlign w:val="bottom"/>
            <w:gridSpan w:val="2"/>
          </w:tcPr>
          <w:p>
            <w:pPr>
              <w:jc w:val="right"/>
              <w:ind w:right="440"/>
              <w:spacing w:after="0"/>
              <w:rPr>
                <w:sz w:val="20"/>
                <w:szCs w:val="20"/>
                <w:color w:val="auto"/>
              </w:rPr>
            </w:pPr>
            <w:r>
              <w:rPr>
                <w:rFonts w:ascii="Arial" w:cs="Arial" w:eastAsia="Arial" w:hAnsi="Arial"/>
                <w:sz w:val="16"/>
                <w:szCs w:val="16"/>
                <w:color w:val="auto"/>
              </w:rPr>
              <w:t>9.9 %</w:t>
            </w:r>
          </w:p>
        </w:tc>
        <w:tc>
          <w:tcPr>
            <w:tcW w:w="1060" w:type="dxa"/>
            <w:vAlign w:val="bottom"/>
          </w:tcPr>
          <w:p>
            <w:pPr>
              <w:jc w:val="right"/>
              <w:spacing w:after="0"/>
              <w:rPr>
                <w:sz w:val="20"/>
                <w:szCs w:val="20"/>
                <w:color w:val="auto"/>
              </w:rPr>
            </w:pPr>
            <w:r>
              <w:rPr>
                <w:rFonts w:ascii="Arial" w:cs="Arial" w:eastAsia="Arial" w:hAnsi="Arial"/>
                <w:sz w:val="16"/>
                <w:szCs w:val="16"/>
                <w:color w:val="auto"/>
              </w:rPr>
              <w:t>27.0 %</w:t>
            </w: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72.0 %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75.4 %</w:t>
            </w: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243.3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249.0</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 amortization expense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206.3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212.3</w:t>
            </w:r>
          </w:p>
        </w:tc>
        <w:tc>
          <w:tcPr>
            <w:tcW w:w="20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-2.8 %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12.7 %</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(b)</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5" w:lineRule="exact"/>
        <w:rPr>
          <w:sz w:val="20"/>
          <w:szCs w:val="20"/>
          <w:color w:val="auto"/>
        </w:rPr>
      </w:pPr>
    </w:p>
    <w:p>
      <w:pPr>
        <w:ind w:left="20" w:right="240" w:hanging="9"/>
        <w:spacing w:after="0" w:line="265" w:lineRule="auto"/>
        <w:tabs>
          <w:tab w:leader="none" w:pos="23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$4.2 million and $4.4 million for the three months ended September 30, 2015 and 2014, respectively. These fees are primarily based on revenues generated by the franchise offices, which were $186.3 million and $196.3 million for the three months ended September 30, 2015 and 2014, respectively.</w:t>
      </w:r>
    </w:p>
    <w:p>
      <w:pPr>
        <w:spacing w:after="0" w:line="138" w:lineRule="exact"/>
        <w:rPr>
          <w:rFonts w:ascii="Arial" w:cs="Arial" w:eastAsia="Arial" w:hAnsi="Arial"/>
          <w:sz w:val="16"/>
          <w:szCs w:val="16"/>
          <w:color w:val="auto"/>
        </w:rPr>
      </w:pPr>
    </w:p>
    <w:p>
      <w:pPr>
        <w:ind w:left="240" w:hanging="229"/>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2014</w:t>
            </w:r>
          </w:p>
        </w:tc>
        <w:tc>
          <w:tcPr>
            <w:tcW w:w="3060" w:type="dxa"/>
            <w:vAlign w:val="bottom"/>
          </w:tcPr>
          <w:p>
            <w:pPr>
              <w:spacing w:after="0"/>
              <w:rPr>
                <w:sz w:val="18"/>
                <w:szCs w:val="18"/>
                <w:color w:val="auto"/>
              </w:rPr>
            </w:pPr>
          </w:p>
        </w:tc>
      </w:tr>
      <w:tr>
        <w:trPr>
          <w:trHeight w:val="28"/>
        </w:trPr>
        <w:tc>
          <w:tcPr>
            <w:tcW w:w="54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900" w:type="dxa"/>
            <w:vAlign w:val="bottom"/>
            <w:tcBorders>
              <w:bottom w:val="single" w:sz="8" w:color="CCEEFF"/>
            </w:tcBorders>
            <w:shd w:val="clear" w:color="auto" w:fill="CCEEFF"/>
          </w:tcPr>
          <w:p>
            <w:pPr>
              <w:jc w:val="right"/>
              <w:ind w:right="72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17"/>
        </w:trPr>
        <w:tc>
          <w:tcPr>
            <w:tcW w:w="54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306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(gain) loss</w:t>
            </w:r>
          </w:p>
        </w:tc>
        <w:tc>
          <w:tcPr>
            <w:tcW w:w="9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45"/>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Miscellaneous expenses, net</w:t>
            </w:r>
          </w:p>
        </w:tc>
        <w:tc>
          <w:tcPr>
            <w:tcW w:w="9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w:t>
            </w:r>
          </w:p>
        </w:tc>
        <w:tc>
          <w:tcPr>
            <w:tcW w:w="3060" w:type="dxa"/>
            <w:vAlign w:val="bottom"/>
            <w:tcBorders>
              <w:bottom w:val="single" w:sz="8" w:color="CCEEFF"/>
            </w:tcBorders>
          </w:tcPr>
          <w:p>
            <w:pPr>
              <w:spacing w:after="0"/>
              <w:rPr>
                <w:sz w:val="21"/>
                <w:szCs w:val="21"/>
                <w:color w:val="auto"/>
              </w:rPr>
            </w:pPr>
          </w:p>
        </w:tc>
      </w:tr>
      <w:tr>
        <w:trPr>
          <w:trHeight w:val="246"/>
        </w:trPr>
        <w:tc>
          <w:tcPr>
            <w:tcW w:w="54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2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w:t>
            </w:r>
          </w:p>
        </w:tc>
        <w:tc>
          <w:tcPr>
            <w:tcW w:w="3060" w:type="dxa"/>
            <w:vAlign w:val="bottom"/>
            <w:tcBorders>
              <w:bottom w:val="single" w:sz="8" w:color="CCEEFF"/>
            </w:tcBorders>
            <w:shd w:val="clear" w:color="auto" w:fill="CCEEFF"/>
          </w:tcPr>
          <w:p>
            <w:pPr>
              <w:spacing w:after="0"/>
              <w:rPr>
                <w:sz w:val="20"/>
                <w:szCs w:val="20"/>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Results of Operations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w w:val="94"/>
              </w:rPr>
              <w:t>Nine Months Ended September 30</w:t>
            </w:r>
          </w:p>
        </w:tc>
        <w:tc>
          <w:tcPr>
            <w:tcW w:w="104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40" w:type="dxa"/>
            <w:vAlign w:val="bottom"/>
          </w:tcPr>
          <w:p>
            <w:pPr>
              <w:spacing w:after="0"/>
              <w:rPr>
                <w:sz w:val="18"/>
                <w:szCs w:val="18"/>
                <w:color w:val="auto"/>
              </w:rPr>
            </w:pPr>
          </w:p>
        </w:tc>
      </w:tr>
      <w:tr>
        <w:trPr>
          <w:trHeight w:val="28"/>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820"/>
              <w:spacing w:after="0"/>
              <w:rPr>
                <w:sz w:val="20"/>
                <w:szCs w:val="20"/>
                <w:color w:val="auto"/>
              </w:rPr>
            </w:pPr>
            <w:r>
              <w:rPr>
                <w:rFonts w:ascii="Arial" w:cs="Arial" w:eastAsia="Arial" w:hAnsi="Arial"/>
                <w:sz w:val="16"/>
                <w:szCs w:val="16"/>
                <w:b w:val="1"/>
                <w:bCs w:val="1"/>
                <w:color w:val="auto"/>
              </w:rPr>
              <w:t>Amount</w:t>
            </w:r>
          </w:p>
        </w:tc>
        <w:tc>
          <w:tcPr>
            <w:tcW w:w="1040" w:type="dxa"/>
            <w:vAlign w:val="bottom"/>
          </w:tcPr>
          <w:p>
            <w:pPr>
              <w:jc w:val="right"/>
              <w:ind w:right="30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2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4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1900" w:type="dxa"/>
            <w:vAlign w:val="bottom"/>
          </w:tcPr>
          <w:p>
            <w:pPr>
              <w:jc w:val="right"/>
              <w:ind w:right="780"/>
              <w:spacing w:after="0"/>
              <w:rPr>
                <w:sz w:val="20"/>
                <w:szCs w:val="20"/>
                <w:color w:val="auto"/>
              </w:rPr>
            </w:pPr>
            <w:r>
              <w:rPr>
                <w:rFonts w:ascii="Arial" w:cs="Arial" w:eastAsia="Arial" w:hAnsi="Arial"/>
                <w:sz w:val="16"/>
                <w:szCs w:val="16"/>
                <w:b w:val="1"/>
                <w:bCs w:val="1"/>
                <w:color w:val="auto"/>
              </w:rPr>
              <w:t>Reported</w:t>
            </w:r>
          </w:p>
        </w:tc>
        <w:tc>
          <w:tcPr>
            <w:tcW w:w="1040" w:type="dxa"/>
            <w:vAlign w:val="bottom"/>
          </w:tcPr>
          <w:p>
            <w:pPr>
              <w:jc w:val="right"/>
              <w:ind w:right="28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3"/>
          </w:tcPr>
          <w:p>
            <w:pPr>
              <w:jc w:val="right"/>
              <w:ind w:right="1400"/>
              <w:spacing w:after="0"/>
              <w:rPr>
                <w:sz w:val="20"/>
                <w:szCs w:val="20"/>
                <w:color w:val="auto"/>
              </w:rPr>
            </w:pPr>
            <w:r>
              <w:rPr>
                <w:rFonts w:ascii="Arial" w:cs="Arial" w:eastAsia="Arial" w:hAnsi="Arial"/>
                <w:sz w:val="16"/>
                <w:szCs w:val="16"/>
                <w:color w:val="auto"/>
              </w:rPr>
              <w:t>(Unaudited)</w:t>
            </w:r>
          </w:p>
        </w:tc>
        <w:tc>
          <w:tcPr>
            <w:tcW w:w="1040" w:type="dxa"/>
            <w:vAlign w:val="bottom"/>
          </w:tcPr>
          <w:p>
            <w:pPr>
              <w:spacing w:after="0"/>
              <w:rPr>
                <w:sz w:val="18"/>
                <w:szCs w:val="18"/>
                <w:color w:val="auto"/>
              </w:rPr>
            </w:pPr>
          </w:p>
        </w:tc>
      </w:tr>
      <w:tr>
        <w:trPr>
          <w:trHeight w:val="24"/>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1"/>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 (a)</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14,376.0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15,641.7</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-8.1 %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11,931.3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13,022.3</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-8.4 %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6.2%</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2,444.7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2,619.4</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-6.7 %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and administrative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1,936.9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2,092.8</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-7.5 %</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5.1%</w:t>
            </w: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profit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507.8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526.6</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-3.6 %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27.0</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0.9 %</w:t>
            </w:r>
          </w:p>
        </w:tc>
        <w:tc>
          <w:tcPr>
            <w:tcW w:w="1040" w:type="dxa"/>
            <w:vAlign w:val="bottom"/>
            <w:tcBorders>
              <w:bottom w:val="single" w:sz="8" w:color="CCEEFF"/>
            </w:tcBorders>
          </w:tcPr>
          <w:p>
            <w:pPr>
              <w:spacing w:after="0"/>
              <w:rPr>
                <w:sz w:val="21"/>
                <w:szCs w:val="21"/>
                <w:color w:val="auto"/>
              </w:rPr>
            </w:pPr>
          </w:p>
        </w:tc>
      </w:tr>
      <w:tr>
        <w:trPr>
          <w:trHeight w:val="221"/>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Earnings before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480.6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499.6</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-3.8 %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45"/>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185.3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189.2</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-2.1 %</w:t>
            </w:r>
          </w:p>
        </w:tc>
        <w:tc>
          <w:tcPr>
            <w:tcW w:w="1040" w:type="dxa"/>
            <w:vAlign w:val="bottom"/>
            <w:tcBorders>
              <w:bottom w:val="single" w:sz="8" w:color="CCEEFF"/>
            </w:tcBorders>
          </w:tcPr>
          <w:p>
            <w:pPr>
              <w:spacing w:after="0"/>
              <w:rPr>
                <w:sz w:val="21"/>
                <w:szCs w:val="21"/>
                <w:color w:val="auto"/>
              </w:rPr>
            </w:pPr>
          </w:p>
        </w:tc>
      </w:tr>
      <w:tr>
        <w:trPr>
          <w:trHeight w:val="235"/>
        </w:trPr>
        <w:tc>
          <w:tcPr>
            <w:tcW w:w="5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earnings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295.3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310.4</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-4.9 %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 basic</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3.89</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-2.3 %</w:t>
            </w:r>
          </w:p>
        </w:tc>
        <w:tc>
          <w:tcPr>
            <w:tcW w:w="104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 diluted</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3.82</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-1.8 %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79.8</w:t>
            </w:r>
          </w:p>
        </w:tc>
        <w:tc>
          <w:tcPr>
            <w:tcW w:w="2000" w:type="dxa"/>
            <w:vAlign w:val="bottom"/>
            <w:tcBorders>
              <w:bottom w:val="single" w:sz="8" w:color="CCEEFF"/>
            </w:tcBorders>
            <w:gridSpan w:val="2"/>
          </w:tcPr>
          <w:p>
            <w:pPr>
              <w:jc w:val="right"/>
              <w:ind w:right="420"/>
              <w:spacing w:after="0"/>
              <w:rPr>
                <w:sz w:val="20"/>
                <w:szCs w:val="20"/>
                <w:color w:val="auto"/>
              </w:rPr>
            </w:pPr>
            <w:r>
              <w:rPr>
                <w:rFonts w:ascii="Arial" w:cs="Arial" w:eastAsia="Arial" w:hAnsi="Arial"/>
                <w:sz w:val="16"/>
                <w:szCs w:val="16"/>
                <w:color w:val="auto"/>
              </w:rPr>
              <w:t>-2.6 %</w:t>
            </w:r>
          </w:p>
        </w:tc>
        <w:tc>
          <w:tcPr>
            <w:tcW w:w="1040" w:type="dxa"/>
            <w:vAlign w:val="bottom"/>
            <w:tcBorders>
              <w:bottom w:val="single" w:sz="8" w:color="CCEEFF"/>
            </w:tcBorders>
          </w:tcPr>
          <w:p>
            <w:pPr>
              <w:spacing w:after="0"/>
              <w:rPr>
                <w:sz w:val="22"/>
                <w:szCs w:val="22"/>
                <w:color w:val="auto"/>
              </w:rPr>
            </w:pPr>
          </w:p>
        </w:tc>
      </w:tr>
      <w:tr>
        <w:trPr>
          <w:trHeight w:val="217"/>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78.7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81.3</w:t>
            </w:r>
          </w:p>
        </w:tc>
        <w:tc>
          <w:tcPr>
            <w:tcW w:w="2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-3.3 %</w:t>
            </w:r>
          </w:p>
        </w:tc>
        <w:tc>
          <w:tcPr>
            <w:tcW w:w="1040" w:type="dxa"/>
            <w:vAlign w:val="bottom"/>
            <w:tcBorders>
              <w:bottom w:val="single" w:sz="8" w:color="CCEEFF"/>
            </w:tcBorders>
            <w:shd w:val="clear" w:color="auto" w:fill="CCEEFF"/>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65" w:lineRule="exact"/>
        <w:rPr>
          <w:sz w:val="20"/>
          <w:szCs w:val="20"/>
          <w:color w:val="auto"/>
        </w:rPr>
      </w:pPr>
    </w:p>
    <w:p>
      <w:pPr>
        <w:ind w:left="20" w:right="380" w:hanging="9"/>
        <w:spacing w:after="0" w:line="265" w:lineRule="auto"/>
        <w:tabs>
          <w:tab w:leader="none" w:pos="239"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$18.1 million and $18.8 million for the nine months ended September 30, 2015 and 2014, respectively. These fees are primarily based on revenues generated by the franchise offices, which were $812.6 million and $845.2 million for the nine months ended September 30, 2015 and 2014, respectively.</w:t>
      </w:r>
    </w:p>
    <w:p>
      <w:pPr>
        <w:sectPr>
          <w:pgSz w:w="11900" w:h="16838" w:orient="portrait"/>
          <w:cols w:equalWidth="0" w:num="1">
            <w:col w:w="11240"/>
          </w:cols>
          <w:pgMar w:left="340" w:top="679"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Operating Unit Results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4"/>
          </w:tcPr>
          <w:p>
            <w:pPr>
              <w:jc w:val="center"/>
              <w:ind w:right="580"/>
              <w:spacing w:after="0"/>
              <w:rPr>
                <w:sz w:val="20"/>
                <w:szCs w:val="20"/>
                <w:color w:val="auto"/>
              </w:rPr>
            </w:pPr>
            <w:r>
              <w:rPr>
                <w:rFonts w:ascii="Arial" w:cs="Arial" w:eastAsia="Arial" w:hAnsi="Arial"/>
                <w:sz w:val="16"/>
                <w:szCs w:val="16"/>
                <w:b w:val="1"/>
                <w:bCs w:val="1"/>
                <w:color w:val="auto"/>
                <w:w w:val="91"/>
              </w:rPr>
              <w:t>Nine Months Ended September 30</w:t>
            </w:r>
          </w:p>
        </w:tc>
        <w:tc>
          <w:tcPr>
            <w:tcW w:w="1080" w:type="dxa"/>
            <w:vAlign w:val="bottom"/>
          </w:tcPr>
          <w:p>
            <w:pPr>
              <w:spacing w:after="0"/>
              <w:rPr>
                <w:sz w:val="18"/>
                <w:szCs w:val="18"/>
                <w:color w:val="auto"/>
              </w:rPr>
            </w:pPr>
          </w:p>
        </w:tc>
      </w:tr>
      <w:tr>
        <w:trPr>
          <w:trHeight w:val="28"/>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 Variance</w:t>
            </w:r>
          </w:p>
        </w:tc>
        <w:tc>
          <w:tcPr>
            <w:tcW w:w="1080" w:type="dxa"/>
            <w:vAlign w:val="bottom"/>
          </w:tcPr>
          <w:p>
            <w:pPr>
              <w:spacing w:after="0"/>
              <w:rPr>
                <w:sz w:val="18"/>
                <w:szCs w:val="18"/>
                <w:color w:val="auto"/>
              </w:rPr>
            </w:pPr>
          </w:p>
        </w:tc>
      </w:tr>
      <w:tr>
        <w:trPr>
          <w:trHeight w:val="28"/>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840"/>
              <w:spacing w:after="0"/>
              <w:rPr>
                <w:sz w:val="20"/>
                <w:szCs w:val="20"/>
                <w:color w:val="auto"/>
              </w:rPr>
            </w:pPr>
            <w:r>
              <w:rPr>
                <w:rFonts w:ascii="Arial" w:cs="Arial" w:eastAsia="Arial" w:hAnsi="Arial"/>
                <w:sz w:val="16"/>
                <w:szCs w:val="16"/>
                <w:b w:val="1"/>
                <w:bCs w:val="1"/>
                <w:color w:val="auto"/>
              </w:rPr>
              <w:t>Amount</w:t>
            </w:r>
          </w:p>
        </w:tc>
        <w:tc>
          <w:tcPr>
            <w:tcW w:w="1080" w:type="dxa"/>
            <w:vAlign w:val="bottom"/>
          </w:tcPr>
          <w:p>
            <w:pPr>
              <w:jc w:val="right"/>
              <w:ind w:right="340"/>
              <w:spacing w:after="0"/>
              <w:rPr>
                <w:sz w:val="20"/>
                <w:szCs w:val="20"/>
                <w:color w:val="auto"/>
              </w:rPr>
            </w:pPr>
            <w:r>
              <w:rPr>
                <w:rFonts w:ascii="Arial" w:cs="Arial" w:eastAsia="Arial" w:hAnsi="Arial"/>
                <w:sz w:val="16"/>
                <w:szCs w:val="16"/>
                <w:b w:val="1"/>
                <w:bCs w:val="1"/>
                <w:color w:val="auto"/>
                <w:w w:val="92"/>
              </w:rPr>
              <w:t>Constant</w:t>
            </w:r>
          </w:p>
        </w:tc>
      </w:tr>
      <w:tr>
        <w:trPr>
          <w:trHeight w:val="241"/>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8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50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ind w:right="800"/>
              <w:spacing w:after="0"/>
              <w:rPr>
                <w:sz w:val="20"/>
                <w:szCs w:val="20"/>
                <w:color w:val="auto"/>
              </w:rPr>
            </w:pPr>
            <w:r>
              <w:rPr>
                <w:rFonts w:ascii="Arial" w:cs="Arial" w:eastAsia="Arial" w:hAnsi="Arial"/>
                <w:sz w:val="16"/>
                <w:szCs w:val="16"/>
                <w:b w:val="1"/>
                <w:bCs w:val="1"/>
                <w:color w:val="auto"/>
                <w:w w:val="93"/>
              </w:rPr>
              <w:t>Reported</w:t>
            </w:r>
          </w:p>
        </w:tc>
        <w:tc>
          <w:tcPr>
            <w:tcW w:w="1080" w:type="dxa"/>
            <w:vAlign w:val="bottom"/>
          </w:tcPr>
          <w:p>
            <w:pPr>
              <w:jc w:val="right"/>
              <w:ind w:right="320"/>
              <w:spacing w:after="0"/>
              <w:rPr>
                <w:sz w:val="20"/>
                <w:szCs w:val="20"/>
                <w:color w:val="auto"/>
              </w:rPr>
            </w:pPr>
            <w:r>
              <w:rPr>
                <w:rFonts w:ascii="Arial" w:cs="Arial" w:eastAsia="Arial" w:hAnsi="Arial"/>
                <w:sz w:val="16"/>
                <w:szCs w:val="16"/>
                <w:b w:val="1"/>
                <w:bCs w:val="1"/>
                <w:color w:val="auto"/>
                <w:w w:val="93"/>
              </w:rPr>
              <w:t>Currency</w:t>
            </w:r>
          </w:p>
        </w:tc>
      </w:tr>
      <w:tr>
        <w:trPr>
          <w:trHeight w:val="28"/>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3"/>
          </w:tcPr>
          <w:p>
            <w:pPr>
              <w:jc w:val="center"/>
              <w:ind w:left="800"/>
              <w:spacing w:after="0"/>
              <w:rPr>
                <w:sz w:val="20"/>
                <w:szCs w:val="20"/>
                <w:color w:val="auto"/>
              </w:rPr>
            </w:pPr>
            <w:r>
              <w:rPr>
                <w:rFonts w:ascii="Arial" w:cs="Arial" w:eastAsia="Arial" w:hAnsi="Arial"/>
                <w:sz w:val="16"/>
                <w:szCs w:val="16"/>
                <w:color w:val="auto"/>
                <w:w w:val="93"/>
              </w:rPr>
              <w:t>(Unaudited)</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from Services: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17"/>
        </w:trPr>
        <w:tc>
          <w:tcPr>
            <w:tcW w:w="5200" w:type="dxa"/>
            <w:vAlign w:val="bottom"/>
          </w:tcPr>
          <w:p>
            <w:pPr>
              <w:ind w:left="100"/>
              <w:spacing w:after="0"/>
              <w:rPr>
                <w:sz w:val="20"/>
                <w:szCs w:val="20"/>
                <w:color w:val="auto"/>
              </w:rPr>
            </w:pPr>
            <w:r>
              <w:rPr>
                <w:rFonts w:ascii="Arial" w:cs="Arial" w:eastAsia="Arial" w:hAnsi="Arial"/>
                <w:sz w:val="16"/>
                <w:szCs w:val="16"/>
                <w:color w:val="auto"/>
              </w:rPr>
              <w:t>Americas: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 (a)</w:t>
            </w:r>
          </w:p>
        </w:tc>
        <w:tc>
          <w:tcPr>
            <w:tcW w:w="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2,257.3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2,296.9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-1.7 %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45"/>
        </w:trPr>
        <w:tc>
          <w:tcPr>
            <w:tcW w:w="52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1,094.4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1,114.3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jc w:val="right"/>
              <w:ind w:right="440"/>
              <w:spacing w:after="0"/>
              <w:rPr>
                <w:sz w:val="20"/>
                <w:szCs w:val="20"/>
                <w:color w:val="auto"/>
              </w:rPr>
            </w:pPr>
            <w:r>
              <w:rPr>
                <w:rFonts w:ascii="Arial" w:cs="Arial" w:eastAsia="Arial" w:hAnsi="Arial"/>
                <w:sz w:val="16"/>
                <w:szCs w:val="16"/>
                <w:color w:val="auto"/>
              </w:rPr>
              <w:t>-1.8 %</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15.6 %</w:t>
            </w:r>
          </w:p>
        </w:tc>
      </w:tr>
      <w:tr>
        <w:trPr>
          <w:trHeight w:val="255"/>
        </w:trPr>
        <w:tc>
          <w:tcPr>
            <w:tcW w:w="5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3,351.7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3,411.2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-1.7 %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207"/>
        </w:trPr>
        <w:tc>
          <w:tcPr>
            <w:tcW w:w="52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3,485.9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4,083.7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-14.6 %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3.8 %</w:t>
            </w:r>
          </w:p>
        </w:tc>
      </w:tr>
      <w:tr>
        <w:trPr>
          <w:trHeight w:val="217"/>
        </w:trPr>
        <w:tc>
          <w:tcPr>
            <w:tcW w:w="5200" w:type="dxa"/>
            <w:vAlign w:val="bottom"/>
          </w:tcPr>
          <w:p>
            <w:pPr>
              <w:ind w:left="260"/>
              <w:spacing w:after="0"/>
              <w:rPr>
                <w:sz w:val="20"/>
                <w:szCs w:val="20"/>
                <w:color w:val="auto"/>
              </w:rPr>
            </w:pPr>
            <w:r>
              <w:rPr>
                <w:rFonts w:ascii="Arial" w:cs="Arial" w:eastAsia="Arial" w:hAnsi="Arial"/>
                <w:sz w:val="16"/>
                <w:szCs w:val="16"/>
                <w:color w:val="auto"/>
              </w:rPr>
              <w:t>Italy</w:t>
            </w: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913.8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882.7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440"/>
              <w:spacing w:after="0"/>
              <w:rPr>
                <w:sz w:val="20"/>
                <w:szCs w:val="20"/>
                <w:color w:val="auto"/>
              </w:rPr>
            </w:pPr>
            <w:r>
              <w:rPr>
                <w:rFonts w:ascii="Arial" w:cs="Arial" w:eastAsia="Arial" w:hAnsi="Arial"/>
                <w:sz w:val="16"/>
                <w:szCs w:val="16"/>
                <w:color w:val="auto"/>
              </w:rPr>
              <w:t>3.5 %</w:t>
            </w:r>
          </w:p>
        </w:tc>
        <w:tc>
          <w:tcPr>
            <w:tcW w:w="1080" w:type="dxa"/>
            <w:vAlign w:val="bottom"/>
          </w:tcPr>
          <w:p>
            <w:pPr>
              <w:jc w:val="right"/>
              <w:spacing w:after="0"/>
              <w:rPr>
                <w:sz w:val="20"/>
                <w:szCs w:val="20"/>
                <w:color w:val="auto"/>
              </w:rPr>
            </w:pPr>
            <w:r>
              <w:rPr>
                <w:rFonts w:ascii="Arial" w:cs="Arial" w:eastAsia="Arial" w:hAnsi="Arial"/>
                <w:sz w:val="16"/>
                <w:szCs w:val="16"/>
                <w:color w:val="auto"/>
              </w:rPr>
              <w:t>25.9 %</w:t>
            </w: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5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732.9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-0.5 %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17.8 %</w:t>
            </w:r>
          </w:p>
        </w:tc>
      </w:tr>
      <w:tr>
        <w:trPr>
          <w:trHeight w:val="245"/>
        </w:trPr>
        <w:tc>
          <w:tcPr>
            <w:tcW w:w="5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5,128.7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5,699.3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jc w:val="right"/>
              <w:ind w:right="440"/>
              <w:spacing w:after="0"/>
              <w:rPr>
                <w:sz w:val="20"/>
                <w:szCs w:val="20"/>
                <w:color w:val="auto"/>
              </w:rPr>
            </w:pPr>
            <w:r>
              <w:rPr>
                <w:rFonts w:ascii="Arial" w:cs="Arial" w:eastAsia="Arial" w:hAnsi="Arial"/>
                <w:sz w:val="16"/>
                <w:szCs w:val="16"/>
                <w:color w:val="auto"/>
              </w:rPr>
              <w:t>-10.0 %</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9.0 %</w:t>
            </w:r>
          </w:p>
        </w:tc>
      </w:tr>
      <w:tr>
        <w:trPr>
          <w:trHeight w:val="221"/>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4,032.3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4,546.3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-11.3 %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17"/>
        </w:trPr>
        <w:tc>
          <w:tcPr>
            <w:tcW w:w="5200" w:type="dxa"/>
            <w:vAlign w:val="bottom"/>
          </w:tcPr>
          <w:p>
            <w:pPr>
              <w:ind w:left="100"/>
              <w:spacing w:after="0"/>
              <w:rPr>
                <w:sz w:val="20"/>
                <w:szCs w:val="20"/>
                <w:color w:val="auto"/>
              </w:rPr>
            </w:pPr>
            <w:r>
              <w:rPr>
                <w:rFonts w:ascii="Arial" w:cs="Arial" w:eastAsia="Arial" w:hAnsi="Arial"/>
                <w:sz w:val="16"/>
                <w:szCs w:val="16"/>
                <w:color w:val="auto"/>
              </w:rPr>
              <w:t>APME</w:t>
            </w: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1,659.9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1,760.2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440"/>
              <w:spacing w:after="0"/>
              <w:rPr>
                <w:sz w:val="20"/>
                <w:szCs w:val="20"/>
                <w:color w:val="auto"/>
              </w:rPr>
            </w:pPr>
            <w:r>
              <w:rPr>
                <w:rFonts w:ascii="Arial" w:cs="Arial" w:eastAsia="Arial" w:hAnsi="Arial"/>
                <w:sz w:val="16"/>
                <w:szCs w:val="16"/>
                <w:color w:val="auto"/>
              </w:rPr>
              <w:t>-5.7 %</w:t>
            </w:r>
          </w:p>
        </w:tc>
        <w:tc>
          <w:tcPr>
            <w:tcW w:w="1080" w:type="dxa"/>
            <w:vAlign w:val="bottom"/>
          </w:tcPr>
          <w:p>
            <w:pPr>
              <w:jc w:val="right"/>
              <w:spacing w:after="0"/>
              <w:rPr>
                <w:sz w:val="20"/>
                <w:szCs w:val="20"/>
                <w:color w:val="auto"/>
              </w:rPr>
            </w:pPr>
            <w:r>
              <w:rPr>
                <w:rFonts w:ascii="Arial" w:cs="Arial" w:eastAsia="Arial" w:hAnsi="Arial"/>
                <w:sz w:val="16"/>
                <w:szCs w:val="16"/>
                <w:color w:val="auto"/>
              </w:rPr>
              <w:t>6.6 %</w:t>
            </w: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-9.5 %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75"/>
        </w:trPr>
        <w:tc>
          <w:tcPr>
            <w:tcW w:w="52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14,376.0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15,641.7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jc w:val="right"/>
              <w:ind w:right="440"/>
              <w:spacing w:after="0"/>
              <w:rPr>
                <w:sz w:val="20"/>
                <w:szCs w:val="20"/>
                <w:color w:val="auto"/>
              </w:rPr>
            </w:pPr>
            <w:r>
              <w:rPr>
                <w:rFonts w:ascii="Arial" w:cs="Arial" w:eastAsia="Arial" w:hAnsi="Arial"/>
                <w:sz w:val="16"/>
                <w:szCs w:val="16"/>
                <w:color w:val="auto"/>
              </w:rPr>
              <w:t>-8.1 %</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6.3 %</w:t>
            </w:r>
          </w:p>
        </w:tc>
      </w:tr>
      <w:tr>
        <w:trPr>
          <w:trHeight w:val="20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Unit Profit:</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r>
      <w:tr>
        <w:trPr>
          <w:trHeight w:val="217"/>
        </w:trPr>
        <w:tc>
          <w:tcPr>
            <w:tcW w:w="5200" w:type="dxa"/>
            <w:vAlign w:val="bottom"/>
          </w:tcPr>
          <w:p>
            <w:pPr>
              <w:ind w:left="100"/>
              <w:spacing w:after="0"/>
              <w:rPr>
                <w:sz w:val="20"/>
                <w:szCs w:val="20"/>
                <w:color w:val="auto"/>
              </w:rPr>
            </w:pPr>
            <w:r>
              <w:rPr>
                <w:rFonts w:ascii="Arial" w:cs="Arial" w:eastAsia="Arial" w:hAnsi="Arial"/>
                <w:sz w:val="16"/>
                <w:szCs w:val="16"/>
                <w:color w:val="auto"/>
              </w:rPr>
              <w:t>Americas: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United States</w:t>
            </w:r>
          </w:p>
        </w:tc>
        <w:tc>
          <w:tcPr>
            <w:tcW w:w="3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23.1 %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23.1 %</w:t>
            </w:r>
          </w:p>
        </w:tc>
      </w:tr>
      <w:tr>
        <w:trPr>
          <w:trHeight w:val="245"/>
        </w:trPr>
        <w:tc>
          <w:tcPr>
            <w:tcW w:w="52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 Americas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jc w:val="right"/>
              <w:ind w:right="440"/>
              <w:spacing w:after="0"/>
              <w:rPr>
                <w:sz w:val="20"/>
                <w:szCs w:val="20"/>
                <w:color w:val="auto"/>
              </w:rPr>
            </w:pPr>
            <w:r>
              <w:rPr>
                <w:rFonts w:ascii="Arial" w:cs="Arial" w:eastAsia="Arial" w:hAnsi="Arial"/>
                <w:sz w:val="16"/>
                <w:szCs w:val="16"/>
                <w:color w:val="auto"/>
              </w:rPr>
              <w:t>-1.8 %</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14.9 %</w:t>
            </w:r>
          </w:p>
        </w:tc>
      </w:tr>
      <w:tr>
        <w:trPr>
          <w:trHeight w:val="255"/>
        </w:trPr>
        <w:tc>
          <w:tcPr>
            <w:tcW w:w="5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15.0 %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20.4 %</w:t>
            </w:r>
          </w:p>
        </w:tc>
      </w:tr>
      <w:tr>
        <w:trPr>
          <w:trHeight w:val="207"/>
        </w:trPr>
        <w:tc>
          <w:tcPr>
            <w:tcW w:w="5200" w:type="dxa"/>
            <w:vAlign w:val="bottom"/>
          </w:tcPr>
          <w:p>
            <w:pPr>
              <w:ind w:left="100"/>
              <w:spacing w:after="0"/>
              <w:rPr>
                <w:sz w:val="20"/>
                <w:szCs w:val="20"/>
                <w:color w:val="auto"/>
              </w:rPr>
            </w:pPr>
            <w:r>
              <w:rPr>
                <w:rFonts w:ascii="Arial" w:cs="Arial" w:eastAsia="Arial" w:hAnsi="Arial"/>
                <w:sz w:val="16"/>
                <w:szCs w:val="16"/>
                <w:color w:val="auto"/>
              </w:rPr>
              <w:t>Southern Europe: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France</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-7.3 %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r>
      <w:tr>
        <w:trPr>
          <w:trHeight w:val="217"/>
        </w:trPr>
        <w:tc>
          <w:tcPr>
            <w:tcW w:w="5200" w:type="dxa"/>
            <w:vAlign w:val="bottom"/>
          </w:tcPr>
          <w:p>
            <w:pPr>
              <w:ind w:left="260"/>
              <w:spacing w:after="0"/>
              <w:rPr>
                <w:sz w:val="20"/>
                <w:szCs w:val="20"/>
                <w:color w:val="auto"/>
              </w:rPr>
            </w:pPr>
            <w:r>
              <w:rPr>
                <w:rFonts w:ascii="Arial" w:cs="Arial" w:eastAsia="Arial" w:hAnsi="Arial"/>
                <w:sz w:val="16"/>
                <w:szCs w:val="16"/>
                <w:color w:val="auto"/>
              </w:rPr>
              <w:t>Italy</w:t>
            </w: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440"/>
              <w:spacing w:after="0"/>
              <w:rPr>
                <w:sz w:val="20"/>
                <w:szCs w:val="20"/>
                <w:color w:val="auto"/>
              </w:rPr>
            </w:pPr>
            <w:r>
              <w:rPr>
                <w:rFonts w:ascii="Arial" w:cs="Arial" w:eastAsia="Arial" w:hAnsi="Arial"/>
                <w:sz w:val="16"/>
                <w:szCs w:val="16"/>
                <w:color w:val="auto"/>
              </w:rPr>
              <w:t>12.4 %</w:t>
            </w:r>
          </w:p>
        </w:tc>
        <w:tc>
          <w:tcPr>
            <w:tcW w:w="1080" w:type="dxa"/>
            <w:vAlign w:val="bottom"/>
          </w:tcPr>
          <w:p>
            <w:pPr>
              <w:jc w:val="right"/>
              <w:spacing w:after="0"/>
              <w:rPr>
                <w:sz w:val="20"/>
                <w:szCs w:val="20"/>
                <w:color w:val="auto"/>
              </w:rPr>
            </w:pPr>
            <w:r>
              <w:rPr>
                <w:rFonts w:ascii="Arial" w:cs="Arial" w:eastAsia="Arial" w:hAnsi="Arial"/>
                <w:sz w:val="16"/>
                <w:szCs w:val="16"/>
                <w:color w:val="auto"/>
              </w:rPr>
              <w:t>37.2 %</w:t>
            </w: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5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Southern Europe</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11.3 %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31.3 %</w:t>
            </w:r>
          </w:p>
        </w:tc>
      </w:tr>
      <w:tr>
        <w:trPr>
          <w:trHeight w:val="245"/>
        </w:trPr>
        <w:tc>
          <w:tcPr>
            <w:tcW w:w="5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261.7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269.3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jc w:val="right"/>
              <w:ind w:right="440"/>
              <w:spacing w:after="0"/>
              <w:rPr>
                <w:sz w:val="20"/>
                <w:szCs w:val="20"/>
                <w:color w:val="auto"/>
              </w:rPr>
            </w:pPr>
            <w:r>
              <w:rPr>
                <w:rFonts w:ascii="Arial" w:cs="Arial" w:eastAsia="Arial" w:hAnsi="Arial"/>
                <w:sz w:val="16"/>
                <w:szCs w:val="16"/>
                <w:color w:val="auto"/>
              </w:rPr>
              <w:t>-2.8 %</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18.2 %</w:t>
            </w:r>
          </w:p>
        </w:tc>
      </w:tr>
      <w:tr>
        <w:trPr>
          <w:trHeight w:val="221"/>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Northern Europe</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-17.2 %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217"/>
        </w:trPr>
        <w:tc>
          <w:tcPr>
            <w:tcW w:w="5200" w:type="dxa"/>
            <w:vAlign w:val="bottom"/>
          </w:tcPr>
          <w:p>
            <w:pPr>
              <w:ind w:left="100"/>
              <w:spacing w:after="0"/>
              <w:rPr>
                <w:sz w:val="20"/>
                <w:szCs w:val="20"/>
                <w:color w:val="auto"/>
              </w:rPr>
            </w:pPr>
            <w:r>
              <w:rPr>
                <w:rFonts w:ascii="Arial" w:cs="Arial" w:eastAsia="Arial" w:hAnsi="Arial"/>
                <w:sz w:val="16"/>
                <w:szCs w:val="16"/>
                <w:color w:val="auto"/>
              </w:rPr>
              <w:t>APME</w:t>
            </w: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ind w:right="440"/>
              <w:spacing w:after="0"/>
              <w:rPr>
                <w:sz w:val="20"/>
                <w:szCs w:val="20"/>
                <w:color w:val="auto"/>
              </w:rPr>
            </w:pPr>
            <w:r>
              <w:rPr>
                <w:rFonts w:ascii="Arial" w:cs="Arial" w:eastAsia="Arial" w:hAnsi="Arial"/>
                <w:sz w:val="16"/>
                <w:szCs w:val="16"/>
                <w:color w:val="auto"/>
              </w:rPr>
              <w:t>-2.8 %</w:t>
            </w:r>
          </w:p>
        </w:tc>
        <w:tc>
          <w:tcPr>
            <w:tcW w:w="1080" w:type="dxa"/>
            <w:vAlign w:val="bottom"/>
          </w:tcPr>
          <w:p>
            <w:pPr>
              <w:jc w:val="right"/>
              <w:spacing w:after="0"/>
              <w:rPr>
                <w:sz w:val="20"/>
                <w:szCs w:val="20"/>
                <w:color w:val="auto"/>
              </w:rPr>
            </w:pPr>
            <w:r>
              <w:rPr>
                <w:rFonts w:ascii="Arial" w:cs="Arial" w:eastAsia="Arial" w:hAnsi="Arial"/>
                <w:sz w:val="16"/>
                <w:szCs w:val="16"/>
                <w:color w:val="auto"/>
              </w:rPr>
              <w:t>9.8 %</w:t>
            </w: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5"/>
        </w:trPr>
        <w:tc>
          <w:tcPr>
            <w:tcW w:w="5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Right Management</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2.9 %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7.2 %</w:t>
            </w:r>
          </w:p>
        </w:tc>
      </w:tr>
      <w:tr>
        <w:trPr>
          <w:trHeight w:val="217"/>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615.4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629.8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4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 amortization expense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r>
      <w:tr>
        <w:trPr>
          <w:trHeight w:val="221"/>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profit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507.8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526.6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40"/>
              <w:spacing w:after="0"/>
              <w:rPr>
                <w:sz w:val="20"/>
                <w:szCs w:val="20"/>
                <w:color w:val="auto"/>
              </w:rPr>
            </w:pPr>
            <w:r>
              <w:rPr>
                <w:rFonts w:ascii="Arial" w:cs="Arial" w:eastAsia="Arial" w:hAnsi="Arial"/>
                <w:sz w:val="16"/>
                <w:szCs w:val="16"/>
                <w:color w:val="auto"/>
              </w:rPr>
              <w:t>-3.6 %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13.5 %</w:t>
            </w:r>
          </w:p>
        </w:tc>
      </w:tr>
      <w:tr>
        <w:trPr>
          <w:trHeight w:val="24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(b)</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r>
      <w:tr>
        <w:trPr>
          <w:trHeight w:val="235"/>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Earnings before income taxes</w:t>
            </w: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480.6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499.6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5" w:lineRule="exact"/>
        <w:rPr>
          <w:sz w:val="20"/>
          <w:szCs w:val="20"/>
          <w:color w:val="auto"/>
        </w:rPr>
      </w:pPr>
    </w:p>
    <w:p>
      <w:pPr>
        <w:ind w:left="20" w:right="60" w:firstLine="1"/>
        <w:spacing w:after="0" w:line="265" w:lineRule="auto"/>
        <w:tabs>
          <w:tab w:leader="none" w:pos="238"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$11.5 million and $11.7 million for the nine months ended September 30, 2015 and 2014, respectively. These fees are primarily based on revenues generated by the franchise offices, which were $539.6 million and $555.7 million for the nine months ended September 30, 2015 and 2014, respectively.</w:t>
      </w:r>
    </w:p>
    <w:p>
      <w:pPr>
        <w:spacing w:after="0" w:line="138" w:lineRule="exact"/>
        <w:rPr>
          <w:rFonts w:ascii="Arial" w:cs="Arial" w:eastAsia="Arial" w:hAnsi="Arial"/>
          <w:sz w:val="16"/>
          <w:szCs w:val="16"/>
          <w:color w:val="auto"/>
        </w:rPr>
      </w:pPr>
    </w:p>
    <w:p>
      <w:pPr>
        <w:ind w:left="240" w:hanging="219"/>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00"/>
              <w:spacing w:after="0"/>
              <w:rPr>
                <w:sz w:val="20"/>
                <w:szCs w:val="20"/>
                <w:color w:val="auto"/>
              </w:rPr>
            </w:pPr>
            <w:r>
              <w:rPr>
                <w:rFonts w:ascii="Arial" w:cs="Arial" w:eastAsia="Arial" w:hAnsi="Arial"/>
                <w:sz w:val="16"/>
                <w:szCs w:val="16"/>
                <w:b w:val="1"/>
                <w:bCs w:val="1"/>
                <w:color w:val="auto"/>
              </w:rPr>
              <w:t>2014</w:t>
            </w:r>
          </w:p>
        </w:tc>
        <w:tc>
          <w:tcPr>
            <w:tcW w:w="3100" w:type="dxa"/>
            <w:vAlign w:val="bottom"/>
          </w:tcPr>
          <w:p>
            <w:pPr>
              <w:spacing w:after="0"/>
              <w:rPr>
                <w:sz w:val="18"/>
                <w:szCs w:val="18"/>
                <w:color w:val="auto"/>
              </w:rPr>
            </w:pPr>
          </w:p>
        </w:tc>
      </w:tr>
      <w:tr>
        <w:trPr>
          <w:trHeight w:val="28"/>
        </w:trPr>
        <w:tc>
          <w:tcPr>
            <w:tcW w:w="5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27.5</w:t>
            </w:r>
          </w:p>
        </w:tc>
        <w:tc>
          <w:tcPr>
            <w:tcW w:w="3100" w:type="dxa"/>
            <w:vAlign w:val="bottom"/>
            <w:tcBorders>
              <w:bottom w:val="single" w:sz="8" w:color="CCEEFF"/>
            </w:tcBorders>
            <w:shd w:val="clear" w:color="auto" w:fill="CCEEFF"/>
          </w:tcPr>
          <w:p>
            <w:pPr>
              <w:spacing w:after="0"/>
              <w:rPr>
                <w:sz w:val="19"/>
                <w:szCs w:val="19"/>
                <w:color w:val="auto"/>
              </w:rPr>
            </w:pPr>
          </w:p>
        </w:tc>
      </w:tr>
      <w:tr>
        <w:trPr>
          <w:trHeight w:val="217"/>
        </w:trPr>
        <w:tc>
          <w:tcPr>
            <w:tcW w:w="52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c>
          <w:tcPr>
            <w:tcW w:w="3100" w:type="dxa"/>
            <w:vAlign w:val="bottom"/>
          </w:tcPr>
          <w:p>
            <w:pPr>
              <w:spacing w:after="0"/>
              <w:rPr>
                <w:sz w:val="18"/>
                <w:szCs w:val="18"/>
                <w:color w:val="auto"/>
              </w:rPr>
            </w:pPr>
          </w:p>
        </w:tc>
      </w:tr>
      <w:tr>
        <w:trPr>
          <w:trHeight w:val="24"/>
        </w:trPr>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loss (gain)</w:t>
            </w:r>
          </w:p>
        </w:tc>
        <w:tc>
          <w:tcPr>
            <w:tcW w:w="9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3100" w:type="dxa"/>
            <w:vAlign w:val="bottom"/>
            <w:tcBorders>
              <w:bottom w:val="single" w:sz="8" w:color="CCEEFF"/>
            </w:tcBorders>
            <w:shd w:val="clear" w:color="auto" w:fill="CCEEFF"/>
          </w:tcPr>
          <w:p>
            <w:pPr>
              <w:spacing w:after="0"/>
              <w:rPr>
                <w:sz w:val="19"/>
                <w:szCs w:val="19"/>
                <w:color w:val="auto"/>
              </w:rPr>
            </w:pPr>
          </w:p>
        </w:tc>
      </w:tr>
      <w:tr>
        <w:trPr>
          <w:trHeight w:val="245"/>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Miscellaneous expenses, net</w:t>
            </w:r>
          </w:p>
        </w:tc>
        <w:tc>
          <w:tcPr>
            <w:tcW w:w="9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w:t>
            </w:r>
          </w:p>
        </w:tc>
        <w:tc>
          <w:tcPr>
            <w:tcW w:w="3100" w:type="dxa"/>
            <w:vAlign w:val="bottom"/>
            <w:tcBorders>
              <w:bottom w:val="single" w:sz="8" w:color="CCEEFF"/>
            </w:tcBorders>
          </w:tcPr>
          <w:p>
            <w:pPr>
              <w:spacing w:after="0"/>
              <w:rPr>
                <w:sz w:val="21"/>
                <w:szCs w:val="21"/>
                <w:color w:val="auto"/>
              </w:rPr>
            </w:pPr>
          </w:p>
        </w:tc>
      </w:tr>
      <w:tr>
        <w:trPr>
          <w:trHeight w:val="246"/>
        </w:trPr>
        <w:tc>
          <w:tcPr>
            <w:tcW w:w="5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27.0</w:t>
            </w:r>
          </w:p>
        </w:tc>
        <w:tc>
          <w:tcPr>
            <w:tcW w:w="3100" w:type="dxa"/>
            <w:vAlign w:val="bottom"/>
            <w:tcBorders>
              <w:bottom w:val="single" w:sz="8" w:color="CCEEFF"/>
            </w:tcBorders>
            <w:shd w:val="clear" w:color="auto" w:fill="CCEEFF"/>
          </w:tcPr>
          <w:p>
            <w:pPr>
              <w:spacing w:after="0"/>
              <w:rPr>
                <w:sz w:val="20"/>
                <w:szCs w:val="20"/>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320"/>
          </w:cols>
          <w:pgMar w:left="300" w:top="679" w:right="27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Balance Sheets</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 30</w:t>
            </w:r>
          </w:p>
        </w:tc>
        <w:tc>
          <w:tcPr>
            <w:tcW w:w="340" w:type="dxa"/>
            <w:vAlign w:val="bottom"/>
          </w:tcPr>
          <w:p>
            <w:pPr>
              <w:spacing w:after="0"/>
              <w:rPr>
                <w:sz w:val="18"/>
                <w:szCs w:val="18"/>
                <w:color w:val="auto"/>
              </w:rPr>
            </w:pPr>
          </w:p>
        </w:tc>
        <w:tc>
          <w:tcPr>
            <w:tcW w:w="880" w:type="dxa"/>
            <w:vAlign w:val="bottom"/>
          </w:tcPr>
          <w:p>
            <w:pPr>
              <w:jc w:val="right"/>
              <w:ind w:right="280"/>
              <w:spacing w:after="0"/>
              <w:rPr>
                <w:sz w:val="20"/>
                <w:szCs w:val="20"/>
                <w:color w:val="auto"/>
              </w:rPr>
            </w:pPr>
            <w:r>
              <w:rPr>
                <w:rFonts w:ascii="Arial" w:cs="Arial" w:eastAsia="Arial" w:hAnsi="Arial"/>
                <w:sz w:val="16"/>
                <w:szCs w:val="16"/>
                <w:b w:val="1"/>
                <w:bCs w:val="1"/>
                <w:color w:val="auto"/>
                <w:w w:val="89"/>
              </w:rPr>
              <w:t>Dec. 31</w:t>
            </w:r>
          </w:p>
        </w:tc>
        <w:tc>
          <w:tcPr>
            <w:tcW w:w="0" w:type="dxa"/>
            <w:vAlign w:val="bottom"/>
          </w:tcPr>
          <w:p>
            <w:pPr>
              <w:spacing w:after="0"/>
              <w:rPr>
                <w:sz w:val="1"/>
                <w:szCs w:val="1"/>
                <w:color w:val="auto"/>
              </w:rPr>
            </w:pPr>
          </w:p>
        </w:tc>
      </w:tr>
      <w:tr>
        <w:trPr>
          <w:trHeight w:val="241"/>
        </w:trPr>
        <w:tc>
          <w:tcPr>
            <w:tcW w:w="8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0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60"/>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8"/>
        </w:trPr>
        <w:tc>
          <w:tcPr>
            <w:tcW w:w="8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(Unaudited)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652.5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699.2</w:t>
            </w:r>
          </w:p>
        </w:tc>
        <w:tc>
          <w:tcPr>
            <w:tcW w:w="0" w:type="dxa"/>
            <w:vAlign w:val="bottom"/>
          </w:tcPr>
          <w:p>
            <w:pPr>
              <w:spacing w:after="0"/>
              <w:rPr>
                <w:sz w:val="1"/>
                <w:szCs w:val="1"/>
                <w:color w:val="auto"/>
              </w:rPr>
            </w:pPr>
          </w:p>
        </w:tc>
      </w:tr>
      <w:tr>
        <w:trPr>
          <w:trHeight w:val="217"/>
        </w:trPr>
        <w:tc>
          <w:tcPr>
            <w:tcW w:w="8660" w:type="dxa"/>
            <w:vAlign w:val="bottom"/>
          </w:tcPr>
          <w:p>
            <w:pPr>
              <w:ind w:left="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4,278.9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4,134.5</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147.8</w:t>
            </w:r>
          </w:p>
        </w:tc>
        <w:tc>
          <w:tcPr>
            <w:tcW w:w="0" w:type="dxa"/>
            <w:vAlign w:val="bottom"/>
          </w:tcPr>
          <w:p>
            <w:pPr>
              <w:spacing w:after="0"/>
              <w:rPr>
                <w:sz w:val="1"/>
                <w:szCs w:val="1"/>
                <w:color w:val="auto"/>
              </w:rPr>
            </w:pPr>
          </w:p>
        </w:tc>
      </w:tr>
      <w:tr>
        <w:trPr>
          <w:trHeight w:val="245"/>
        </w:trPr>
        <w:tc>
          <w:tcPr>
            <w:tcW w:w="8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Future income tax benefits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49.8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21"/>
        </w:trPr>
        <w:tc>
          <w:tcPr>
            <w:tcW w:w="8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5,107.6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5,033.7</w:t>
            </w:r>
          </w:p>
        </w:tc>
        <w:tc>
          <w:tcPr>
            <w:tcW w:w="0" w:type="dxa"/>
            <w:vAlign w:val="bottom"/>
          </w:tcPr>
          <w:p>
            <w:pPr>
              <w:spacing w:after="0"/>
              <w:rPr>
                <w:sz w:val="1"/>
                <w:szCs w:val="1"/>
                <w:color w:val="auto"/>
              </w:rPr>
            </w:pPr>
          </w:p>
        </w:tc>
      </w:tr>
      <w:tr>
        <w:trPr>
          <w:trHeight w:val="217"/>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1,075.2</w:t>
            </w:r>
          </w:p>
        </w:tc>
        <w:tc>
          <w:tcPr>
            <w:tcW w:w="0" w:type="dxa"/>
            <w:vAlign w:val="bottom"/>
          </w:tcPr>
          <w:p>
            <w:pPr>
              <w:spacing w:after="0"/>
              <w:rPr>
                <w:sz w:val="1"/>
                <w:szCs w:val="1"/>
                <w:color w:val="auto"/>
              </w:rPr>
            </w:pPr>
          </w:p>
        </w:tc>
      </w:tr>
      <w:tr>
        <w:trPr>
          <w:trHeight w:val="217"/>
        </w:trPr>
        <w:tc>
          <w:tcPr>
            <w:tcW w:w="8660" w:type="dxa"/>
            <w:vAlign w:val="bottom"/>
          </w:tcPr>
          <w:p>
            <w:pPr>
              <w:ind w:left="10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331.7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286.8</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636.4</w:t>
            </w:r>
          </w:p>
        </w:tc>
        <w:tc>
          <w:tcPr>
            <w:tcW w:w="0" w:type="dxa"/>
            <w:vAlign w:val="bottom"/>
          </w:tcPr>
          <w:p>
            <w:pPr>
              <w:spacing w:after="0"/>
              <w:rPr>
                <w:sz w:val="1"/>
                <w:szCs w:val="1"/>
                <w:color w:val="auto"/>
              </w:rPr>
            </w:pPr>
          </w:p>
        </w:tc>
      </w:tr>
      <w:tr>
        <w:trPr>
          <w:trHeight w:val="217"/>
        </w:trPr>
        <w:tc>
          <w:tcPr>
            <w:tcW w:w="8660" w:type="dxa"/>
            <w:vAlign w:val="bottom"/>
          </w:tcPr>
          <w:p>
            <w:pPr>
              <w:ind w:left="240"/>
              <w:spacing w:after="0"/>
              <w:rPr>
                <w:sz w:val="20"/>
                <w:szCs w:val="20"/>
                <w:color w:val="auto"/>
              </w:rPr>
            </w:pPr>
            <w:r>
              <w:rPr>
                <w:rFonts w:ascii="Arial" w:cs="Arial" w:eastAsia="Arial" w:hAnsi="Arial"/>
                <w:sz w:val="16"/>
                <w:szCs w:val="16"/>
                <w:color w:val="auto"/>
              </w:rPr>
              <w:t>Total other assets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2,194.0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1,998.4</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equipment:</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60" w:type="dxa"/>
            <w:vAlign w:val="bottom"/>
          </w:tcPr>
          <w:p>
            <w:pPr>
              <w:ind w:left="100"/>
              <w:spacing w:after="0"/>
              <w:rPr>
                <w:sz w:val="20"/>
                <w:szCs w:val="20"/>
                <w:color w:val="auto"/>
              </w:rPr>
            </w:pPr>
            <w:r>
              <w:rPr>
                <w:rFonts w:ascii="Arial" w:cs="Arial" w:eastAsia="Arial" w:hAnsi="Arial"/>
                <w:sz w:val="16"/>
                <w:szCs w:val="16"/>
                <w:color w:val="auto"/>
              </w:rPr>
              <w:t>Land, buildings, leasehold improvements and equipment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595.9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633.5</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Less: accumulated depreciation and amortization</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484.4</w:t>
            </w:r>
          </w:p>
        </w:tc>
        <w:tc>
          <w:tcPr>
            <w:tcW w:w="0" w:type="dxa"/>
            <w:vAlign w:val="bottom"/>
          </w:tcPr>
          <w:p>
            <w:pPr>
              <w:spacing w:after="0"/>
              <w:rPr>
                <w:sz w:val="1"/>
                <w:szCs w:val="1"/>
                <w:color w:val="auto"/>
              </w:rPr>
            </w:pPr>
          </w:p>
        </w:tc>
      </w:tr>
      <w:tr>
        <w:trPr>
          <w:trHeight w:val="245"/>
        </w:trPr>
        <w:tc>
          <w:tcPr>
            <w:tcW w:w="8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property and equipment</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142.8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149.1</w:t>
            </w:r>
          </w:p>
        </w:tc>
        <w:tc>
          <w:tcPr>
            <w:tcW w:w="0" w:type="dxa"/>
            <w:vAlign w:val="bottom"/>
          </w:tcPr>
          <w:p>
            <w:pPr>
              <w:spacing w:after="0"/>
              <w:rPr>
                <w:sz w:val="1"/>
                <w:szCs w:val="1"/>
                <w:color w:val="auto"/>
              </w:rPr>
            </w:pPr>
          </w:p>
        </w:tc>
      </w:tr>
      <w:tr>
        <w:trPr>
          <w:trHeight w:val="235"/>
        </w:trPr>
        <w:tc>
          <w:tcPr>
            <w:tcW w:w="86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7,444.4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7,181.2</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6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60" w:type="dxa"/>
            <w:vAlign w:val="bottom"/>
          </w:tcPr>
          <w:p>
            <w:pPr>
              <w:ind w:left="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1,647.3</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1,542.7</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Employee compensation payable</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204.5</w:t>
            </w:r>
          </w:p>
        </w:tc>
        <w:tc>
          <w:tcPr>
            <w:tcW w:w="0" w:type="dxa"/>
            <w:vAlign w:val="bottom"/>
          </w:tcPr>
          <w:p>
            <w:pPr>
              <w:spacing w:after="0"/>
              <w:rPr>
                <w:sz w:val="1"/>
                <w:szCs w:val="1"/>
                <w:color w:val="auto"/>
              </w:rPr>
            </w:pPr>
          </w:p>
        </w:tc>
      </w:tr>
      <w:tr>
        <w:trPr>
          <w:trHeight w:val="217"/>
        </w:trPr>
        <w:tc>
          <w:tcPr>
            <w:tcW w:w="8660" w:type="dxa"/>
            <w:vAlign w:val="bottom"/>
          </w:tcPr>
          <w:p>
            <w:pPr>
              <w:ind w:left="80"/>
              <w:spacing w:after="0"/>
              <w:rPr>
                <w:sz w:val="20"/>
                <w:szCs w:val="20"/>
                <w:color w:val="auto"/>
              </w:rPr>
            </w:pPr>
            <w:r>
              <w:rPr>
                <w:rFonts w:ascii="Arial" w:cs="Arial" w:eastAsia="Arial" w:hAnsi="Arial"/>
                <w:sz w:val="16"/>
                <w:szCs w:val="16"/>
                <w:color w:val="auto"/>
              </w:rPr>
              <w:t>Accrued liabilities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544.3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493.3</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Accrued payroll taxes and insurance</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564.4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622.4</w:t>
            </w:r>
          </w:p>
        </w:tc>
        <w:tc>
          <w:tcPr>
            <w:tcW w:w="0" w:type="dxa"/>
            <w:vAlign w:val="bottom"/>
          </w:tcPr>
          <w:p>
            <w:pPr>
              <w:spacing w:after="0"/>
              <w:rPr>
                <w:sz w:val="1"/>
                <w:szCs w:val="1"/>
                <w:color w:val="auto"/>
              </w:rPr>
            </w:pPr>
          </w:p>
        </w:tc>
      </w:tr>
      <w:tr>
        <w:trPr>
          <w:trHeight w:val="217"/>
        </w:trPr>
        <w:tc>
          <w:tcPr>
            <w:tcW w:w="8660" w:type="dxa"/>
            <w:vAlign w:val="bottom"/>
          </w:tcPr>
          <w:p>
            <w:pPr>
              <w:ind w:left="80"/>
              <w:spacing w:after="0"/>
              <w:rPr>
                <w:sz w:val="20"/>
                <w:szCs w:val="20"/>
                <w:color w:val="auto"/>
              </w:rPr>
            </w:pPr>
            <w:r>
              <w:rPr>
                <w:rFonts w:ascii="Arial" w:cs="Arial" w:eastAsia="Arial" w:hAnsi="Arial"/>
                <w:sz w:val="16"/>
                <w:szCs w:val="16"/>
                <w:color w:val="auto"/>
              </w:rPr>
              <w:t>Value added taxes payable</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465.8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466.3</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Short-term borrowings and current maturities of long-term debt</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17"/>
        </w:trPr>
        <w:tc>
          <w:tcPr>
            <w:tcW w:w="8660" w:type="dxa"/>
            <w:vAlign w:val="bottom"/>
          </w:tcPr>
          <w:p>
            <w:pPr>
              <w:ind w:left="24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3,464.7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3,374.4</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60" w:type="dxa"/>
            <w:vAlign w:val="bottom"/>
          </w:tcPr>
          <w:p>
            <w:pPr>
              <w:ind w:left="10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840.8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422.6</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441.2</w:t>
            </w:r>
          </w:p>
        </w:tc>
        <w:tc>
          <w:tcPr>
            <w:tcW w:w="0" w:type="dxa"/>
            <w:vAlign w:val="bottom"/>
          </w:tcPr>
          <w:p>
            <w:pPr>
              <w:spacing w:after="0"/>
              <w:rPr>
                <w:sz w:val="1"/>
                <w:szCs w:val="1"/>
                <w:color w:val="auto"/>
              </w:rPr>
            </w:pPr>
          </w:p>
        </w:tc>
      </w:tr>
      <w:tr>
        <w:trPr>
          <w:trHeight w:val="217"/>
        </w:trPr>
        <w:tc>
          <w:tcPr>
            <w:tcW w:w="8660" w:type="dxa"/>
            <w:vAlign w:val="bottom"/>
          </w:tcPr>
          <w:p>
            <w:pPr>
              <w:ind w:left="240"/>
              <w:spacing w:after="0"/>
              <w:rPr>
                <w:sz w:val="20"/>
                <w:szCs w:val="20"/>
                <w:color w:val="auto"/>
              </w:rPr>
            </w:pPr>
            <w:r>
              <w:rPr>
                <w:rFonts w:ascii="Arial" w:cs="Arial" w:eastAsia="Arial" w:hAnsi="Arial"/>
                <w:sz w:val="16"/>
                <w:szCs w:val="16"/>
                <w:color w:val="auto"/>
              </w:rPr>
              <w:t>Total other liabilities</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1,294.5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863.8</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60" w:type="dxa"/>
            <w:vAlign w:val="bottom"/>
          </w:tcPr>
          <w:p>
            <w:pPr>
              <w:ind w:left="100"/>
              <w:spacing w:after="0"/>
              <w:rPr>
                <w:sz w:val="20"/>
                <w:szCs w:val="20"/>
                <w:color w:val="auto"/>
              </w:rPr>
            </w:pPr>
            <w:r>
              <w:rPr>
                <w:rFonts w:ascii="Arial" w:cs="Arial" w:eastAsia="Arial" w:hAnsi="Arial"/>
                <w:sz w:val="16"/>
                <w:szCs w:val="16"/>
                <w:color w:val="auto"/>
              </w:rPr>
              <w:t>ManpowerGroup shareholders' equity</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8660" w:type="dxa"/>
            <w:vAlign w:val="bottom"/>
          </w:tcPr>
          <w:p>
            <w:pPr>
              <w:ind w:left="220"/>
              <w:spacing w:after="0"/>
              <w:rPr>
                <w:sz w:val="20"/>
                <w:szCs w:val="20"/>
                <w:color w:val="auto"/>
              </w:rPr>
            </w:pPr>
            <w:r>
              <w:rPr>
                <w:rFonts w:ascii="Arial" w:cs="Arial" w:eastAsia="Arial" w:hAnsi="Arial"/>
                <w:sz w:val="16"/>
                <w:szCs w:val="16"/>
                <w:color w:val="auto"/>
              </w:rPr>
              <w:t>Capital in excess of par value</w:t>
            </w:r>
          </w:p>
        </w:tc>
        <w:tc>
          <w:tcPr>
            <w:tcW w:w="2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3,170.4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3,084.2</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1,667.8</w:t>
            </w:r>
          </w:p>
        </w:tc>
        <w:tc>
          <w:tcPr>
            <w:tcW w:w="0" w:type="dxa"/>
            <w:vAlign w:val="bottom"/>
          </w:tcPr>
          <w:p>
            <w:pPr>
              <w:spacing w:after="0"/>
              <w:rPr>
                <w:sz w:val="1"/>
                <w:szCs w:val="1"/>
                <w:color w:val="auto"/>
              </w:rPr>
            </w:pPr>
          </w:p>
        </w:tc>
      </w:tr>
      <w:tr>
        <w:trPr>
          <w:trHeight w:val="217"/>
        </w:trPr>
        <w:tc>
          <w:tcPr>
            <w:tcW w:w="866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(155.2)</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Treasury stock, at cost</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(1,654.9)</w:t>
            </w:r>
          </w:p>
        </w:tc>
        <w:tc>
          <w:tcPr>
            <w:tcW w:w="0" w:type="dxa"/>
            <w:vAlign w:val="bottom"/>
          </w:tcPr>
          <w:p>
            <w:pPr>
              <w:spacing w:after="0"/>
              <w:rPr>
                <w:sz w:val="1"/>
                <w:szCs w:val="1"/>
                <w:color w:val="auto"/>
              </w:rPr>
            </w:pPr>
          </w:p>
        </w:tc>
      </w:tr>
      <w:tr>
        <w:trPr>
          <w:trHeight w:val="245"/>
        </w:trPr>
        <w:tc>
          <w:tcPr>
            <w:tcW w:w="8660" w:type="dxa"/>
            <w:vAlign w:val="bottom"/>
            <w:tcBorders>
              <w:bottom w:val="single" w:sz="8" w:color="CCEEFF"/>
            </w:tcBorders>
          </w:tcPr>
          <w:p>
            <w:pPr>
              <w:jc w:val="right"/>
              <w:ind w:right="5460"/>
              <w:spacing w:after="0"/>
              <w:rPr>
                <w:sz w:val="20"/>
                <w:szCs w:val="20"/>
                <w:color w:val="auto"/>
              </w:rPr>
            </w:pPr>
            <w:r>
              <w:rPr>
                <w:rFonts w:ascii="Arial" w:cs="Arial" w:eastAsia="Arial" w:hAnsi="Arial"/>
                <w:sz w:val="16"/>
                <w:szCs w:val="16"/>
                <w:color w:val="auto"/>
              </w:rPr>
              <w:t>Total ManpowerGroup shareholders' equity</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2,620.2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2,943.0</w:t>
            </w:r>
          </w:p>
        </w:tc>
        <w:tc>
          <w:tcPr>
            <w:tcW w:w="0" w:type="dxa"/>
            <w:vAlign w:val="bottom"/>
          </w:tcPr>
          <w:p>
            <w:pPr>
              <w:spacing w:after="0"/>
              <w:rPr>
                <w:sz w:val="1"/>
                <w:szCs w:val="1"/>
                <w:color w:val="auto"/>
              </w:rPr>
            </w:pPr>
          </w:p>
        </w:tc>
      </w:tr>
      <w:tr>
        <w:trPr>
          <w:trHeight w:val="245"/>
        </w:trPr>
        <w:tc>
          <w:tcPr>
            <w:tcW w:w="8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5"/>
        </w:trPr>
        <w:tc>
          <w:tcPr>
            <w:tcW w:w="86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2,685.2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2,943.0</w:t>
            </w:r>
          </w:p>
        </w:tc>
        <w:tc>
          <w:tcPr>
            <w:tcW w:w="0" w:type="dxa"/>
            <w:vAlign w:val="bottom"/>
          </w:tcPr>
          <w:p>
            <w:pPr>
              <w:spacing w:after="0"/>
              <w:rPr>
                <w:sz w:val="1"/>
                <w:szCs w:val="1"/>
                <w:color w:val="auto"/>
              </w:rPr>
            </w:pPr>
          </w:p>
        </w:tc>
      </w:tr>
      <w:tr>
        <w:trPr>
          <w:trHeight w:val="235"/>
        </w:trPr>
        <w:tc>
          <w:tcPr>
            <w:tcW w:w="8660" w:type="dxa"/>
            <w:vAlign w:val="bottom"/>
            <w:tcBorders>
              <w:bottom w:val="single" w:sz="8" w:color="CCEEFF"/>
            </w:tcBorders>
            <w:shd w:val="clear" w:color="auto" w:fill="CCEEFF"/>
          </w:tcPr>
          <w:p>
            <w:pPr>
              <w:jc w:val="right"/>
              <w:ind w:right="5440"/>
              <w:spacing w:after="0"/>
              <w:rPr>
                <w:sz w:val="20"/>
                <w:szCs w:val="20"/>
                <w:color w:val="auto"/>
              </w:rPr>
            </w:pPr>
            <w:r>
              <w:rPr>
                <w:rFonts w:ascii="Arial" w:cs="Arial" w:eastAsia="Arial" w:hAnsi="Arial"/>
                <w:sz w:val="16"/>
                <w:szCs w:val="16"/>
                <w:color w:val="auto"/>
              </w:rPr>
              <w:t>Total liabilities and shareholders' equity</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7,444.4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7,181.2</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40" w:top="679"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23"/>
          <w:szCs w:val="23"/>
          <w:color w:val="auto"/>
        </w:rPr>
        <w:t>ManpowerGroup</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w w:val="92"/>
              </w:rPr>
              <w:t>Nine Months Ended</w:t>
            </w:r>
          </w:p>
        </w:tc>
      </w:tr>
      <w:tr>
        <w:trPr>
          <w:trHeight w:val="24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center"/>
              <w:ind w:left="460"/>
              <w:spacing w:after="0"/>
              <w:rPr>
                <w:sz w:val="20"/>
                <w:szCs w:val="20"/>
                <w:color w:val="auto"/>
              </w:rPr>
            </w:pPr>
            <w:r>
              <w:rPr>
                <w:rFonts w:ascii="Arial" w:cs="Arial" w:eastAsia="Arial" w:hAnsi="Arial"/>
                <w:sz w:val="16"/>
                <w:szCs w:val="16"/>
                <w:b w:val="1"/>
                <w:bCs w:val="1"/>
                <w:color w:val="auto"/>
                <w:w w:val="89"/>
              </w:rPr>
              <w:t>September 30</w:t>
            </w:r>
          </w:p>
        </w:tc>
        <w:tc>
          <w:tcPr>
            <w:tcW w:w="800" w:type="dxa"/>
            <w:vAlign w:val="bottom"/>
          </w:tcPr>
          <w:p>
            <w:pPr>
              <w:spacing w:after="0"/>
              <w:rPr>
                <w:sz w:val="20"/>
                <w:szCs w:val="20"/>
                <w:color w:val="auto"/>
              </w:rPr>
            </w:pP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8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380"/>
              <w:spacing w:after="0"/>
              <w:rPr>
                <w:sz w:val="20"/>
                <w:szCs w:val="20"/>
                <w:color w:val="auto"/>
              </w:rPr>
            </w:pPr>
            <w:r>
              <w:rPr>
                <w:rFonts w:ascii="Arial" w:cs="Arial" w:eastAsia="Arial" w:hAnsi="Arial"/>
                <w:sz w:val="16"/>
                <w:szCs w:val="16"/>
                <w:b w:val="1"/>
                <w:bCs w:val="1"/>
                <w:color w:val="auto"/>
                <w:w w:val="89"/>
              </w:rPr>
              <w:t>2014</w:t>
            </w:r>
          </w:p>
        </w:tc>
      </w:tr>
      <w:tr>
        <w:trPr>
          <w:trHeight w:val="28"/>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center"/>
              <w:ind w:left="460"/>
              <w:spacing w:after="0"/>
              <w:rPr>
                <w:sz w:val="20"/>
                <w:szCs w:val="20"/>
                <w:color w:val="auto"/>
              </w:rPr>
            </w:pPr>
            <w:r>
              <w:rPr>
                <w:rFonts w:ascii="Arial" w:cs="Arial" w:eastAsia="Arial" w:hAnsi="Arial"/>
                <w:sz w:val="16"/>
                <w:szCs w:val="16"/>
                <w:color w:val="auto"/>
                <w:w w:val="93"/>
              </w:rPr>
              <w:t>(Unaudited)</w:t>
            </w:r>
          </w:p>
        </w:tc>
        <w:tc>
          <w:tcPr>
            <w:tcW w:w="80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295.3</w:t>
            </w:r>
          </w:p>
        </w:tc>
        <w:tc>
          <w:tcPr>
            <w:tcW w:w="120" w:type="dxa"/>
            <w:vAlign w:val="bottom"/>
          </w:tcPr>
          <w:p>
            <w:pPr>
              <w:spacing w:after="0"/>
              <w:rPr>
                <w:sz w:val="18"/>
                <w:szCs w:val="18"/>
                <w:color w:val="auto"/>
              </w:rPr>
            </w:pP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310.4</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64.3</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72.6</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Provision for doubtful accounts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15.0</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w:t>
            </w:r>
          </w:p>
        </w:tc>
      </w:tr>
      <w:tr>
        <w:trPr>
          <w:trHeight w:val="217"/>
        </w:trPr>
        <w:tc>
          <w:tcPr>
            <w:tcW w:w="8800" w:type="dxa"/>
            <w:vAlign w:val="bottom"/>
          </w:tcPr>
          <w:p>
            <w:pPr>
              <w:ind w:left="280"/>
              <w:spacing w:after="0"/>
              <w:rPr>
                <w:sz w:val="20"/>
                <w:szCs w:val="20"/>
                <w:color w:val="auto"/>
              </w:rPr>
            </w:pPr>
            <w:r>
              <w:rPr>
                <w:rFonts w:ascii="Arial" w:cs="Arial" w:eastAsia="Arial" w:hAnsi="Arial"/>
                <w:sz w:val="16"/>
                <w:szCs w:val="16"/>
                <w:color w:val="auto"/>
              </w:rPr>
              <w:t>Excess tax benefit on exercise of share-based awards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26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(355.4)</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(136.7)</w:t>
            </w:r>
          </w:p>
        </w:tc>
      </w:tr>
      <w:tr>
        <w:trPr>
          <w:trHeight w:val="245"/>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168.5</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169.5</w:t>
            </w:r>
          </w:p>
        </w:tc>
      </w:tr>
      <w:tr>
        <w:trPr>
          <w:trHeight w:val="255"/>
        </w:trPr>
        <w:tc>
          <w:tcPr>
            <w:tcW w:w="8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282.8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104.9</w:t>
            </w:r>
          </w:p>
        </w:tc>
      </w:tr>
      <w:tr>
        <w:trPr>
          <w:trHeight w:val="207"/>
        </w:trPr>
        <w:tc>
          <w:tcPr>
            <w:tcW w:w="880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w:t>
            </w:r>
          </w:p>
        </w:tc>
      </w:tr>
      <w:tr>
        <w:trPr>
          <w:trHeight w:val="217"/>
        </w:trPr>
        <w:tc>
          <w:tcPr>
            <w:tcW w:w="8800" w:type="dxa"/>
            <w:vAlign w:val="bottom"/>
          </w:tcPr>
          <w:p>
            <w:pPr>
              <w:ind w:left="100"/>
              <w:spacing w:after="0"/>
              <w:rPr>
                <w:sz w:val="20"/>
                <w:szCs w:val="20"/>
                <w:color w:val="auto"/>
              </w:rPr>
            </w:pPr>
            <w:r>
              <w:rPr>
                <w:rFonts w:ascii="Arial" w:cs="Arial" w:eastAsia="Arial" w:hAnsi="Arial"/>
                <w:sz w:val="16"/>
                <w:szCs w:val="16"/>
                <w:color w:val="auto"/>
              </w:rPr>
              <w:t>Acquisitions of businesses, net of cash acquired</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sales of property and equipment</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r>
      <w:tr>
        <w:trPr>
          <w:trHeight w:val="245"/>
        </w:trPr>
        <w:tc>
          <w:tcPr>
            <w:tcW w:w="88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Cash used in investing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(269.2)</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r>
      <w:tr>
        <w:trPr>
          <w:trHeight w:val="22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Net change in short-term borrowings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10.2</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long-term debt</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453.9</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Repayments of long-term debt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Payments for debt issuance costs</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Proceeds from share-based awards and other equity transactions</w:t>
            </w: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99.8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24.3</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share-based award transactions, net</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7"/>
        </w:trPr>
        <w:tc>
          <w:tcPr>
            <w:tcW w:w="8800" w:type="dxa"/>
            <w:vAlign w:val="bottom"/>
          </w:tcPr>
          <w:p>
            <w:pPr>
              <w:ind w:left="120"/>
              <w:spacing w:after="0"/>
              <w:rPr>
                <w:sz w:val="20"/>
                <w:szCs w:val="20"/>
                <w:color w:val="auto"/>
              </w:rPr>
            </w:pPr>
            <w:r>
              <w:rPr>
                <w:rFonts w:ascii="Arial" w:cs="Arial" w:eastAsia="Arial" w:hAnsi="Arial"/>
                <w:sz w:val="16"/>
                <w:szCs w:val="16"/>
                <w:color w:val="auto"/>
              </w:rPr>
              <w:t>Repurchases of common stock</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(72.6)</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Dividends paid</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r>
      <w:tr>
        <w:trPr>
          <w:trHeight w:val="245"/>
        </w:trPr>
        <w:tc>
          <w:tcPr>
            <w:tcW w:w="88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Cash used in financing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w:t>
            </w:r>
          </w:p>
        </w:tc>
      </w:tr>
      <w:tr>
        <w:trPr>
          <w:trHeight w:val="24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Change in cash and cash equivalents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(76.9)</w:t>
            </w:r>
          </w:p>
        </w:tc>
      </w:tr>
      <w:tr>
        <w:trPr>
          <w:trHeight w:val="24"/>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699.2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737.6</w:t>
            </w:r>
          </w:p>
        </w:tc>
      </w:tr>
      <w:tr>
        <w:trPr>
          <w:trHeight w:val="235"/>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652.5</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660.7</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79" w:right="2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2019-12-06T05:18:29Z</dcterms:created>
  <dcterms:modified xsi:type="dcterms:W3CDTF">2019-12-06T05:18:29Z</dcterms:modified>
</cp:coreProperties>
</file>