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 October 20, 2022</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MANPOWERGROUP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436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6"/>
              </w:rPr>
              <w:t>Wisconsin</w:t>
            </w:r>
          </w:p>
        </w:tc>
        <w:tc>
          <w:tcPr>
            <w:tcW w:w="3080" w:type="dxa"/>
            <w:vAlign w:val="bottom"/>
            <w:gridSpan w:val="3"/>
          </w:tcPr>
          <w:p>
            <w:pPr>
              <w:jc w:val="right"/>
              <w:ind w:right="1540"/>
              <w:spacing w:after="0"/>
              <w:rPr>
                <w:sz w:val="20"/>
                <w:szCs w:val="20"/>
                <w:color w:val="auto"/>
              </w:rPr>
            </w:pPr>
            <w:r>
              <w:rPr>
                <w:rFonts w:ascii="Times New Roman" w:cs="Times New Roman" w:eastAsia="Times New Roman" w:hAnsi="Times New Roman"/>
                <w:sz w:val="16"/>
                <w:szCs w:val="16"/>
                <w:b w:val="1"/>
                <w:bCs w:val="1"/>
                <w:color w:val="auto"/>
              </w:rPr>
              <w:t>1-10686</w:t>
            </w:r>
          </w:p>
        </w:tc>
        <w:tc>
          <w:tcPr>
            <w:tcW w:w="3820" w:type="dxa"/>
            <w:vAlign w:val="bottom"/>
            <w:gridSpan w:val="2"/>
          </w:tcPr>
          <w:p>
            <w:pPr>
              <w:jc w:val="right"/>
              <w:ind w:right="1341"/>
              <w:spacing w:after="0"/>
              <w:rPr>
                <w:sz w:val="20"/>
                <w:szCs w:val="20"/>
                <w:color w:val="auto"/>
              </w:rPr>
            </w:pPr>
            <w:r>
              <w:rPr>
                <w:rFonts w:ascii="Times New Roman" w:cs="Times New Roman" w:eastAsia="Times New Roman" w:hAnsi="Times New Roman"/>
                <w:sz w:val="16"/>
                <w:szCs w:val="16"/>
                <w:b w:val="1"/>
                <w:bCs w:val="1"/>
                <w:color w:val="auto"/>
              </w:rPr>
              <w:t>39-1672779</w:t>
            </w:r>
          </w:p>
        </w:tc>
      </w:tr>
      <w:tr>
        <w:trPr>
          <w:trHeight w:val="200"/>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(State or other jurisdiction of incorporation)</w:t>
            </w:r>
          </w:p>
        </w:tc>
        <w:tc>
          <w:tcPr>
            <w:tcW w:w="2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(IRS Employer Identification No.)</w:t>
            </w:r>
          </w:p>
        </w:tc>
      </w:tr>
      <w:tr>
        <w:trPr>
          <w:trHeight w:val="305"/>
        </w:trPr>
        <w:tc>
          <w:tcPr>
            <w:tcW w:w="4360" w:type="dxa"/>
            <w:vAlign w:val="bottom"/>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7"/>
              </w:rPr>
              <w:t>100 Manpower Place</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96"/>
        </w:trPr>
        <w:tc>
          <w:tcPr>
            <w:tcW w:w="4360" w:type="dxa"/>
            <w:vAlign w:val="bottom"/>
            <w:tcBorders>
              <w:bottom w:val="single" w:sz="8" w:color="auto"/>
            </w:tcBorders>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8"/>
              </w:rPr>
              <w:t>Milwaukee, Wisconsin</w:t>
            </w:r>
          </w:p>
        </w:tc>
        <w:tc>
          <w:tcPr>
            <w:tcW w:w="104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2"/>
          </w:tcPr>
          <w:p>
            <w:pPr>
              <w:jc w:val="right"/>
              <w:ind w:right="2421"/>
              <w:spacing w:after="0"/>
              <w:rPr>
                <w:sz w:val="20"/>
                <w:szCs w:val="20"/>
                <w:color w:val="auto"/>
              </w:rPr>
            </w:pPr>
            <w:r>
              <w:rPr>
                <w:rFonts w:ascii="Times New Roman" w:cs="Times New Roman" w:eastAsia="Times New Roman" w:hAnsi="Times New Roman"/>
                <w:sz w:val="16"/>
                <w:szCs w:val="16"/>
                <w:b w:val="1"/>
                <w:bCs w:val="1"/>
                <w:color w:val="auto"/>
              </w:rPr>
              <w:t>53212</w:t>
            </w:r>
          </w:p>
        </w:tc>
      </w:tr>
      <w:tr>
        <w:trPr>
          <w:trHeight w:val="200"/>
        </w:trPr>
        <w:tc>
          <w:tcPr>
            <w:tcW w:w="4360" w:type="dxa"/>
            <w:vAlign w:val="bottom"/>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8"/>
              </w:rPr>
              <w:t>(Address of principal executive offices)</w:t>
            </w: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jc w:val="center"/>
              <w:ind w:right="1721"/>
              <w:spacing w:after="0"/>
              <w:rPr>
                <w:sz w:val="20"/>
                <w:szCs w:val="20"/>
                <w:color w:val="auto"/>
              </w:rPr>
            </w:pPr>
            <w:r>
              <w:rPr>
                <w:rFonts w:ascii="Times New Roman" w:cs="Times New Roman" w:eastAsia="Times New Roman" w:hAnsi="Times New Roman"/>
                <w:sz w:val="16"/>
                <w:szCs w:val="16"/>
                <w:b w:val="1"/>
                <w:bCs w:val="1"/>
                <w:color w:val="auto"/>
                <w:w w:val="96"/>
              </w:rPr>
              <w:t>(Zip Code)</w:t>
            </w:r>
          </w:p>
        </w:tc>
      </w:tr>
    </w:tbl>
    <w:p>
      <w:pPr>
        <w:spacing w:after="0" w:line="106"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6"/>
          <w:szCs w:val="16"/>
          <w:color w:val="auto"/>
        </w:rPr>
        <w:t>Registrant's telephone number, including area code: (414) 961-1000</w:t>
      </w:r>
    </w:p>
    <w:p>
      <w:pPr>
        <w:spacing w:after="0" w:line="159"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71" w:lineRule="exact"/>
        <w:rPr>
          <w:sz w:val="24"/>
          <w:szCs w:val="24"/>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8"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8"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8"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7"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6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13"/>
        </w:trPr>
        <w:tc>
          <w:tcPr>
            <w:tcW w:w="376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r>
      <w:tr>
        <w:trPr>
          <w:trHeight w:val="161"/>
        </w:trPr>
        <w:tc>
          <w:tcPr>
            <w:tcW w:w="3760" w:type="dxa"/>
            <w:vAlign w:val="bottom"/>
            <w:tcBorders>
              <w:left w:val="single" w:sz="8" w:color="auto"/>
              <w:bottom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6"/>
                <w:szCs w:val="16"/>
                <w:color w:val="auto"/>
                <w:w w:val="98"/>
              </w:rPr>
              <w:t>Title of each class</w:t>
            </w:r>
          </w:p>
        </w:tc>
        <w:tc>
          <w:tcPr>
            <w:tcW w:w="3760" w:type="dxa"/>
            <w:vAlign w:val="bottom"/>
            <w:tcBorders>
              <w:bottom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6"/>
                <w:szCs w:val="16"/>
                <w:color w:val="auto"/>
                <w:w w:val="98"/>
              </w:rPr>
              <w:t>Trading Symbol(s)</w:t>
            </w:r>
          </w:p>
        </w:tc>
        <w:tc>
          <w:tcPr>
            <w:tcW w:w="3740" w:type="dxa"/>
            <w:vAlign w:val="bottom"/>
            <w:tcBorders>
              <w:bottom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6"/>
                <w:szCs w:val="16"/>
                <w:color w:val="auto"/>
                <w:w w:val="98"/>
              </w:rPr>
              <w:t>Name of each exchange on which registered</w:t>
            </w:r>
          </w:p>
        </w:tc>
      </w:tr>
      <w:tr>
        <w:trPr>
          <w:trHeight w:val="165"/>
        </w:trPr>
        <w:tc>
          <w:tcPr>
            <w:tcW w:w="3760" w:type="dxa"/>
            <w:vAlign w:val="bottom"/>
            <w:tcBorders>
              <w:left w:val="single" w:sz="8" w:color="auto"/>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Common Stock, $.01 par value</w:t>
            </w:r>
          </w:p>
        </w:tc>
        <w:tc>
          <w:tcPr>
            <w:tcW w:w="376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6"/>
              </w:rPr>
              <w:t>MAN</w:t>
            </w:r>
          </w:p>
        </w:tc>
        <w:tc>
          <w:tcPr>
            <w:tcW w:w="374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7"/>
              </w:rPr>
              <w:t>New York Stock Exchange</w:t>
            </w:r>
          </w:p>
        </w:tc>
      </w:tr>
    </w:tbl>
    <w:p>
      <w:pPr>
        <w:spacing w:after="0" w:line="137" w:lineRule="exact"/>
        <w:rPr>
          <w:sz w:val="24"/>
          <w:szCs w:val="24"/>
          <w:color w:val="auto"/>
        </w:rPr>
      </w:pPr>
    </w:p>
    <w:p>
      <w:pPr>
        <w:ind w:right="240"/>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71" w:lineRule="exact"/>
        <w:rPr>
          <w:sz w:val="24"/>
          <w:szCs w:val="24"/>
          <w:color w:val="auto"/>
        </w:rPr>
      </w:pPr>
    </w:p>
    <w:p>
      <w:pPr>
        <w:ind w:right="320"/>
        <w:spacing w:after="0" w:line="260"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390525</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404"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8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6"/>
          <w:szCs w:val="16"/>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13" w:lineRule="exact"/>
        <w:rPr>
          <w:sz w:val="20"/>
          <w:szCs w:val="20"/>
          <w:color w:val="auto"/>
        </w:rPr>
      </w:pPr>
    </w:p>
    <w:p>
      <w:pPr>
        <w:ind w:right="400"/>
        <w:spacing w:after="0" w:line="276" w:lineRule="auto"/>
        <w:rPr>
          <w:sz w:val="20"/>
          <w:szCs w:val="20"/>
          <w:color w:val="auto"/>
        </w:rPr>
      </w:pPr>
      <w:r>
        <w:rPr>
          <w:rFonts w:ascii="Times New Roman" w:cs="Times New Roman" w:eastAsia="Times New Roman" w:hAnsi="Times New Roman"/>
          <w:sz w:val="16"/>
          <w:szCs w:val="16"/>
          <w:color w:val="auto"/>
        </w:rPr>
        <w:t>On October 20, 2022, we issued a press release announcing our results of operations for the three and nine months ended September 30, 2022 and 2021. A copy of the press release is attached hereto as Exhibit 99.1 and is incorporated herein by reference.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104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Exhibits</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8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80" w:type="dxa"/>
            <w:vAlign w:val="bottom"/>
            <w:gridSpan w:val="3"/>
          </w:tcPr>
          <w:p>
            <w:pPr>
              <w:spacing w:after="0" w:line="145" w:lineRule="exact"/>
              <w:rPr>
                <w:sz w:val="20"/>
                <w:szCs w:val="20"/>
                <w:color w:val="auto"/>
              </w:rPr>
            </w:pPr>
            <w:r>
              <w:rPr>
                <w:rFonts w:ascii="Times New Roman" w:cs="Times New Roman" w:eastAsia="Times New Roman" w:hAnsi="Times New Roman"/>
                <w:sz w:val="16"/>
                <w:szCs w:val="16"/>
                <w:color w:val="0000FF"/>
              </w:rPr>
              <w:t>Press Release dated October 20, 2022</w:t>
            </w: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gridSpan w:val="2"/>
            <w:vMerge w:val="restart"/>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4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0000FF"/>
                <w:w w:val="97"/>
              </w:rPr>
              <w:t>Presentation materials for October 20, 2022 Conference Call</w:t>
            </w:r>
          </w:p>
        </w:tc>
        <w:tc>
          <w:tcPr>
            <w:tcW w:w="60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gridSpan w:val="2"/>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40" w:type="dxa"/>
            <w:vAlign w:val="bottom"/>
            <w:tcBorders>
              <w:right w:val="single" w:sz="8" w:color="0000EE"/>
            </w:tcBorders>
            <w:gridSpan w:val="2"/>
            <w:shd w:val="clear" w:color="auto" w:fill="0000FF"/>
          </w:tcPr>
          <w:p>
            <w:pPr>
              <w:spacing w:after="0" w:line="20" w:lineRule="exact"/>
              <w:rPr>
                <w:sz w:val="1"/>
                <w:szCs w:val="1"/>
                <w:color w:val="auto"/>
              </w:rPr>
            </w:pPr>
          </w:p>
        </w:tc>
        <w:tc>
          <w:tcPr>
            <w:tcW w:w="60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0" w:type="dxa"/>
            <w:vAlign w:val="bottom"/>
          </w:tcPr>
          <w:p>
            <w:pPr>
              <w:spacing w:after="0"/>
              <w:rPr>
                <w:sz w:val="1"/>
                <w:szCs w:val="1"/>
                <w:color w:val="auto"/>
              </w:rPr>
            </w:pPr>
          </w:p>
        </w:tc>
      </w:tr>
      <w:tr>
        <w:trPr>
          <w:trHeight w:val="1280"/>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6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85" w:lineRule="exact"/>
        <w:rPr>
          <w:sz w:val="20"/>
          <w:szCs w:val="20"/>
          <w:color w:val="auto"/>
        </w:rPr>
      </w:pPr>
    </w:p>
    <w:p>
      <w:pPr>
        <w:ind w:right="40" w:firstLine="510"/>
        <w:spacing w:after="0" w:line="26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600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MANPOWERGROUP INC.</w:t>
            </w:r>
          </w:p>
        </w:tc>
      </w:tr>
      <w:tr>
        <w:trPr>
          <w:trHeight w:val="398"/>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Dated:</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October 20, 2022</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By:</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John T. McGinnis</w:t>
            </w:r>
          </w:p>
        </w:tc>
      </w:tr>
      <w:tr>
        <w:trPr>
          <w:trHeight w:val="156"/>
        </w:trPr>
        <w:tc>
          <w:tcPr>
            <w:tcW w:w="8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940" w:type="dxa"/>
            <w:vAlign w:val="bottom"/>
          </w:tcPr>
          <w:p>
            <w:pPr>
              <w:ind w:left="260"/>
              <w:spacing w:after="0" w:line="156" w:lineRule="exact"/>
              <w:rPr>
                <w:sz w:val="20"/>
                <w:szCs w:val="20"/>
                <w:color w:val="auto"/>
              </w:rPr>
            </w:pPr>
            <w:r>
              <w:rPr>
                <w:rFonts w:ascii="Times New Roman" w:cs="Times New Roman" w:eastAsia="Times New Roman" w:hAnsi="Times New Roman"/>
                <w:sz w:val="16"/>
                <w:szCs w:val="16"/>
                <w:color w:val="auto"/>
              </w:rPr>
              <w:t>Name:</w:t>
            </w:r>
          </w:p>
        </w:tc>
        <w:tc>
          <w:tcPr>
            <w:tcW w:w="100" w:type="dxa"/>
            <w:vAlign w:val="bottom"/>
            <w:tcBorders>
              <w:top w:val="single" w:sz="8" w:color="auto"/>
            </w:tcBorders>
          </w:tcPr>
          <w:p>
            <w:pPr>
              <w:spacing w:after="0"/>
              <w:rPr>
                <w:sz w:val="13"/>
                <w:szCs w:val="13"/>
                <w:color w:val="auto"/>
              </w:rPr>
            </w:pPr>
          </w:p>
        </w:tc>
        <w:tc>
          <w:tcPr>
            <w:tcW w:w="496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color w:val="auto"/>
              </w:rPr>
              <w:t>John T. McGinnis</w:t>
            </w:r>
          </w:p>
        </w:tc>
      </w:tr>
      <w:tr>
        <w:trPr>
          <w:trHeight w:val="166"/>
        </w:trPr>
        <w:tc>
          <w:tcPr>
            <w:tcW w:w="8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40" w:type="dxa"/>
            <w:vAlign w:val="bottom"/>
            <w:gridSpan w:val="2"/>
          </w:tcPr>
          <w:p>
            <w:pPr>
              <w:ind w:left="260"/>
              <w:spacing w:after="0" w:line="165" w:lineRule="exact"/>
              <w:rPr>
                <w:sz w:val="20"/>
                <w:szCs w:val="20"/>
                <w:color w:val="auto"/>
              </w:rPr>
            </w:pPr>
            <w:r>
              <w:rPr>
                <w:rFonts w:ascii="Times New Roman" w:cs="Times New Roman" w:eastAsia="Times New Roman" w:hAnsi="Times New Roman"/>
                <w:sz w:val="16"/>
                <w:szCs w:val="16"/>
                <w:color w:val="auto"/>
              </w:rPr>
              <w:t>Title:</w:t>
            </w:r>
          </w:p>
        </w:tc>
        <w:tc>
          <w:tcPr>
            <w:tcW w:w="4960" w:type="dxa"/>
            <w:vAlign w:val="bottom"/>
          </w:tcPr>
          <w:p>
            <w:pPr>
              <w:ind w:left="20"/>
              <w:spacing w:after="0" w:line="165" w:lineRule="exact"/>
              <w:rPr>
                <w:sz w:val="20"/>
                <w:szCs w:val="20"/>
                <w:color w:val="auto"/>
              </w:rPr>
            </w:pPr>
            <w:r>
              <w:rPr>
                <w:rFonts w:ascii="Times New Roman" w:cs="Times New Roman" w:eastAsia="Times New Roman" w:hAnsi="Times New Roman"/>
                <w:sz w:val="16"/>
                <w:szCs w:val="16"/>
                <w:color w:val="auto"/>
              </w:rPr>
              <w:t>Executive Vice President and</w:t>
            </w:r>
          </w:p>
        </w:tc>
      </w:tr>
      <w:tr>
        <w:trPr>
          <w:trHeight w:val="206"/>
        </w:trPr>
        <w:tc>
          <w:tcPr>
            <w:tcW w:w="8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500"/>
        </w:trPr>
        <w:tc>
          <w:tcPr>
            <w:tcW w:w="82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1344295" cy="720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4295" cy="72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6760" w:val="left"/>
        </w:tabs>
        <w:rPr>
          <w:sz w:val="20"/>
          <w:szCs w:val="20"/>
          <w:color w:val="auto"/>
        </w:rPr>
      </w:pPr>
      <w:r>
        <w:rPr>
          <w:rFonts w:ascii="Times New Roman" w:cs="Times New Roman" w:eastAsia="Times New Roman" w:hAnsi="Times New Roman"/>
          <w:sz w:val="16"/>
          <w:szCs w:val="16"/>
          <w:b w:val="1"/>
          <w:bCs w:val="1"/>
          <w:color w:val="auto"/>
        </w:rPr>
        <w:t>FOR IMMEDIATE RELEASE</w:t>
      </w:r>
      <w:r>
        <w:rPr>
          <w:sz w:val="20"/>
          <w:szCs w:val="20"/>
          <w:color w:val="auto"/>
        </w:rPr>
        <w:tab/>
      </w:r>
      <w:r>
        <w:rPr>
          <w:rFonts w:ascii="Times New Roman" w:cs="Times New Roman" w:eastAsia="Times New Roman" w:hAnsi="Times New Roman"/>
          <w:sz w:val="15"/>
          <w:szCs w:val="15"/>
          <w:b w:val="1"/>
          <w:bCs w:val="1"/>
          <w:color w:val="auto"/>
        </w:rPr>
        <w:t>Contact:</w:t>
      </w:r>
    </w:p>
    <w:p>
      <w:pPr>
        <w:spacing w:after="0" w:line="19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Nick Hengst</w:t>
      </w:r>
    </w:p>
    <w:p>
      <w:pPr>
        <w:spacing w:after="0" w:line="2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+1.414.906.7356</w:t>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nicholas.hengst@manpowergroup.com</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ManpowerGroup Reports 3</w:t>
      </w:r>
      <w:r>
        <w:rPr>
          <w:rFonts w:ascii="Arial" w:cs="Arial" w:eastAsia="Arial" w:hAnsi="Arial"/>
          <w:sz w:val="25"/>
          <w:szCs w:val="25"/>
          <w:b w:val="1"/>
          <w:bCs w:val="1"/>
          <w:color w:val="auto"/>
          <w:vertAlign w:val="superscript"/>
        </w:rPr>
        <w:t>rd</w:t>
      </w:r>
      <w:r>
        <w:rPr>
          <w:rFonts w:ascii="Arial" w:cs="Arial" w:eastAsia="Arial" w:hAnsi="Arial"/>
          <w:sz w:val="19"/>
          <w:szCs w:val="19"/>
          <w:b w:val="1"/>
          <w:bCs w:val="1"/>
          <w:color w:val="auto"/>
        </w:rPr>
        <w:t xml:space="preserve"> Quarter 2022 Results</w:t>
      </w:r>
    </w:p>
    <w:p>
      <w:pPr>
        <w:spacing w:after="0" w:line="5" w:lineRule="exact"/>
        <w:rPr>
          <w:sz w:val="20"/>
          <w:szCs w:val="20"/>
          <w:color w:val="auto"/>
        </w:rPr>
      </w:pPr>
    </w:p>
    <w:p>
      <w:pPr>
        <w:ind w:left="1120" w:hanging="375"/>
        <w:spacing w:after="0"/>
        <w:tabs>
          <w:tab w:leader="none" w:pos="112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Revenues of $4.8 billion (-7% as reported, +5% constant currency (CC))</w:t>
      </w:r>
    </w:p>
    <w:p>
      <w:pPr>
        <w:spacing w:after="0" w:line="4" w:lineRule="exact"/>
        <w:rPr>
          <w:rFonts w:ascii="Times New Roman" w:cs="Times New Roman" w:eastAsia="Times New Roman" w:hAnsi="Times New Roman"/>
          <w:sz w:val="17"/>
          <w:szCs w:val="17"/>
          <w:color w:val="auto"/>
        </w:rPr>
      </w:pPr>
    </w:p>
    <w:p>
      <w:pPr>
        <w:ind w:left="1120" w:hanging="375"/>
        <w:spacing w:after="0"/>
        <w:tabs>
          <w:tab w:leader="none" w:pos="112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Gross profit margin of 18.3%, reflecting improved business mix and continued strength of permanent recruitment fees</w:t>
      </w:r>
    </w:p>
    <w:p>
      <w:pPr>
        <w:spacing w:after="0" w:line="4" w:lineRule="exact"/>
        <w:rPr>
          <w:rFonts w:ascii="Times New Roman" w:cs="Times New Roman" w:eastAsia="Times New Roman" w:hAnsi="Times New Roman"/>
          <w:sz w:val="17"/>
          <w:szCs w:val="17"/>
          <w:color w:val="auto"/>
        </w:rPr>
      </w:pPr>
    </w:p>
    <w:p>
      <w:pPr>
        <w:ind w:left="1120" w:hanging="375"/>
        <w:spacing w:after="0"/>
        <w:tabs>
          <w:tab w:leader="none" w:pos="112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Continued strong year over year margin expansion with improved EBITA and operating profit margins</w:t>
      </w:r>
    </w:p>
    <w:p>
      <w:pPr>
        <w:spacing w:after="0" w:line="4" w:lineRule="exact"/>
        <w:rPr>
          <w:rFonts w:ascii="Times New Roman" w:cs="Times New Roman" w:eastAsia="Times New Roman" w:hAnsi="Times New Roman"/>
          <w:sz w:val="17"/>
          <w:szCs w:val="17"/>
          <w:color w:val="auto"/>
        </w:rPr>
      </w:pPr>
    </w:p>
    <w:p>
      <w:pPr>
        <w:ind w:left="1120" w:right="20" w:hanging="375"/>
        <w:spacing w:after="0" w:line="239" w:lineRule="auto"/>
        <w:tabs>
          <w:tab w:leader="none" w:pos="112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Strong revenue performance of higher margin Experis and Talent Solutions brands. Performance of Manpower brand reflected stabilization of the revenue trend in France during the quarter and an ongoing sluggish automotive sector in Europe</w:t>
      </w:r>
    </w:p>
    <w:p>
      <w:pPr>
        <w:ind w:left="1120" w:hanging="375"/>
        <w:spacing w:after="0"/>
        <w:tabs>
          <w:tab w:leader="none" w:pos="112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Repurchased $85 million of common stock and repaid remaining $50 million of debt related to the U.S. Experis acquisition</w:t>
      </w:r>
    </w:p>
    <w:p>
      <w:pPr>
        <w:spacing w:after="0" w:line="306" w:lineRule="exact"/>
        <w:rPr>
          <w:sz w:val="20"/>
          <w:szCs w:val="20"/>
          <w:color w:val="auto"/>
        </w:rPr>
      </w:pPr>
    </w:p>
    <w:p>
      <w:pPr>
        <w:jc w:val="both"/>
        <w:spacing w:after="0" w:line="368" w:lineRule="auto"/>
        <w:rPr>
          <w:sz w:val="20"/>
          <w:szCs w:val="20"/>
          <w:color w:val="auto"/>
        </w:rPr>
      </w:pPr>
      <w:r>
        <w:rPr>
          <w:rFonts w:ascii="Arial" w:cs="Arial" w:eastAsia="Arial" w:hAnsi="Arial"/>
          <w:sz w:val="17"/>
          <w:szCs w:val="17"/>
          <w:b w:val="1"/>
          <w:bCs w:val="1"/>
          <w:color w:val="auto"/>
        </w:rPr>
        <w:t xml:space="preserve">MILWAUKEE, October 20, 2022 -- </w:t>
      </w:r>
      <w:r>
        <w:rPr>
          <w:rFonts w:ascii="Arial" w:cs="Arial" w:eastAsia="Arial" w:hAnsi="Arial"/>
          <w:sz w:val="17"/>
          <w:szCs w:val="17"/>
          <w:color w:val="auto"/>
        </w:rPr>
        <w:t>ManpowerGroup (NYSE: MAN) today reported net earnings of $2.13 per diluted share for the three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September 30, 2022 compared to $1.77 per diluted share in the prior year period. Net earnings in the quarter were $111.3 million compared to $97.7 million a year earlier. Revenues for the third quarter were $4.8 billion, a 7% decrease from the prior year period.</w:t>
      </w:r>
    </w:p>
    <w:p>
      <w:pPr>
        <w:spacing w:after="0" w:line="2" w:lineRule="exact"/>
        <w:rPr>
          <w:sz w:val="20"/>
          <w:szCs w:val="20"/>
          <w:color w:val="auto"/>
        </w:rPr>
      </w:pPr>
    </w:p>
    <w:p>
      <w:pPr>
        <w:jc w:val="both"/>
        <w:ind w:right="20" w:firstLine="361"/>
        <w:spacing w:after="0" w:line="367" w:lineRule="auto"/>
        <w:rPr>
          <w:sz w:val="20"/>
          <w:szCs w:val="20"/>
          <w:color w:val="auto"/>
        </w:rPr>
      </w:pPr>
      <w:r>
        <w:rPr>
          <w:rFonts w:ascii="Arial" w:cs="Arial" w:eastAsia="Arial" w:hAnsi="Arial"/>
          <w:sz w:val="17"/>
          <w:szCs w:val="17"/>
          <w:color w:val="auto"/>
        </w:rPr>
        <w:t>The current year quarter included integration costs from the U.S. Experis acquisition. These costs reduced earnings per share by $0.08 in the third quarter. Excluding these costs, earnings per share was $2.21 per diluted share in the quarter. The prior year period included Mexico related restructuring costs and U.S. acquisition integration costs which reduced earnings per share by $0.16.</w:t>
      </w:r>
    </w:p>
    <w:p>
      <w:pPr>
        <w:spacing w:after="0" w:line="2" w:lineRule="exact"/>
        <w:rPr>
          <w:sz w:val="20"/>
          <w:szCs w:val="20"/>
          <w:color w:val="auto"/>
        </w:rPr>
      </w:pPr>
    </w:p>
    <w:p>
      <w:pPr>
        <w:jc w:val="both"/>
        <w:ind w:firstLine="278"/>
        <w:spacing w:after="0" w:line="365" w:lineRule="auto"/>
        <w:rPr>
          <w:sz w:val="20"/>
          <w:szCs w:val="20"/>
          <w:color w:val="auto"/>
        </w:rPr>
      </w:pPr>
      <w:r>
        <w:rPr>
          <w:rFonts w:ascii="Arial" w:cs="Arial" w:eastAsia="Arial" w:hAnsi="Arial"/>
          <w:sz w:val="17"/>
          <w:szCs w:val="17"/>
          <w:color w:val="auto"/>
        </w:rPr>
        <w:t>Financial results in the quarter were also impacted by the stronger U.S. dollar relative to foreign currencies compared to the prior year period, resulting in a 33 cent negative impact to earnings per share in the quarter compared to the prior year. This represented an additional 4 cent negative impact to earnings per share from foreign currency than was anticipated in our third quarter guidance. On a constant currency basis, revenues increased 5% (2% in organic constant currency) compared to the prior year period. Excluding the impact of integration costs and prior year restructuring costs, on a constant currency basis net earnings per diluted share increased 32% during the quarter.</w:t>
      </w:r>
    </w:p>
    <w:p>
      <w:pPr>
        <w:spacing w:after="0" w:line="4" w:lineRule="exact"/>
        <w:rPr>
          <w:sz w:val="20"/>
          <w:szCs w:val="20"/>
          <w:color w:val="auto"/>
        </w:rPr>
      </w:pPr>
    </w:p>
    <w:p>
      <w:pPr>
        <w:jc w:val="both"/>
        <w:ind w:right="20" w:firstLine="344"/>
        <w:spacing w:after="0" w:line="404" w:lineRule="auto"/>
        <w:rPr>
          <w:sz w:val="20"/>
          <w:szCs w:val="20"/>
          <w:color w:val="auto"/>
        </w:rPr>
      </w:pPr>
      <w:r>
        <w:rPr>
          <w:rFonts w:ascii="Arial" w:cs="Arial" w:eastAsia="Arial" w:hAnsi="Arial"/>
          <w:sz w:val="17"/>
          <w:szCs w:val="17"/>
          <w:color w:val="auto"/>
        </w:rPr>
        <w:t>Jonas Prising, ManpowerGroup Chairman &amp; CEO, said, “Our third quarter results reflect continued improvements in our business mix and demand for our services despite increasing global uncertainty tied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129540</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4" w:name="page5"/>
    <w:bookmarkEnd w:id="4"/>
    <w:p>
      <w:pPr>
        <w:jc w:val="both"/>
        <w:ind w:right="20"/>
        <w:spacing w:after="0" w:line="370" w:lineRule="auto"/>
        <w:rPr>
          <w:sz w:val="20"/>
          <w:szCs w:val="20"/>
          <w:color w:val="auto"/>
        </w:rPr>
      </w:pPr>
      <w:r>
        <w:rPr>
          <w:rFonts w:ascii="Arial" w:cs="Arial" w:eastAsia="Arial" w:hAnsi="Arial"/>
          <w:sz w:val="17"/>
          <w:szCs w:val="17"/>
          <w:color w:val="auto"/>
        </w:rPr>
        <w:t>to higher inflation, energy costs and interest rates. During the quarter, our higher margin Experis and Talent Solutions brands experienced strong revenue growth while our Manpower brand achieved modest constant currency revenue growth.</w:t>
      </w:r>
    </w:p>
    <w:p>
      <w:pPr>
        <w:jc w:val="both"/>
        <w:ind w:firstLine="313"/>
        <w:spacing w:after="0" w:line="367" w:lineRule="auto"/>
        <w:rPr>
          <w:sz w:val="20"/>
          <w:szCs w:val="20"/>
          <w:color w:val="auto"/>
        </w:rPr>
      </w:pPr>
      <w:r>
        <w:rPr>
          <w:rFonts w:ascii="Arial" w:cs="Arial" w:eastAsia="Arial" w:hAnsi="Arial"/>
          <w:sz w:val="17"/>
          <w:szCs w:val="17"/>
          <w:color w:val="auto"/>
        </w:rPr>
        <w:t>Many segments of the market are growing and we continue to invest in resources to capture these growth opportunities. At the same time, we are taking the necessary cost actions in parts of the business that are experiencing slowing market demand. With that said, labor markets remain resilient and we see continued solid demand as we begin the fourth quarter.</w:t>
      </w:r>
    </w:p>
    <w:p>
      <w:pPr>
        <w:spacing w:after="0" w:line="2" w:lineRule="exact"/>
        <w:rPr>
          <w:sz w:val="20"/>
          <w:szCs w:val="20"/>
          <w:color w:val="auto"/>
        </w:rPr>
      </w:pPr>
    </w:p>
    <w:p>
      <w:pPr>
        <w:jc w:val="both"/>
        <w:ind w:firstLine="472"/>
        <w:spacing w:after="0" w:line="363" w:lineRule="auto"/>
        <w:rPr>
          <w:sz w:val="20"/>
          <w:szCs w:val="20"/>
          <w:color w:val="auto"/>
        </w:rPr>
      </w:pPr>
      <w:r>
        <w:rPr>
          <w:rFonts w:ascii="Arial" w:cs="Arial" w:eastAsia="Arial" w:hAnsi="Arial"/>
          <w:sz w:val="17"/>
          <w:szCs w:val="17"/>
          <w:color w:val="auto"/>
        </w:rPr>
        <w:t>We anticipate diluted earnings per share in the fourth quarter will be between $2.11 and $2.19, which includes an estimated unfavorable currency impact of 38 cents. Our guidance excludes expected integration costs ranging from $3 million to $5 million.”</w:t>
      </w:r>
    </w:p>
    <w:p>
      <w:pPr>
        <w:jc w:val="both"/>
        <w:ind w:firstLine="328"/>
        <w:spacing w:after="0" w:line="367" w:lineRule="auto"/>
        <w:rPr>
          <w:sz w:val="20"/>
          <w:szCs w:val="20"/>
          <w:color w:val="auto"/>
        </w:rPr>
      </w:pPr>
      <w:r>
        <w:rPr>
          <w:rFonts w:ascii="Arial" w:cs="Arial" w:eastAsia="Arial" w:hAnsi="Arial"/>
          <w:sz w:val="17"/>
          <w:szCs w:val="17"/>
          <w:color w:val="auto"/>
        </w:rPr>
        <w:t>Net earnings for the nine months ended September 30, 2022 were $325.1 million, or net earnings of $6.10 per diluted share compared to net earnings of $271.3 million, or net earnings of $4.90 per diluted share in the prior year. The current year to date period included integration costs from the U.S. Experis acquisition and the net loss related to the sale of our Russia business in January which reduced earnings per share by 33 cents. The prior year to date period included restructuring charges relating to our Mexico business and integration costs which reduced earnings per share by 16 cents. Revenues for the nine-month period were $15.0 billion, a decrease of 2% compared to the prior year or an increase of 7% in constant currency. Earnings per share for the nine-month period were negatively impacted by 68 cents due to changes in foreign currencies compared to the prior year.</w:t>
      </w:r>
    </w:p>
    <w:p>
      <w:pPr>
        <w:spacing w:after="0" w:line="1" w:lineRule="exact"/>
        <w:rPr>
          <w:sz w:val="20"/>
          <w:szCs w:val="20"/>
          <w:color w:val="auto"/>
        </w:rPr>
      </w:pPr>
    </w:p>
    <w:p>
      <w:pPr>
        <w:jc w:val="both"/>
        <w:ind w:firstLine="327"/>
        <w:spacing w:after="0" w:line="367" w:lineRule="auto"/>
        <w:rPr>
          <w:sz w:val="20"/>
          <w:szCs w:val="20"/>
          <w:color w:val="auto"/>
        </w:rPr>
      </w:pPr>
      <w:r>
        <w:rPr>
          <w:rFonts w:ascii="Arial" w:cs="Arial" w:eastAsia="Arial" w:hAnsi="Arial"/>
          <w:sz w:val="17"/>
          <w:szCs w:val="17"/>
          <w:color w:val="auto"/>
        </w:rPr>
        <w:t>In conjunction with its third quarter earnings release, ManpowerGroup will host a conference call live online on October 20, 2022 at 7:30 a.m. central time (8:30 a.m. eastern time). Prepared remarks for the conference call, webcast details, presentation and recordings are included within the Investor Relations section of manpowergroup.com.</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 xml:space="preserve">Supplemental financial information referenced in the conference call can be found at </w:t>
      </w:r>
      <w:r>
        <w:rPr>
          <w:rFonts w:ascii="Arial" w:cs="Arial" w:eastAsia="Arial" w:hAnsi="Arial"/>
          <w:sz w:val="17"/>
          <w:szCs w:val="17"/>
          <w:color w:val="0000FF"/>
        </w:rPr>
        <w:t>http://investor.manpowergroup.com/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2308225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81" w:right="31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About ManpowerGroup</w:t>
      </w:r>
    </w:p>
    <w:p>
      <w:pPr>
        <w:spacing w:after="0" w:line="2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75 countries and territories and has done so for over 70 years. We are recognized consistently for our diversity - as a best place to work for Women, Inclusion, Equality and Disability and in 2022 ManpowerGroup was named one of the World's Most Ethical Companies for the 13th year - all confirming our position as the brand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choice for in-demand talent.</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This news release contains statements, including statements regarding economic and geopolitical uncertainty, labor and financial outlook, and the Company’s brands that are forward-looking in nature and, accordingly, are subject to risks and uncertainties regarding the Company’s expected future results. The Company’s actual results may differ materially from those described or contemplated in the forward-looking statements due to numerous factors. These factors include those found in the Company’s reports filed with the SEC, including the information under the heading “Risk Factors” in its Annual Report on Form 10-K for the year ended December 31, 2021, as well as the Company’s Quarterly Report on Form 10-Q for the quarter ended March 31, 2022, which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307975</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6" w:right="319" w:bottom="1440" w:gutter="0" w:footer="0" w:header="0"/>
        </w:sectPr>
      </w:pPr>
    </w:p>
    <w:bookmarkStart w:id="6" w:name="page7"/>
    <w:bookmarkEnd w:id="6"/>
    <w:p>
      <w:pPr>
        <w:ind w:left="5085"/>
        <w:spacing w:after="0"/>
        <w:rPr>
          <w:sz w:val="20"/>
          <w:szCs w:val="20"/>
          <w:color w:val="auto"/>
        </w:rPr>
      </w:pPr>
      <w:r>
        <w:rPr>
          <w:rFonts w:ascii="Times New Roman" w:cs="Times New Roman" w:eastAsia="Times New Roman" w:hAnsi="Times New Roman"/>
          <w:sz w:val="16"/>
          <w:szCs w:val="16"/>
          <w:color w:val="auto"/>
        </w:rPr>
        <w:t>ManpowerGroup</w:t>
      </w:r>
    </w:p>
    <w:p>
      <w:pPr>
        <w:spacing w:after="0" w:line="17" w:lineRule="exact"/>
        <w:rPr>
          <w:sz w:val="20"/>
          <w:szCs w:val="20"/>
          <w:color w:val="auto"/>
        </w:rPr>
      </w:pPr>
    </w:p>
    <w:p>
      <w:pPr>
        <w:ind w:left="4945"/>
        <w:spacing w:after="0"/>
        <w:rPr>
          <w:sz w:val="20"/>
          <w:szCs w:val="20"/>
          <w:color w:val="auto"/>
        </w:rPr>
      </w:pPr>
      <w:r>
        <w:rPr>
          <w:rFonts w:ascii="Times New Roman" w:cs="Times New Roman" w:eastAsia="Times New Roman" w:hAnsi="Times New Roman"/>
          <w:sz w:val="16"/>
          <w:szCs w:val="16"/>
          <w:color w:val="auto"/>
        </w:rPr>
        <w:t>Results of Operations</w:t>
      </w:r>
    </w:p>
    <w:p>
      <w:pPr>
        <w:jc w:val="center"/>
        <w:ind w:right="35"/>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163"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5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7"/>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20"/>
              <w:spacing w:after="0" w:line="181" w:lineRule="exact"/>
              <w:rPr>
                <w:sz w:val="20"/>
                <w:szCs w:val="20"/>
                <w:color w:val="auto"/>
              </w:rPr>
            </w:pPr>
            <w:r>
              <w:rPr>
                <w:rFonts w:ascii="Times New Roman" w:cs="Times New Roman" w:eastAsia="Times New Roman" w:hAnsi="Times New Roman"/>
                <w:sz w:val="16"/>
                <w:szCs w:val="16"/>
                <w:b w:val="1"/>
                <w:bCs w:val="1"/>
                <w:color w:val="auto"/>
              </w:rPr>
              <w:t>% Variance</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left="261"/>
              <w:spacing w:after="0" w:line="162" w:lineRule="exact"/>
              <w:rPr>
                <w:sz w:val="20"/>
                <w:szCs w:val="20"/>
                <w:color w:val="auto"/>
              </w:rPr>
            </w:pPr>
            <w:r>
              <w:rPr>
                <w:rFonts w:ascii="Times New Roman" w:cs="Times New Roman" w:eastAsia="Times New Roman" w:hAnsi="Times New Roman"/>
                <w:sz w:val="16"/>
                <w:szCs w:val="16"/>
                <w:b w:val="1"/>
                <w:bCs w:val="1"/>
                <w:color w:val="auto"/>
                <w:w w:val="96"/>
              </w:rPr>
              <w:t>Amount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color w:val="auto"/>
              </w:rPr>
              <w:t>Constant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6"/>
                <w:szCs w:val="16"/>
                <w:b w:val="1"/>
                <w:bCs w:val="1"/>
                <w:color w:val="auto"/>
                <w:w w:val="96"/>
              </w:rPr>
              <w:t>Reported</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3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Revenues from services (a)</w:t>
            </w:r>
          </w:p>
        </w:tc>
        <w:tc>
          <w:tcPr>
            <w:tcW w:w="28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4,800.9</w:t>
            </w:r>
          </w:p>
        </w:tc>
        <w:tc>
          <w:tcPr>
            <w:tcW w:w="440" w:type="dxa"/>
            <w:vAlign w:val="bottom"/>
            <w:gridSpan w:val="3"/>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5,140.6</w:t>
            </w:r>
          </w:p>
        </w:tc>
        <w:tc>
          <w:tcPr>
            <w:tcW w:w="124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color w:val="auto"/>
              </w:rPr>
              <w:t>(Unaudited)</w:t>
            </w:r>
          </w:p>
        </w:tc>
        <w:tc>
          <w:tcPr>
            <w:tcW w:w="88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6"/>
                <w:szCs w:val="16"/>
                <w:color w:val="auto"/>
              </w:rPr>
              <w:t>-6.6 %</w:t>
            </w: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189"/>
        </w:trPr>
        <w:tc>
          <w:tcPr>
            <w:tcW w:w="530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Cost of services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-8.5 %</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181"/>
        </w:trPr>
        <w:tc>
          <w:tcPr>
            <w:tcW w:w="5300" w:type="dxa"/>
            <w:vAlign w:val="bottom"/>
          </w:tcPr>
          <w:p>
            <w:pPr>
              <w:ind w:left="80"/>
              <w:spacing w:after="0" w:line="181" w:lineRule="exact"/>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5"/>
                <w:szCs w:val="15"/>
                <w:color w:val="auto"/>
              </w:rPr>
            </w:pPr>
          </w:p>
        </w:tc>
        <w:tc>
          <w:tcPr>
            <w:tcW w:w="9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878.5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853.0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gridSpan w:val="3"/>
          </w:tcPr>
          <w:p>
            <w:pPr>
              <w:jc w:val="right"/>
              <w:ind w:right="420"/>
              <w:spacing w:after="0" w:line="181" w:lineRule="exact"/>
              <w:rPr>
                <w:sz w:val="20"/>
                <w:szCs w:val="20"/>
                <w:color w:val="auto"/>
              </w:rPr>
            </w:pPr>
            <w:r>
              <w:rPr>
                <w:rFonts w:ascii="Times New Roman" w:cs="Times New Roman" w:eastAsia="Times New Roman" w:hAnsi="Times New Roman"/>
                <w:sz w:val="16"/>
                <w:szCs w:val="16"/>
                <w:color w:val="auto"/>
              </w:rPr>
              <w:t>3.0 %</w:t>
            </w:r>
          </w:p>
        </w:tc>
        <w:tc>
          <w:tcPr>
            <w:tcW w:w="118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14.6 %</w:t>
            </w:r>
          </w:p>
        </w:tc>
        <w:tc>
          <w:tcPr>
            <w:tcW w:w="0" w:type="dxa"/>
            <w:vAlign w:val="bottom"/>
          </w:tcPr>
          <w:p>
            <w:pPr>
              <w:spacing w:after="0"/>
              <w:rPr>
                <w:sz w:val="1"/>
                <w:szCs w:val="1"/>
                <w:color w:val="auto"/>
              </w:rPr>
            </w:pPr>
          </w:p>
        </w:tc>
      </w:tr>
      <w:tr>
        <w:trPr>
          <w:trHeight w:val="189"/>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2.0 %</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0" w:type="dxa"/>
            <w:vAlign w:val="bottom"/>
          </w:tcPr>
          <w:p>
            <w:pPr>
              <w:spacing w:after="0"/>
              <w:rPr>
                <w:sz w:val="1"/>
                <w:szCs w:val="1"/>
                <w:color w:val="auto"/>
              </w:rPr>
            </w:pPr>
          </w:p>
        </w:tc>
      </w:tr>
      <w:tr>
        <w:trPr>
          <w:trHeight w:val="181"/>
        </w:trPr>
        <w:tc>
          <w:tcPr>
            <w:tcW w:w="5300" w:type="dxa"/>
            <w:vAlign w:val="bottom"/>
          </w:tcPr>
          <w:p>
            <w:pPr>
              <w:ind w:left="80"/>
              <w:spacing w:after="0" w:line="181" w:lineRule="exact"/>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tcPr>
          <w:p>
            <w:pPr>
              <w:spacing w:after="0"/>
              <w:rPr>
                <w:sz w:val="15"/>
                <w:szCs w:val="15"/>
                <w:color w:val="auto"/>
              </w:rPr>
            </w:pPr>
          </w:p>
        </w:tc>
        <w:tc>
          <w:tcPr>
            <w:tcW w:w="9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161.5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150.5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gridSpan w:val="3"/>
          </w:tcPr>
          <w:p>
            <w:pPr>
              <w:jc w:val="right"/>
              <w:ind w:right="420"/>
              <w:spacing w:after="0" w:line="181" w:lineRule="exact"/>
              <w:rPr>
                <w:sz w:val="20"/>
                <w:szCs w:val="20"/>
                <w:color w:val="auto"/>
              </w:rPr>
            </w:pPr>
            <w:r>
              <w:rPr>
                <w:rFonts w:ascii="Times New Roman" w:cs="Times New Roman" w:eastAsia="Times New Roman" w:hAnsi="Times New Roman"/>
                <w:sz w:val="16"/>
                <w:szCs w:val="16"/>
                <w:color w:val="auto"/>
              </w:rPr>
              <w:t>7.4 %</w:t>
            </w:r>
          </w:p>
        </w:tc>
        <w:tc>
          <w:tcPr>
            <w:tcW w:w="118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23.7 %</w:t>
            </w:r>
          </w:p>
        </w:tc>
        <w:tc>
          <w:tcPr>
            <w:tcW w:w="0" w:type="dxa"/>
            <w:vAlign w:val="bottom"/>
          </w:tcPr>
          <w:p>
            <w:pPr>
              <w:spacing w:after="0"/>
              <w:rPr>
                <w:sz w:val="1"/>
                <w:szCs w:val="1"/>
                <w:color w:val="auto"/>
              </w:rPr>
            </w:pPr>
          </w:p>
        </w:tc>
      </w:tr>
      <w:tr>
        <w:trPr>
          <w:trHeight w:val="189"/>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expenses, net</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-2.3 %</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300" w:type="dxa"/>
            <w:vAlign w:val="bottom"/>
          </w:tcPr>
          <w:p>
            <w:pPr>
              <w:ind w:left="80"/>
              <w:spacing w:after="0" w:line="181" w:lineRule="exact"/>
              <w:rPr>
                <w:sz w:val="20"/>
                <w:szCs w:val="20"/>
                <w:color w:val="auto"/>
              </w:rPr>
            </w:pPr>
            <w:r>
              <w:rPr>
                <w:rFonts w:ascii="Times New Roman" w:cs="Times New Roman" w:eastAsia="Times New Roman" w:hAnsi="Times New Roman"/>
                <w:sz w:val="16"/>
                <w:szCs w:val="16"/>
                <w:color w:val="auto"/>
              </w:rPr>
              <w:t>Earnings before income taxes</w:t>
            </w:r>
          </w:p>
        </w:tc>
        <w:tc>
          <w:tcPr>
            <w:tcW w:w="280" w:type="dxa"/>
            <w:vAlign w:val="bottom"/>
          </w:tcPr>
          <w:p>
            <w:pPr>
              <w:spacing w:after="0"/>
              <w:rPr>
                <w:sz w:val="15"/>
                <w:szCs w:val="15"/>
                <w:color w:val="auto"/>
              </w:rPr>
            </w:pPr>
          </w:p>
        </w:tc>
        <w:tc>
          <w:tcPr>
            <w:tcW w:w="9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156.8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145.6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gridSpan w:val="3"/>
          </w:tcPr>
          <w:p>
            <w:pPr>
              <w:jc w:val="right"/>
              <w:ind w:right="420"/>
              <w:spacing w:after="0" w:line="181" w:lineRule="exact"/>
              <w:rPr>
                <w:sz w:val="20"/>
                <w:szCs w:val="20"/>
                <w:color w:val="auto"/>
              </w:rPr>
            </w:pPr>
            <w:r>
              <w:rPr>
                <w:rFonts w:ascii="Times New Roman" w:cs="Times New Roman" w:eastAsia="Times New Roman" w:hAnsi="Times New Roman"/>
                <w:sz w:val="16"/>
                <w:szCs w:val="16"/>
                <w:color w:val="auto"/>
              </w:rPr>
              <w:t>7.7 %</w:t>
            </w:r>
          </w:p>
        </w:tc>
        <w:tc>
          <w:tcPr>
            <w:tcW w:w="118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24.1 %</w:t>
            </w:r>
          </w:p>
        </w:tc>
        <w:tc>
          <w:tcPr>
            <w:tcW w:w="0" w:type="dxa"/>
            <w:vAlign w:val="bottom"/>
          </w:tcPr>
          <w:p>
            <w:pPr>
              <w:spacing w:after="0"/>
              <w:rPr>
                <w:sz w:val="1"/>
                <w:szCs w:val="1"/>
                <w:color w:val="auto"/>
              </w:rPr>
            </w:pPr>
          </w:p>
        </w:tc>
      </w:tr>
      <w:tr>
        <w:trPr>
          <w:trHeight w:val="189"/>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-4.9 %</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300" w:type="dxa"/>
            <w:vAlign w:val="bottom"/>
          </w:tcPr>
          <w:p>
            <w:pPr>
              <w:ind w:left="80"/>
              <w:spacing w:after="0" w:line="181" w:lineRule="exact"/>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Borders>
              <w:bottom w:val="single" w:sz="8" w:color="auto"/>
            </w:tcBorders>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111.3</w:t>
            </w:r>
          </w:p>
        </w:tc>
        <w:tc>
          <w:tcPr>
            <w:tcW w:w="280" w:type="dxa"/>
            <w:vAlign w:val="bottom"/>
            <w:gridSpan w:val="2"/>
          </w:tcPr>
          <w:p>
            <w:pPr>
              <w:spacing w:after="0"/>
              <w:rPr>
                <w:sz w:val="15"/>
                <w:szCs w:val="15"/>
                <w:color w:val="auto"/>
              </w:rPr>
            </w:pPr>
          </w:p>
        </w:tc>
        <w:tc>
          <w:tcPr>
            <w:tcW w:w="160" w:type="dxa"/>
            <w:vAlign w:val="bottom"/>
            <w:tcBorders>
              <w:bottom w:val="single" w:sz="8" w:color="auto"/>
            </w:tcBorders>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97.7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gridSpan w:val="3"/>
          </w:tcPr>
          <w:p>
            <w:pPr>
              <w:jc w:val="right"/>
              <w:ind w:right="420"/>
              <w:spacing w:after="0" w:line="181" w:lineRule="exact"/>
              <w:rPr>
                <w:sz w:val="20"/>
                <w:szCs w:val="20"/>
                <w:color w:val="auto"/>
              </w:rPr>
            </w:pPr>
            <w:r>
              <w:rPr>
                <w:rFonts w:ascii="Times New Roman" w:cs="Times New Roman" w:eastAsia="Times New Roman" w:hAnsi="Times New Roman"/>
                <w:sz w:val="16"/>
                <w:szCs w:val="16"/>
                <w:color w:val="auto"/>
                <w:w w:val="96"/>
              </w:rPr>
              <w:t>13.9 %</w:t>
            </w:r>
          </w:p>
        </w:tc>
        <w:tc>
          <w:tcPr>
            <w:tcW w:w="118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31.2 %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30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Net earnings per share - basic</w:t>
            </w:r>
          </w:p>
        </w:tc>
        <w:tc>
          <w:tcPr>
            <w:tcW w:w="280" w:type="dxa"/>
            <w:vAlign w:val="bottom"/>
          </w:tcPr>
          <w:p>
            <w:pPr>
              <w:jc w:val="right"/>
              <w:ind w:right="101"/>
              <w:spacing w:after="0" w:line="165"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2.15</w:t>
            </w:r>
          </w:p>
        </w:tc>
        <w:tc>
          <w:tcPr>
            <w:tcW w:w="440" w:type="dxa"/>
            <w:vAlign w:val="bottom"/>
            <w:gridSpan w:val="3"/>
          </w:tcPr>
          <w:p>
            <w:pPr>
              <w:jc w:val="right"/>
              <w:ind w:right="1"/>
              <w:spacing w:after="0" w:line="165"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gridSpan w:val="3"/>
          </w:tcPr>
          <w:p>
            <w:pPr>
              <w:jc w:val="right"/>
              <w:ind w:right="420"/>
              <w:spacing w:after="0" w:line="165" w:lineRule="exact"/>
              <w:rPr>
                <w:sz w:val="20"/>
                <w:szCs w:val="20"/>
                <w:color w:val="auto"/>
              </w:rPr>
            </w:pPr>
            <w:r>
              <w:rPr>
                <w:rFonts w:ascii="Times New Roman" w:cs="Times New Roman" w:eastAsia="Times New Roman" w:hAnsi="Times New Roman"/>
                <w:sz w:val="16"/>
                <w:szCs w:val="16"/>
                <w:color w:val="auto"/>
                <w:w w:val="96"/>
              </w:rPr>
              <w:t>19.8 %</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30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Net earnings per share - diluted</w:t>
            </w:r>
          </w:p>
        </w:tc>
        <w:tc>
          <w:tcPr>
            <w:tcW w:w="280" w:type="dxa"/>
            <w:vAlign w:val="bottom"/>
            <w:tcBorders>
              <w:bottom w:val="single" w:sz="8" w:color="auto"/>
            </w:tcBorders>
          </w:tcPr>
          <w:p>
            <w:pPr>
              <w:jc w:val="right"/>
              <w:ind w:right="101"/>
              <w:spacing w:after="0" w:line="165"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2.13</w:t>
            </w:r>
          </w:p>
        </w:tc>
        <w:tc>
          <w:tcPr>
            <w:tcW w:w="280" w:type="dxa"/>
            <w:vAlign w:val="bottom"/>
            <w:gridSpan w:val="2"/>
          </w:tcPr>
          <w:p>
            <w:pPr>
              <w:spacing w:after="0"/>
              <w:rPr>
                <w:sz w:val="14"/>
                <w:szCs w:val="14"/>
                <w:color w:val="auto"/>
              </w:rPr>
            </w:pPr>
          </w:p>
        </w:tc>
        <w:tc>
          <w:tcPr>
            <w:tcW w:w="160" w:type="dxa"/>
            <w:vAlign w:val="bottom"/>
            <w:tcBorders>
              <w:bottom w:val="single" w:sz="8" w:color="auto"/>
            </w:tcBorders>
          </w:tcPr>
          <w:p>
            <w:pPr>
              <w:jc w:val="right"/>
              <w:ind w:right="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gridSpan w:val="3"/>
          </w:tcPr>
          <w:p>
            <w:pPr>
              <w:jc w:val="right"/>
              <w:ind w:right="420"/>
              <w:spacing w:after="0" w:line="165" w:lineRule="exact"/>
              <w:rPr>
                <w:sz w:val="20"/>
                <w:szCs w:val="20"/>
                <w:color w:val="auto"/>
              </w:rPr>
            </w:pPr>
            <w:r>
              <w:rPr>
                <w:rFonts w:ascii="Times New Roman" w:cs="Times New Roman" w:eastAsia="Times New Roman" w:hAnsi="Times New Roman"/>
                <w:sz w:val="16"/>
                <w:szCs w:val="16"/>
                <w:color w:val="auto"/>
                <w:w w:val="96"/>
              </w:rPr>
              <w:t>20.3 %</w:t>
            </w:r>
          </w:p>
        </w:tc>
        <w:tc>
          <w:tcPr>
            <w:tcW w:w="1180" w:type="dxa"/>
            <w:vAlign w:val="bottom"/>
            <w:gridSpan w:val="3"/>
          </w:tcPr>
          <w:p>
            <w:pPr>
              <w:jc w:val="right"/>
              <w:spacing w:after="0" w:line="165" w:lineRule="exact"/>
              <w:rPr>
                <w:sz w:val="20"/>
                <w:szCs w:val="20"/>
                <w:color w:val="auto"/>
              </w:rPr>
            </w:pPr>
            <w:r>
              <w:rPr>
                <w:rFonts w:ascii="Times New Roman" w:cs="Times New Roman" w:eastAsia="Times New Roman" w:hAnsi="Times New Roman"/>
                <w:sz w:val="16"/>
                <w:szCs w:val="16"/>
                <w:color w:val="auto"/>
              </w:rPr>
              <w:t>38.6 %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30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Weighted average shares - basic</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51.7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54.3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gridSpan w:val="3"/>
          </w:tcPr>
          <w:p>
            <w:pPr>
              <w:jc w:val="right"/>
              <w:ind w:right="420"/>
              <w:spacing w:after="0" w:line="165" w:lineRule="exact"/>
              <w:rPr>
                <w:sz w:val="20"/>
                <w:szCs w:val="20"/>
                <w:color w:val="auto"/>
              </w:rPr>
            </w:pPr>
            <w:r>
              <w:rPr>
                <w:rFonts w:ascii="Times New Roman" w:cs="Times New Roman" w:eastAsia="Times New Roman" w:hAnsi="Times New Roman"/>
                <w:sz w:val="16"/>
                <w:szCs w:val="16"/>
                <w:color w:val="auto"/>
              </w:rPr>
              <w:t>-4.9 %</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300" w:type="dxa"/>
            <w:vAlign w:val="bottom"/>
            <w:tcBorders>
              <w:bottom w:val="single" w:sz="8" w:color="CFF0FC"/>
            </w:tcBorders>
            <w:shd w:val="clear" w:color="auto" w:fill="CFF0FC"/>
          </w:tcPr>
          <w:p>
            <w:pPr>
              <w:spacing w:after="0" w:line="165" w:lineRule="exact"/>
              <w:rPr>
                <w:sz w:val="20"/>
                <w:szCs w:val="20"/>
                <w:color w:val="auto"/>
              </w:rPr>
            </w:pPr>
            <w:r>
              <w:rPr>
                <w:rFonts w:ascii="Times New Roman" w:cs="Times New Roman" w:eastAsia="Times New Roman" w:hAnsi="Times New Roman"/>
                <w:sz w:val="16"/>
                <w:szCs w:val="16"/>
                <w:color w:val="auto"/>
              </w:rPr>
              <w:t>Weighted average shares - diluted</w:t>
            </w: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52.3</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55.2</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gridSpan w:val="3"/>
            <w:shd w:val="clear" w:color="auto" w:fill="CFF0FC"/>
          </w:tcPr>
          <w:p>
            <w:pPr>
              <w:jc w:val="right"/>
              <w:ind w:right="420"/>
              <w:spacing w:after="0" w:line="165" w:lineRule="exact"/>
              <w:rPr>
                <w:sz w:val="20"/>
                <w:szCs w:val="20"/>
                <w:color w:val="auto"/>
              </w:rPr>
            </w:pPr>
            <w:r>
              <w:rPr>
                <w:rFonts w:ascii="Times New Roman" w:cs="Times New Roman" w:eastAsia="Times New Roman" w:hAnsi="Times New Roman"/>
                <w:sz w:val="16"/>
                <w:szCs w:val="16"/>
                <w:color w:val="auto"/>
              </w:rPr>
              <w:t>-5.3 %</w:t>
            </w:r>
          </w:p>
        </w:tc>
        <w:tc>
          <w:tcPr>
            <w:tcW w:w="10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-1704340</wp:posOffset>
            </wp:positionV>
            <wp:extent cx="7149465" cy="120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-1456055</wp:posOffset>
            </wp:positionV>
            <wp:extent cx="7149465"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-1208405</wp:posOffset>
            </wp:positionV>
            <wp:extent cx="7149465"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-960755</wp:posOffset>
            </wp:positionV>
            <wp:extent cx="7149465"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-713105</wp:posOffset>
            </wp:positionV>
            <wp:extent cx="7149465" cy="570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57086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-21590</wp:posOffset>
            </wp:positionV>
            <wp:extent cx="7493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-6985</wp:posOffset>
            </wp:positionV>
            <wp:extent cx="7493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5084445</wp:posOffset>
            </wp:positionH>
            <wp:positionV relativeFrom="paragraph">
              <wp:posOffset>-21590</wp:posOffset>
            </wp:positionV>
            <wp:extent cx="6731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5084445</wp:posOffset>
            </wp:positionH>
            <wp:positionV relativeFrom="paragraph">
              <wp:posOffset>-6985</wp:posOffset>
            </wp:positionV>
            <wp:extent cx="6731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jc w:val="both"/>
        <w:ind w:left="505" w:right="60" w:hanging="505"/>
        <w:spacing w:after="0" w:line="236" w:lineRule="auto"/>
        <w:tabs>
          <w:tab w:leader="none" w:pos="50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from services include fees received from our franchise offices of $4.4 million and $3.9 million for the three months ended September 30, 2022 and 2021, respectively. These fees are primarily based on revenues generated by the franchise offices, which were $264.0 million and $253.3 million for the three months ended September 30, 2022 and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528955</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305"/>
          </w:cols>
          <w:pgMar w:left="315" w:top="336" w:right="279" w:bottom="1440" w:gutter="0" w:footer="0" w:header="0"/>
        </w:sectPr>
      </w:pPr>
    </w:p>
    <w:bookmarkStart w:id="7" w:name="page8"/>
    <w:bookmarkEnd w:id="7"/>
    <w:p>
      <w:pPr>
        <w:jc w:val="center"/>
        <w:ind w:right="34"/>
        <w:spacing w:after="0"/>
        <w:rPr>
          <w:sz w:val="20"/>
          <w:szCs w:val="20"/>
          <w:color w:val="auto"/>
        </w:rPr>
      </w:pPr>
      <w:r>
        <w:rPr>
          <w:rFonts w:ascii="Times New Roman" w:cs="Times New Roman" w:eastAsia="Times New Roman" w:hAnsi="Times New Roman"/>
          <w:sz w:val="16"/>
          <w:szCs w:val="16"/>
          <w:color w:val="auto"/>
        </w:rPr>
        <w:t>ManpowerGroup</w:t>
      </w:r>
    </w:p>
    <w:p>
      <w:pPr>
        <w:spacing w:after="0" w:line="29" w:lineRule="exact"/>
        <w:rPr>
          <w:sz w:val="20"/>
          <w:szCs w:val="20"/>
          <w:color w:val="auto"/>
        </w:rPr>
      </w:pPr>
    </w:p>
    <w:p>
      <w:pPr>
        <w:jc w:val="center"/>
        <w:ind w:right="34"/>
        <w:spacing w:after="0"/>
        <w:rPr>
          <w:sz w:val="20"/>
          <w:szCs w:val="20"/>
          <w:color w:val="auto"/>
        </w:rPr>
      </w:pPr>
      <w:r>
        <w:rPr>
          <w:rFonts w:ascii="Times New Roman" w:cs="Times New Roman" w:eastAsia="Times New Roman" w:hAnsi="Times New Roman"/>
          <w:sz w:val="16"/>
          <w:szCs w:val="16"/>
          <w:color w:val="auto"/>
        </w:rPr>
        <w:t>Operating Unit Results</w:t>
      </w:r>
    </w:p>
    <w:p>
      <w:pPr>
        <w:spacing w:after="0" w:line="29" w:lineRule="exact"/>
        <w:rPr>
          <w:sz w:val="20"/>
          <w:szCs w:val="20"/>
          <w:color w:val="auto"/>
        </w:rPr>
      </w:pPr>
    </w:p>
    <w:p>
      <w:pPr>
        <w:jc w:val="center"/>
        <w:ind w:right="34"/>
        <w:spacing w:after="0"/>
        <w:rPr>
          <w:sz w:val="20"/>
          <w:szCs w:val="20"/>
          <w:color w:val="auto"/>
        </w:rPr>
      </w:pPr>
      <w:r>
        <w:rPr>
          <w:rFonts w:ascii="Times New Roman" w:cs="Times New Roman" w:eastAsia="Times New Roman" w:hAnsi="Times New Roman"/>
          <w:sz w:val="16"/>
          <w:szCs w:val="16"/>
          <w:color w:val="auto"/>
        </w:rPr>
        <w:t>(In millions)</w:t>
      </w:r>
    </w:p>
    <w:p>
      <w:pPr>
        <w:spacing w:after="0" w:line="181" w:lineRule="exact"/>
        <w:rPr>
          <w:sz w:val="20"/>
          <w:szCs w:val="20"/>
          <w:color w:val="auto"/>
        </w:rPr>
      </w:pPr>
    </w:p>
    <w:tbl>
      <w:tblPr>
        <w:tblLayout w:type="fixed"/>
        <w:tblInd w:w="6" w:type="dxa"/>
        <w:tblCellMar>
          <w:top w:w="0" w:type="dxa"/>
          <w:left w:w="0" w:type="dxa"/>
          <w:bottom w:w="0" w:type="dxa"/>
          <w:right w:w="0" w:type="dxa"/>
        </w:tblCellMar>
      </w:tblPr>
      <w:tr>
        <w:trPr>
          <w:trHeight w:val="208"/>
        </w:trPr>
        <w:tc>
          <w:tcPr>
            <w:tcW w:w="5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7"/>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20"/>
              <w:spacing w:after="0" w:line="181" w:lineRule="exact"/>
              <w:rPr>
                <w:sz w:val="20"/>
                <w:szCs w:val="20"/>
                <w:color w:val="auto"/>
              </w:rPr>
            </w:pPr>
            <w:r>
              <w:rPr>
                <w:rFonts w:ascii="Times New Roman" w:cs="Times New Roman" w:eastAsia="Times New Roman" w:hAnsi="Times New Roman"/>
                <w:sz w:val="16"/>
                <w:szCs w:val="16"/>
                <w:b w:val="1"/>
                <w:bCs w:val="1"/>
                <w:color w:val="auto"/>
              </w:rPr>
              <w:t>% Variance</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3"/>
          </w:tcPr>
          <w:p>
            <w:pPr>
              <w:jc w:val="right"/>
              <w:ind w:right="920"/>
              <w:spacing w:after="0" w:line="162" w:lineRule="exact"/>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Constant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96"/>
              </w:rPr>
              <w:t>Reported</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color w:val="auto"/>
                <w:w w:val="74"/>
              </w:rPr>
              <w:t>(Unaudited)</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 from Services:</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Americas:</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United States (a)</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886.6</w:t>
            </w:r>
          </w:p>
        </w:tc>
        <w:tc>
          <w:tcPr>
            <w:tcW w:w="120" w:type="dxa"/>
            <w:vAlign w:val="bottom"/>
          </w:tcPr>
          <w:p>
            <w:pPr>
              <w:spacing w:after="0"/>
              <w:rPr>
                <w:sz w:val="16"/>
                <w:szCs w:val="16"/>
                <w:color w:val="auto"/>
              </w:rPr>
            </w:pPr>
          </w:p>
        </w:tc>
        <w:tc>
          <w:tcPr>
            <w:tcW w:w="3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37.5 %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37.5 %</w:t>
            </w:r>
          </w:p>
        </w:tc>
        <w:tc>
          <w:tcPr>
            <w:tcW w:w="0" w:type="dxa"/>
            <w:vAlign w:val="bottom"/>
          </w:tcPr>
          <w:p>
            <w:pPr>
              <w:spacing w:after="0"/>
              <w:rPr>
                <w:sz w:val="1"/>
                <w:szCs w:val="1"/>
                <w:color w:val="auto"/>
              </w:rPr>
            </w:pPr>
          </w:p>
        </w:tc>
      </w:tr>
      <w:tr>
        <w:trPr>
          <w:trHeight w:val="189"/>
        </w:trPr>
        <w:tc>
          <w:tcPr>
            <w:tcW w:w="53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Americas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0.1 %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0" w:type="dxa"/>
            <w:vAlign w:val="bottom"/>
          </w:tcPr>
          <w:p>
            <w:pPr>
              <w:spacing w:after="0"/>
              <w:rPr>
                <w:sz w:val="1"/>
                <w:szCs w:val="1"/>
                <w:color w:val="auto"/>
              </w:rPr>
            </w:pPr>
          </w:p>
        </w:tc>
      </w:tr>
      <w:tr>
        <w:trPr>
          <w:trHeight w:val="181"/>
        </w:trPr>
        <w:tc>
          <w:tcPr>
            <w:tcW w:w="53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Southern Europe:</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1,239.8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997.6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gridSpan w:val="3"/>
          </w:tcPr>
          <w:p>
            <w:pPr>
              <w:jc w:val="right"/>
              <w:ind w:right="420"/>
              <w:spacing w:after="0" w:line="181" w:lineRule="exact"/>
              <w:rPr>
                <w:sz w:val="20"/>
                <w:szCs w:val="20"/>
                <w:color w:val="auto"/>
              </w:rPr>
            </w:pPr>
            <w:r>
              <w:rPr>
                <w:rFonts w:ascii="Times New Roman" w:cs="Times New Roman" w:eastAsia="Times New Roman" w:hAnsi="Times New Roman"/>
                <w:sz w:val="16"/>
                <w:szCs w:val="16"/>
                <w:color w:val="auto"/>
              </w:rPr>
              <w:t>24.3 %</w:t>
            </w:r>
          </w:p>
        </w:tc>
        <w:tc>
          <w:tcPr>
            <w:tcW w:w="11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27.1 %</w:t>
            </w:r>
          </w:p>
        </w:tc>
        <w:tc>
          <w:tcPr>
            <w:tcW w:w="0" w:type="dxa"/>
            <w:vAlign w:val="bottom"/>
          </w:tcPr>
          <w:p>
            <w:pPr>
              <w:spacing w:after="0"/>
              <w:rPr>
                <w:sz w:val="1"/>
                <w:szCs w:val="1"/>
                <w:color w:val="auto"/>
              </w:rPr>
            </w:pPr>
          </w:p>
        </w:tc>
      </w:tr>
      <w:tr>
        <w:trPr>
          <w:trHeight w:val="181"/>
        </w:trPr>
        <w:tc>
          <w:tcPr>
            <w:tcW w:w="53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France</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-12.0 %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189"/>
        </w:trPr>
        <w:tc>
          <w:tcPr>
            <w:tcW w:w="53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Italy</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-13.4 %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189"/>
        </w:trPr>
        <w:tc>
          <w:tcPr>
            <w:tcW w:w="53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Southern Europe</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-20.3 %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0" w:type="dxa"/>
            <w:vAlign w:val="bottom"/>
          </w:tcPr>
          <w:p>
            <w:pPr>
              <w:spacing w:after="0"/>
              <w:rPr>
                <w:sz w:val="1"/>
                <w:szCs w:val="1"/>
                <w:color w:val="auto"/>
              </w:rPr>
            </w:pPr>
          </w:p>
        </w:tc>
      </w:tr>
      <w:tr>
        <w:trPr>
          <w:trHeight w:val="181"/>
        </w:trPr>
        <w:tc>
          <w:tcPr>
            <w:tcW w:w="5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2,039.8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2,382.6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gridSpan w:val="3"/>
          </w:tcPr>
          <w:p>
            <w:pPr>
              <w:jc w:val="right"/>
              <w:ind w:right="420"/>
              <w:spacing w:after="0" w:line="181" w:lineRule="exact"/>
              <w:rPr>
                <w:sz w:val="20"/>
                <w:szCs w:val="20"/>
                <w:color w:val="auto"/>
              </w:rPr>
            </w:pPr>
            <w:r>
              <w:rPr>
                <w:rFonts w:ascii="Times New Roman" w:cs="Times New Roman" w:eastAsia="Times New Roman" w:hAnsi="Times New Roman"/>
                <w:sz w:val="16"/>
                <w:szCs w:val="16"/>
                <w:color w:val="auto"/>
              </w:rPr>
              <w:t>-14.4 %</w:t>
            </w:r>
          </w:p>
        </w:tc>
        <w:tc>
          <w:tcPr>
            <w:tcW w:w="11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181"/>
        </w:trPr>
        <w:tc>
          <w:tcPr>
            <w:tcW w:w="532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Northern Europe</w:t>
            </w:r>
          </w:p>
        </w:tc>
        <w:tc>
          <w:tcPr>
            <w:tcW w:w="26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954.1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1,166.6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gridSpan w:val="3"/>
          </w:tcPr>
          <w:p>
            <w:pPr>
              <w:jc w:val="right"/>
              <w:ind w:right="420"/>
              <w:spacing w:after="0" w:line="181" w:lineRule="exact"/>
              <w:rPr>
                <w:sz w:val="20"/>
                <w:szCs w:val="20"/>
                <w:color w:val="auto"/>
              </w:rPr>
            </w:pPr>
            <w:r>
              <w:rPr>
                <w:rFonts w:ascii="Times New Roman" w:cs="Times New Roman" w:eastAsia="Times New Roman" w:hAnsi="Times New Roman"/>
                <w:sz w:val="16"/>
                <w:szCs w:val="16"/>
                <w:color w:val="auto"/>
              </w:rPr>
              <w:t>-18.2 %</w:t>
            </w:r>
          </w:p>
        </w:tc>
        <w:tc>
          <w:tcPr>
            <w:tcW w:w="11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189"/>
        </w:trPr>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APME</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-4.0 %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0" w:type="dxa"/>
            <w:vAlign w:val="bottom"/>
          </w:tcPr>
          <w:p>
            <w:pPr>
              <w:spacing w:after="0"/>
              <w:rPr>
                <w:sz w:val="1"/>
                <w:szCs w:val="1"/>
                <w:color w:val="auto"/>
              </w:rPr>
            </w:pPr>
          </w:p>
        </w:tc>
      </w:tr>
      <w:tr>
        <w:trPr>
          <w:trHeight w:val="181"/>
        </w:trPr>
        <w:tc>
          <w:tcPr>
            <w:tcW w:w="53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4,820.6</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5,158.0</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32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Intercompany Eliminations</w:t>
            </w:r>
          </w:p>
        </w:tc>
        <w:tc>
          <w:tcPr>
            <w:tcW w:w="260" w:type="dxa"/>
            <w:vAlign w:val="bottom"/>
          </w:tcPr>
          <w:p>
            <w:pPr>
              <w:spacing w:after="0"/>
              <w:rPr>
                <w:sz w:val="15"/>
                <w:szCs w:val="15"/>
                <w:color w:val="auto"/>
              </w:rPr>
            </w:pPr>
          </w:p>
        </w:tc>
        <w:tc>
          <w:tcPr>
            <w:tcW w:w="108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(19.7 )</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(17.4 )</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3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Unit Profit:</w:t>
            </w:r>
          </w:p>
        </w:tc>
        <w:tc>
          <w:tcPr>
            <w:tcW w:w="2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4,800.9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5,140.6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gridSpan w:val="3"/>
          </w:tcPr>
          <w:p>
            <w:pPr>
              <w:jc w:val="right"/>
              <w:ind w:right="420"/>
              <w:spacing w:after="0" w:line="181" w:lineRule="exact"/>
              <w:rPr>
                <w:sz w:val="20"/>
                <w:szCs w:val="20"/>
                <w:color w:val="auto"/>
              </w:rPr>
            </w:pPr>
            <w:r>
              <w:rPr>
                <w:rFonts w:ascii="Times New Roman" w:cs="Times New Roman" w:eastAsia="Times New Roman" w:hAnsi="Times New Roman"/>
                <w:sz w:val="16"/>
                <w:szCs w:val="16"/>
                <w:color w:val="auto"/>
              </w:rPr>
              <w:t>-6.6 %</w:t>
            </w:r>
          </w:p>
        </w:tc>
        <w:tc>
          <w:tcPr>
            <w:tcW w:w="11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181"/>
        </w:trPr>
        <w:tc>
          <w:tcPr>
            <w:tcW w:w="53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Americas:</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United States</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20" w:type="dxa"/>
            <w:vAlign w:val="bottom"/>
          </w:tcPr>
          <w:p>
            <w:pPr>
              <w:spacing w:after="0"/>
              <w:rPr>
                <w:sz w:val="16"/>
                <w:szCs w:val="16"/>
                <w:color w:val="auto"/>
              </w:rPr>
            </w:pPr>
          </w:p>
        </w:tc>
        <w:tc>
          <w:tcPr>
            <w:tcW w:w="3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93.9 %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93.9 %</w:t>
            </w:r>
          </w:p>
        </w:tc>
        <w:tc>
          <w:tcPr>
            <w:tcW w:w="0" w:type="dxa"/>
            <w:vAlign w:val="bottom"/>
          </w:tcPr>
          <w:p>
            <w:pPr>
              <w:spacing w:after="0"/>
              <w:rPr>
                <w:sz w:val="1"/>
                <w:szCs w:val="1"/>
                <w:color w:val="auto"/>
              </w:rPr>
            </w:pPr>
          </w:p>
        </w:tc>
      </w:tr>
      <w:tr>
        <w:trPr>
          <w:trHeight w:val="189"/>
        </w:trPr>
        <w:tc>
          <w:tcPr>
            <w:tcW w:w="53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Americas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30.8 %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42.2 %</w:t>
            </w:r>
          </w:p>
        </w:tc>
        <w:tc>
          <w:tcPr>
            <w:tcW w:w="0" w:type="dxa"/>
            <w:vAlign w:val="bottom"/>
          </w:tcPr>
          <w:p>
            <w:pPr>
              <w:spacing w:after="0"/>
              <w:rPr>
                <w:sz w:val="1"/>
                <w:szCs w:val="1"/>
                <w:color w:val="auto"/>
              </w:rPr>
            </w:pPr>
          </w:p>
        </w:tc>
      </w:tr>
      <w:tr>
        <w:trPr>
          <w:trHeight w:val="181"/>
        </w:trPr>
        <w:tc>
          <w:tcPr>
            <w:tcW w:w="5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71.1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40.8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gridSpan w:val="3"/>
          </w:tcPr>
          <w:p>
            <w:pPr>
              <w:jc w:val="right"/>
              <w:ind w:right="420"/>
              <w:spacing w:after="0" w:line="181" w:lineRule="exact"/>
              <w:rPr>
                <w:sz w:val="20"/>
                <w:szCs w:val="20"/>
                <w:color w:val="auto"/>
              </w:rPr>
            </w:pPr>
            <w:r>
              <w:rPr>
                <w:rFonts w:ascii="Times New Roman" w:cs="Times New Roman" w:eastAsia="Times New Roman" w:hAnsi="Times New Roman"/>
                <w:sz w:val="16"/>
                <w:szCs w:val="16"/>
                <w:color w:val="auto"/>
              </w:rPr>
              <w:t>74.4 %</w:t>
            </w:r>
          </w:p>
        </w:tc>
        <w:tc>
          <w:tcPr>
            <w:tcW w:w="11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77.9 %</w:t>
            </w:r>
          </w:p>
        </w:tc>
        <w:tc>
          <w:tcPr>
            <w:tcW w:w="0" w:type="dxa"/>
            <w:vAlign w:val="bottom"/>
          </w:tcPr>
          <w:p>
            <w:pPr>
              <w:spacing w:after="0"/>
              <w:rPr>
                <w:sz w:val="1"/>
                <w:szCs w:val="1"/>
                <w:color w:val="auto"/>
              </w:rPr>
            </w:pPr>
          </w:p>
        </w:tc>
      </w:tr>
      <w:tr>
        <w:trPr>
          <w:trHeight w:val="181"/>
        </w:trPr>
        <w:tc>
          <w:tcPr>
            <w:tcW w:w="5320" w:type="dxa"/>
            <w:vAlign w:val="bottom"/>
            <w:shd w:val="clear" w:color="auto" w:fill="CFF0FC"/>
          </w:tcPr>
          <w:p>
            <w:pPr>
              <w:ind w:left="160"/>
              <w:spacing w:after="0" w:line="181" w:lineRule="exact"/>
              <w:rPr>
                <w:sz w:val="20"/>
                <w:szCs w:val="20"/>
                <w:color w:val="auto"/>
              </w:rPr>
            </w:pPr>
            <w:r>
              <w:rPr>
                <w:rFonts w:ascii="Times New Roman" w:cs="Times New Roman" w:eastAsia="Times New Roman" w:hAnsi="Times New Roman"/>
                <w:sz w:val="16"/>
                <w:szCs w:val="16"/>
                <w:color w:val="auto"/>
              </w:rPr>
              <w:t>Southern Europe:</w:t>
            </w: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France</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-8.2 %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0" w:type="dxa"/>
            <w:vAlign w:val="bottom"/>
          </w:tcPr>
          <w:p>
            <w:pPr>
              <w:spacing w:after="0"/>
              <w:rPr>
                <w:sz w:val="1"/>
                <w:szCs w:val="1"/>
                <w:color w:val="auto"/>
              </w:rPr>
            </w:pPr>
          </w:p>
        </w:tc>
      </w:tr>
      <w:tr>
        <w:trPr>
          <w:trHeight w:val="189"/>
        </w:trPr>
        <w:tc>
          <w:tcPr>
            <w:tcW w:w="53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Italy</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-6.0 %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0" w:type="dxa"/>
            <w:vAlign w:val="bottom"/>
          </w:tcPr>
          <w:p>
            <w:pPr>
              <w:spacing w:after="0"/>
              <w:rPr>
                <w:sz w:val="1"/>
                <w:szCs w:val="1"/>
                <w:color w:val="auto"/>
              </w:rPr>
            </w:pPr>
          </w:p>
        </w:tc>
      </w:tr>
      <w:tr>
        <w:trPr>
          <w:trHeight w:val="189"/>
        </w:trPr>
        <w:tc>
          <w:tcPr>
            <w:tcW w:w="53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Southern Europe</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-18.9 %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0" w:type="dxa"/>
            <w:vAlign w:val="bottom"/>
          </w:tcPr>
          <w:p>
            <w:pPr>
              <w:spacing w:after="0"/>
              <w:rPr>
                <w:sz w:val="1"/>
                <w:szCs w:val="1"/>
                <w:color w:val="auto"/>
              </w:rPr>
            </w:pPr>
          </w:p>
        </w:tc>
      </w:tr>
      <w:tr>
        <w:trPr>
          <w:trHeight w:val="181"/>
        </w:trPr>
        <w:tc>
          <w:tcPr>
            <w:tcW w:w="5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100.3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110.7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gridSpan w:val="3"/>
          </w:tcPr>
          <w:p>
            <w:pPr>
              <w:jc w:val="right"/>
              <w:ind w:right="420"/>
              <w:spacing w:after="0" w:line="181" w:lineRule="exact"/>
              <w:rPr>
                <w:sz w:val="20"/>
                <w:szCs w:val="20"/>
                <w:color w:val="auto"/>
              </w:rPr>
            </w:pPr>
            <w:r>
              <w:rPr>
                <w:rFonts w:ascii="Times New Roman" w:cs="Times New Roman" w:eastAsia="Times New Roman" w:hAnsi="Times New Roman"/>
                <w:sz w:val="16"/>
                <w:szCs w:val="16"/>
                <w:color w:val="auto"/>
              </w:rPr>
              <w:t>-9.3 %</w:t>
            </w:r>
          </w:p>
        </w:tc>
        <w:tc>
          <w:tcPr>
            <w:tcW w:w="11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181"/>
        </w:trPr>
        <w:tc>
          <w:tcPr>
            <w:tcW w:w="532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Northern Europe</w:t>
            </w:r>
          </w:p>
        </w:tc>
        <w:tc>
          <w:tcPr>
            <w:tcW w:w="26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12.8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16.5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gridSpan w:val="3"/>
          </w:tcPr>
          <w:p>
            <w:pPr>
              <w:jc w:val="right"/>
              <w:ind w:right="420"/>
              <w:spacing w:after="0" w:line="181" w:lineRule="exact"/>
              <w:rPr>
                <w:sz w:val="20"/>
                <w:szCs w:val="20"/>
                <w:color w:val="auto"/>
              </w:rPr>
            </w:pPr>
            <w:r>
              <w:rPr>
                <w:rFonts w:ascii="Times New Roman" w:cs="Times New Roman" w:eastAsia="Times New Roman" w:hAnsi="Times New Roman"/>
                <w:sz w:val="16"/>
                <w:szCs w:val="16"/>
                <w:color w:val="auto"/>
              </w:rPr>
              <w:t>-22.9 %</w:t>
            </w:r>
          </w:p>
        </w:tc>
        <w:tc>
          <w:tcPr>
            <w:tcW w:w="11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-6.9 %</w:t>
            </w:r>
          </w:p>
        </w:tc>
        <w:tc>
          <w:tcPr>
            <w:tcW w:w="0" w:type="dxa"/>
            <w:vAlign w:val="bottom"/>
          </w:tcPr>
          <w:p>
            <w:pPr>
              <w:spacing w:after="0"/>
              <w:rPr>
                <w:sz w:val="1"/>
                <w:szCs w:val="1"/>
                <w:color w:val="auto"/>
              </w:rPr>
            </w:pPr>
          </w:p>
        </w:tc>
      </w:tr>
      <w:tr>
        <w:trPr>
          <w:trHeight w:val="189"/>
        </w:trPr>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APME</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3.5 %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23.4 %</w:t>
            </w:r>
          </w:p>
        </w:tc>
        <w:tc>
          <w:tcPr>
            <w:tcW w:w="0" w:type="dxa"/>
            <w:vAlign w:val="bottom"/>
          </w:tcPr>
          <w:p>
            <w:pPr>
              <w:spacing w:after="0"/>
              <w:rPr>
                <w:sz w:val="1"/>
                <w:szCs w:val="1"/>
                <w:color w:val="auto"/>
              </w:rPr>
            </w:pPr>
          </w:p>
        </w:tc>
      </w:tr>
      <w:tr>
        <w:trPr>
          <w:trHeight w:val="181"/>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207.6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190.6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expenses</w:t>
            </w:r>
          </w:p>
        </w:tc>
        <w:tc>
          <w:tcPr>
            <w:tcW w:w="2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(37.0 )</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(36.0 )</w:t>
            </w: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 amortization expense</w:t>
            </w:r>
          </w:p>
        </w:tc>
        <w:tc>
          <w:tcPr>
            <w:tcW w:w="26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(9.1 )</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320" w:type="dxa"/>
            <w:vAlign w:val="bottom"/>
          </w:tcPr>
          <w:p>
            <w:pPr>
              <w:ind w:left="240"/>
              <w:spacing w:after="0" w:line="181" w:lineRule="exact"/>
              <w:rPr>
                <w:sz w:val="20"/>
                <w:szCs w:val="20"/>
                <w:color w:val="auto"/>
              </w:rPr>
            </w:pPr>
            <w:r>
              <w:rPr>
                <w:rFonts w:ascii="Times New Roman" w:cs="Times New Roman" w:eastAsia="Times New Roman" w:hAnsi="Times New Roman"/>
                <w:sz w:val="16"/>
                <w:szCs w:val="16"/>
                <w:color w:val="auto"/>
              </w:rPr>
              <w:t>Operating profit</w:t>
            </w: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161.5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150.5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gridSpan w:val="3"/>
          </w:tcPr>
          <w:p>
            <w:pPr>
              <w:jc w:val="right"/>
              <w:ind w:right="420"/>
              <w:spacing w:after="0" w:line="181" w:lineRule="exact"/>
              <w:rPr>
                <w:sz w:val="20"/>
                <w:szCs w:val="20"/>
                <w:color w:val="auto"/>
              </w:rPr>
            </w:pPr>
            <w:r>
              <w:rPr>
                <w:rFonts w:ascii="Times New Roman" w:cs="Times New Roman" w:eastAsia="Times New Roman" w:hAnsi="Times New Roman"/>
                <w:sz w:val="16"/>
                <w:szCs w:val="16"/>
                <w:color w:val="auto"/>
              </w:rPr>
              <w:t>7.4 %</w:t>
            </w:r>
          </w:p>
        </w:tc>
        <w:tc>
          <w:tcPr>
            <w:tcW w:w="11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23.7 %</w:t>
            </w:r>
          </w:p>
        </w:tc>
        <w:tc>
          <w:tcPr>
            <w:tcW w:w="0" w:type="dxa"/>
            <w:vAlign w:val="bottom"/>
          </w:tcPr>
          <w:p>
            <w:pPr>
              <w:spacing w:after="0"/>
              <w:rPr>
                <w:sz w:val="1"/>
                <w:szCs w:val="1"/>
                <w:color w:val="auto"/>
              </w:rPr>
            </w:pPr>
          </w:p>
        </w:tc>
      </w:tr>
      <w:tr>
        <w:trPr>
          <w:trHeight w:val="189"/>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expenses, net (b)</w:t>
            </w:r>
          </w:p>
        </w:tc>
        <w:tc>
          <w:tcPr>
            <w:tcW w:w="26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(4.7 )</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320" w:type="dxa"/>
            <w:vAlign w:val="bottom"/>
            <w:tcBorders>
              <w:bottom w:val="single" w:sz="8" w:color="CFF0FC"/>
            </w:tcBorders>
            <w:shd w:val="clear" w:color="auto" w:fill="CFF0FC"/>
          </w:tcPr>
          <w:p>
            <w:pPr>
              <w:ind w:left="240"/>
              <w:spacing w:after="0" w:line="181" w:lineRule="exact"/>
              <w:rPr>
                <w:sz w:val="20"/>
                <w:szCs w:val="20"/>
                <w:color w:val="auto"/>
              </w:rPr>
            </w:pPr>
            <w:r>
              <w:rPr>
                <w:rFonts w:ascii="Times New Roman" w:cs="Times New Roman" w:eastAsia="Times New Roman" w:hAnsi="Times New Roman"/>
                <w:sz w:val="16"/>
                <w:szCs w:val="16"/>
                <w:color w:val="auto"/>
              </w:rPr>
              <w:t>Earnings before income taxes</w:t>
            </w:r>
          </w:p>
        </w:tc>
        <w:tc>
          <w:tcPr>
            <w:tcW w:w="260" w:type="dxa"/>
            <w:vAlign w:val="bottom"/>
            <w:tcBorders>
              <w:top w:val="single" w:sz="8" w:color="auto"/>
              <w:bottom w:val="single" w:sz="8" w:color="auto"/>
            </w:tcBorders>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156.8</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145.6</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-3859530</wp:posOffset>
            </wp:positionV>
            <wp:extent cx="7149465"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-3611880</wp:posOffset>
            </wp:positionV>
            <wp:extent cx="7149465" cy="3676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3676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-3123565</wp:posOffset>
            </wp:positionV>
            <wp:extent cx="7149465" cy="375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3752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-2499995</wp:posOffset>
            </wp:positionV>
            <wp:extent cx="7149465" cy="382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382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-1877060</wp:posOffset>
            </wp:positionV>
            <wp:extent cx="7149465" cy="255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52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-1381125</wp:posOffset>
            </wp:positionV>
            <wp:extent cx="7149465"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-1133475</wp:posOffset>
            </wp:positionV>
            <wp:extent cx="7149465" cy="4959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4959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-389890</wp:posOffset>
            </wp:positionV>
            <wp:extent cx="7149465"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-21590</wp:posOffset>
            </wp:positionV>
            <wp:extent cx="7493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-6985</wp:posOffset>
            </wp:positionV>
            <wp:extent cx="7493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-21590</wp:posOffset>
            </wp:positionV>
            <wp:extent cx="7493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-6985</wp:posOffset>
            </wp:positionV>
            <wp:extent cx="7493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ind w:left="506" w:right="240" w:hanging="506"/>
        <w:spacing w:after="0" w:line="242" w:lineRule="auto"/>
        <w:tabs>
          <w:tab w:leader="none" w:pos="36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United States, revenues from services include fees received from our franchise offices of $3.7 million and $3.3 million for the three months ended September 30, 2022 and 2021, respectively. These fees are primarily based on revenues generated by the franchise offices, which were $121.9 million and $121.3 million for the three months ended September 30, 2022 and 2021, respectively.</w:t>
      </w:r>
    </w:p>
    <w:p>
      <w:pPr>
        <w:spacing w:after="0" w:line="30" w:lineRule="exact"/>
        <w:rPr>
          <w:rFonts w:ascii="Times New Roman" w:cs="Times New Roman" w:eastAsia="Times New Roman" w:hAnsi="Times New Roman"/>
          <w:sz w:val="16"/>
          <w:szCs w:val="16"/>
          <w:color w:val="auto"/>
        </w:rPr>
      </w:pPr>
    </w:p>
    <w:p>
      <w:pPr>
        <w:ind w:left="386" w:hanging="386"/>
        <w:spacing w:after="0"/>
        <w:tabs>
          <w:tab w:leader="none" w:pos="38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components of interest and other expenses, net were:</w:t>
      </w:r>
    </w:p>
    <w:p>
      <w:pPr>
        <w:spacing w:after="0" w:line="22" w:lineRule="exact"/>
        <w:rPr>
          <w:sz w:val="20"/>
          <w:szCs w:val="20"/>
          <w:color w:val="auto"/>
        </w:rPr>
      </w:pPr>
    </w:p>
    <w:tbl>
      <w:tblPr>
        <w:tblLayout w:type="fixed"/>
        <w:tblInd w:w="6" w:type="dxa"/>
        <w:tblCellMar>
          <w:top w:w="0" w:type="dxa"/>
          <w:left w:w="0" w:type="dxa"/>
          <w:bottom w:w="0" w:type="dxa"/>
          <w:right w:w="0" w:type="dxa"/>
        </w:tblCellMar>
      </w:tblPr>
      <w:tr>
        <w:trPr>
          <w:trHeight w:val="189"/>
        </w:trPr>
        <w:tc>
          <w:tcPr>
            <w:tcW w:w="7320" w:type="dxa"/>
            <w:vAlign w:val="bottom"/>
          </w:tcPr>
          <w:p>
            <w:pPr>
              <w:spacing w:after="0"/>
              <w:rPr>
                <w:sz w:val="16"/>
                <w:szCs w:val="16"/>
                <w:color w:val="auto"/>
              </w:rPr>
            </w:pPr>
          </w:p>
        </w:tc>
        <w:tc>
          <w:tcPr>
            <w:tcW w:w="12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6"/>
                <w:szCs w:val="16"/>
                <w:color w:val="auto"/>
              </w:rPr>
            </w:pPr>
          </w:p>
        </w:tc>
      </w:tr>
      <w:tr>
        <w:trPr>
          <w:trHeight w:val="181"/>
        </w:trPr>
        <w:tc>
          <w:tcPr>
            <w:tcW w:w="732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Interest expense</w:t>
            </w:r>
          </w:p>
        </w:tc>
        <w:tc>
          <w:tcPr>
            <w:tcW w:w="1260" w:type="dxa"/>
            <w:vAlign w:val="bottom"/>
            <w:shd w:val="clear" w:color="auto" w:fill="CFF0FC"/>
          </w:tcPr>
          <w:p>
            <w:pPr>
              <w:jc w:val="right"/>
              <w:ind w:right="1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4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9.6</w:t>
            </w:r>
          </w:p>
        </w:tc>
        <w:tc>
          <w:tcPr>
            <w:tcW w:w="120" w:type="dxa"/>
            <w:vAlign w:val="bottom"/>
            <w:shd w:val="clear" w:color="auto" w:fill="CFF0FC"/>
          </w:tcPr>
          <w:p>
            <w:pPr>
              <w:spacing w:after="0"/>
              <w:rPr>
                <w:sz w:val="15"/>
                <w:szCs w:val="15"/>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26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(4.4 )</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(2.9 )</w:t>
            </w:r>
          </w:p>
        </w:tc>
      </w:tr>
      <w:tr>
        <w:trPr>
          <w:trHeight w:val="18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exchange loss</w:t>
            </w:r>
          </w:p>
        </w:tc>
        <w:tc>
          <w:tcPr>
            <w:tcW w:w="12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FF0FC"/>
          </w:tcPr>
          <w:p>
            <w:pPr>
              <w:spacing w:after="0"/>
              <w:rPr>
                <w:sz w:val="16"/>
                <w:szCs w:val="16"/>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Miscellaneous income</w:t>
            </w:r>
          </w:p>
        </w:tc>
        <w:tc>
          <w:tcPr>
            <w:tcW w:w="126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(5.4 )</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(3.2 )</w:t>
            </w:r>
          </w:p>
        </w:tc>
      </w:tr>
      <w:tr>
        <w:trPr>
          <w:trHeight w:val="221"/>
        </w:trPr>
        <w:tc>
          <w:tcPr>
            <w:tcW w:w="73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ind w:right="1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464"/>
        </w:trPr>
        <w:tc>
          <w:tcPr>
            <w:tcW w:w="7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-344805</wp:posOffset>
            </wp:positionV>
            <wp:extent cx="7493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5775325</wp:posOffset>
            </wp:positionH>
            <wp:positionV relativeFrom="paragraph">
              <wp:posOffset>-329565</wp:posOffset>
            </wp:positionV>
            <wp:extent cx="7493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-344805</wp:posOffset>
            </wp:positionV>
            <wp:extent cx="673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-329565</wp:posOffset>
            </wp:positionV>
            <wp:extent cx="673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306"/>
          </w:cols>
          <w:pgMar w:left="314" w:top="336" w:right="279" w:bottom="1440" w:gutter="0" w:footer="0" w:header="0"/>
        </w:sectPr>
      </w:pPr>
    </w:p>
    <w:bookmarkStart w:id="8" w:name="page9"/>
    <w:bookmarkEnd w:id="8"/>
    <w:p>
      <w:pPr>
        <w:ind w:left="5085"/>
        <w:spacing w:after="0"/>
        <w:rPr>
          <w:sz w:val="20"/>
          <w:szCs w:val="20"/>
          <w:color w:val="auto"/>
        </w:rPr>
      </w:pPr>
      <w:r>
        <w:rPr>
          <w:rFonts w:ascii="Times New Roman" w:cs="Times New Roman" w:eastAsia="Times New Roman" w:hAnsi="Times New Roman"/>
          <w:sz w:val="16"/>
          <w:szCs w:val="16"/>
          <w:color w:val="auto"/>
        </w:rPr>
        <w:t>ManpowerGroup</w:t>
      </w:r>
    </w:p>
    <w:p>
      <w:pPr>
        <w:spacing w:after="0" w:line="29" w:lineRule="exact"/>
        <w:rPr>
          <w:sz w:val="20"/>
          <w:szCs w:val="20"/>
          <w:color w:val="auto"/>
        </w:rPr>
      </w:pPr>
    </w:p>
    <w:p>
      <w:pPr>
        <w:ind w:left="4945"/>
        <w:spacing w:after="0"/>
        <w:rPr>
          <w:sz w:val="20"/>
          <w:szCs w:val="20"/>
          <w:color w:val="auto"/>
        </w:rPr>
      </w:pPr>
      <w:r>
        <w:rPr>
          <w:rFonts w:ascii="Times New Roman" w:cs="Times New Roman" w:eastAsia="Times New Roman" w:hAnsi="Times New Roman"/>
          <w:sz w:val="16"/>
          <w:szCs w:val="16"/>
          <w:color w:val="auto"/>
        </w:rPr>
        <w:t>Results of Operations</w:t>
      </w:r>
    </w:p>
    <w:p>
      <w:pPr>
        <w:spacing w:after="0" w:line="22"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187"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5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7"/>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20"/>
              <w:spacing w:after="0" w:line="181" w:lineRule="exact"/>
              <w:rPr>
                <w:sz w:val="20"/>
                <w:szCs w:val="20"/>
                <w:color w:val="auto"/>
              </w:rPr>
            </w:pPr>
            <w:r>
              <w:rPr>
                <w:rFonts w:ascii="Times New Roman" w:cs="Times New Roman" w:eastAsia="Times New Roman" w:hAnsi="Times New Roman"/>
                <w:sz w:val="16"/>
                <w:szCs w:val="16"/>
                <w:b w:val="1"/>
                <w:bCs w:val="1"/>
                <w:color w:val="auto"/>
              </w:rPr>
              <w:t>% Variance</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left="261"/>
              <w:spacing w:after="0" w:line="162" w:lineRule="exact"/>
              <w:rPr>
                <w:sz w:val="20"/>
                <w:szCs w:val="20"/>
                <w:color w:val="auto"/>
              </w:rPr>
            </w:pPr>
            <w:r>
              <w:rPr>
                <w:rFonts w:ascii="Times New Roman" w:cs="Times New Roman" w:eastAsia="Times New Roman" w:hAnsi="Times New Roman"/>
                <w:sz w:val="16"/>
                <w:szCs w:val="16"/>
                <w:b w:val="1"/>
                <w:bCs w:val="1"/>
                <w:color w:val="auto"/>
                <w:w w:val="96"/>
              </w:rPr>
              <w:t>Amount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color w:val="auto"/>
              </w:rPr>
              <w:t>Constant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6"/>
                <w:szCs w:val="16"/>
                <w:b w:val="1"/>
                <w:bCs w:val="1"/>
                <w:color w:val="auto"/>
                <w:w w:val="96"/>
              </w:rPr>
              <w:t>Reported</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3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Revenues from services (a)</w:t>
            </w:r>
          </w:p>
        </w:tc>
        <w:tc>
          <w:tcPr>
            <w:tcW w:w="28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15,018.3</w:t>
            </w:r>
          </w:p>
        </w:tc>
        <w:tc>
          <w:tcPr>
            <w:tcW w:w="480" w:type="dxa"/>
            <w:vAlign w:val="bottom"/>
            <w:gridSpan w:val="3"/>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15,342.1</w:t>
            </w:r>
          </w:p>
        </w:tc>
        <w:tc>
          <w:tcPr>
            <w:tcW w:w="124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color w:val="auto"/>
              </w:rPr>
              <w:t>(Unaudited)</w:t>
            </w:r>
          </w:p>
        </w:tc>
        <w:tc>
          <w:tcPr>
            <w:tcW w:w="88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6"/>
                <w:szCs w:val="16"/>
                <w:color w:val="auto"/>
              </w:rPr>
              <w:t>-2.1 %</w:t>
            </w: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0" w:type="dxa"/>
            <w:vAlign w:val="bottom"/>
          </w:tcPr>
          <w:p>
            <w:pPr>
              <w:spacing w:after="0"/>
              <w:rPr>
                <w:sz w:val="1"/>
                <w:szCs w:val="1"/>
                <w:color w:val="auto"/>
              </w:rPr>
            </w:pPr>
          </w:p>
        </w:tc>
      </w:tr>
      <w:tr>
        <w:trPr>
          <w:trHeight w:val="189"/>
        </w:trPr>
        <w:tc>
          <w:tcPr>
            <w:tcW w:w="530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480" w:type="dxa"/>
            <w:vAlign w:val="bottom"/>
            <w:gridSpan w:val="3"/>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Cost of services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12,860.9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-4.2 %</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0" w:type="dxa"/>
            <w:vAlign w:val="bottom"/>
          </w:tcPr>
          <w:p>
            <w:pPr>
              <w:spacing w:after="0"/>
              <w:rPr>
                <w:sz w:val="1"/>
                <w:szCs w:val="1"/>
                <w:color w:val="auto"/>
              </w:rPr>
            </w:pPr>
          </w:p>
        </w:tc>
      </w:tr>
      <w:tr>
        <w:trPr>
          <w:trHeight w:val="181"/>
        </w:trPr>
        <w:tc>
          <w:tcPr>
            <w:tcW w:w="5300" w:type="dxa"/>
            <w:vAlign w:val="bottom"/>
          </w:tcPr>
          <w:p>
            <w:pPr>
              <w:ind w:left="80"/>
              <w:spacing w:after="0" w:line="181" w:lineRule="exact"/>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5"/>
                <w:szCs w:val="15"/>
                <w:color w:val="auto"/>
              </w:rPr>
            </w:pPr>
          </w:p>
        </w:tc>
        <w:tc>
          <w:tcPr>
            <w:tcW w:w="9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2,696.8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2,481.2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gridSpan w:val="3"/>
          </w:tcPr>
          <w:p>
            <w:pPr>
              <w:jc w:val="right"/>
              <w:ind w:right="420"/>
              <w:spacing w:after="0" w:line="181" w:lineRule="exact"/>
              <w:rPr>
                <w:sz w:val="20"/>
                <w:szCs w:val="20"/>
                <w:color w:val="auto"/>
              </w:rPr>
            </w:pPr>
            <w:r>
              <w:rPr>
                <w:rFonts w:ascii="Times New Roman" w:cs="Times New Roman" w:eastAsia="Times New Roman" w:hAnsi="Times New Roman"/>
                <w:sz w:val="16"/>
                <w:szCs w:val="16"/>
                <w:color w:val="auto"/>
              </w:rPr>
              <w:t>8.7 %</w:t>
            </w:r>
          </w:p>
        </w:tc>
        <w:tc>
          <w:tcPr>
            <w:tcW w:w="118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17.6 %</w:t>
            </w:r>
          </w:p>
        </w:tc>
        <w:tc>
          <w:tcPr>
            <w:tcW w:w="0" w:type="dxa"/>
            <w:vAlign w:val="bottom"/>
          </w:tcPr>
          <w:p>
            <w:pPr>
              <w:spacing w:after="0"/>
              <w:rPr>
                <w:sz w:val="1"/>
                <w:szCs w:val="1"/>
                <w:color w:val="auto"/>
              </w:rPr>
            </w:pPr>
          </w:p>
        </w:tc>
      </w:tr>
      <w:tr>
        <w:trPr>
          <w:trHeight w:val="189"/>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2,215.9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7.4 %</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0" w:type="dxa"/>
            <w:vAlign w:val="bottom"/>
          </w:tcPr>
          <w:p>
            <w:pPr>
              <w:spacing w:after="0"/>
              <w:rPr>
                <w:sz w:val="1"/>
                <w:szCs w:val="1"/>
                <w:color w:val="auto"/>
              </w:rPr>
            </w:pPr>
          </w:p>
        </w:tc>
      </w:tr>
      <w:tr>
        <w:trPr>
          <w:trHeight w:val="181"/>
        </w:trPr>
        <w:tc>
          <w:tcPr>
            <w:tcW w:w="5300" w:type="dxa"/>
            <w:vAlign w:val="bottom"/>
          </w:tcPr>
          <w:p>
            <w:pPr>
              <w:ind w:left="80"/>
              <w:spacing w:after="0" w:line="181" w:lineRule="exact"/>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tcPr>
          <w:p>
            <w:pPr>
              <w:spacing w:after="0"/>
              <w:rPr>
                <w:sz w:val="15"/>
                <w:szCs w:val="15"/>
                <w:color w:val="auto"/>
              </w:rPr>
            </w:pPr>
          </w:p>
        </w:tc>
        <w:tc>
          <w:tcPr>
            <w:tcW w:w="9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480.9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418.8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gridSpan w:val="3"/>
          </w:tcPr>
          <w:p>
            <w:pPr>
              <w:jc w:val="right"/>
              <w:ind w:right="420"/>
              <w:spacing w:after="0" w:line="181" w:lineRule="exact"/>
              <w:rPr>
                <w:sz w:val="20"/>
                <w:szCs w:val="20"/>
                <w:color w:val="auto"/>
              </w:rPr>
            </w:pPr>
            <w:r>
              <w:rPr>
                <w:rFonts w:ascii="Times New Roman" w:cs="Times New Roman" w:eastAsia="Times New Roman" w:hAnsi="Times New Roman"/>
                <w:sz w:val="16"/>
                <w:szCs w:val="16"/>
                <w:color w:val="auto"/>
                <w:w w:val="96"/>
              </w:rPr>
              <w:t>14.8 %</w:t>
            </w:r>
          </w:p>
        </w:tc>
        <w:tc>
          <w:tcPr>
            <w:tcW w:w="118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27.5 %</w:t>
            </w:r>
          </w:p>
        </w:tc>
        <w:tc>
          <w:tcPr>
            <w:tcW w:w="0" w:type="dxa"/>
            <w:vAlign w:val="bottom"/>
          </w:tcPr>
          <w:p>
            <w:pPr>
              <w:spacing w:after="0"/>
              <w:rPr>
                <w:sz w:val="1"/>
                <w:szCs w:val="1"/>
                <w:color w:val="auto"/>
              </w:rPr>
            </w:pPr>
          </w:p>
        </w:tc>
      </w:tr>
      <w:tr>
        <w:trPr>
          <w:trHeight w:val="189"/>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expenses, net</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7.7 %</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300" w:type="dxa"/>
            <w:vAlign w:val="bottom"/>
          </w:tcPr>
          <w:p>
            <w:pPr>
              <w:ind w:left="80"/>
              <w:spacing w:after="0" w:line="181" w:lineRule="exact"/>
              <w:rPr>
                <w:sz w:val="20"/>
                <w:szCs w:val="20"/>
                <w:color w:val="auto"/>
              </w:rPr>
            </w:pPr>
            <w:r>
              <w:rPr>
                <w:rFonts w:ascii="Times New Roman" w:cs="Times New Roman" w:eastAsia="Times New Roman" w:hAnsi="Times New Roman"/>
                <w:sz w:val="16"/>
                <w:szCs w:val="16"/>
                <w:color w:val="auto"/>
              </w:rPr>
              <w:t>Earnings before income taxes</w:t>
            </w:r>
          </w:p>
        </w:tc>
        <w:tc>
          <w:tcPr>
            <w:tcW w:w="280" w:type="dxa"/>
            <w:vAlign w:val="bottom"/>
          </w:tcPr>
          <w:p>
            <w:pPr>
              <w:spacing w:after="0"/>
              <w:rPr>
                <w:sz w:val="15"/>
                <w:szCs w:val="15"/>
                <w:color w:val="auto"/>
              </w:rPr>
            </w:pPr>
          </w:p>
        </w:tc>
        <w:tc>
          <w:tcPr>
            <w:tcW w:w="9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466.8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405.7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gridSpan w:val="3"/>
          </w:tcPr>
          <w:p>
            <w:pPr>
              <w:jc w:val="right"/>
              <w:ind w:right="420"/>
              <w:spacing w:after="0" w:line="181" w:lineRule="exact"/>
              <w:rPr>
                <w:sz w:val="20"/>
                <w:szCs w:val="20"/>
                <w:color w:val="auto"/>
              </w:rPr>
            </w:pPr>
            <w:r>
              <w:rPr>
                <w:rFonts w:ascii="Times New Roman" w:cs="Times New Roman" w:eastAsia="Times New Roman" w:hAnsi="Times New Roman"/>
                <w:sz w:val="16"/>
                <w:szCs w:val="16"/>
                <w:color w:val="auto"/>
                <w:w w:val="96"/>
              </w:rPr>
              <w:t>15.1 %</w:t>
            </w:r>
          </w:p>
        </w:tc>
        <w:tc>
          <w:tcPr>
            <w:tcW w:w="118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27.6 %</w:t>
            </w:r>
          </w:p>
        </w:tc>
        <w:tc>
          <w:tcPr>
            <w:tcW w:w="0" w:type="dxa"/>
            <w:vAlign w:val="bottom"/>
          </w:tcPr>
          <w:p>
            <w:pPr>
              <w:spacing w:after="0"/>
              <w:rPr>
                <w:sz w:val="1"/>
                <w:szCs w:val="1"/>
                <w:color w:val="auto"/>
              </w:rPr>
            </w:pPr>
          </w:p>
        </w:tc>
      </w:tr>
      <w:tr>
        <w:trPr>
          <w:trHeight w:val="189"/>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5.4 %</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300" w:type="dxa"/>
            <w:vAlign w:val="bottom"/>
          </w:tcPr>
          <w:p>
            <w:pPr>
              <w:ind w:left="80"/>
              <w:spacing w:after="0" w:line="181" w:lineRule="exact"/>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Borders>
              <w:bottom w:val="single" w:sz="8" w:color="auto"/>
            </w:tcBorders>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325.1</w:t>
            </w:r>
          </w:p>
        </w:tc>
        <w:tc>
          <w:tcPr>
            <w:tcW w:w="280" w:type="dxa"/>
            <w:vAlign w:val="bottom"/>
            <w:gridSpan w:val="2"/>
          </w:tcPr>
          <w:p>
            <w:pPr>
              <w:spacing w:after="0"/>
              <w:rPr>
                <w:sz w:val="15"/>
                <w:szCs w:val="15"/>
                <w:color w:val="auto"/>
              </w:rPr>
            </w:pPr>
          </w:p>
        </w:tc>
        <w:tc>
          <w:tcPr>
            <w:tcW w:w="200" w:type="dxa"/>
            <w:vAlign w:val="bottom"/>
            <w:tcBorders>
              <w:bottom w:val="single" w:sz="8" w:color="auto"/>
            </w:tcBorders>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271.3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gridSpan w:val="3"/>
          </w:tcPr>
          <w:p>
            <w:pPr>
              <w:jc w:val="right"/>
              <w:ind w:right="420"/>
              <w:spacing w:after="0" w:line="181" w:lineRule="exact"/>
              <w:rPr>
                <w:sz w:val="20"/>
                <w:szCs w:val="20"/>
                <w:color w:val="auto"/>
              </w:rPr>
            </w:pPr>
            <w:r>
              <w:rPr>
                <w:rFonts w:ascii="Times New Roman" w:cs="Times New Roman" w:eastAsia="Times New Roman" w:hAnsi="Times New Roman"/>
                <w:sz w:val="16"/>
                <w:szCs w:val="16"/>
                <w:color w:val="auto"/>
                <w:w w:val="96"/>
              </w:rPr>
              <w:t>19.8 %</w:t>
            </w:r>
          </w:p>
        </w:tc>
        <w:tc>
          <w:tcPr>
            <w:tcW w:w="118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32.9 %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30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Net earnings per share - basic</w:t>
            </w:r>
          </w:p>
        </w:tc>
        <w:tc>
          <w:tcPr>
            <w:tcW w:w="280" w:type="dxa"/>
            <w:vAlign w:val="bottom"/>
          </w:tcPr>
          <w:p>
            <w:pPr>
              <w:jc w:val="right"/>
              <w:ind w:right="101"/>
              <w:spacing w:after="0" w:line="165"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6.18</w:t>
            </w:r>
          </w:p>
        </w:tc>
        <w:tc>
          <w:tcPr>
            <w:tcW w:w="480" w:type="dxa"/>
            <w:vAlign w:val="bottom"/>
            <w:gridSpan w:val="3"/>
          </w:tcPr>
          <w:p>
            <w:pPr>
              <w:jc w:val="right"/>
              <w:ind w:right="41"/>
              <w:spacing w:after="0" w:line="165"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gridSpan w:val="3"/>
          </w:tcPr>
          <w:p>
            <w:pPr>
              <w:jc w:val="right"/>
              <w:ind w:right="420"/>
              <w:spacing w:after="0" w:line="165" w:lineRule="exact"/>
              <w:rPr>
                <w:sz w:val="20"/>
                <w:szCs w:val="20"/>
                <w:color w:val="auto"/>
              </w:rPr>
            </w:pPr>
            <w:r>
              <w:rPr>
                <w:rFonts w:ascii="Times New Roman" w:cs="Times New Roman" w:eastAsia="Times New Roman" w:hAnsi="Times New Roman"/>
                <w:sz w:val="16"/>
                <w:szCs w:val="16"/>
                <w:color w:val="auto"/>
                <w:w w:val="96"/>
              </w:rPr>
              <w:t>24.4 %</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30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Net earnings per share - diluted</w:t>
            </w:r>
          </w:p>
        </w:tc>
        <w:tc>
          <w:tcPr>
            <w:tcW w:w="280" w:type="dxa"/>
            <w:vAlign w:val="bottom"/>
            <w:tcBorders>
              <w:bottom w:val="single" w:sz="8" w:color="auto"/>
            </w:tcBorders>
          </w:tcPr>
          <w:p>
            <w:pPr>
              <w:jc w:val="right"/>
              <w:ind w:right="101"/>
              <w:spacing w:after="0" w:line="165"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6.10</w:t>
            </w:r>
          </w:p>
        </w:tc>
        <w:tc>
          <w:tcPr>
            <w:tcW w:w="280" w:type="dxa"/>
            <w:vAlign w:val="bottom"/>
            <w:gridSpan w:val="2"/>
          </w:tcPr>
          <w:p>
            <w:pPr>
              <w:spacing w:after="0"/>
              <w:rPr>
                <w:sz w:val="14"/>
                <w:szCs w:val="14"/>
                <w:color w:val="auto"/>
              </w:rPr>
            </w:pPr>
          </w:p>
        </w:tc>
        <w:tc>
          <w:tcPr>
            <w:tcW w:w="200" w:type="dxa"/>
            <w:vAlign w:val="bottom"/>
            <w:tcBorders>
              <w:bottom w:val="single" w:sz="8" w:color="auto"/>
            </w:tcBorders>
          </w:tcPr>
          <w:p>
            <w:pPr>
              <w:jc w:val="right"/>
              <w:ind w:right="4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4.90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gridSpan w:val="3"/>
          </w:tcPr>
          <w:p>
            <w:pPr>
              <w:jc w:val="right"/>
              <w:ind w:right="420"/>
              <w:spacing w:after="0" w:line="165" w:lineRule="exact"/>
              <w:rPr>
                <w:sz w:val="20"/>
                <w:szCs w:val="20"/>
                <w:color w:val="auto"/>
              </w:rPr>
            </w:pPr>
            <w:r>
              <w:rPr>
                <w:rFonts w:ascii="Times New Roman" w:cs="Times New Roman" w:eastAsia="Times New Roman" w:hAnsi="Times New Roman"/>
                <w:sz w:val="16"/>
                <w:szCs w:val="16"/>
                <w:color w:val="auto"/>
                <w:w w:val="96"/>
              </w:rPr>
              <w:t>24.6 %</w:t>
            </w:r>
          </w:p>
        </w:tc>
        <w:tc>
          <w:tcPr>
            <w:tcW w:w="1180" w:type="dxa"/>
            <w:vAlign w:val="bottom"/>
            <w:gridSpan w:val="3"/>
          </w:tcPr>
          <w:p>
            <w:pPr>
              <w:jc w:val="right"/>
              <w:spacing w:after="0" w:line="165" w:lineRule="exact"/>
              <w:rPr>
                <w:sz w:val="20"/>
                <w:szCs w:val="20"/>
                <w:color w:val="auto"/>
              </w:rPr>
            </w:pPr>
            <w:r>
              <w:rPr>
                <w:rFonts w:ascii="Times New Roman" w:cs="Times New Roman" w:eastAsia="Times New Roman" w:hAnsi="Times New Roman"/>
                <w:sz w:val="16"/>
                <w:szCs w:val="16"/>
                <w:color w:val="auto"/>
              </w:rPr>
              <w:t>38.1 %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30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Weighted average shares - basic</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52.6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54.7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gridSpan w:val="3"/>
          </w:tcPr>
          <w:p>
            <w:pPr>
              <w:jc w:val="right"/>
              <w:ind w:right="420"/>
              <w:spacing w:after="0" w:line="165" w:lineRule="exact"/>
              <w:rPr>
                <w:sz w:val="20"/>
                <w:szCs w:val="20"/>
                <w:color w:val="auto"/>
              </w:rPr>
            </w:pPr>
            <w:r>
              <w:rPr>
                <w:rFonts w:ascii="Times New Roman" w:cs="Times New Roman" w:eastAsia="Times New Roman" w:hAnsi="Times New Roman"/>
                <w:sz w:val="16"/>
                <w:szCs w:val="16"/>
                <w:color w:val="auto"/>
              </w:rPr>
              <w:t>-3.7 %</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300" w:type="dxa"/>
            <w:vAlign w:val="bottom"/>
            <w:tcBorders>
              <w:bottom w:val="single" w:sz="8" w:color="CFF0FC"/>
            </w:tcBorders>
            <w:shd w:val="clear" w:color="auto" w:fill="CFF0FC"/>
          </w:tcPr>
          <w:p>
            <w:pPr>
              <w:spacing w:after="0" w:line="165" w:lineRule="exact"/>
              <w:rPr>
                <w:sz w:val="20"/>
                <w:szCs w:val="20"/>
                <w:color w:val="auto"/>
              </w:rPr>
            </w:pPr>
            <w:r>
              <w:rPr>
                <w:rFonts w:ascii="Times New Roman" w:cs="Times New Roman" w:eastAsia="Times New Roman" w:hAnsi="Times New Roman"/>
                <w:sz w:val="16"/>
                <w:szCs w:val="16"/>
                <w:color w:val="auto"/>
              </w:rPr>
              <w:t>Weighted average shares - diluted</w:t>
            </w: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53.3</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55.4</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gridSpan w:val="3"/>
            <w:shd w:val="clear" w:color="auto" w:fill="CFF0FC"/>
          </w:tcPr>
          <w:p>
            <w:pPr>
              <w:jc w:val="right"/>
              <w:ind w:right="420"/>
              <w:spacing w:after="0" w:line="165" w:lineRule="exact"/>
              <w:rPr>
                <w:sz w:val="20"/>
                <w:szCs w:val="20"/>
                <w:color w:val="auto"/>
              </w:rPr>
            </w:pPr>
            <w:r>
              <w:rPr>
                <w:rFonts w:ascii="Times New Roman" w:cs="Times New Roman" w:eastAsia="Times New Roman" w:hAnsi="Times New Roman"/>
                <w:sz w:val="16"/>
                <w:szCs w:val="16"/>
                <w:color w:val="auto"/>
              </w:rPr>
              <w:t>-3.8 %</w:t>
            </w:r>
          </w:p>
        </w:tc>
        <w:tc>
          <w:tcPr>
            <w:tcW w:w="10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-1704340</wp:posOffset>
            </wp:positionV>
            <wp:extent cx="7149465" cy="120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-1456055</wp:posOffset>
            </wp:positionV>
            <wp:extent cx="7149465"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-1208405</wp:posOffset>
            </wp:positionV>
            <wp:extent cx="7149465"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-960755</wp:posOffset>
            </wp:positionV>
            <wp:extent cx="7149465" cy="120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-713105</wp:posOffset>
            </wp:positionV>
            <wp:extent cx="7149465" cy="570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57086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-21590</wp:posOffset>
            </wp:positionV>
            <wp:extent cx="7493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-6985</wp:posOffset>
            </wp:positionV>
            <wp:extent cx="7493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5084445</wp:posOffset>
            </wp:positionH>
            <wp:positionV relativeFrom="paragraph">
              <wp:posOffset>-21590</wp:posOffset>
            </wp:positionV>
            <wp:extent cx="673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5084445</wp:posOffset>
            </wp:positionH>
            <wp:positionV relativeFrom="paragraph">
              <wp:posOffset>-6985</wp:posOffset>
            </wp:positionV>
            <wp:extent cx="673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jc w:val="both"/>
        <w:ind w:left="505" w:right="60" w:hanging="505"/>
        <w:spacing w:after="0" w:line="242" w:lineRule="auto"/>
        <w:tabs>
          <w:tab w:leader="none" w:pos="50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from services include fees received from our franchise offices of $11.9 million and $11.0 million for the nine months ended September 30, 2022 and 2021, respectively. These fees are primarily based on revenues generated by the franchise offices, which were $804.8 million and $755.9 million for the nine months ended September 30, 2022 and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294640</wp:posOffset>
            </wp:positionV>
            <wp:extent cx="717486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305"/>
          </w:cols>
          <w:pgMar w:left="315" w:top="336" w:right="279" w:bottom="1440" w:gutter="0" w:footer="0" w:header="0"/>
        </w:sectPr>
      </w:pPr>
    </w:p>
    <w:bookmarkStart w:id="9" w:name="page10"/>
    <w:bookmarkEnd w:id="9"/>
    <w:p>
      <w:pPr>
        <w:jc w:val="center"/>
        <w:ind w:right="34"/>
        <w:spacing w:after="0"/>
        <w:rPr>
          <w:sz w:val="20"/>
          <w:szCs w:val="20"/>
          <w:color w:val="auto"/>
        </w:rPr>
      </w:pPr>
      <w:r>
        <w:rPr>
          <w:rFonts w:ascii="Times New Roman" w:cs="Times New Roman" w:eastAsia="Times New Roman" w:hAnsi="Times New Roman"/>
          <w:sz w:val="16"/>
          <w:szCs w:val="16"/>
          <w:color w:val="auto"/>
        </w:rPr>
        <w:t>ManpowerGroup</w:t>
      </w:r>
    </w:p>
    <w:p>
      <w:pPr>
        <w:spacing w:after="0" w:line="29" w:lineRule="exact"/>
        <w:rPr>
          <w:sz w:val="20"/>
          <w:szCs w:val="20"/>
          <w:color w:val="auto"/>
        </w:rPr>
      </w:pPr>
    </w:p>
    <w:p>
      <w:pPr>
        <w:jc w:val="center"/>
        <w:ind w:right="34"/>
        <w:spacing w:after="0"/>
        <w:rPr>
          <w:sz w:val="20"/>
          <w:szCs w:val="20"/>
          <w:color w:val="auto"/>
        </w:rPr>
      </w:pPr>
      <w:r>
        <w:rPr>
          <w:rFonts w:ascii="Times New Roman" w:cs="Times New Roman" w:eastAsia="Times New Roman" w:hAnsi="Times New Roman"/>
          <w:sz w:val="16"/>
          <w:szCs w:val="16"/>
          <w:color w:val="auto"/>
        </w:rPr>
        <w:t>Operating Unit Results</w:t>
      </w:r>
    </w:p>
    <w:p>
      <w:pPr>
        <w:spacing w:after="0" w:line="29" w:lineRule="exact"/>
        <w:rPr>
          <w:sz w:val="20"/>
          <w:szCs w:val="20"/>
          <w:color w:val="auto"/>
        </w:rPr>
      </w:pPr>
    </w:p>
    <w:p>
      <w:pPr>
        <w:jc w:val="center"/>
        <w:ind w:right="34"/>
        <w:spacing w:after="0"/>
        <w:rPr>
          <w:sz w:val="20"/>
          <w:szCs w:val="20"/>
          <w:color w:val="auto"/>
        </w:rPr>
      </w:pPr>
      <w:r>
        <w:rPr>
          <w:rFonts w:ascii="Times New Roman" w:cs="Times New Roman" w:eastAsia="Times New Roman" w:hAnsi="Times New Roman"/>
          <w:sz w:val="16"/>
          <w:szCs w:val="16"/>
          <w:color w:val="auto"/>
        </w:rPr>
        <w:t>(In millions)</w:t>
      </w:r>
    </w:p>
    <w:p>
      <w:pPr>
        <w:spacing w:after="0" w:line="216" w:lineRule="exact"/>
        <w:rPr>
          <w:sz w:val="20"/>
          <w:szCs w:val="20"/>
          <w:color w:val="auto"/>
        </w:rPr>
      </w:pPr>
    </w:p>
    <w:tbl>
      <w:tblPr>
        <w:tblLayout w:type="fixed"/>
        <w:tblInd w:w="6" w:type="dxa"/>
        <w:tblCellMar>
          <w:top w:w="0" w:type="dxa"/>
          <w:left w:w="0" w:type="dxa"/>
          <w:bottom w:w="0" w:type="dxa"/>
          <w:right w:w="0" w:type="dxa"/>
        </w:tblCellMar>
      </w:tblPr>
      <w:tr>
        <w:trPr>
          <w:trHeight w:val="208"/>
        </w:trPr>
        <w:tc>
          <w:tcPr>
            <w:tcW w:w="5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7"/>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20"/>
              <w:spacing w:after="0" w:line="181" w:lineRule="exact"/>
              <w:rPr>
                <w:sz w:val="20"/>
                <w:szCs w:val="20"/>
                <w:color w:val="auto"/>
              </w:rPr>
            </w:pPr>
            <w:r>
              <w:rPr>
                <w:rFonts w:ascii="Times New Roman" w:cs="Times New Roman" w:eastAsia="Times New Roman" w:hAnsi="Times New Roman"/>
                <w:sz w:val="16"/>
                <w:szCs w:val="16"/>
                <w:b w:val="1"/>
                <w:bCs w:val="1"/>
                <w:color w:val="auto"/>
              </w:rPr>
              <w:t>% Variance</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3"/>
          </w:tcPr>
          <w:p>
            <w:pPr>
              <w:jc w:val="right"/>
              <w:ind w:right="920"/>
              <w:spacing w:after="0" w:line="162" w:lineRule="exact"/>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Constant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96"/>
              </w:rPr>
              <w:t>Reported</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color w:val="auto"/>
                <w:w w:val="74"/>
              </w:rPr>
              <w:t>(Unaudited)</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 from Services:</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Americas:</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United States (a)</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2,679.9</w:t>
            </w:r>
          </w:p>
        </w:tc>
        <w:tc>
          <w:tcPr>
            <w:tcW w:w="120" w:type="dxa"/>
            <w:vAlign w:val="bottom"/>
          </w:tcPr>
          <w:p>
            <w:pPr>
              <w:spacing w:after="0"/>
              <w:rPr>
                <w:sz w:val="16"/>
                <w:szCs w:val="16"/>
                <w:color w:val="auto"/>
              </w:rPr>
            </w:pPr>
          </w:p>
        </w:tc>
        <w:tc>
          <w:tcPr>
            <w:tcW w:w="34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42.4 %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42.4 %</w:t>
            </w:r>
          </w:p>
        </w:tc>
        <w:tc>
          <w:tcPr>
            <w:tcW w:w="0" w:type="dxa"/>
            <w:vAlign w:val="bottom"/>
          </w:tcPr>
          <w:p>
            <w:pPr>
              <w:spacing w:after="0"/>
              <w:rPr>
                <w:sz w:val="1"/>
                <w:szCs w:val="1"/>
                <w:color w:val="auto"/>
              </w:rPr>
            </w:pPr>
          </w:p>
        </w:tc>
      </w:tr>
      <w:tr>
        <w:trPr>
          <w:trHeight w:val="189"/>
        </w:trPr>
        <w:tc>
          <w:tcPr>
            <w:tcW w:w="53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Americas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-7.6 %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181"/>
        </w:trPr>
        <w:tc>
          <w:tcPr>
            <w:tcW w:w="53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Southern Europe:</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3,753.7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3,044.8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gridSpan w:val="3"/>
          </w:tcPr>
          <w:p>
            <w:pPr>
              <w:jc w:val="right"/>
              <w:ind w:right="420"/>
              <w:spacing w:after="0" w:line="181" w:lineRule="exact"/>
              <w:rPr>
                <w:sz w:val="20"/>
                <w:szCs w:val="20"/>
                <w:color w:val="auto"/>
              </w:rPr>
            </w:pPr>
            <w:r>
              <w:rPr>
                <w:rFonts w:ascii="Times New Roman" w:cs="Times New Roman" w:eastAsia="Times New Roman" w:hAnsi="Times New Roman"/>
                <w:sz w:val="16"/>
                <w:szCs w:val="16"/>
                <w:color w:val="auto"/>
              </w:rPr>
              <w:t>23.3 %</w:t>
            </w:r>
          </w:p>
        </w:tc>
        <w:tc>
          <w:tcPr>
            <w:tcW w:w="11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25.1 %</w:t>
            </w:r>
          </w:p>
        </w:tc>
        <w:tc>
          <w:tcPr>
            <w:tcW w:w="0" w:type="dxa"/>
            <w:vAlign w:val="bottom"/>
          </w:tcPr>
          <w:p>
            <w:pPr>
              <w:spacing w:after="0"/>
              <w:rPr>
                <w:sz w:val="1"/>
                <w:szCs w:val="1"/>
                <w:color w:val="auto"/>
              </w:rPr>
            </w:pPr>
          </w:p>
        </w:tc>
      </w:tr>
      <w:tr>
        <w:trPr>
          <w:trHeight w:val="181"/>
        </w:trPr>
        <w:tc>
          <w:tcPr>
            <w:tcW w:w="53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France</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-6.8 %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0" w:type="dxa"/>
            <w:vAlign w:val="bottom"/>
          </w:tcPr>
          <w:p>
            <w:pPr>
              <w:spacing w:after="0"/>
              <w:rPr>
                <w:sz w:val="1"/>
                <w:szCs w:val="1"/>
                <w:color w:val="auto"/>
              </w:rPr>
            </w:pPr>
          </w:p>
        </w:tc>
      </w:tr>
      <w:tr>
        <w:trPr>
          <w:trHeight w:val="189"/>
        </w:trPr>
        <w:tc>
          <w:tcPr>
            <w:tcW w:w="53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Italy</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-2.6 %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0" w:type="dxa"/>
            <w:vAlign w:val="bottom"/>
          </w:tcPr>
          <w:p>
            <w:pPr>
              <w:spacing w:after="0"/>
              <w:rPr>
                <w:sz w:val="1"/>
                <w:szCs w:val="1"/>
                <w:color w:val="auto"/>
              </w:rPr>
            </w:pPr>
          </w:p>
        </w:tc>
      </w:tr>
      <w:tr>
        <w:trPr>
          <w:trHeight w:val="189"/>
        </w:trPr>
        <w:tc>
          <w:tcPr>
            <w:tcW w:w="53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Southern Europe</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1,550.6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1,784.3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-13.1 %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181"/>
        </w:trPr>
        <w:tc>
          <w:tcPr>
            <w:tcW w:w="5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6,435.1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6,965.3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gridSpan w:val="3"/>
          </w:tcPr>
          <w:p>
            <w:pPr>
              <w:jc w:val="right"/>
              <w:ind w:right="420"/>
              <w:spacing w:after="0" w:line="181" w:lineRule="exact"/>
              <w:rPr>
                <w:sz w:val="20"/>
                <w:szCs w:val="20"/>
                <w:color w:val="auto"/>
              </w:rPr>
            </w:pPr>
            <w:r>
              <w:rPr>
                <w:rFonts w:ascii="Times New Roman" w:cs="Times New Roman" w:eastAsia="Times New Roman" w:hAnsi="Times New Roman"/>
                <w:sz w:val="16"/>
                <w:szCs w:val="16"/>
                <w:color w:val="auto"/>
              </w:rPr>
              <w:t>-7.6 %</w:t>
            </w:r>
          </w:p>
        </w:tc>
        <w:tc>
          <w:tcPr>
            <w:tcW w:w="11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181"/>
        </w:trPr>
        <w:tc>
          <w:tcPr>
            <w:tcW w:w="532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Northern Europe</w:t>
            </w:r>
          </w:p>
        </w:tc>
        <w:tc>
          <w:tcPr>
            <w:tcW w:w="26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3,075.7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3,490.9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gridSpan w:val="3"/>
          </w:tcPr>
          <w:p>
            <w:pPr>
              <w:jc w:val="right"/>
              <w:ind w:right="420"/>
              <w:spacing w:after="0" w:line="181" w:lineRule="exact"/>
              <w:rPr>
                <w:sz w:val="20"/>
                <w:szCs w:val="20"/>
                <w:color w:val="auto"/>
              </w:rPr>
            </w:pPr>
            <w:r>
              <w:rPr>
                <w:rFonts w:ascii="Times New Roman" w:cs="Times New Roman" w:eastAsia="Times New Roman" w:hAnsi="Times New Roman"/>
                <w:sz w:val="16"/>
                <w:szCs w:val="16"/>
                <w:color w:val="auto"/>
              </w:rPr>
              <w:t>-11.9 %</w:t>
            </w:r>
          </w:p>
        </w:tc>
        <w:tc>
          <w:tcPr>
            <w:tcW w:w="11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189"/>
        </w:trPr>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APME</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1,808.8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1,858.5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-2.7 %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0" w:type="dxa"/>
            <w:vAlign w:val="bottom"/>
          </w:tcPr>
          <w:p>
            <w:pPr>
              <w:spacing w:after="0"/>
              <w:rPr>
                <w:sz w:val="1"/>
                <w:szCs w:val="1"/>
                <w:color w:val="auto"/>
              </w:rPr>
            </w:pPr>
          </w:p>
        </w:tc>
      </w:tr>
      <w:tr>
        <w:trPr>
          <w:trHeight w:val="181"/>
        </w:trPr>
        <w:tc>
          <w:tcPr>
            <w:tcW w:w="53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15,073.3</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15,359.5</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32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Intercompany Eliminations</w:t>
            </w:r>
          </w:p>
        </w:tc>
        <w:tc>
          <w:tcPr>
            <w:tcW w:w="260" w:type="dxa"/>
            <w:vAlign w:val="bottom"/>
          </w:tcPr>
          <w:p>
            <w:pPr>
              <w:spacing w:after="0"/>
              <w:rPr>
                <w:sz w:val="15"/>
                <w:szCs w:val="15"/>
                <w:color w:val="auto"/>
              </w:rPr>
            </w:pPr>
          </w:p>
        </w:tc>
        <w:tc>
          <w:tcPr>
            <w:tcW w:w="108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(55.0 )</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(17.4 )</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3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Unit Profit:</w:t>
            </w:r>
          </w:p>
        </w:tc>
        <w:tc>
          <w:tcPr>
            <w:tcW w:w="2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15,018.3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15,342.1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gridSpan w:val="3"/>
          </w:tcPr>
          <w:p>
            <w:pPr>
              <w:jc w:val="right"/>
              <w:ind w:right="420"/>
              <w:spacing w:after="0" w:line="181" w:lineRule="exact"/>
              <w:rPr>
                <w:sz w:val="20"/>
                <w:szCs w:val="20"/>
                <w:color w:val="auto"/>
              </w:rPr>
            </w:pPr>
            <w:r>
              <w:rPr>
                <w:rFonts w:ascii="Times New Roman" w:cs="Times New Roman" w:eastAsia="Times New Roman" w:hAnsi="Times New Roman"/>
                <w:sz w:val="16"/>
                <w:szCs w:val="16"/>
                <w:color w:val="auto"/>
              </w:rPr>
              <w:t>-2.1 %</w:t>
            </w:r>
          </w:p>
        </w:tc>
        <w:tc>
          <w:tcPr>
            <w:tcW w:w="11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6.9 %</w:t>
            </w:r>
          </w:p>
        </w:tc>
        <w:tc>
          <w:tcPr>
            <w:tcW w:w="0" w:type="dxa"/>
            <w:vAlign w:val="bottom"/>
          </w:tcPr>
          <w:p>
            <w:pPr>
              <w:spacing w:after="0"/>
              <w:rPr>
                <w:sz w:val="1"/>
                <w:szCs w:val="1"/>
                <w:color w:val="auto"/>
              </w:rPr>
            </w:pPr>
          </w:p>
        </w:tc>
      </w:tr>
      <w:tr>
        <w:trPr>
          <w:trHeight w:val="20"/>
        </w:trPr>
        <w:tc>
          <w:tcPr>
            <w:tcW w:w="532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Americas:</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United States</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120" w:type="dxa"/>
            <w:vAlign w:val="bottom"/>
          </w:tcPr>
          <w:p>
            <w:pPr>
              <w:spacing w:after="0"/>
              <w:rPr>
                <w:sz w:val="16"/>
                <w:szCs w:val="16"/>
                <w:color w:val="auto"/>
              </w:rPr>
            </w:pPr>
          </w:p>
        </w:tc>
        <w:tc>
          <w:tcPr>
            <w:tcW w:w="34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86.2 %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86.2 %</w:t>
            </w:r>
          </w:p>
        </w:tc>
        <w:tc>
          <w:tcPr>
            <w:tcW w:w="0" w:type="dxa"/>
            <w:vAlign w:val="bottom"/>
          </w:tcPr>
          <w:p>
            <w:pPr>
              <w:spacing w:after="0"/>
              <w:rPr>
                <w:sz w:val="1"/>
                <w:szCs w:val="1"/>
                <w:color w:val="auto"/>
              </w:rPr>
            </w:pPr>
          </w:p>
        </w:tc>
      </w:tr>
      <w:tr>
        <w:trPr>
          <w:trHeight w:val="189"/>
        </w:trPr>
        <w:tc>
          <w:tcPr>
            <w:tcW w:w="53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Americas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3.6 %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0" w:type="dxa"/>
            <w:vAlign w:val="bottom"/>
          </w:tcPr>
          <w:p>
            <w:pPr>
              <w:spacing w:after="0"/>
              <w:rPr>
                <w:sz w:val="1"/>
                <w:szCs w:val="1"/>
                <w:color w:val="auto"/>
              </w:rPr>
            </w:pPr>
          </w:p>
        </w:tc>
      </w:tr>
      <w:tr>
        <w:trPr>
          <w:trHeight w:val="181"/>
        </w:trPr>
        <w:tc>
          <w:tcPr>
            <w:tcW w:w="5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224.8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140.9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gridSpan w:val="3"/>
          </w:tcPr>
          <w:p>
            <w:pPr>
              <w:jc w:val="right"/>
              <w:ind w:right="420"/>
              <w:spacing w:after="0" w:line="181" w:lineRule="exact"/>
              <w:rPr>
                <w:sz w:val="20"/>
                <w:szCs w:val="20"/>
                <w:color w:val="auto"/>
              </w:rPr>
            </w:pPr>
            <w:r>
              <w:rPr>
                <w:rFonts w:ascii="Times New Roman" w:cs="Times New Roman" w:eastAsia="Times New Roman" w:hAnsi="Times New Roman"/>
                <w:sz w:val="16"/>
                <w:szCs w:val="16"/>
                <w:color w:val="auto"/>
              </w:rPr>
              <w:t>59.6 %</w:t>
            </w:r>
          </w:p>
        </w:tc>
        <w:tc>
          <w:tcPr>
            <w:tcW w:w="11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61.7 %</w:t>
            </w:r>
          </w:p>
        </w:tc>
        <w:tc>
          <w:tcPr>
            <w:tcW w:w="0" w:type="dxa"/>
            <w:vAlign w:val="bottom"/>
          </w:tcPr>
          <w:p>
            <w:pPr>
              <w:spacing w:after="0"/>
              <w:rPr>
                <w:sz w:val="1"/>
                <w:szCs w:val="1"/>
                <w:color w:val="auto"/>
              </w:rPr>
            </w:pPr>
          </w:p>
        </w:tc>
      </w:tr>
      <w:tr>
        <w:trPr>
          <w:trHeight w:val="181"/>
        </w:trPr>
        <w:tc>
          <w:tcPr>
            <w:tcW w:w="5320" w:type="dxa"/>
            <w:vAlign w:val="bottom"/>
            <w:shd w:val="clear" w:color="auto" w:fill="CFF0FC"/>
          </w:tcPr>
          <w:p>
            <w:pPr>
              <w:ind w:left="160"/>
              <w:spacing w:after="0" w:line="181" w:lineRule="exact"/>
              <w:rPr>
                <w:sz w:val="20"/>
                <w:szCs w:val="20"/>
                <w:color w:val="auto"/>
              </w:rPr>
            </w:pPr>
            <w:r>
              <w:rPr>
                <w:rFonts w:ascii="Times New Roman" w:cs="Times New Roman" w:eastAsia="Times New Roman" w:hAnsi="Times New Roman"/>
                <w:sz w:val="16"/>
                <w:szCs w:val="16"/>
                <w:color w:val="auto"/>
              </w:rPr>
              <w:t>Southern Europe:</w:t>
            </w: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France</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-0.9 %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0" w:type="dxa"/>
            <w:vAlign w:val="bottom"/>
          </w:tcPr>
          <w:p>
            <w:pPr>
              <w:spacing w:after="0"/>
              <w:rPr>
                <w:sz w:val="1"/>
                <w:szCs w:val="1"/>
                <w:color w:val="auto"/>
              </w:rPr>
            </w:pPr>
          </w:p>
        </w:tc>
      </w:tr>
      <w:tr>
        <w:trPr>
          <w:trHeight w:val="189"/>
        </w:trPr>
        <w:tc>
          <w:tcPr>
            <w:tcW w:w="53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Italy</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14.2 %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28.8 %</w:t>
            </w:r>
          </w:p>
        </w:tc>
        <w:tc>
          <w:tcPr>
            <w:tcW w:w="0" w:type="dxa"/>
            <w:vAlign w:val="bottom"/>
          </w:tcPr>
          <w:p>
            <w:pPr>
              <w:spacing w:after="0"/>
              <w:rPr>
                <w:sz w:val="1"/>
                <w:szCs w:val="1"/>
                <w:color w:val="auto"/>
              </w:rPr>
            </w:pPr>
          </w:p>
        </w:tc>
      </w:tr>
      <w:tr>
        <w:trPr>
          <w:trHeight w:val="189"/>
        </w:trPr>
        <w:tc>
          <w:tcPr>
            <w:tcW w:w="53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Southern Europe</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-4.8 %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181"/>
        </w:trPr>
        <w:tc>
          <w:tcPr>
            <w:tcW w:w="5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307.2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299.4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gridSpan w:val="3"/>
          </w:tcPr>
          <w:p>
            <w:pPr>
              <w:jc w:val="right"/>
              <w:ind w:right="420"/>
              <w:spacing w:after="0" w:line="181" w:lineRule="exact"/>
              <w:rPr>
                <w:sz w:val="20"/>
                <w:szCs w:val="20"/>
                <w:color w:val="auto"/>
              </w:rPr>
            </w:pPr>
            <w:r>
              <w:rPr>
                <w:rFonts w:ascii="Times New Roman" w:cs="Times New Roman" w:eastAsia="Times New Roman" w:hAnsi="Times New Roman"/>
                <w:sz w:val="16"/>
                <w:szCs w:val="16"/>
                <w:color w:val="auto"/>
              </w:rPr>
              <w:t>2.6 %</w:t>
            </w:r>
          </w:p>
        </w:tc>
        <w:tc>
          <w:tcPr>
            <w:tcW w:w="11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14.9 %</w:t>
            </w:r>
          </w:p>
        </w:tc>
        <w:tc>
          <w:tcPr>
            <w:tcW w:w="0" w:type="dxa"/>
            <w:vAlign w:val="bottom"/>
          </w:tcPr>
          <w:p>
            <w:pPr>
              <w:spacing w:after="0"/>
              <w:rPr>
                <w:sz w:val="1"/>
                <w:szCs w:val="1"/>
                <w:color w:val="auto"/>
              </w:rPr>
            </w:pPr>
          </w:p>
        </w:tc>
      </w:tr>
      <w:tr>
        <w:trPr>
          <w:trHeight w:val="181"/>
        </w:trPr>
        <w:tc>
          <w:tcPr>
            <w:tcW w:w="532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Northern Europe</w:t>
            </w:r>
          </w:p>
        </w:tc>
        <w:tc>
          <w:tcPr>
            <w:tcW w:w="26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26.9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39.2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gridSpan w:val="3"/>
          </w:tcPr>
          <w:p>
            <w:pPr>
              <w:jc w:val="right"/>
              <w:ind w:right="420"/>
              <w:spacing w:after="0" w:line="181" w:lineRule="exact"/>
              <w:rPr>
                <w:sz w:val="20"/>
                <w:szCs w:val="20"/>
                <w:color w:val="auto"/>
              </w:rPr>
            </w:pPr>
            <w:r>
              <w:rPr>
                <w:rFonts w:ascii="Times New Roman" w:cs="Times New Roman" w:eastAsia="Times New Roman" w:hAnsi="Times New Roman"/>
                <w:sz w:val="16"/>
                <w:szCs w:val="16"/>
                <w:color w:val="auto"/>
              </w:rPr>
              <w:t>-31.5 %</w:t>
            </w:r>
          </w:p>
        </w:tc>
        <w:tc>
          <w:tcPr>
            <w:tcW w:w="11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-20.9 %</w:t>
            </w:r>
          </w:p>
        </w:tc>
        <w:tc>
          <w:tcPr>
            <w:tcW w:w="0" w:type="dxa"/>
            <w:vAlign w:val="bottom"/>
          </w:tcPr>
          <w:p>
            <w:pPr>
              <w:spacing w:after="0"/>
              <w:rPr>
                <w:sz w:val="1"/>
                <w:szCs w:val="1"/>
                <w:color w:val="auto"/>
              </w:rPr>
            </w:pPr>
          </w:p>
        </w:tc>
      </w:tr>
      <w:tr>
        <w:trPr>
          <w:trHeight w:val="189"/>
        </w:trPr>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APME</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1.8 %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16.8 %</w:t>
            </w:r>
          </w:p>
        </w:tc>
        <w:tc>
          <w:tcPr>
            <w:tcW w:w="0" w:type="dxa"/>
            <w:vAlign w:val="bottom"/>
          </w:tcPr>
          <w:p>
            <w:pPr>
              <w:spacing w:after="0"/>
              <w:rPr>
                <w:sz w:val="1"/>
                <w:szCs w:val="1"/>
                <w:color w:val="auto"/>
              </w:rPr>
            </w:pPr>
          </w:p>
        </w:tc>
      </w:tr>
      <w:tr>
        <w:trPr>
          <w:trHeight w:val="181"/>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623.8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543.2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expenses</w:t>
            </w:r>
          </w:p>
        </w:tc>
        <w:tc>
          <w:tcPr>
            <w:tcW w:w="2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(114.8 )</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(110.5 )</w:t>
            </w: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 amortization expense</w:t>
            </w:r>
          </w:p>
        </w:tc>
        <w:tc>
          <w:tcPr>
            <w:tcW w:w="26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(28.1 )</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320" w:type="dxa"/>
            <w:vAlign w:val="bottom"/>
          </w:tcPr>
          <w:p>
            <w:pPr>
              <w:ind w:left="240"/>
              <w:spacing w:after="0" w:line="181" w:lineRule="exact"/>
              <w:rPr>
                <w:sz w:val="20"/>
                <w:szCs w:val="20"/>
                <w:color w:val="auto"/>
              </w:rPr>
            </w:pPr>
            <w:r>
              <w:rPr>
                <w:rFonts w:ascii="Times New Roman" w:cs="Times New Roman" w:eastAsia="Times New Roman" w:hAnsi="Times New Roman"/>
                <w:sz w:val="16"/>
                <w:szCs w:val="16"/>
                <w:color w:val="auto"/>
              </w:rPr>
              <w:t>Operating profit</w:t>
            </w: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480.9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418.8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gridSpan w:val="3"/>
          </w:tcPr>
          <w:p>
            <w:pPr>
              <w:jc w:val="right"/>
              <w:ind w:right="420"/>
              <w:spacing w:after="0" w:line="181" w:lineRule="exact"/>
              <w:rPr>
                <w:sz w:val="20"/>
                <w:szCs w:val="20"/>
                <w:color w:val="auto"/>
              </w:rPr>
            </w:pPr>
            <w:r>
              <w:rPr>
                <w:rFonts w:ascii="Times New Roman" w:cs="Times New Roman" w:eastAsia="Times New Roman" w:hAnsi="Times New Roman"/>
                <w:sz w:val="16"/>
                <w:szCs w:val="16"/>
                <w:color w:val="auto"/>
              </w:rPr>
              <w:t>14.8 %</w:t>
            </w:r>
          </w:p>
        </w:tc>
        <w:tc>
          <w:tcPr>
            <w:tcW w:w="11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27.5 %</w:t>
            </w:r>
          </w:p>
        </w:tc>
        <w:tc>
          <w:tcPr>
            <w:tcW w:w="0" w:type="dxa"/>
            <w:vAlign w:val="bottom"/>
          </w:tcPr>
          <w:p>
            <w:pPr>
              <w:spacing w:after="0"/>
              <w:rPr>
                <w:sz w:val="1"/>
                <w:szCs w:val="1"/>
                <w:color w:val="auto"/>
              </w:rPr>
            </w:pPr>
          </w:p>
        </w:tc>
      </w:tr>
      <w:tr>
        <w:trPr>
          <w:trHeight w:val="189"/>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expenses, net (b)</w:t>
            </w:r>
          </w:p>
        </w:tc>
        <w:tc>
          <w:tcPr>
            <w:tcW w:w="26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(14.1 )</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(13.1 )</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320" w:type="dxa"/>
            <w:vAlign w:val="bottom"/>
            <w:tcBorders>
              <w:bottom w:val="single" w:sz="8" w:color="CFF0FC"/>
            </w:tcBorders>
            <w:shd w:val="clear" w:color="auto" w:fill="CFF0FC"/>
          </w:tcPr>
          <w:p>
            <w:pPr>
              <w:ind w:left="240"/>
              <w:spacing w:after="0" w:line="181" w:lineRule="exact"/>
              <w:rPr>
                <w:sz w:val="20"/>
                <w:szCs w:val="20"/>
                <w:color w:val="auto"/>
              </w:rPr>
            </w:pPr>
            <w:r>
              <w:rPr>
                <w:rFonts w:ascii="Times New Roman" w:cs="Times New Roman" w:eastAsia="Times New Roman" w:hAnsi="Times New Roman"/>
                <w:sz w:val="16"/>
                <w:szCs w:val="16"/>
                <w:color w:val="auto"/>
              </w:rPr>
              <w:t>Earnings before income taxes</w:t>
            </w:r>
          </w:p>
        </w:tc>
        <w:tc>
          <w:tcPr>
            <w:tcW w:w="260" w:type="dxa"/>
            <w:vAlign w:val="bottom"/>
            <w:tcBorders>
              <w:top w:val="single" w:sz="8" w:color="auto"/>
              <w:bottom w:val="single" w:sz="8" w:color="auto"/>
            </w:tcBorders>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466.8</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405.7</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-3874135</wp:posOffset>
            </wp:positionV>
            <wp:extent cx="7149465" cy="120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-3626485</wp:posOffset>
            </wp:positionV>
            <wp:extent cx="7149465" cy="3676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3676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-3138170</wp:posOffset>
            </wp:positionV>
            <wp:extent cx="7149465" cy="3752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3752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-2515235</wp:posOffset>
            </wp:positionV>
            <wp:extent cx="7149465" cy="398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398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-1877060</wp:posOffset>
            </wp:positionV>
            <wp:extent cx="7149465" cy="2552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52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-1381125</wp:posOffset>
            </wp:positionV>
            <wp:extent cx="7149465"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-1133475</wp:posOffset>
            </wp:positionV>
            <wp:extent cx="7149465" cy="4959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4959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-389890</wp:posOffset>
            </wp:positionV>
            <wp:extent cx="7149465"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-21590</wp:posOffset>
            </wp:positionV>
            <wp:extent cx="7493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-6985</wp:posOffset>
            </wp:positionV>
            <wp:extent cx="7493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-21590</wp:posOffset>
            </wp:positionV>
            <wp:extent cx="7493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-6985</wp:posOffset>
            </wp:positionV>
            <wp:extent cx="7493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ind w:left="506" w:right="60" w:hanging="506"/>
        <w:spacing w:after="0" w:line="236" w:lineRule="auto"/>
        <w:tabs>
          <w:tab w:leader="none" w:pos="36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United States, revenues from services include fees received from our franchise offices of $9.7 million and $9.4 million for the nine months ended September 30, 2022 and 2021, respectively. These fees are primarily based on revenues generated by the franchise offices, which were $360.8 million and $353.4 million for the nine months ended September 30, 2022 and 2021, respectively.</w:t>
      </w:r>
    </w:p>
    <w:p>
      <w:pPr>
        <w:spacing w:after="0" w:line="43" w:lineRule="exact"/>
        <w:rPr>
          <w:rFonts w:ascii="Times New Roman" w:cs="Times New Roman" w:eastAsia="Times New Roman" w:hAnsi="Times New Roman"/>
          <w:sz w:val="16"/>
          <w:szCs w:val="16"/>
          <w:color w:val="auto"/>
        </w:rPr>
      </w:pPr>
    </w:p>
    <w:p>
      <w:pPr>
        <w:ind w:left="386" w:hanging="386"/>
        <w:spacing w:after="0"/>
        <w:tabs>
          <w:tab w:leader="none" w:pos="38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components of interest and other expenses, net were:</w:t>
      </w:r>
    </w:p>
    <w:p>
      <w:pPr>
        <w:spacing w:after="0" w:line="11"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12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6"/>
                <w:szCs w:val="16"/>
                <w:color w:val="auto"/>
              </w:rPr>
            </w:pPr>
          </w:p>
        </w:tc>
      </w:tr>
      <w:tr>
        <w:trPr>
          <w:trHeight w:val="181"/>
        </w:trPr>
        <w:tc>
          <w:tcPr>
            <w:tcW w:w="7320" w:type="dxa"/>
            <w:vAlign w:val="bottom"/>
            <w:shd w:val="clear" w:color="auto" w:fill="CFF0FC"/>
          </w:tcPr>
          <w:p>
            <w:pPr>
              <w:ind w:left="320"/>
              <w:spacing w:after="0" w:line="181" w:lineRule="exact"/>
              <w:rPr>
                <w:sz w:val="20"/>
                <w:szCs w:val="20"/>
                <w:color w:val="auto"/>
              </w:rPr>
            </w:pPr>
            <w:r>
              <w:rPr>
                <w:rFonts w:ascii="Times New Roman" w:cs="Times New Roman" w:eastAsia="Times New Roman" w:hAnsi="Times New Roman"/>
                <w:sz w:val="16"/>
                <w:szCs w:val="16"/>
                <w:color w:val="auto"/>
              </w:rPr>
              <w:t>Interest expense</w:t>
            </w:r>
          </w:p>
        </w:tc>
        <w:tc>
          <w:tcPr>
            <w:tcW w:w="1240" w:type="dxa"/>
            <w:vAlign w:val="bottom"/>
            <w:shd w:val="clear" w:color="auto" w:fill="CFF0FC"/>
          </w:tcPr>
          <w:p>
            <w:pPr>
              <w:jc w:val="right"/>
              <w:ind w:right="10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31.7</w:t>
            </w: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4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29.5</w:t>
            </w:r>
          </w:p>
        </w:tc>
        <w:tc>
          <w:tcPr>
            <w:tcW w:w="120" w:type="dxa"/>
            <w:vAlign w:val="bottom"/>
            <w:shd w:val="clear" w:color="auto" w:fill="CFF0FC"/>
          </w:tcPr>
          <w:p>
            <w:pPr>
              <w:spacing w:after="0"/>
              <w:rPr>
                <w:sz w:val="15"/>
                <w:szCs w:val="15"/>
                <w:color w:val="auto"/>
              </w:rPr>
            </w:pPr>
          </w:p>
        </w:tc>
      </w:tr>
      <w:tr>
        <w:trPr>
          <w:trHeight w:val="189"/>
        </w:trPr>
        <w:tc>
          <w:tcPr>
            <w:tcW w:w="73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124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(10.0 )</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(9.1 )</w:t>
            </w:r>
          </w:p>
        </w:tc>
      </w:tr>
      <w:tr>
        <w:trPr>
          <w:trHeight w:val="189"/>
        </w:trPr>
        <w:tc>
          <w:tcPr>
            <w:tcW w:w="73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Foreign exchange loss</w:t>
            </w:r>
          </w:p>
        </w:tc>
        <w:tc>
          <w:tcPr>
            <w:tcW w:w="12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FF0FC"/>
          </w:tcPr>
          <w:p>
            <w:pPr>
              <w:spacing w:after="0"/>
              <w:rPr>
                <w:sz w:val="16"/>
                <w:szCs w:val="16"/>
                <w:color w:val="auto"/>
              </w:rPr>
            </w:pPr>
          </w:p>
        </w:tc>
      </w:tr>
      <w:tr>
        <w:trPr>
          <w:trHeight w:val="189"/>
        </w:trPr>
        <w:tc>
          <w:tcPr>
            <w:tcW w:w="73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Miscellaneous income</w:t>
            </w:r>
          </w:p>
        </w:tc>
        <w:tc>
          <w:tcPr>
            <w:tcW w:w="124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(16.5 )</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(11.8 )</w:t>
            </w:r>
          </w:p>
        </w:tc>
      </w:tr>
      <w:tr>
        <w:trPr>
          <w:trHeight w:val="221"/>
        </w:trPr>
        <w:tc>
          <w:tcPr>
            <w:tcW w:w="73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10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14.1</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13.1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476"/>
        </w:trPr>
        <w:tc>
          <w:tcPr>
            <w:tcW w:w="7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-352425</wp:posOffset>
            </wp:positionV>
            <wp:extent cx="7493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5775325</wp:posOffset>
            </wp:positionH>
            <wp:positionV relativeFrom="paragraph">
              <wp:posOffset>-337185</wp:posOffset>
            </wp:positionV>
            <wp:extent cx="7493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-352425</wp:posOffset>
            </wp:positionV>
            <wp:extent cx="6731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-337185</wp:posOffset>
            </wp:positionV>
            <wp:extent cx="6731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306"/>
          </w:cols>
          <w:pgMar w:left="314" w:top="336" w:right="27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6"/>
          <w:szCs w:val="16"/>
          <w:color w:val="auto"/>
        </w:rPr>
        <w:t>ManpowerGroup</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Consolidated Balance Sheets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8"/>
        </w:trPr>
        <w:tc>
          <w:tcPr>
            <w:tcW w:w="7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r>
      <w:tr>
        <w:trPr>
          <w:trHeight w:val="181"/>
        </w:trPr>
        <w:tc>
          <w:tcPr>
            <w:tcW w:w="7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gridSpan w:val="4"/>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(Unaudited)</w:t>
            </w: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7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527.5</w:t>
            </w:r>
          </w:p>
        </w:tc>
        <w:tc>
          <w:tcPr>
            <w:tcW w:w="120" w:type="dxa"/>
            <w:vAlign w:val="bottom"/>
            <w:shd w:val="clear" w:color="auto" w:fill="CFF0FC"/>
          </w:tcPr>
          <w:p>
            <w:pPr>
              <w:spacing w:after="0"/>
              <w:rPr>
                <w:sz w:val="16"/>
                <w:szCs w:val="16"/>
                <w:color w:val="auto"/>
              </w:rPr>
            </w:pPr>
          </w:p>
        </w:tc>
        <w:tc>
          <w:tcPr>
            <w:tcW w:w="52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847.8</w:t>
            </w:r>
          </w:p>
        </w:tc>
        <w:tc>
          <w:tcPr>
            <w:tcW w:w="120" w:type="dxa"/>
            <w:vAlign w:val="bottom"/>
            <w:shd w:val="clear" w:color="auto" w:fill="CFF0FC"/>
          </w:tcPr>
          <w:p>
            <w:pPr>
              <w:spacing w:after="0"/>
              <w:rPr>
                <w:sz w:val="16"/>
                <w:szCs w:val="16"/>
                <w:color w:val="auto"/>
              </w:rPr>
            </w:pPr>
          </w:p>
        </w:tc>
      </w:tr>
      <w:tr>
        <w:trPr>
          <w:trHeight w:val="189"/>
        </w:trPr>
        <w:tc>
          <w:tcPr>
            <w:tcW w:w="7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4,720.3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5,448.2</w:t>
            </w:r>
          </w:p>
        </w:tc>
        <w:tc>
          <w:tcPr>
            <w:tcW w:w="120" w:type="dxa"/>
            <w:vAlign w:val="bottom"/>
          </w:tcPr>
          <w:p>
            <w:pPr>
              <w:spacing w:after="0"/>
              <w:rPr>
                <w:sz w:val="16"/>
                <w:szCs w:val="16"/>
                <w:color w:val="auto"/>
              </w:rPr>
            </w:pPr>
          </w:p>
        </w:tc>
      </w:tr>
      <w:tr>
        <w:trPr>
          <w:trHeight w:val="189"/>
        </w:trPr>
        <w:tc>
          <w:tcPr>
            <w:tcW w:w="72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60" w:type="dxa"/>
            <w:vAlign w:val="bottom"/>
            <w:tcBorders>
              <w:bottom w:val="single" w:sz="8" w:color="auto"/>
            </w:tcBorders>
            <w:shd w:val="clear" w:color="auto" w:fill="CFF0FC"/>
          </w:tcPr>
          <w:p>
            <w:pPr>
              <w:spacing w:after="0"/>
              <w:rPr>
                <w:sz w:val="16"/>
                <w:szCs w:val="16"/>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7260" w:type="dxa"/>
            <w:vAlign w:val="bottom"/>
          </w:tcPr>
          <w:p>
            <w:pPr>
              <w:ind w:left="400"/>
              <w:spacing w:after="0" w:line="181" w:lineRule="exact"/>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Pr>
          <w:p>
            <w:pPr>
              <w:spacing w:after="0"/>
              <w:rPr>
                <w:sz w:val="15"/>
                <w:szCs w:val="15"/>
                <w:color w:val="auto"/>
              </w:rPr>
            </w:pPr>
          </w:p>
        </w:tc>
        <w:tc>
          <w:tcPr>
            <w:tcW w:w="15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5,421.8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6,422.7</w:t>
            </w:r>
          </w:p>
        </w:tc>
        <w:tc>
          <w:tcPr>
            <w:tcW w:w="120" w:type="dxa"/>
            <w:vAlign w:val="bottom"/>
          </w:tcPr>
          <w:p>
            <w:pPr>
              <w:spacing w:after="0"/>
              <w:rPr>
                <w:sz w:val="15"/>
                <w:szCs w:val="15"/>
                <w:color w:val="auto"/>
              </w:rPr>
            </w:pPr>
          </w:p>
        </w:tc>
      </w:tr>
      <w:tr>
        <w:trPr>
          <w:trHeight w:val="189"/>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6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7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1,722.2</w:t>
            </w:r>
          </w:p>
        </w:tc>
        <w:tc>
          <w:tcPr>
            <w:tcW w:w="120" w:type="dxa"/>
            <w:vAlign w:val="bottom"/>
          </w:tcPr>
          <w:p>
            <w:pPr>
              <w:spacing w:after="0"/>
              <w:rPr>
                <w:sz w:val="16"/>
                <w:szCs w:val="16"/>
                <w:color w:val="auto"/>
              </w:rPr>
            </w:pPr>
          </w:p>
        </w:tc>
      </w:tr>
      <w:tr>
        <w:trPr>
          <w:trHeight w:val="189"/>
        </w:trPr>
        <w:tc>
          <w:tcPr>
            <w:tcW w:w="7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553.9</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583.6</w:t>
            </w:r>
          </w:p>
        </w:tc>
        <w:tc>
          <w:tcPr>
            <w:tcW w:w="120" w:type="dxa"/>
            <w:vAlign w:val="bottom"/>
            <w:shd w:val="clear" w:color="auto" w:fill="CFF0FC"/>
          </w:tcPr>
          <w:p>
            <w:pPr>
              <w:spacing w:after="0"/>
              <w:rPr>
                <w:sz w:val="16"/>
                <w:szCs w:val="16"/>
                <w:color w:val="auto"/>
              </w:rPr>
            </w:pPr>
          </w:p>
        </w:tc>
      </w:tr>
      <w:tr>
        <w:trPr>
          <w:trHeight w:val="189"/>
        </w:trPr>
        <w:tc>
          <w:tcPr>
            <w:tcW w:w="7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373.4</w:t>
            </w:r>
          </w:p>
        </w:tc>
        <w:tc>
          <w:tcPr>
            <w:tcW w:w="120" w:type="dxa"/>
            <w:vAlign w:val="bottom"/>
          </w:tcPr>
          <w:p>
            <w:pPr>
              <w:spacing w:after="0"/>
              <w:rPr>
                <w:sz w:val="16"/>
                <w:szCs w:val="16"/>
                <w:color w:val="auto"/>
              </w:rPr>
            </w:pPr>
          </w:p>
        </w:tc>
      </w:tr>
      <w:tr>
        <w:trPr>
          <w:trHeight w:val="189"/>
        </w:trPr>
        <w:tc>
          <w:tcPr>
            <w:tcW w:w="72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shd w:val="clear" w:color="auto" w:fill="CFF0FC"/>
          </w:tcPr>
          <w:p>
            <w:pPr>
              <w:spacing w:after="0"/>
              <w:rPr>
                <w:sz w:val="16"/>
                <w:szCs w:val="16"/>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529.7</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610.2</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7260" w:type="dxa"/>
            <w:vAlign w:val="bottom"/>
          </w:tcPr>
          <w:p>
            <w:pPr>
              <w:ind w:left="400"/>
              <w:spacing w:after="0" w:line="181" w:lineRule="exact"/>
              <w:rPr>
                <w:sz w:val="20"/>
                <w:szCs w:val="20"/>
                <w:color w:val="auto"/>
              </w:rPr>
            </w:pPr>
            <w:r>
              <w:rPr>
                <w:rFonts w:ascii="Times New Roman" w:cs="Times New Roman" w:eastAsia="Times New Roman" w:hAnsi="Times New Roman"/>
                <w:sz w:val="16"/>
                <w:szCs w:val="16"/>
                <w:color w:val="auto"/>
              </w:rPr>
              <w:t>Total other assets</w:t>
            </w:r>
          </w:p>
        </w:tc>
        <w:tc>
          <w:tcPr>
            <w:tcW w:w="260" w:type="dxa"/>
            <w:vAlign w:val="bottom"/>
          </w:tcPr>
          <w:p>
            <w:pPr>
              <w:spacing w:after="0"/>
              <w:rPr>
                <w:sz w:val="15"/>
                <w:szCs w:val="15"/>
                <w:color w:val="auto"/>
              </w:rPr>
            </w:pPr>
          </w:p>
        </w:tc>
        <w:tc>
          <w:tcPr>
            <w:tcW w:w="15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3,030.7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3,289.4</w:t>
            </w:r>
          </w:p>
        </w:tc>
        <w:tc>
          <w:tcPr>
            <w:tcW w:w="120" w:type="dxa"/>
            <w:vAlign w:val="bottom"/>
          </w:tcPr>
          <w:p>
            <w:pPr>
              <w:spacing w:after="0"/>
              <w:rPr>
                <w:sz w:val="15"/>
                <w:szCs w:val="15"/>
                <w:color w:val="auto"/>
              </w:rPr>
            </w:pPr>
          </w:p>
        </w:tc>
      </w:tr>
      <w:tr>
        <w:trPr>
          <w:trHeight w:val="189"/>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p>
        </w:tc>
        <w:tc>
          <w:tcPr>
            <w:tcW w:w="26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7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Land, buildings, leasehold improvements and equipment</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594.9</w:t>
            </w:r>
          </w:p>
        </w:tc>
        <w:tc>
          <w:tcPr>
            <w:tcW w:w="120" w:type="dxa"/>
            <w:vAlign w:val="bottom"/>
          </w:tcPr>
          <w:p>
            <w:pPr>
              <w:spacing w:after="0"/>
              <w:rPr>
                <w:sz w:val="16"/>
                <w:szCs w:val="16"/>
                <w:color w:val="auto"/>
              </w:rPr>
            </w:pPr>
          </w:p>
        </w:tc>
      </w:tr>
      <w:tr>
        <w:trPr>
          <w:trHeight w:val="189"/>
        </w:trPr>
        <w:tc>
          <w:tcPr>
            <w:tcW w:w="72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60" w:type="dxa"/>
            <w:vAlign w:val="bottom"/>
            <w:tcBorders>
              <w:bottom w:val="single" w:sz="8" w:color="auto"/>
            </w:tcBorders>
            <w:shd w:val="clear" w:color="auto" w:fill="CFF0FC"/>
          </w:tcPr>
          <w:p>
            <w:pPr>
              <w:spacing w:after="0"/>
              <w:rPr>
                <w:sz w:val="16"/>
                <w:szCs w:val="16"/>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432.9</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478.1</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7260" w:type="dxa"/>
            <w:vAlign w:val="bottom"/>
          </w:tcPr>
          <w:p>
            <w:pPr>
              <w:ind w:left="400"/>
              <w:spacing w:after="0" w:line="181" w:lineRule="exact"/>
              <w:rPr>
                <w:sz w:val="20"/>
                <w:szCs w:val="20"/>
                <w:color w:val="auto"/>
              </w:rPr>
            </w:pPr>
            <w:r>
              <w:rPr>
                <w:rFonts w:ascii="Times New Roman" w:cs="Times New Roman" w:eastAsia="Times New Roman" w:hAnsi="Times New Roman"/>
                <w:sz w:val="16"/>
                <w:szCs w:val="16"/>
                <w:color w:val="auto"/>
              </w:rPr>
              <w:t>Net property and equipment</w:t>
            </w: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104.4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116.8</w:t>
            </w:r>
          </w:p>
        </w:tc>
        <w:tc>
          <w:tcPr>
            <w:tcW w:w="120" w:type="dxa"/>
            <w:vAlign w:val="bottom"/>
          </w:tcPr>
          <w:p>
            <w:pPr>
              <w:spacing w:after="0"/>
              <w:rPr>
                <w:sz w:val="15"/>
                <w:szCs w:val="15"/>
                <w:color w:val="auto"/>
              </w:rPr>
            </w:pPr>
          </w:p>
        </w:tc>
      </w:tr>
      <w:tr>
        <w:trPr>
          <w:trHeight w:val="221"/>
        </w:trPr>
        <w:tc>
          <w:tcPr>
            <w:tcW w:w="7260" w:type="dxa"/>
            <w:vAlign w:val="bottom"/>
            <w:tcBorders>
              <w:bottom w:val="single" w:sz="8" w:color="CFF0FC"/>
            </w:tcBorders>
            <w:shd w:val="clear" w:color="auto" w:fill="CFF0FC"/>
          </w:tcPr>
          <w:p>
            <w:pPr>
              <w:ind w:left="840"/>
              <w:spacing w:after="0" w:line="181" w:lineRule="exact"/>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8,556.9</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9,828.9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165"/>
        </w:trPr>
        <w:tc>
          <w:tcPr>
            <w:tcW w:w="726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9"/>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6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7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2,584.4</w:t>
            </w:r>
          </w:p>
        </w:tc>
        <w:tc>
          <w:tcPr>
            <w:tcW w:w="120" w:type="dxa"/>
            <w:vAlign w:val="bottom"/>
          </w:tcPr>
          <w:p>
            <w:pPr>
              <w:spacing w:after="0"/>
              <w:rPr>
                <w:sz w:val="16"/>
                <w:szCs w:val="16"/>
                <w:color w:val="auto"/>
              </w:rPr>
            </w:pPr>
          </w:p>
        </w:tc>
        <w:tc>
          <w:tcPr>
            <w:tcW w:w="5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3,039.2</w:t>
            </w:r>
          </w:p>
        </w:tc>
        <w:tc>
          <w:tcPr>
            <w:tcW w:w="120" w:type="dxa"/>
            <w:vAlign w:val="bottom"/>
          </w:tcPr>
          <w:p>
            <w:pPr>
              <w:spacing w:after="0"/>
              <w:rPr>
                <w:sz w:val="16"/>
                <w:szCs w:val="16"/>
                <w:color w:val="auto"/>
              </w:rPr>
            </w:pPr>
          </w:p>
        </w:tc>
      </w:tr>
      <w:tr>
        <w:trPr>
          <w:trHeight w:val="189"/>
        </w:trPr>
        <w:tc>
          <w:tcPr>
            <w:tcW w:w="7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Employee compensation payable</w:t>
            </w:r>
          </w:p>
        </w:tc>
        <w:tc>
          <w:tcPr>
            <w:tcW w:w="26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236.7</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120" w:type="dxa"/>
            <w:vAlign w:val="bottom"/>
            <w:shd w:val="clear" w:color="auto" w:fill="CFF0FC"/>
          </w:tcPr>
          <w:p>
            <w:pPr>
              <w:spacing w:after="0"/>
              <w:rPr>
                <w:sz w:val="16"/>
                <w:szCs w:val="16"/>
                <w:color w:val="auto"/>
              </w:rPr>
            </w:pPr>
          </w:p>
        </w:tc>
      </w:tr>
      <w:tr>
        <w:trPr>
          <w:trHeight w:val="189"/>
        </w:trPr>
        <w:tc>
          <w:tcPr>
            <w:tcW w:w="7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584.7</w:t>
            </w:r>
          </w:p>
        </w:tc>
        <w:tc>
          <w:tcPr>
            <w:tcW w:w="120" w:type="dxa"/>
            <w:vAlign w:val="bottom"/>
          </w:tcPr>
          <w:p>
            <w:pPr>
              <w:spacing w:after="0"/>
              <w:rPr>
                <w:sz w:val="16"/>
                <w:szCs w:val="16"/>
                <w:color w:val="auto"/>
              </w:rPr>
            </w:pPr>
          </w:p>
        </w:tc>
      </w:tr>
      <w:tr>
        <w:trPr>
          <w:trHeight w:val="189"/>
        </w:trPr>
        <w:tc>
          <w:tcPr>
            <w:tcW w:w="7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Accrued payroll taxes and insurance</w:t>
            </w:r>
          </w:p>
        </w:tc>
        <w:tc>
          <w:tcPr>
            <w:tcW w:w="26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663.2</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789.1</w:t>
            </w:r>
          </w:p>
        </w:tc>
        <w:tc>
          <w:tcPr>
            <w:tcW w:w="120" w:type="dxa"/>
            <w:vAlign w:val="bottom"/>
            <w:shd w:val="clear" w:color="auto" w:fill="CFF0FC"/>
          </w:tcPr>
          <w:p>
            <w:pPr>
              <w:spacing w:after="0"/>
              <w:rPr>
                <w:sz w:val="16"/>
                <w:szCs w:val="16"/>
                <w:color w:val="auto"/>
              </w:rPr>
            </w:pPr>
          </w:p>
        </w:tc>
      </w:tr>
      <w:tr>
        <w:trPr>
          <w:trHeight w:val="189"/>
        </w:trPr>
        <w:tc>
          <w:tcPr>
            <w:tcW w:w="7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Value added taxes payable</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515.5</w:t>
            </w:r>
          </w:p>
        </w:tc>
        <w:tc>
          <w:tcPr>
            <w:tcW w:w="120" w:type="dxa"/>
            <w:vAlign w:val="bottom"/>
          </w:tcPr>
          <w:p>
            <w:pPr>
              <w:spacing w:after="0"/>
              <w:rPr>
                <w:sz w:val="16"/>
                <w:szCs w:val="16"/>
                <w:color w:val="auto"/>
              </w:rPr>
            </w:pPr>
          </w:p>
        </w:tc>
      </w:tr>
      <w:tr>
        <w:trPr>
          <w:trHeight w:val="189"/>
        </w:trPr>
        <w:tc>
          <w:tcPr>
            <w:tcW w:w="72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Short-term borrowings and current maturities of long-term debt</w:t>
            </w:r>
          </w:p>
        </w:tc>
        <w:tc>
          <w:tcPr>
            <w:tcW w:w="260" w:type="dxa"/>
            <w:vAlign w:val="bottom"/>
            <w:tcBorders>
              <w:bottom w:val="single" w:sz="8" w:color="auto"/>
            </w:tcBorders>
            <w:shd w:val="clear" w:color="auto" w:fill="CFF0FC"/>
          </w:tcPr>
          <w:p>
            <w:pPr>
              <w:spacing w:after="0"/>
              <w:rPr>
                <w:sz w:val="16"/>
                <w:szCs w:val="16"/>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552.6</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7260" w:type="dxa"/>
            <w:vAlign w:val="bottom"/>
          </w:tcPr>
          <w:p>
            <w:pPr>
              <w:ind w:left="560"/>
              <w:spacing w:after="0" w:line="181" w:lineRule="exact"/>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5"/>
                <w:szCs w:val="15"/>
                <w:color w:val="auto"/>
              </w:rPr>
            </w:pPr>
          </w:p>
        </w:tc>
        <w:tc>
          <w:tcPr>
            <w:tcW w:w="15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4,450.0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5,780.5</w:t>
            </w:r>
          </w:p>
        </w:tc>
        <w:tc>
          <w:tcPr>
            <w:tcW w:w="120" w:type="dxa"/>
            <w:vAlign w:val="bottom"/>
          </w:tcPr>
          <w:p>
            <w:pPr>
              <w:spacing w:after="0"/>
              <w:rPr>
                <w:sz w:val="15"/>
                <w:szCs w:val="15"/>
                <w:color w:val="auto"/>
              </w:rPr>
            </w:pPr>
          </w:p>
        </w:tc>
      </w:tr>
      <w:tr>
        <w:trPr>
          <w:trHeight w:val="189"/>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26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7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565.7</w:t>
            </w:r>
          </w:p>
        </w:tc>
        <w:tc>
          <w:tcPr>
            <w:tcW w:w="120" w:type="dxa"/>
            <w:vAlign w:val="bottom"/>
          </w:tcPr>
          <w:p>
            <w:pPr>
              <w:spacing w:after="0"/>
              <w:rPr>
                <w:sz w:val="16"/>
                <w:szCs w:val="16"/>
                <w:color w:val="auto"/>
              </w:rPr>
            </w:pPr>
          </w:p>
        </w:tc>
      </w:tr>
      <w:tr>
        <w:trPr>
          <w:trHeight w:val="189"/>
        </w:trPr>
        <w:tc>
          <w:tcPr>
            <w:tcW w:w="7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Long-term operating lease liability</w:t>
            </w:r>
          </w:p>
        </w:tc>
        <w:tc>
          <w:tcPr>
            <w:tcW w:w="26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275.8</w:t>
            </w:r>
          </w:p>
        </w:tc>
        <w:tc>
          <w:tcPr>
            <w:tcW w:w="120" w:type="dxa"/>
            <w:vAlign w:val="bottom"/>
            <w:shd w:val="clear" w:color="auto" w:fill="CFF0FC"/>
          </w:tcPr>
          <w:p>
            <w:pPr>
              <w:spacing w:after="0"/>
              <w:rPr>
                <w:sz w:val="16"/>
                <w:szCs w:val="16"/>
                <w:color w:val="auto"/>
              </w:rPr>
            </w:pPr>
          </w:p>
        </w:tc>
      </w:tr>
      <w:tr>
        <w:trPr>
          <w:trHeight w:val="189"/>
        </w:trPr>
        <w:tc>
          <w:tcPr>
            <w:tcW w:w="7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675.2</w:t>
            </w:r>
          </w:p>
        </w:tc>
        <w:tc>
          <w:tcPr>
            <w:tcW w:w="120" w:type="dxa"/>
            <w:vAlign w:val="bottom"/>
          </w:tcPr>
          <w:p>
            <w:pPr>
              <w:spacing w:after="0"/>
              <w:rPr>
                <w:sz w:val="16"/>
                <w:szCs w:val="16"/>
                <w:color w:val="auto"/>
              </w:rPr>
            </w:pPr>
          </w:p>
        </w:tc>
      </w:tr>
      <w:tr>
        <w:trPr>
          <w:trHeight w:val="181"/>
        </w:trPr>
        <w:tc>
          <w:tcPr>
            <w:tcW w:w="7260" w:type="dxa"/>
            <w:vAlign w:val="bottom"/>
            <w:shd w:val="clear" w:color="auto" w:fill="CFF0FC"/>
          </w:tcPr>
          <w:p>
            <w:pPr>
              <w:ind w:left="560"/>
              <w:spacing w:after="0" w:line="181" w:lineRule="exact"/>
              <w:rPr>
                <w:sz w:val="20"/>
                <w:szCs w:val="20"/>
                <w:color w:val="auto"/>
              </w:rPr>
            </w:pPr>
            <w:r>
              <w:rPr>
                <w:rFonts w:ascii="Times New Roman" w:cs="Times New Roman" w:eastAsia="Times New Roman" w:hAnsi="Times New Roman"/>
                <w:sz w:val="16"/>
                <w:szCs w:val="16"/>
                <w:color w:val="auto"/>
              </w:rPr>
              <w:t>Total other liabilities</w:t>
            </w:r>
          </w:p>
        </w:tc>
        <w:tc>
          <w:tcPr>
            <w:tcW w:w="26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1,690.3</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1,516.7</w:t>
            </w:r>
          </w:p>
        </w:tc>
        <w:tc>
          <w:tcPr>
            <w:tcW w:w="120" w:type="dxa"/>
            <w:vAlign w:val="bottom"/>
            <w:shd w:val="clear" w:color="auto" w:fill="CFF0FC"/>
          </w:tcPr>
          <w:p>
            <w:pPr>
              <w:spacing w:after="0"/>
              <w:rPr>
                <w:sz w:val="15"/>
                <w:szCs w:val="15"/>
                <w:color w:val="auto"/>
              </w:rPr>
            </w:pPr>
          </w:p>
        </w:tc>
      </w:tr>
      <w:tr>
        <w:trPr>
          <w:trHeight w:val="189"/>
        </w:trPr>
        <w:tc>
          <w:tcPr>
            <w:tcW w:w="7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ManpowerGroup shareholders' equity</w:t>
            </w:r>
          </w:p>
        </w:tc>
        <w:tc>
          <w:tcPr>
            <w:tcW w:w="26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7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Common stock</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6"/>
                <w:szCs w:val="16"/>
                <w:color w:val="auto"/>
              </w:rPr>
            </w:pPr>
          </w:p>
        </w:tc>
      </w:tr>
      <w:tr>
        <w:trPr>
          <w:trHeight w:val="189"/>
        </w:trPr>
        <w:tc>
          <w:tcPr>
            <w:tcW w:w="72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26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3,472.3</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3,444.7</w:t>
            </w:r>
          </w:p>
        </w:tc>
        <w:tc>
          <w:tcPr>
            <w:tcW w:w="120" w:type="dxa"/>
            <w:vAlign w:val="bottom"/>
            <w:shd w:val="clear" w:color="auto" w:fill="CFF0FC"/>
          </w:tcPr>
          <w:p>
            <w:pPr>
              <w:spacing w:after="0"/>
              <w:rPr>
                <w:sz w:val="16"/>
                <w:szCs w:val="16"/>
                <w:color w:val="auto"/>
              </w:rPr>
            </w:pPr>
          </w:p>
        </w:tc>
      </w:tr>
      <w:tr>
        <w:trPr>
          <w:trHeight w:val="189"/>
        </w:trPr>
        <w:tc>
          <w:tcPr>
            <w:tcW w:w="7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3,888.5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3,634.6</w:t>
            </w:r>
          </w:p>
        </w:tc>
        <w:tc>
          <w:tcPr>
            <w:tcW w:w="120" w:type="dxa"/>
            <w:vAlign w:val="bottom"/>
          </w:tcPr>
          <w:p>
            <w:pPr>
              <w:spacing w:after="0"/>
              <w:rPr>
                <w:sz w:val="16"/>
                <w:szCs w:val="16"/>
                <w:color w:val="auto"/>
              </w:rPr>
            </w:pPr>
          </w:p>
        </w:tc>
      </w:tr>
      <w:tr>
        <w:trPr>
          <w:trHeight w:val="189"/>
        </w:trPr>
        <w:tc>
          <w:tcPr>
            <w:tcW w:w="72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shd w:val="clear" w:color="auto" w:fill="CFF0FC"/>
          </w:tcPr>
          <w:p>
            <w:pPr>
              <w:spacing w:after="0"/>
              <w:rPr>
                <w:sz w:val="16"/>
                <w:szCs w:val="16"/>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(533.2 )</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(389.4 )</w:t>
            </w:r>
          </w:p>
        </w:tc>
      </w:tr>
      <w:tr>
        <w:trPr>
          <w:trHeight w:val="189"/>
        </w:trPr>
        <w:tc>
          <w:tcPr>
            <w:tcW w:w="7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Treasury stock, at cost</w:t>
            </w:r>
          </w:p>
        </w:tc>
        <w:tc>
          <w:tcPr>
            <w:tcW w:w="260" w:type="dxa"/>
            <w:vAlign w:val="bottom"/>
          </w:tcPr>
          <w:p>
            <w:pPr>
              <w:spacing w:after="0"/>
              <w:rPr>
                <w:sz w:val="16"/>
                <w:szCs w:val="16"/>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(4,422.7 )</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(4,169.4 )</w:t>
            </w:r>
          </w:p>
        </w:tc>
      </w:tr>
      <w:tr>
        <w:trPr>
          <w:trHeight w:val="181"/>
        </w:trPr>
        <w:tc>
          <w:tcPr>
            <w:tcW w:w="7260" w:type="dxa"/>
            <w:vAlign w:val="bottom"/>
            <w:tcBorders>
              <w:bottom w:val="single" w:sz="8" w:color="CFF0FC"/>
            </w:tcBorders>
            <w:shd w:val="clear" w:color="auto" w:fill="CFF0FC"/>
          </w:tcPr>
          <w:p>
            <w:pPr>
              <w:jc w:val="right"/>
              <w:ind w:right="4001"/>
              <w:spacing w:after="0" w:line="181" w:lineRule="exact"/>
              <w:rPr>
                <w:sz w:val="20"/>
                <w:szCs w:val="20"/>
                <w:color w:val="auto"/>
              </w:rPr>
            </w:pPr>
            <w:r>
              <w:rPr>
                <w:rFonts w:ascii="Times New Roman" w:cs="Times New Roman" w:eastAsia="Times New Roman" w:hAnsi="Times New Roman"/>
                <w:sz w:val="16"/>
                <w:szCs w:val="16"/>
                <w:color w:val="auto"/>
              </w:rPr>
              <w:t>Total ManpowerGroup shareholders' equity</w:t>
            </w:r>
          </w:p>
        </w:tc>
        <w:tc>
          <w:tcPr>
            <w:tcW w:w="260" w:type="dxa"/>
            <w:vAlign w:val="bottom"/>
            <w:tcBorders>
              <w:top w:val="single" w:sz="8" w:color="auto"/>
              <w:bottom w:val="single" w:sz="8" w:color="auto"/>
            </w:tcBorders>
            <w:shd w:val="clear" w:color="auto" w:fill="CFF0FC"/>
          </w:tcPr>
          <w:p>
            <w:pPr>
              <w:spacing w:after="0"/>
              <w:rPr>
                <w:sz w:val="15"/>
                <w:szCs w:val="15"/>
                <w:color w:val="auto"/>
              </w:rPr>
            </w:pPr>
          </w:p>
        </w:tc>
        <w:tc>
          <w:tcPr>
            <w:tcW w:w="15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2,406.1</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14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2,521.7</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1"/>
        </w:trPr>
        <w:tc>
          <w:tcPr>
            <w:tcW w:w="7260" w:type="dxa"/>
            <w:vAlign w:val="bottom"/>
          </w:tcPr>
          <w:p>
            <w:pPr>
              <w:ind w:left="80"/>
              <w:spacing w:after="0" w:line="181" w:lineRule="exact"/>
              <w:rPr>
                <w:sz w:val="20"/>
                <w:szCs w:val="20"/>
                <w:color w:val="auto"/>
              </w:rPr>
            </w:pPr>
            <w:r>
              <w:rPr>
                <w:rFonts w:ascii="Times New Roman" w:cs="Times New Roman" w:eastAsia="Times New Roman" w:hAnsi="Times New Roman"/>
                <w:sz w:val="16"/>
                <w:szCs w:val="16"/>
                <w:color w:val="auto"/>
              </w:rPr>
              <w:t>Noncontrolling interests</w:t>
            </w: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5"/>
                <w:szCs w:val="15"/>
                <w:color w:val="auto"/>
              </w:rPr>
            </w:pPr>
          </w:p>
        </w:tc>
      </w:tr>
      <w:tr>
        <w:trPr>
          <w:trHeight w:val="181"/>
        </w:trPr>
        <w:tc>
          <w:tcPr>
            <w:tcW w:w="7260" w:type="dxa"/>
            <w:vAlign w:val="bottom"/>
            <w:tcBorders>
              <w:bottom w:val="single" w:sz="8" w:color="CFF0FC"/>
            </w:tcBorders>
            <w:shd w:val="clear" w:color="auto" w:fill="CFF0FC"/>
          </w:tcPr>
          <w:p>
            <w:pPr>
              <w:ind w:left="560"/>
              <w:spacing w:after="0" w:line="181" w:lineRule="exact"/>
              <w:rPr>
                <w:sz w:val="20"/>
                <w:szCs w:val="20"/>
                <w:color w:val="auto"/>
              </w:rPr>
            </w:pPr>
            <w:r>
              <w:rPr>
                <w:rFonts w:ascii="Times New Roman" w:cs="Times New Roman" w:eastAsia="Times New Roman" w:hAnsi="Times New Roman"/>
                <w:sz w:val="16"/>
                <w:szCs w:val="16"/>
                <w:color w:val="auto"/>
              </w:rPr>
              <w:t>Total shareholders' equity</w:t>
            </w:r>
          </w:p>
        </w:tc>
        <w:tc>
          <w:tcPr>
            <w:tcW w:w="260" w:type="dxa"/>
            <w:vAlign w:val="bottom"/>
            <w:tcBorders>
              <w:bottom w:val="single" w:sz="8" w:color="auto"/>
            </w:tcBorders>
            <w:shd w:val="clear" w:color="auto" w:fill="CFF0FC"/>
          </w:tcPr>
          <w:p>
            <w:pPr>
              <w:spacing w:after="0"/>
              <w:rPr>
                <w:sz w:val="15"/>
                <w:szCs w:val="15"/>
                <w:color w:val="auto"/>
              </w:rPr>
            </w:pPr>
          </w:p>
        </w:tc>
        <w:tc>
          <w:tcPr>
            <w:tcW w:w="15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2,416.6</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2,531.7</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1"/>
        </w:trPr>
        <w:tc>
          <w:tcPr>
            <w:tcW w:w="7260" w:type="dxa"/>
            <w:vAlign w:val="bottom"/>
          </w:tcPr>
          <w:p>
            <w:pPr>
              <w:jc w:val="right"/>
              <w:ind w:right="4001"/>
              <w:spacing w:after="0" w:line="181" w:lineRule="exact"/>
              <w:rPr>
                <w:sz w:val="20"/>
                <w:szCs w:val="20"/>
                <w:color w:val="auto"/>
              </w:rPr>
            </w:pPr>
            <w:r>
              <w:rPr>
                <w:rFonts w:ascii="Times New Roman" w:cs="Times New Roman" w:eastAsia="Times New Roman" w:hAnsi="Times New Roman"/>
                <w:sz w:val="16"/>
                <w:szCs w:val="16"/>
                <w:color w:val="auto"/>
              </w:rPr>
              <w:t>Total liabilities and shareholders' equity</w:t>
            </w:r>
          </w:p>
        </w:tc>
        <w:tc>
          <w:tcPr>
            <w:tcW w:w="260" w:type="dxa"/>
            <w:vAlign w:val="bottom"/>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8,556.9</w:t>
            </w:r>
          </w:p>
        </w:tc>
        <w:tc>
          <w:tcPr>
            <w:tcW w:w="120" w:type="dxa"/>
            <w:vAlign w:val="bottom"/>
          </w:tcPr>
          <w:p>
            <w:pPr>
              <w:spacing w:after="0"/>
              <w:rPr>
                <w:sz w:val="15"/>
                <w:szCs w:val="15"/>
                <w:color w:val="auto"/>
              </w:rPr>
            </w:pPr>
          </w:p>
        </w:tc>
        <w:tc>
          <w:tcPr>
            <w:tcW w:w="520" w:type="dxa"/>
            <w:vAlign w:val="bottom"/>
            <w:gridSpan w:val="2"/>
          </w:tcPr>
          <w:p>
            <w:pPr>
              <w:jc w:val="right"/>
              <w:ind w:right="16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9,828.9</w:t>
            </w:r>
          </w:p>
        </w:tc>
        <w:tc>
          <w:tcPr>
            <w:tcW w:w="120" w:type="dxa"/>
            <w:vAlign w:val="bottom"/>
          </w:tcPr>
          <w:p>
            <w:pPr>
              <w:spacing w:after="0"/>
              <w:rPr>
                <w:sz w:val="15"/>
                <w:szCs w:val="15"/>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76"/>
        </w:trPr>
        <w:tc>
          <w:tcPr>
            <w:tcW w:w="7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5756275</wp:posOffset>
            </wp:positionH>
            <wp:positionV relativeFrom="paragraph">
              <wp:posOffset>-4895850</wp:posOffset>
            </wp:positionV>
            <wp:extent cx="74930" cy="1276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4930" cy="12763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-4895850</wp:posOffset>
            </wp:positionV>
            <wp:extent cx="67310" cy="1276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10" cy="127635"/>
                    </a:xfrm>
                    <a:prstGeom prst="rect">
                      <a:avLst/>
                    </a:prstGeom>
                    <a:noFill/>
                  </pic:spPr>
                </pic:pic>
              </a:graphicData>
            </a:graphic>
          </wp:anchor>
        </w:drawing>
        <w:drawing>
          <wp:anchor simplePos="0" relativeHeight="251657728" behindDoc="1" locked="0" layoutInCell="0" allowOverlap="1">
            <wp:simplePos x="0" y="0"/>
            <wp:positionH relativeFrom="column">
              <wp:posOffset>5756275</wp:posOffset>
            </wp:positionH>
            <wp:positionV relativeFrom="paragraph">
              <wp:posOffset>-4167505</wp:posOffset>
            </wp:positionV>
            <wp:extent cx="74930" cy="1276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4930" cy="12763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-4167505</wp:posOffset>
            </wp:positionV>
            <wp:extent cx="67310" cy="1276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10" cy="127635"/>
                    </a:xfrm>
                    <a:prstGeom prst="rect">
                      <a:avLst/>
                    </a:prstGeom>
                    <a:noFill/>
                  </pic:spPr>
                </pic:pic>
              </a:graphicData>
            </a:graphic>
          </wp:anchor>
        </w:drawing>
        <w:drawing>
          <wp:anchor simplePos="0" relativeHeight="251657728" behindDoc="1" locked="0" layoutInCell="0" allowOverlap="1">
            <wp:simplePos x="0" y="0"/>
            <wp:positionH relativeFrom="column">
              <wp:posOffset>5756275</wp:posOffset>
            </wp:positionH>
            <wp:positionV relativeFrom="paragraph">
              <wp:posOffset>-3679190</wp:posOffset>
            </wp:positionV>
            <wp:extent cx="74930" cy="135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4930" cy="135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-3679190</wp:posOffset>
            </wp:positionV>
            <wp:extent cx="67310" cy="135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10" cy="135255"/>
                    </a:xfrm>
                    <a:prstGeom prst="rect">
                      <a:avLst/>
                    </a:prstGeom>
                    <a:noFill/>
                  </pic:spPr>
                </pic:pic>
              </a:graphicData>
            </a:graphic>
          </wp:anchor>
        </w:drawing>
        <w:drawing>
          <wp:anchor simplePos="0" relativeHeight="251657728" behindDoc="1" locked="0" layoutInCell="0" allowOverlap="1">
            <wp:simplePos x="0" y="0"/>
            <wp:positionH relativeFrom="column">
              <wp:posOffset>5756275</wp:posOffset>
            </wp:positionH>
            <wp:positionV relativeFrom="paragraph">
              <wp:posOffset>-3423920</wp:posOffset>
            </wp:positionV>
            <wp:extent cx="1389380" cy="142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89380" cy="142875"/>
                    </a:xfrm>
                    <a:prstGeom prst="rect">
                      <a:avLst/>
                    </a:prstGeom>
                    <a:noFill/>
                  </pic:spPr>
                </pic:pic>
              </a:graphicData>
            </a:graphic>
          </wp:anchor>
        </w:drawing>
        <w:drawing>
          <wp:anchor simplePos="0" relativeHeight="251657728" behindDoc="1" locked="0" layoutInCell="0" allowOverlap="1">
            <wp:simplePos x="0" y="0"/>
            <wp:positionH relativeFrom="column">
              <wp:posOffset>5756275</wp:posOffset>
            </wp:positionH>
            <wp:positionV relativeFrom="paragraph">
              <wp:posOffset>-2440305</wp:posOffset>
            </wp:positionV>
            <wp:extent cx="74930" cy="1276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4930" cy="12763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-2440305</wp:posOffset>
            </wp:positionV>
            <wp:extent cx="67310" cy="1276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10" cy="127635"/>
                    </a:xfrm>
                    <a:prstGeom prst="rect">
                      <a:avLst/>
                    </a:prstGeom>
                    <a:noFill/>
                  </pic:spPr>
                </pic:pic>
              </a:graphicData>
            </a:graphic>
          </wp:anchor>
        </w:drawing>
        <w:drawing>
          <wp:anchor simplePos="0" relativeHeight="251657728" behindDoc="1" locked="0" layoutInCell="0" allowOverlap="1">
            <wp:simplePos x="0" y="0"/>
            <wp:positionH relativeFrom="column">
              <wp:posOffset>5756275</wp:posOffset>
            </wp:positionH>
            <wp:positionV relativeFrom="paragraph">
              <wp:posOffset>-735330</wp:posOffset>
            </wp:positionV>
            <wp:extent cx="74930" cy="135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4930" cy="135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-735330</wp:posOffset>
            </wp:positionV>
            <wp:extent cx="67310" cy="135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10" cy="135255"/>
                    </a:xfrm>
                    <a:prstGeom prst="rect">
                      <a:avLst/>
                    </a:prstGeom>
                    <a:noFill/>
                  </pic:spPr>
                </pic:pic>
              </a:graphicData>
            </a:graphic>
          </wp:anchor>
        </w:drawing>
        <w:drawing>
          <wp:anchor simplePos="0" relativeHeight="251657728" behindDoc="1" locked="0" layoutInCell="0" allowOverlap="1">
            <wp:simplePos x="0" y="0"/>
            <wp:positionH relativeFrom="column">
              <wp:posOffset>5756275</wp:posOffset>
            </wp:positionH>
            <wp:positionV relativeFrom="paragraph">
              <wp:posOffset>-480060</wp:posOffset>
            </wp:positionV>
            <wp:extent cx="74930" cy="1504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4930" cy="15049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-480060</wp:posOffset>
            </wp:positionV>
            <wp:extent cx="67310" cy="1504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10" cy="150495"/>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36" w:right="31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6"/>
          <w:szCs w:val="16"/>
          <w:color w:val="auto"/>
        </w:rPr>
        <w:t>ManpowerGroup</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Consolidated Statements of Cash Flows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8"/>
        </w:trPr>
        <w:tc>
          <w:tcPr>
            <w:tcW w:w="75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1"/>
        </w:trPr>
        <w:tc>
          <w:tcPr>
            <w:tcW w:w="7580" w:type="dxa"/>
            <w:vAlign w:val="bottom"/>
          </w:tcPr>
          <w:p>
            <w:pPr>
              <w:spacing w:after="0"/>
              <w:rPr>
                <w:sz w:val="15"/>
                <w:szCs w:val="15"/>
                <w:color w:val="auto"/>
              </w:rPr>
            </w:pPr>
          </w:p>
        </w:tc>
        <w:tc>
          <w:tcPr>
            <w:tcW w:w="10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81"/>
              <w:spacing w:after="0" w:line="181" w:lineRule="exact"/>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5"/>
                <w:szCs w:val="15"/>
                <w:color w:val="auto"/>
              </w:rPr>
            </w:pPr>
          </w:p>
        </w:tc>
      </w:tr>
      <w:tr>
        <w:trPr>
          <w:trHeight w:val="181"/>
        </w:trPr>
        <w:tc>
          <w:tcPr>
            <w:tcW w:w="7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80" w:type="dxa"/>
            <w:vAlign w:val="bottom"/>
            <w:gridSpan w:val="4"/>
          </w:tcPr>
          <w:p>
            <w:pPr>
              <w:jc w:val="center"/>
              <w:spacing w:after="0" w:line="181" w:lineRule="exact"/>
              <w:rPr>
                <w:sz w:val="20"/>
                <w:szCs w:val="20"/>
                <w:color w:val="auto"/>
              </w:rPr>
            </w:pPr>
            <w:r>
              <w:rPr>
                <w:rFonts w:ascii="Times New Roman" w:cs="Times New Roman" w:eastAsia="Times New Roman" w:hAnsi="Times New Roman"/>
                <w:sz w:val="16"/>
                <w:szCs w:val="16"/>
                <w:color w:val="auto"/>
                <w:w w:val="98"/>
              </w:rPr>
              <w:t>(Unaudited)</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75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earnings</w:t>
            </w:r>
          </w:p>
        </w:tc>
        <w:tc>
          <w:tcPr>
            <w:tcW w:w="1040" w:type="dxa"/>
            <w:vAlign w:val="bottom"/>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w:t>
            </w:r>
          </w:p>
        </w:tc>
        <w:tc>
          <w:tcPr>
            <w:tcW w:w="100" w:type="dxa"/>
            <w:vAlign w:val="bottom"/>
          </w:tcPr>
          <w:p>
            <w:pPr>
              <w:spacing w:after="0"/>
              <w:rPr>
                <w:sz w:val="16"/>
                <w:szCs w:val="16"/>
                <w:color w:val="auto"/>
              </w:rPr>
            </w:pPr>
          </w:p>
        </w:tc>
        <w:tc>
          <w:tcPr>
            <w:tcW w:w="780" w:type="dxa"/>
            <w:vAlign w:val="bottom"/>
            <w:gridSpan w:val="2"/>
          </w:tcPr>
          <w:p>
            <w:pPr>
              <w:jc w:val="right"/>
              <w:ind w:right="4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120" w:type="dxa"/>
            <w:vAlign w:val="bottom"/>
          </w:tcPr>
          <w:p>
            <w:pPr>
              <w:spacing w:after="0"/>
              <w:rPr>
                <w:sz w:val="16"/>
                <w:szCs w:val="16"/>
                <w:color w:val="auto"/>
              </w:rPr>
            </w:pPr>
          </w:p>
        </w:tc>
      </w:tr>
      <w:tr>
        <w:trPr>
          <w:trHeight w:val="189"/>
        </w:trPr>
        <w:tc>
          <w:tcPr>
            <w:tcW w:w="7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7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tcPr>
          <w:p>
            <w:pPr>
              <w:spacing w:after="0"/>
              <w:rPr>
                <w:sz w:val="16"/>
                <w:szCs w:val="16"/>
                <w:color w:val="auto"/>
              </w:rPr>
            </w:pPr>
          </w:p>
        </w:tc>
      </w:tr>
      <w:tr>
        <w:trPr>
          <w:trHeight w:val="189"/>
        </w:trPr>
        <w:tc>
          <w:tcPr>
            <w:tcW w:w="75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Loss on sales of a subsidiaries, net</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(20.5 )</w:t>
            </w:r>
          </w:p>
        </w:tc>
      </w:tr>
      <w:tr>
        <w:trPr>
          <w:trHeight w:val="189"/>
        </w:trPr>
        <w:tc>
          <w:tcPr>
            <w:tcW w:w="75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FF0FC"/>
          </w:tcPr>
          <w:p>
            <w:pPr>
              <w:spacing w:after="0"/>
              <w:rPr>
                <w:sz w:val="16"/>
                <w:szCs w:val="16"/>
                <w:color w:val="auto"/>
              </w:rPr>
            </w:pPr>
          </w:p>
        </w:tc>
      </w:tr>
      <w:tr>
        <w:trPr>
          <w:trHeight w:val="189"/>
        </w:trPr>
        <w:tc>
          <w:tcPr>
            <w:tcW w:w="7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Pr>
          <w:p>
            <w:pPr>
              <w:spacing w:after="0"/>
              <w:rPr>
                <w:sz w:val="16"/>
                <w:szCs w:val="16"/>
                <w:color w:val="auto"/>
              </w:rPr>
            </w:pPr>
          </w:p>
        </w:tc>
      </w:tr>
      <w:tr>
        <w:trPr>
          <w:trHeight w:val="189"/>
        </w:trPr>
        <w:tc>
          <w:tcPr>
            <w:tcW w:w="7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7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(354.0 )</w:t>
            </w:r>
          </w:p>
        </w:tc>
      </w:tr>
      <w:tr>
        <w:trPr>
          <w:trHeight w:val="189"/>
        </w:trPr>
        <w:tc>
          <w:tcPr>
            <w:tcW w:w="75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Other assets</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shd w:val="clear" w:color="auto" w:fill="CFF0FC"/>
          </w:tcPr>
          <w:p>
            <w:pPr>
              <w:spacing w:after="0"/>
              <w:rPr>
                <w:sz w:val="16"/>
                <w:szCs w:val="16"/>
                <w:color w:val="auto"/>
              </w:rPr>
            </w:pPr>
          </w:p>
        </w:tc>
      </w:tr>
      <w:tr>
        <w:trPr>
          <w:trHeight w:val="189"/>
        </w:trPr>
        <w:tc>
          <w:tcPr>
            <w:tcW w:w="7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liabilities</w:t>
            </w:r>
          </w:p>
        </w:tc>
        <w:tc>
          <w:tcPr>
            <w:tcW w:w="10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(342.8 )</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385.1</w:t>
            </w:r>
          </w:p>
        </w:tc>
        <w:tc>
          <w:tcPr>
            <w:tcW w:w="120" w:type="dxa"/>
            <w:vAlign w:val="bottom"/>
          </w:tcPr>
          <w:p>
            <w:pPr>
              <w:spacing w:after="0"/>
              <w:rPr>
                <w:sz w:val="16"/>
                <w:szCs w:val="16"/>
                <w:color w:val="auto"/>
              </w:rPr>
            </w:pPr>
          </w:p>
        </w:tc>
      </w:tr>
      <w:tr>
        <w:trPr>
          <w:trHeight w:val="181"/>
        </w:trPr>
        <w:tc>
          <w:tcPr>
            <w:tcW w:w="7580" w:type="dxa"/>
            <w:vAlign w:val="bottom"/>
            <w:tcBorders>
              <w:bottom w:val="single" w:sz="8" w:color="CFF0FC"/>
            </w:tcBorders>
            <w:shd w:val="clear" w:color="auto" w:fill="CFF0FC"/>
          </w:tcPr>
          <w:p>
            <w:pPr>
              <w:ind w:left="960"/>
              <w:spacing w:after="0" w:line="181" w:lineRule="exact"/>
              <w:rPr>
                <w:sz w:val="20"/>
                <w:szCs w:val="20"/>
                <w:color w:val="auto"/>
              </w:rPr>
            </w:pPr>
            <w:r>
              <w:rPr>
                <w:rFonts w:ascii="Times New Roman" w:cs="Times New Roman" w:eastAsia="Times New Roman" w:hAnsi="Times New Roman"/>
                <w:sz w:val="16"/>
                <w:szCs w:val="16"/>
                <w:color w:val="auto"/>
              </w:rPr>
              <w:t>Cash provided by operating activities</w:t>
            </w:r>
          </w:p>
        </w:tc>
        <w:tc>
          <w:tcPr>
            <w:tcW w:w="1040" w:type="dxa"/>
            <w:vAlign w:val="bottom"/>
            <w:tcBorders>
              <w:top w:val="single" w:sz="8" w:color="auto"/>
              <w:bottom w:val="single" w:sz="8" w:color="auto"/>
            </w:tcBorders>
            <w:shd w:val="clear" w:color="auto" w:fill="CFF0FC"/>
          </w:tcPr>
          <w:p>
            <w:pPr>
              <w:spacing w:after="0"/>
              <w:rPr>
                <w:sz w:val="15"/>
                <w:szCs w:val="15"/>
                <w:color w:val="auto"/>
              </w:rPr>
            </w:pPr>
          </w:p>
        </w:tc>
        <w:tc>
          <w:tcPr>
            <w:tcW w:w="60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289.2</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382.9</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1"/>
        </w:trPr>
        <w:tc>
          <w:tcPr>
            <w:tcW w:w="758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75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Capital expenditures</w:t>
            </w:r>
          </w:p>
        </w:tc>
        <w:tc>
          <w:tcPr>
            <w:tcW w:w="104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(55.9 )</w:t>
            </w: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(39.7 )</w:t>
            </w:r>
          </w:p>
        </w:tc>
      </w:tr>
      <w:tr>
        <w:trPr>
          <w:trHeight w:val="189"/>
        </w:trPr>
        <w:tc>
          <w:tcPr>
            <w:tcW w:w="75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10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(7.1 )</w:t>
            </w:r>
          </w:p>
        </w:tc>
      </w:tr>
      <w:tr>
        <w:trPr>
          <w:trHeight w:val="189"/>
        </w:trPr>
        <w:tc>
          <w:tcPr>
            <w:tcW w:w="758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Proceeds from the sales of subsidiaries and property and equipment</w:t>
            </w:r>
          </w:p>
        </w:tc>
        <w:tc>
          <w:tcPr>
            <w:tcW w:w="104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7580" w:type="dxa"/>
            <w:vAlign w:val="bottom"/>
          </w:tcPr>
          <w:p>
            <w:pPr>
              <w:ind w:left="960"/>
              <w:spacing w:after="0" w:line="181" w:lineRule="exact"/>
              <w:rPr>
                <w:sz w:val="20"/>
                <w:szCs w:val="20"/>
                <w:color w:val="auto"/>
              </w:rPr>
            </w:pPr>
            <w:r>
              <w:rPr>
                <w:rFonts w:ascii="Times New Roman" w:cs="Times New Roman" w:eastAsia="Times New Roman" w:hAnsi="Times New Roman"/>
                <w:sz w:val="16"/>
                <w:szCs w:val="16"/>
                <w:color w:val="auto"/>
              </w:rPr>
              <w:t>Cash used in investing activities</w:t>
            </w:r>
          </w:p>
        </w:tc>
        <w:tc>
          <w:tcPr>
            <w:tcW w:w="1040" w:type="dxa"/>
            <w:vAlign w:val="bottom"/>
          </w:tcPr>
          <w:p>
            <w:pPr>
              <w:spacing w:after="0"/>
              <w:rPr>
                <w:sz w:val="15"/>
                <w:szCs w:val="15"/>
                <w:color w:val="auto"/>
              </w:rPr>
            </w:pPr>
          </w:p>
        </w:tc>
        <w:tc>
          <w:tcPr>
            <w:tcW w:w="7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(65.3 )</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(44.6 )</w:t>
            </w:r>
          </w:p>
        </w:tc>
      </w:tr>
      <w:tr>
        <w:trPr>
          <w:trHeight w:val="181"/>
        </w:trPr>
        <w:tc>
          <w:tcPr>
            <w:tcW w:w="75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4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75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Net change in short-term borrowings</w:t>
            </w:r>
          </w:p>
        </w:tc>
        <w:tc>
          <w:tcPr>
            <w:tcW w:w="10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6"/>
                <w:szCs w:val="16"/>
                <w:color w:val="auto"/>
              </w:rPr>
            </w:pPr>
          </w:p>
        </w:tc>
      </w:tr>
      <w:tr>
        <w:trPr>
          <w:trHeight w:val="189"/>
        </w:trPr>
        <w:tc>
          <w:tcPr>
            <w:tcW w:w="75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Repayments of revolving debt facility</w:t>
            </w:r>
          </w:p>
        </w:tc>
        <w:tc>
          <w:tcPr>
            <w:tcW w:w="104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(75.0 )</w:t>
            </w: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5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6"/>
                <w:szCs w:val="16"/>
                <w:color w:val="auto"/>
              </w:rPr>
            </w:pPr>
          </w:p>
        </w:tc>
      </w:tr>
      <w:tr>
        <w:trPr>
          <w:trHeight w:val="189"/>
        </w:trPr>
        <w:tc>
          <w:tcPr>
            <w:tcW w:w="75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104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(412.1 )</w:t>
            </w: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189"/>
        </w:trPr>
        <w:tc>
          <w:tcPr>
            <w:tcW w:w="75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10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5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Proceeds from derivative settlement</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5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Payments of contingent consideration for acquisitions</w:t>
            </w:r>
          </w:p>
        </w:tc>
        <w:tc>
          <w:tcPr>
            <w:tcW w:w="10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(6.2 )</w:t>
            </w:r>
          </w:p>
        </w:tc>
      </w:tr>
      <w:tr>
        <w:trPr>
          <w:trHeight w:val="189"/>
        </w:trPr>
        <w:tc>
          <w:tcPr>
            <w:tcW w:w="75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Proceeds from share-based awards</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FF0FC"/>
          </w:tcPr>
          <w:p>
            <w:pPr>
              <w:spacing w:after="0"/>
              <w:rPr>
                <w:sz w:val="16"/>
                <w:szCs w:val="16"/>
                <w:color w:val="auto"/>
              </w:rPr>
            </w:pPr>
          </w:p>
        </w:tc>
      </w:tr>
      <w:tr>
        <w:trPr>
          <w:trHeight w:val="189"/>
        </w:trPr>
        <w:tc>
          <w:tcPr>
            <w:tcW w:w="75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Payments to noncontrolling interests</w:t>
            </w:r>
          </w:p>
        </w:tc>
        <w:tc>
          <w:tcPr>
            <w:tcW w:w="10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189"/>
        </w:trPr>
        <w:tc>
          <w:tcPr>
            <w:tcW w:w="75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Other share-based award transactions</w:t>
            </w:r>
          </w:p>
        </w:tc>
        <w:tc>
          <w:tcPr>
            <w:tcW w:w="104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(4.6 )</w:t>
            </w:r>
          </w:p>
        </w:tc>
      </w:tr>
      <w:tr>
        <w:trPr>
          <w:trHeight w:val="189"/>
        </w:trPr>
        <w:tc>
          <w:tcPr>
            <w:tcW w:w="75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0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(245.0 )</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(150.1 )</w:t>
            </w:r>
          </w:p>
        </w:tc>
      </w:tr>
      <w:tr>
        <w:trPr>
          <w:trHeight w:val="189"/>
        </w:trPr>
        <w:tc>
          <w:tcPr>
            <w:tcW w:w="75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Dividends paid</w:t>
            </w:r>
          </w:p>
        </w:tc>
        <w:tc>
          <w:tcPr>
            <w:tcW w:w="104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(71.2 )</w:t>
            </w: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(68.3 )</w:t>
            </w:r>
          </w:p>
        </w:tc>
      </w:tr>
      <w:tr>
        <w:trPr>
          <w:trHeight w:val="20"/>
        </w:trPr>
        <w:tc>
          <w:tcPr>
            <w:tcW w:w="75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81"/>
        </w:trPr>
        <w:tc>
          <w:tcPr>
            <w:tcW w:w="7580" w:type="dxa"/>
            <w:vAlign w:val="bottom"/>
          </w:tcPr>
          <w:p>
            <w:pPr>
              <w:ind w:left="960"/>
              <w:spacing w:after="0" w:line="181" w:lineRule="exact"/>
              <w:rPr>
                <w:sz w:val="20"/>
                <w:szCs w:val="20"/>
                <w:color w:val="auto"/>
              </w:rPr>
            </w:pPr>
            <w:r>
              <w:rPr>
                <w:rFonts w:ascii="Times New Roman" w:cs="Times New Roman" w:eastAsia="Times New Roman" w:hAnsi="Times New Roman"/>
                <w:sz w:val="16"/>
                <w:szCs w:val="16"/>
                <w:color w:val="auto"/>
              </w:rPr>
              <w:t>Cash used in financing activities</w:t>
            </w:r>
          </w:p>
        </w:tc>
        <w:tc>
          <w:tcPr>
            <w:tcW w:w="1040" w:type="dxa"/>
            <w:vAlign w:val="bottom"/>
          </w:tcPr>
          <w:p>
            <w:pPr>
              <w:spacing w:after="0"/>
              <w:rPr>
                <w:sz w:val="15"/>
                <w:szCs w:val="15"/>
                <w:color w:val="auto"/>
              </w:rPr>
            </w:pPr>
          </w:p>
        </w:tc>
        <w:tc>
          <w:tcPr>
            <w:tcW w:w="7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(394.8 )</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(226.8 )</w:t>
            </w:r>
          </w:p>
        </w:tc>
      </w:tr>
      <w:tr>
        <w:trPr>
          <w:trHeight w:val="181"/>
        </w:trPr>
        <w:tc>
          <w:tcPr>
            <w:tcW w:w="758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Effect of exchange rate changes on cash</w:t>
            </w:r>
          </w:p>
        </w:tc>
        <w:tc>
          <w:tcPr>
            <w:tcW w:w="1040" w:type="dxa"/>
            <w:vAlign w:val="bottom"/>
            <w:tcBorders>
              <w:top w:val="single" w:sz="8" w:color="auto"/>
              <w:bottom w:val="single" w:sz="8" w:color="auto"/>
            </w:tcBorders>
            <w:shd w:val="clear" w:color="auto" w:fill="CFF0FC"/>
          </w:tcPr>
          <w:p>
            <w:pPr>
              <w:spacing w:after="0"/>
              <w:rPr>
                <w:sz w:val="15"/>
                <w:szCs w:val="15"/>
                <w:color w:val="auto"/>
              </w:rPr>
            </w:pPr>
          </w:p>
        </w:tc>
        <w:tc>
          <w:tcPr>
            <w:tcW w:w="60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(149.4</w:t>
            </w:r>
          </w:p>
        </w:tc>
        <w:tc>
          <w:tcPr>
            <w:tcW w:w="100" w:type="dxa"/>
            <w:vAlign w:val="bottom"/>
            <w:tcBorders>
              <w:bottom w:val="single" w:sz="8" w:color="CFF0FC"/>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(66.0</w:t>
            </w:r>
          </w:p>
        </w:tc>
        <w:tc>
          <w:tcPr>
            <w:tcW w:w="120" w:type="dxa"/>
            <w:vAlign w:val="bottom"/>
            <w:tcBorders>
              <w:bottom w:val="single" w:sz="8" w:color="CFF0FC"/>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r>
      <w:tr>
        <w:trPr>
          <w:trHeight w:val="181"/>
        </w:trPr>
        <w:tc>
          <w:tcPr>
            <w:tcW w:w="75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Change in cash and cash equivalents</w:t>
            </w:r>
          </w:p>
        </w:tc>
        <w:tc>
          <w:tcPr>
            <w:tcW w:w="1040" w:type="dxa"/>
            <w:vAlign w:val="bottom"/>
          </w:tcPr>
          <w:p>
            <w:pPr>
              <w:spacing w:after="0"/>
              <w:rPr>
                <w:sz w:val="15"/>
                <w:szCs w:val="15"/>
                <w:color w:val="auto"/>
              </w:rPr>
            </w:pPr>
          </w:p>
        </w:tc>
        <w:tc>
          <w:tcPr>
            <w:tcW w:w="7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(320.3 )</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45.5</w:t>
            </w:r>
          </w:p>
        </w:tc>
        <w:tc>
          <w:tcPr>
            <w:tcW w:w="120" w:type="dxa"/>
            <w:vAlign w:val="bottom"/>
          </w:tcPr>
          <w:p>
            <w:pPr>
              <w:spacing w:after="0"/>
              <w:rPr>
                <w:sz w:val="15"/>
                <w:szCs w:val="15"/>
                <w:color w:val="auto"/>
              </w:rPr>
            </w:pPr>
          </w:p>
        </w:tc>
      </w:tr>
      <w:tr>
        <w:trPr>
          <w:trHeight w:val="189"/>
        </w:trPr>
        <w:tc>
          <w:tcPr>
            <w:tcW w:w="7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040" w:type="dxa"/>
            <w:vAlign w:val="bottom"/>
            <w:tcBorders>
              <w:bottom w:val="single" w:sz="8" w:color="auto"/>
            </w:tcBorders>
            <w:shd w:val="clear" w:color="auto" w:fill="CFF0FC"/>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847.8</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ind w:right="4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1,567.1</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75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Cash and cash equivalents, end of period</w:t>
            </w:r>
          </w:p>
        </w:tc>
        <w:tc>
          <w:tcPr>
            <w:tcW w:w="1040" w:type="dxa"/>
            <w:vAlign w:val="bottom"/>
          </w:tcPr>
          <w:p>
            <w:pPr>
              <w:jc w:val="right"/>
              <w:ind w:right="86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527.5</w:t>
            </w:r>
          </w:p>
        </w:tc>
        <w:tc>
          <w:tcPr>
            <w:tcW w:w="100" w:type="dxa"/>
            <w:vAlign w:val="bottom"/>
          </w:tcPr>
          <w:p>
            <w:pPr>
              <w:spacing w:after="0"/>
              <w:rPr>
                <w:sz w:val="15"/>
                <w:szCs w:val="15"/>
                <w:color w:val="auto"/>
              </w:rPr>
            </w:pPr>
          </w:p>
        </w:tc>
        <w:tc>
          <w:tcPr>
            <w:tcW w:w="780" w:type="dxa"/>
            <w:vAlign w:val="bottom"/>
            <w:gridSpan w:val="2"/>
          </w:tcPr>
          <w:p>
            <w:pPr>
              <w:jc w:val="right"/>
              <w:ind w:right="42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1,612.6</w:t>
            </w:r>
          </w:p>
        </w:tc>
        <w:tc>
          <w:tcPr>
            <w:tcW w:w="120" w:type="dxa"/>
            <w:vAlign w:val="bottom"/>
          </w:tcPr>
          <w:p>
            <w:pPr>
              <w:spacing w:after="0"/>
              <w:rPr>
                <w:sz w:val="15"/>
                <w:szCs w:val="15"/>
                <w:color w:val="auto"/>
              </w:rPr>
            </w:pPr>
          </w:p>
        </w:tc>
      </w:tr>
      <w:tr>
        <w:trPr>
          <w:trHeight w:val="20"/>
        </w:trPr>
        <w:tc>
          <w:tcPr>
            <w:tcW w:w="7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76"/>
        </w:trPr>
        <w:tc>
          <w:tcPr>
            <w:tcW w:w="75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5854065</wp:posOffset>
            </wp:positionH>
            <wp:positionV relativeFrom="paragraph">
              <wp:posOffset>-3168650</wp:posOffset>
            </wp:positionV>
            <wp:extent cx="67310" cy="1276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10" cy="12763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-3168650</wp:posOffset>
            </wp:positionV>
            <wp:extent cx="67310" cy="1276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10" cy="12763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-2680335</wp:posOffset>
            </wp:positionV>
            <wp:extent cx="67310" cy="135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10" cy="135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-2680335</wp:posOffset>
            </wp:positionV>
            <wp:extent cx="67310" cy="135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10" cy="13525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-982980</wp:posOffset>
            </wp:positionV>
            <wp:extent cx="67310" cy="135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10" cy="135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-982980</wp:posOffset>
            </wp:positionV>
            <wp:extent cx="67310" cy="135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10" cy="13525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-727710</wp:posOffset>
            </wp:positionV>
            <wp:extent cx="67310" cy="1276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10" cy="12763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-727710</wp:posOffset>
            </wp:positionV>
            <wp:extent cx="67310" cy="1276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10" cy="12763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-480060</wp:posOffset>
            </wp:positionV>
            <wp:extent cx="67310" cy="1504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10" cy="15049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-480060</wp:posOffset>
            </wp:positionV>
            <wp:extent cx="67310" cy="1504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10" cy="150495"/>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36" w:right="31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6826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4070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407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2022-10-20T06:49:42Z</dcterms:created>
  <dcterms:modified xsi:type="dcterms:W3CDTF">2022-10-20T06:49:42Z</dcterms:modified>
</cp:coreProperties>
</file>