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 10-K</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x ANNUAL REPORT PURSUANT TO SECTION 13 OR 15(d) OF THE SECURITIES EXCHANGE ACT OF 1934:</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 the fiscal year ended December 31, 2013</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OR</w:t>
      </w:r>
    </w:p>
    <w:p>
      <w:pPr>
        <w:spacing w:after="0" w:line="218" w:lineRule="exact"/>
        <w:rPr>
          <w:sz w:val="24"/>
          <w:szCs w:val="24"/>
          <w:color w:val="auto"/>
        </w:rPr>
      </w:pPr>
    </w:p>
    <w:p>
      <w:pPr>
        <w:ind w:left="4660" w:right="2860" w:hanging="4614"/>
        <w:spacing w:after="0" w:line="507" w:lineRule="auto"/>
        <w:tabs>
          <w:tab w:leader="none" w:pos="23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Commission File No. 1-10686</w:t>
      </w:r>
    </w:p>
    <w:p>
      <w:pPr>
        <w:jc w:val="center"/>
        <w:ind w:right="-19"/>
        <w:spacing w:after="0"/>
        <w:rPr>
          <w:sz w:val="20"/>
          <w:szCs w:val="20"/>
          <w:color w:val="auto"/>
        </w:rPr>
      </w:pPr>
      <w:r>
        <w:rPr>
          <w:rFonts w:ascii="Arial" w:cs="Arial" w:eastAsia="Arial" w:hAnsi="Arial"/>
          <w:sz w:val="17"/>
          <w:szCs w:val="17"/>
          <w:color w:val="auto"/>
        </w:rPr>
        <w:t>MANPOWERGROUP INC.</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rPr>
              <w:t>WISCONSIN</w:t>
            </w:r>
          </w:p>
        </w:tc>
        <w:tc>
          <w:tcPr>
            <w:tcW w:w="4300" w:type="dxa"/>
            <w:vAlign w:val="bottom"/>
            <w:gridSpan w:val="2"/>
          </w:tcPr>
          <w:p>
            <w:pPr>
              <w:jc w:val="right"/>
              <w:ind w:right="934"/>
              <w:spacing w:after="0"/>
              <w:rPr>
                <w:sz w:val="20"/>
                <w:szCs w:val="20"/>
                <w:color w:val="auto"/>
              </w:rPr>
            </w:pPr>
            <w:r>
              <w:rPr>
                <w:rFonts w:ascii="Arial" w:cs="Arial" w:eastAsia="Arial" w:hAnsi="Arial"/>
                <w:sz w:val="17"/>
                <w:szCs w:val="17"/>
                <w:b w:val="1"/>
                <w:bCs w:val="1"/>
                <w:color w:val="auto"/>
              </w:rPr>
              <w:t>39-1672779</w:t>
            </w:r>
          </w:p>
        </w:tc>
      </w:tr>
      <w:tr>
        <w:trPr>
          <w:trHeight w:val="20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w w:val="92"/>
              </w:rPr>
              <w:t>(State or other jurisdiction of</w:t>
            </w:r>
          </w:p>
        </w:tc>
        <w:tc>
          <w:tcPr>
            <w:tcW w:w="4300" w:type="dxa"/>
            <w:vAlign w:val="bottom"/>
            <w:gridSpan w:val="2"/>
          </w:tcPr>
          <w:p>
            <w:pPr>
              <w:jc w:val="center"/>
              <w:ind w:left="1334"/>
              <w:spacing w:after="0"/>
              <w:rPr>
                <w:sz w:val="20"/>
                <w:szCs w:val="20"/>
                <w:color w:val="auto"/>
              </w:rPr>
            </w:pPr>
            <w:r>
              <w:rPr>
                <w:rFonts w:ascii="Arial" w:cs="Arial" w:eastAsia="Arial" w:hAnsi="Arial"/>
                <w:sz w:val="17"/>
                <w:szCs w:val="17"/>
                <w:b w:val="1"/>
                <w:bCs w:val="1"/>
                <w:color w:val="auto"/>
                <w:w w:val="95"/>
              </w:rPr>
              <w:t>(I.R.S. Employer</w:t>
            </w:r>
          </w:p>
        </w:tc>
      </w:tr>
      <w:tr>
        <w:trPr>
          <w:trHeight w:val="223"/>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w w:val="92"/>
              </w:rPr>
              <w:t>incorporation or organization)</w:t>
            </w:r>
          </w:p>
        </w:tc>
        <w:tc>
          <w:tcPr>
            <w:tcW w:w="4300" w:type="dxa"/>
            <w:vAlign w:val="bottom"/>
            <w:gridSpan w:val="2"/>
          </w:tcPr>
          <w:p>
            <w:pPr>
              <w:jc w:val="center"/>
              <w:ind w:left="1354"/>
              <w:spacing w:after="0"/>
              <w:rPr>
                <w:sz w:val="20"/>
                <w:szCs w:val="20"/>
                <w:color w:val="auto"/>
              </w:rPr>
            </w:pPr>
            <w:r>
              <w:rPr>
                <w:rFonts w:ascii="Arial" w:cs="Arial" w:eastAsia="Arial" w:hAnsi="Arial"/>
                <w:sz w:val="17"/>
                <w:szCs w:val="17"/>
                <w:b w:val="1"/>
                <w:bCs w:val="1"/>
                <w:color w:val="auto"/>
                <w:w w:val="93"/>
              </w:rPr>
              <w:t>Identification No.)</w:t>
            </w:r>
          </w:p>
        </w:tc>
      </w:tr>
      <w:tr>
        <w:trPr>
          <w:trHeight w:val="39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w w:val="99"/>
              </w:rPr>
              <w:t>100 MANPOWER PLACE</w:t>
            </w:r>
          </w:p>
        </w:tc>
        <w:tc>
          <w:tcPr>
            <w:tcW w:w="31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rPr>
              <w:t>MILWAUKEE, WISCONSIN</w:t>
            </w:r>
          </w:p>
        </w:tc>
        <w:tc>
          <w:tcPr>
            <w:tcW w:w="3120" w:type="dxa"/>
            <w:vAlign w:val="bottom"/>
          </w:tcPr>
          <w:p>
            <w:pPr>
              <w:jc w:val="right"/>
              <w:spacing w:after="0"/>
              <w:rPr>
                <w:sz w:val="20"/>
                <w:szCs w:val="20"/>
                <w:color w:val="auto"/>
              </w:rPr>
            </w:pPr>
            <w:r>
              <w:rPr>
                <w:rFonts w:ascii="Arial" w:cs="Arial" w:eastAsia="Arial" w:hAnsi="Arial"/>
                <w:sz w:val="17"/>
                <w:szCs w:val="17"/>
                <w:b w:val="1"/>
                <w:bCs w:val="1"/>
                <w:color w:val="auto"/>
              </w:rPr>
              <w:t>53212</w:t>
            </w:r>
          </w:p>
        </w:tc>
        <w:tc>
          <w:tcPr>
            <w:tcW w:w="1180" w:type="dxa"/>
            <w:vAlign w:val="bottom"/>
          </w:tcPr>
          <w:p>
            <w:pPr>
              <w:spacing w:after="0"/>
              <w:rPr>
                <w:sz w:val="17"/>
                <w:szCs w:val="17"/>
                <w:color w:val="auto"/>
              </w:rPr>
            </w:pPr>
          </w:p>
        </w:tc>
      </w:tr>
      <w:tr>
        <w:trPr>
          <w:trHeight w:val="20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w w:val="89"/>
              </w:rPr>
              <w:t>(Address of principal executive offices)</w:t>
            </w:r>
          </w:p>
        </w:tc>
        <w:tc>
          <w:tcPr>
            <w:tcW w:w="4300" w:type="dxa"/>
            <w:vAlign w:val="bottom"/>
            <w:gridSpan w:val="2"/>
          </w:tcPr>
          <w:p>
            <w:pPr>
              <w:jc w:val="center"/>
              <w:ind w:left="1334"/>
              <w:spacing w:after="0"/>
              <w:rPr>
                <w:sz w:val="20"/>
                <w:szCs w:val="20"/>
                <w:color w:val="auto"/>
              </w:rPr>
            </w:pPr>
            <w:r>
              <w:rPr>
                <w:rFonts w:ascii="Arial" w:cs="Arial" w:eastAsia="Arial" w:hAnsi="Arial"/>
                <w:sz w:val="17"/>
                <w:szCs w:val="17"/>
                <w:b w:val="1"/>
                <w:bCs w:val="1"/>
                <w:color w:val="auto"/>
                <w:w w:val="95"/>
              </w:rPr>
              <w:t>(Zip Code)</w:t>
            </w:r>
          </w:p>
        </w:tc>
      </w:tr>
      <w:tr>
        <w:trPr>
          <w:trHeight w:val="206"/>
        </w:trPr>
        <w:tc>
          <w:tcPr>
            <w:tcW w:w="8820" w:type="dxa"/>
            <w:vAlign w:val="bottom"/>
            <w:gridSpan w:val="2"/>
          </w:tcPr>
          <w:p>
            <w:pPr>
              <w:jc w:val="center"/>
              <w:ind w:left="2514"/>
              <w:spacing w:after="0"/>
              <w:rPr>
                <w:sz w:val="20"/>
                <w:szCs w:val="20"/>
                <w:color w:val="auto"/>
              </w:rPr>
            </w:pPr>
            <w:r>
              <w:rPr>
                <w:rFonts w:ascii="Arial" w:cs="Arial" w:eastAsia="Arial" w:hAnsi="Arial"/>
                <w:sz w:val="17"/>
                <w:szCs w:val="17"/>
                <w:b w:val="1"/>
                <w:bCs w:val="1"/>
                <w:color w:val="auto"/>
                <w:w w:val="90"/>
              </w:rPr>
              <w:t>Registrant’s telephone number, including area code: (414) 961-1000</w:t>
            </w:r>
          </w:p>
        </w:tc>
        <w:tc>
          <w:tcPr>
            <w:tcW w:w="1180" w:type="dxa"/>
            <w:vAlign w:val="bottom"/>
          </w:tcPr>
          <w:p>
            <w:pPr>
              <w:spacing w:after="0"/>
              <w:rPr>
                <w:sz w:val="17"/>
                <w:szCs w:val="17"/>
                <w:color w:val="auto"/>
              </w:rPr>
            </w:pPr>
          </w:p>
        </w:tc>
      </w:tr>
      <w:tr>
        <w:trPr>
          <w:trHeight w:val="223"/>
        </w:trPr>
        <w:tc>
          <w:tcPr>
            <w:tcW w:w="8820" w:type="dxa"/>
            <w:vAlign w:val="bottom"/>
            <w:gridSpan w:val="2"/>
          </w:tcPr>
          <w:p>
            <w:pPr>
              <w:jc w:val="center"/>
              <w:ind w:left="2534"/>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1180" w:type="dxa"/>
            <w:vAlign w:val="bottom"/>
          </w:tcPr>
          <w:p>
            <w:pPr>
              <w:spacing w:after="0"/>
              <w:rPr>
                <w:sz w:val="19"/>
                <w:szCs w:val="19"/>
                <w:color w:val="auto"/>
              </w:rPr>
            </w:pPr>
          </w:p>
        </w:tc>
      </w:tr>
      <w:tr>
        <w:trPr>
          <w:trHeight w:val="39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w w:val="88"/>
              </w:rPr>
              <w:t>Title of each class</w:t>
            </w:r>
          </w:p>
        </w:tc>
        <w:tc>
          <w:tcPr>
            <w:tcW w:w="4300" w:type="dxa"/>
            <w:vAlign w:val="bottom"/>
            <w:gridSpan w:val="2"/>
          </w:tcPr>
          <w:p>
            <w:pPr>
              <w:jc w:val="center"/>
              <w:ind w:left="1354"/>
              <w:spacing w:after="0"/>
              <w:rPr>
                <w:sz w:val="20"/>
                <w:szCs w:val="20"/>
                <w:color w:val="auto"/>
              </w:rPr>
            </w:pPr>
            <w:r>
              <w:rPr>
                <w:rFonts w:ascii="Arial" w:cs="Arial" w:eastAsia="Arial" w:hAnsi="Arial"/>
                <w:sz w:val="17"/>
                <w:szCs w:val="17"/>
                <w:b w:val="1"/>
                <w:bCs w:val="1"/>
                <w:color w:val="auto"/>
                <w:w w:val="90"/>
              </w:rPr>
              <w:t>Name of Exchange on which registered</w:t>
            </w:r>
          </w:p>
        </w:tc>
      </w:tr>
      <w:tr>
        <w:trPr>
          <w:trHeight w:val="206"/>
        </w:trPr>
        <w:tc>
          <w:tcPr>
            <w:tcW w:w="5700" w:type="dxa"/>
            <w:vAlign w:val="bottom"/>
          </w:tcPr>
          <w:p>
            <w:pPr>
              <w:jc w:val="center"/>
              <w:spacing w:after="0"/>
              <w:rPr>
                <w:sz w:val="20"/>
                <w:szCs w:val="20"/>
                <w:color w:val="auto"/>
              </w:rPr>
            </w:pPr>
            <w:r>
              <w:rPr>
                <w:rFonts w:ascii="Arial" w:cs="Arial" w:eastAsia="Arial" w:hAnsi="Arial"/>
                <w:sz w:val="17"/>
                <w:szCs w:val="17"/>
                <w:b w:val="1"/>
                <w:bCs w:val="1"/>
                <w:color w:val="auto"/>
                <w:w w:val="91"/>
              </w:rPr>
              <w:t>Common Stock, $.01 par value</w:t>
            </w:r>
          </w:p>
        </w:tc>
        <w:tc>
          <w:tcPr>
            <w:tcW w:w="4300" w:type="dxa"/>
            <w:vAlign w:val="bottom"/>
            <w:gridSpan w:val="2"/>
          </w:tcPr>
          <w:p>
            <w:pPr>
              <w:jc w:val="center"/>
              <w:ind w:left="1354"/>
              <w:spacing w:after="0"/>
              <w:rPr>
                <w:sz w:val="20"/>
                <w:szCs w:val="20"/>
                <w:color w:val="auto"/>
              </w:rPr>
            </w:pPr>
            <w:r>
              <w:rPr>
                <w:rFonts w:ascii="Arial" w:cs="Arial" w:eastAsia="Arial" w:hAnsi="Arial"/>
                <w:sz w:val="17"/>
                <w:szCs w:val="17"/>
                <w:b w:val="1"/>
                <w:bCs w:val="1"/>
                <w:color w:val="auto"/>
                <w:w w:val="90"/>
              </w:rPr>
              <w:t>New York Stock Exchange</w:t>
            </w:r>
          </w:p>
        </w:tc>
      </w:tr>
      <w:tr>
        <w:trPr>
          <w:trHeight w:val="223"/>
        </w:trPr>
        <w:tc>
          <w:tcPr>
            <w:tcW w:w="8820" w:type="dxa"/>
            <w:vAlign w:val="bottom"/>
            <w:gridSpan w:val="2"/>
          </w:tcPr>
          <w:p>
            <w:pPr>
              <w:jc w:val="center"/>
              <w:ind w:left="2514"/>
              <w:spacing w:after="0"/>
              <w:rPr>
                <w:sz w:val="20"/>
                <w:szCs w:val="20"/>
                <w:color w:val="auto"/>
              </w:rPr>
            </w:pPr>
            <w:r>
              <w:rPr>
                <w:rFonts w:ascii="Arial" w:cs="Arial" w:eastAsia="Arial" w:hAnsi="Arial"/>
                <w:sz w:val="17"/>
                <w:szCs w:val="17"/>
                <w:b w:val="1"/>
                <w:bCs w:val="1"/>
                <w:color w:val="auto"/>
                <w:w w:val="89"/>
              </w:rPr>
              <w:t>Securities registered pursuant to Section 12(g) of the Act: None</w:t>
            </w:r>
          </w:p>
        </w:tc>
        <w:tc>
          <w:tcPr>
            <w:tcW w:w="1180" w:type="dxa"/>
            <w:vAlign w:val="bottom"/>
          </w:tcPr>
          <w:p>
            <w:pPr>
              <w:spacing w:after="0"/>
              <w:rPr>
                <w:sz w:val="19"/>
                <w:szCs w:val="19"/>
                <w:color w:val="auto"/>
              </w:rPr>
            </w:pPr>
          </w:p>
        </w:tc>
      </w:tr>
      <w:tr>
        <w:trPr>
          <w:trHeight w:val="370"/>
        </w:trPr>
        <w:tc>
          <w:tcPr>
            <w:tcW w:w="8820" w:type="dxa"/>
            <w:vAlign w:val="bottom"/>
            <w:gridSpan w:val="2"/>
          </w:tcPr>
          <w:p>
            <w:pPr>
              <w:spacing w:after="0"/>
              <w:rPr>
                <w:sz w:val="20"/>
                <w:szCs w:val="20"/>
                <w:color w:val="auto"/>
              </w:rPr>
            </w:pPr>
            <w:r>
              <w:rPr>
                <w:rFonts w:ascii="Arial" w:cs="Arial" w:eastAsia="Arial" w:hAnsi="Arial"/>
                <w:sz w:val="17"/>
                <w:szCs w:val="17"/>
                <w:color w:val="auto"/>
                <w:w w:val="94"/>
              </w:rPr>
              <w:t>Indicate by check mark if the registrant is a well-known seasoned issuer, as defined in Rule 405 of the Securities Act.   Yes x</w:t>
            </w:r>
          </w:p>
        </w:tc>
        <w:tc>
          <w:tcPr>
            <w:tcW w:w="1180" w:type="dxa"/>
            <w:vAlign w:val="bottom"/>
          </w:tcPr>
          <w:p>
            <w:pPr>
              <w:ind w:left="6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tc>
      </w:tr>
      <w:tr>
        <w:trPr>
          <w:trHeight w:val="253"/>
        </w:trPr>
        <w:tc>
          <w:tcPr>
            <w:tcW w:w="8820" w:type="dxa"/>
            <w:vAlign w:val="bottom"/>
            <w:gridSpan w:val="2"/>
          </w:tcPr>
          <w:p>
            <w:pPr>
              <w:ind w:left="460"/>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15(d) of the Act.</w:t>
            </w:r>
          </w:p>
        </w:tc>
        <w:tc>
          <w:tcPr>
            <w:tcW w:w="1180" w:type="dxa"/>
            <w:vAlign w:val="bottom"/>
          </w:tcPr>
          <w:p>
            <w:pPr>
              <w:ind w:left="4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tc>
      </w:tr>
    </w:tbl>
    <w:p>
      <w:pPr>
        <w:ind w:firstLine="465"/>
        <w:spacing w:after="0" w:line="20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1" w:lineRule="exact"/>
        <w:rPr>
          <w:sz w:val="24"/>
          <w:szCs w:val="24"/>
          <w:color w:val="auto"/>
        </w:rPr>
      </w:pPr>
    </w:p>
    <w:p>
      <w:pPr>
        <w:ind w:right="40" w:firstLine="465"/>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(Section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1" w:lineRule="exact"/>
        <w:rPr>
          <w:sz w:val="24"/>
          <w:szCs w:val="24"/>
          <w:color w:val="auto"/>
        </w:rPr>
      </w:pPr>
    </w:p>
    <w:p>
      <w:pPr>
        <w:ind w:right="100" w:firstLine="465"/>
        <w:spacing w:after="0" w:line="252"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 w:lineRule="exact"/>
        <w:rPr>
          <w:sz w:val="24"/>
          <w:szCs w:val="24"/>
          <w:color w:val="auto"/>
        </w:rPr>
      </w:pPr>
    </w:p>
    <w:p>
      <w:pPr>
        <w:jc w:val="both"/>
        <w:ind w:right="400" w:firstLine="465"/>
        <w:spacing w:after="0" w:line="206" w:lineRule="exact"/>
        <w:rPr>
          <w:sz w:val="20"/>
          <w:szCs w:val="20"/>
          <w:color w:val="auto"/>
        </w:rPr>
      </w:pPr>
      <w:r>
        <w:rPr>
          <w:rFonts w:ascii="Arial" w:cs="Arial" w:eastAsia="Arial" w:hAnsi="Arial"/>
          <w:sz w:val="17"/>
          <w:szCs w:val="17"/>
          <w:color w:val="auto"/>
        </w:rPr>
        <w:t xml:space="preserve">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x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p>
    <w:p>
      <w:pPr>
        <w:spacing w:after="0" w:line="1" w:lineRule="exact"/>
        <w:rPr>
          <w:sz w:val="24"/>
          <w:szCs w:val="24"/>
          <w:color w:val="auto"/>
        </w:rPr>
      </w:pPr>
    </w:p>
    <w:p>
      <w:pPr>
        <w:ind w:left="460"/>
        <w:spacing w:after="0" w:line="196" w:lineRule="exact"/>
        <w:tabs>
          <w:tab w:leader="none" w:pos="8420" w:val="left"/>
          <w:tab w:leader="none" w:pos="91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ab/>
        <w:t>No x</w:t>
      </w:r>
    </w:p>
    <w:p>
      <w:pPr>
        <w:spacing w:after="0" w:line="17" w:lineRule="exact"/>
        <w:rPr>
          <w:sz w:val="24"/>
          <w:szCs w:val="24"/>
          <w:color w:val="auto"/>
        </w:rPr>
      </w:pPr>
    </w:p>
    <w:p>
      <w:pPr>
        <w:ind w:right="120" w:firstLine="465"/>
        <w:spacing w:after="0" w:line="263" w:lineRule="auto"/>
        <w:rPr>
          <w:sz w:val="20"/>
          <w:szCs w:val="20"/>
          <w:color w:val="auto"/>
        </w:rPr>
      </w:pPr>
      <w:r>
        <w:rPr>
          <w:rFonts w:ascii="Arial" w:cs="Arial" w:eastAsia="Arial" w:hAnsi="Arial"/>
          <w:sz w:val="17"/>
          <w:szCs w:val="17"/>
          <w:color w:val="auto"/>
        </w:rPr>
        <w:t>The aggregate market value of the voting stock held by nonaffiliates of the registrant was $4,232,989,284 as of June 30, 2013. As of February 18, 2014, there were 79,559,086 of the registrant’s shares of common stock outstanding.</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DOCUMENTS INCORPORATED BY REFERENCE</w:t>
      </w:r>
    </w:p>
    <w:p>
      <w:pPr>
        <w:spacing w:after="0" w:line="218" w:lineRule="exact"/>
        <w:rPr>
          <w:sz w:val="24"/>
          <w:szCs w:val="24"/>
          <w:color w:val="auto"/>
        </w:rPr>
      </w:pPr>
    </w:p>
    <w:p>
      <w:pPr>
        <w:ind w:right="840" w:firstLine="465"/>
        <w:spacing w:after="0" w:line="280" w:lineRule="auto"/>
        <w:rPr>
          <w:sz w:val="20"/>
          <w:szCs w:val="20"/>
          <w:color w:val="auto"/>
        </w:rPr>
      </w:pPr>
      <w:r>
        <w:rPr>
          <w:rFonts w:ascii="Arial" w:cs="Arial" w:eastAsia="Arial" w:hAnsi="Arial"/>
          <w:sz w:val="17"/>
          <w:szCs w:val="17"/>
          <w:color w:val="auto"/>
        </w:rPr>
        <w:t>Parts I and II incorporate information by reference from the Annual Report to Shareholders for the fiscal year ended December 31, 2013. Part III is incorporated by reference from the Proxy Statement for the Annual Meeting of Shareholders to be held on April 29, 2014.</w:t>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24"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u w:val="single" w:color="auto"/>
          <w:color w:val="auto"/>
        </w:rPr>
        <w:t>PART I</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terms “we,” “our,” “us,” or “the Company” refer to ManpowerGroup Inc. and its consolidated subsidiaries.</w:t>
      </w:r>
    </w:p>
    <w:p>
      <w:pPr>
        <w:spacing w:after="0" w:line="212"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Introduction and History</w:t>
      </w:r>
    </w:p>
    <w:p>
      <w:pPr>
        <w:spacing w:after="0" w:line="243" w:lineRule="exact"/>
        <w:rPr>
          <w:sz w:val="20"/>
          <w:szCs w:val="20"/>
          <w:color w:val="auto"/>
        </w:rPr>
      </w:pPr>
    </w:p>
    <w:p>
      <w:pPr>
        <w:ind w:right="60" w:firstLine="637"/>
        <w:spacing w:after="0" w:line="266" w:lineRule="auto"/>
        <w:rPr>
          <w:sz w:val="20"/>
          <w:szCs w:val="20"/>
          <w:color w:val="auto"/>
        </w:rPr>
      </w:pPr>
      <w:r>
        <w:rPr>
          <w:rFonts w:ascii="Arial" w:cs="Arial" w:eastAsia="Arial" w:hAnsi="Arial"/>
          <w:sz w:val="17"/>
          <w:szCs w:val="17"/>
          <w:color w:val="auto"/>
        </w:rPr>
        <w:t>ManpowerGroup Inc. is a world leader in innovative workforce solutions and services. Our global network of over 3,100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176" w:lineRule="exact"/>
        <w:rPr>
          <w:sz w:val="20"/>
          <w:szCs w:val="20"/>
          <w:color w:val="auto"/>
        </w:rPr>
      </w:pPr>
    </w:p>
    <w:p>
      <w:pPr>
        <w:ind w:right="280" w:firstLine="637"/>
        <w:spacing w:after="0" w:line="266" w:lineRule="auto"/>
        <w:rPr>
          <w:sz w:val="20"/>
          <w:szCs w:val="20"/>
          <w:color w:val="auto"/>
        </w:rPr>
      </w:pPr>
      <w:r>
        <w:rPr>
          <w:rFonts w:ascii="Arial" w:cs="Arial" w:eastAsia="Arial" w:hAnsi="Arial"/>
          <w:sz w:val="17"/>
          <w:szCs w:val="17"/>
          <w:color w:val="auto"/>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96" w:lineRule="exact"/>
        <w:rPr>
          <w:sz w:val="20"/>
          <w:szCs w:val="20"/>
          <w:color w:val="auto"/>
        </w:rPr>
      </w:pPr>
    </w:p>
    <w:p>
      <w:pPr>
        <w:ind w:firstLine="3"/>
        <w:spacing w:after="0" w:line="270" w:lineRule="auto"/>
        <w:tabs>
          <w:tab w:leader="none" w:pos="103"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Recruitment and Assessment </w:t>
      </w:r>
      <w:r>
        <w:rPr>
          <w:rFonts w:ascii="Arial" w:cs="Arial" w:eastAsia="Arial" w:hAnsi="Arial"/>
          <w:sz w:val="17"/>
          <w:szCs w:val="17"/>
          <w:color w:val="auto"/>
        </w:rPr>
        <w:t>– By leveraging our trusted brand, industry knowledge and expertise, we identify the right talent in the right place to help our clients</w:t>
      </w:r>
      <w:r>
        <w:rPr>
          <w:rFonts w:ascii="Arial" w:cs="Arial" w:eastAsia="Arial" w:hAnsi="Arial"/>
          <w:sz w:val="17"/>
          <w:szCs w:val="17"/>
          <w:b w:val="1"/>
          <w:bCs w:val="1"/>
          <w:color w:val="auto"/>
        </w:rPr>
        <w:t xml:space="preserve"> </w:t>
      </w:r>
      <w:r>
        <w:rPr>
          <w:rFonts w:ascii="Arial" w:cs="Arial" w:eastAsia="Arial" w:hAnsi="Arial"/>
          <w:sz w:val="17"/>
          <w:szCs w:val="17"/>
          <w:color w:val="auto"/>
        </w:rPr>
        <w:t>quickly access the people they need when they need them. Through our industry-leading assessments, we gain a deeper understanding of the people we serve to correctly identify candidates’ potential, resulting in a better cultural match.</w:t>
      </w:r>
    </w:p>
    <w:p>
      <w:pPr>
        <w:spacing w:after="0" w:line="192" w:lineRule="exact"/>
        <w:rPr>
          <w:rFonts w:ascii="Arial" w:cs="Arial" w:eastAsia="Arial" w:hAnsi="Arial"/>
          <w:sz w:val="17"/>
          <w:szCs w:val="17"/>
          <w:color w:val="auto"/>
        </w:rPr>
      </w:pPr>
    </w:p>
    <w:p>
      <w:pPr>
        <w:ind w:right="160" w:firstLine="3"/>
        <w:spacing w:after="0" w:line="270" w:lineRule="auto"/>
        <w:tabs>
          <w:tab w:leader="none" w:pos="103"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Training and Development </w:t>
      </w:r>
      <w:r>
        <w:rPr>
          <w:rFonts w:ascii="Arial" w:cs="Arial" w:eastAsia="Arial" w:hAnsi="Arial"/>
          <w:sz w:val="17"/>
          <w:szCs w:val="17"/>
          <w:color w:val="auto"/>
        </w:rPr>
        <w:t>– Our unique insights into evolving employer needs and our expertise in training and development help us prepare candidates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associates to succeed in today’s competitive marketplace. We offer an extensive portfolio of training courses and leadership development solutions that help clients maximize talent and optimize performance.</w:t>
      </w:r>
    </w:p>
    <w:p>
      <w:pPr>
        <w:spacing w:after="0" w:line="192" w:lineRule="exact"/>
        <w:rPr>
          <w:rFonts w:ascii="Arial" w:cs="Arial" w:eastAsia="Arial" w:hAnsi="Arial"/>
          <w:sz w:val="17"/>
          <w:szCs w:val="17"/>
          <w:color w:val="auto"/>
        </w:rPr>
      </w:pPr>
    </w:p>
    <w:p>
      <w:pPr>
        <w:ind w:right="540" w:firstLine="3"/>
        <w:spacing w:after="0" w:line="287" w:lineRule="auto"/>
        <w:tabs>
          <w:tab w:leader="none" w:pos="103"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Career Management </w:t>
      </w:r>
      <w:r>
        <w:rPr>
          <w:rFonts w:ascii="Arial" w:cs="Arial" w:eastAsia="Arial" w:hAnsi="Arial"/>
          <w:sz w:val="17"/>
          <w:szCs w:val="17"/>
          <w:color w:val="auto"/>
        </w:rPr>
        <w:t>– We understand the human side of business to help individuals and organizations unleash human potential to enhance skills,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effectiveness and successfully manage career changes and workforce transitions.</w:t>
      </w:r>
    </w:p>
    <w:p>
      <w:pPr>
        <w:spacing w:after="0" w:line="177" w:lineRule="exact"/>
        <w:rPr>
          <w:rFonts w:ascii="Arial" w:cs="Arial" w:eastAsia="Arial" w:hAnsi="Arial"/>
          <w:sz w:val="17"/>
          <w:szCs w:val="17"/>
          <w:color w:val="auto"/>
        </w:rPr>
      </w:pPr>
    </w:p>
    <w:p>
      <w:pPr>
        <w:ind w:right="260" w:firstLine="3"/>
        <w:spacing w:after="0" w:line="287" w:lineRule="auto"/>
        <w:tabs>
          <w:tab w:leader="none" w:pos="103"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Outsourcing </w:t>
      </w:r>
      <w:r>
        <w:rPr>
          <w:rFonts w:ascii="Arial" w:cs="Arial" w:eastAsia="Arial" w:hAnsi="Arial"/>
          <w:sz w:val="17"/>
          <w:szCs w:val="17"/>
          <w:color w:val="auto"/>
        </w:rPr>
        <w:t>– We provide clients with outsourcing services related to human resources functions primarily in the areas of large-scale recruiting and workforce-intensive initiatives that are outcome-based, thereby sharing in the risk and reward with our clients.</w:t>
      </w:r>
    </w:p>
    <w:p>
      <w:pPr>
        <w:spacing w:after="0" w:line="177" w:lineRule="exact"/>
        <w:rPr>
          <w:rFonts w:ascii="Arial" w:cs="Arial" w:eastAsia="Arial" w:hAnsi="Arial"/>
          <w:sz w:val="17"/>
          <w:szCs w:val="17"/>
          <w:color w:val="auto"/>
        </w:rPr>
      </w:pPr>
    </w:p>
    <w:p>
      <w:pPr>
        <w:ind w:right="200" w:firstLine="3"/>
        <w:spacing w:after="0" w:line="287" w:lineRule="auto"/>
        <w:tabs>
          <w:tab w:leader="none" w:pos="103"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Workforce Consulting </w:t>
      </w:r>
      <w:r>
        <w:rPr>
          <w:rFonts w:ascii="Arial" w:cs="Arial" w:eastAsia="Arial" w:hAnsi="Arial"/>
          <w:sz w:val="17"/>
          <w:szCs w:val="17"/>
          <w:color w:val="auto"/>
        </w:rPr>
        <w:t>– We help clients create and align their workforce strategy to achieve their business strategy, increase business agility and flexibility, and</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 personal and business success.</w:t>
      </w:r>
    </w:p>
    <w:p>
      <w:pPr>
        <w:spacing w:after="0" w:line="158" w:lineRule="exact"/>
        <w:rPr>
          <w:sz w:val="20"/>
          <w:szCs w:val="20"/>
          <w:color w:val="auto"/>
        </w:rPr>
      </w:pPr>
    </w:p>
    <w:p>
      <w:pPr>
        <w:ind w:firstLine="633"/>
        <w:spacing w:after="0" w:line="280" w:lineRule="auto"/>
        <w:rPr>
          <w:sz w:val="20"/>
          <w:szCs w:val="20"/>
          <w:color w:val="auto"/>
        </w:rPr>
      </w:pPr>
      <w:r>
        <w:rPr>
          <w:rFonts w:ascii="Arial" w:cs="Arial" w:eastAsia="Arial" w:hAnsi="Arial"/>
          <w:sz w:val="17"/>
          <w:szCs w:val="17"/>
          <w:color w:val="auto"/>
        </w:rPr>
        <w:t>This comprehensive and diverse business mix helps us to partially mitigate the cyclical effects of the national economies in which we operate. Our family of brands and offerings includes:</w:t>
      </w:r>
    </w:p>
    <w:p>
      <w:pPr>
        <w:spacing w:after="0" w:line="183" w:lineRule="exact"/>
        <w:rPr>
          <w:sz w:val="20"/>
          <w:szCs w:val="20"/>
          <w:color w:val="auto"/>
        </w:rPr>
      </w:pPr>
    </w:p>
    <w:p>
      <w:pPr>
        <w:ind w:firstLine="3"/>
        <w:spacing w:after="0" w:line="287" w:lineRule="auto"/>
        <w:tabs>
          <w:tab w:leader="none" w:pos="103"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Manpower </w:t>
      </w:r>
      <w:r>
        <w:rPr>
          <w:rFonts w:ascii="Arial" w:cs="Arial" w:eastAsia="Arial" w:hAnsi="Arial"/>
          <w:sz w:val="17"/>
          <w:szCs w:val="17"/>
          <w:color w:val="auto"/>
        </w:rPr>
        <w:t>– We are a global leader in contingent and permanent recruitment staffing. We provide businesses with rapid access to a highly qualified and productive</w:t>
      </w:r>
      <w:r>
        <w:rPr>
          <w:rFonts w:ascii="Arial" w:cs="Arial" w:eastAsia="Arial" w:hAnsi="Arial"/>
          <w:sz w:val="17"/>
          <w:szCs w:val="17"/>
          <w:b w:val="1"/>
          <w:bCs w:val="1"/>
          <w:color w:val="auto"/>
        </w:rPr>
        <w:t xml:space="preserve"> </w:t>
      </w:r>
      <w:r>
        <w:rPr>
          <w:rFonts w:ascii="Arial" w:cs="Arial" w:eastAsia="Arial" w:hAnsi="Arial"/>
          <w:sz w:val="17"/>
          <w:szCs w:val="17"/>
          <w:color w:val="auto"/>
        </w:rPr>
        <w:t>pool of candidates to give them the flexibility and agility they need to respond to changing business needs.</w:t>
      </w:r>
    </w:p>
    <w:p>
      <w:pPr>
        <w:spacing w:after="0" w:line="177" w:lineRule="exact"/>
        <w:rPr>
          <w:rFonts w:ascii="Arial" w:cs="Arial" w:eastAsia="Arial" w:hAnsi="Arial"/>
          <w:sz w:val="17"/>
          <w:szCs w:val="17"/>
          <w:color w:val="auto"/>
        </w:rPr>
      </w:pPr>
    </w:p>
    <w:p>
      <w:pPr>
        <w:ind w:right="100" w:firstLine="3"/>
        <w:spacing w:after="0" w:line="287" w:lineRule="auto"/>
        <w:tabs>
          <w:tab w:leader="none" w:pos="103"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Experis </w:t>
      </w:r>
      <w:r>
        <w:rPr>
          <w:rFonts w:ascii="Arial" w:cs="Arial" w:eastAsia="Arial" w:hAnsi="Arial"/>
          <w:sz w:val="17"/>
          <w:szCs w:val="17"/>
          <w:color w:val="auto"/>
        </w:rPr>
        <w:t>– We are a global leader in professional resourcing and project-based solutions. With operations in over 55 countries and territories, we deliver 49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hours of professional talent specializing in Information Technology (IT), Engineering, Finance and Healthcare.</w:t>
      </w:r>
    </w:p>
    <w:p>
      <w:pPr>
        <w:spacing w:after="0" w:line="177" w:lineRule="exact"/>
        <w:rPr>
          <w:rFonts w:ascii="Arial" w:cs="Arial" w:eastAsia="Arial" w:hAnsi="Arial"/>
          <w:sz w:val="17"/>
          <w:szCs w:val="17"/>
          <w:color w:val="auto"/>
        </w:rPr>
      </w:pPr>
    </w:p>
    <w:p>
      <w:pPr>
        <w:ind w:right="480" w:firstLine="3"/>
        <w:spacing w:after="0" w:line="270" w:lineRule="auto"/>
        <w:tabs>
          <w:tab w:leader="none" w:pos="103"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Right Management </w:t>
      </w:r>
      <w:r>
        <w:rPr>
          <w:rFonts w:ascii="Arial" w:cs="Arial" w:eastAsia="Arial" w:hAnsi="Arial"/>
          <w:sz w:val="17"/>
          <w:szCs w:val="17"/>
          <w:color w:val="auto"/>
        </w:rPr>
        <w:t>– We are a global leader in talent and career management. Through our innovative and proprietary process, we leverage our expertise in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assessment, leader development, career management and workforce transition and outplacement to increase productivity and optimize business performance.</w:t>
      </w:r>
    </w:p>
    <w:p>
      <w:pPr>
        <w:spacing w:after="0" w:line="217" w:lineRule="exact"/>
        <w:rPr>
          <w:rFonts w:ascii="Arial" w:cs="Arial" w:eastAsia="Arial" w:hAnsi="Arial"/>
          <w:sz w:val="17"/>
          <w:szCs w:val="17"/>
          <w:color w:val="auto"/>
        </w:rPr>
      </w:pPr>
    </w:p>
    <w:p>
      <w:pPr>
        <w:ind w:right="80" w:firstLine="3"/>
        <w:spacing w:after="0" w:line="270" w:lineRule="auto"/>
        <w:tabs>
          <w:tab w:leader="none" w:pos="103"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ManpowerGroup Solutions </w:t>
      </w:r>
      <w:r>
        <w:rPr>
          <w:rFonts w:ascii="Arial" w:cs="Arial" w:eastAsia="Arial" w:hAnsi="Arial"/>
          <w:sz w:val="17"/>
          <w:szCs w:val="17"/>
          <w:color w:val="auto"/>
        </w:rPr>
        <w:t>– ManpowerGroup Solutions is a leader in outcome-based, talent-driven solutions. Our offerings include best-in-class Talent Based</w:t>
      </w:r>
      <w:r>
        <w:rPr>
          <w:rFonts w:ascii="Arial" w:cs="Arial" w:eastAsia="Arial" w:hAnsi="Arial"/>
          <w:sz w:val="17"/>
          <w:szCs w:val="17"/>
          <w:b w:val="1"/>
          <w:bCs w:val="1"/>
          <w:color w:val="auto"/>
        </w:rPr>
        <w:t xml:space="preserve"> </w:t>
      </w:r>
      <w:r>
        <w:rPr>
          <w:rFonts w:ascii="Arial" w:cs="Arial" w:eastAsia="Arial" w:hAnsi="Arial"/>
          <w:sz w:val="17"/>
          <w:szCs w:val="17"/>
          <w:color w:val="auto"/>
        </w:rPr>
        <w:t>Outsourcing (TBO), TAPFIN - Managed Service Provider (MSP), Recruitment Process Outsourcing (RPO), Borderless Talent Solutions (BTS), Strategic Workforce Consulting (SWC) and Language Services.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702" w:right="259" w:bottom="1440" w:gutter="0" w:footer="0" w:header="0"/>
        </w:sectPr>
      </w:pPr>
    </w:p>
    <w:bookmarkStart w:id="2" w:name="page3"/>
    <w:bookmarkEnd w:id="2"/>
    <w:p>
      <w:pPr>
        <w:ind w:right="80" w:firstLine="637"/>
        <w:spacing w:after="0" w:line="258" w:lineRule="auto"/>
        <w:rPr>
          <w:sz w:val="20"/>
          <w:szCs w:val="20"/>
          <w:color w:val="auto"/>
        </w:rPr>
      </w:pPr>
      <w:r>
        <w:rPr>
          <w:rFonts w:ascii="Arial" w:cs="Arial" w:eastAsia="Arial" w:hAnsi="Arial"/>
          <w:sz w:val="17"/>
          <w:szCs w:val="17"/>
          <w:color w:val="auto"/>
        </w:rPr>
        <w:t>Our leadership position allows us to be a center for quality employment opportunities for people at all points in their career paths. In 2013, the 3.4 million people we connected to opportunities and purpose worked to help more than 400,000 of our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and our predecessors, have been in business since 1948, with shares listed on the New York Stock Exchange since 1967.</w:t>
      </w:r>
    </w:p>
    <w:p>
      <w:pPr>
        <w:spacing w:after="0" w:line="218" w:lineRule="exact"/>
        <w:rPr>
          <w:sz w:val="20"/>
          <w:szCs w:val="20"/>
          <w:color w:val="auto"/>
        </w:rPr>
      </w:pPr>
    </w:p>
    <w:p>
      <w:pPr>
        <w:ind w:right="140" w:firstLine="637"/>
        <w:spacing w:after="0" w:line="262" w:lineRule="auto"/>
        <w:rPr>
          <w:sz w:val="20"/>
          <w:szCs w:val="20"/>
          <w:color w:val="auto"/>
        </w:rPr>
      </w:pPr>
      <w:r>
        <w:rPr>
          <w:rFonts w:ascii="Arial" w:cs="Arial" w:eastAsia="Arial" w:hAnsi="Arial"/>
          <w:sz w:val="17"/>
          <w:szCs w:val="17"/>
          <w:color w:val="auto"/>
        </w:rPr>
        <w:t>Our Internet address is www.manpowergroup.com. We make available free of charge through our Internet website our annual reports on Form 10-K, quarterly reports on Form 10-Q, current reports on Form 8-K, and amendments to those reports filed or furnished pursuant to Section 13(a) of the Securities Exchange Act of 1934 as soon as reasonably practicable after we electronically file such material with, or furnish it to, the Securities and Exchange Commission. In addition, we also make available through our Internet website:</w:t>
      </w:r>
    </w:p>
    <w:p>
      <w:pPr>
        <w:spacing w:after="0" w:line="179"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articles of incorporation and bylaws;</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ManpowerGroup Code of Business Conduct and Ethics;</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Corporate Governance Guidelines;</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charters of the Audit, Executive Compensation and Human Resources and Nominating and Governance Committees of the Board of Directors;</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guidelines for selecting board candidates;</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categorical standards for relationships deemed not to impair independence of non-employee directors;</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policy on services provided by independent auditors; and</w:t>
      </w:r>
    </w:p>
    <w:p>
      <w:pPr>
        <w:spacing w:after="0" w:line="217" w:lineRule="exact"/>
        <w:rPr>
          <w:rFonts w:ascii="Arial" w:cs="Arial" w:eastAsia="Arial" w:hAnsi="Arial"/>
          <w:sz w:val="17"/>
          <w:szCs w:val="17"/>
          <w:color w:val="auto"/>
        </w:rPr>
      </w:pPr>
    </w:p>
    <w:p>
      <w:pPr>
        <w:ind w:left="320" w:hanging="317"/>
        <w:spacing w:after="0"/>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regular update on corporate social responsibility.</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Documents available on the website are also available in print for any shareholder who requests them. Requests may be made by writing to Mr. Richard Buchband, Secretary, ManpowerGroup, 100 Manpower Place, Milwaukee, Wisconsin 53212. We are not including the information contained on or available through our website as a part of, or incorporating such information by reference into, this Annual Report on Form 10-K.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Operations</w:t>
      </w:r>
    </w:p>
    <w:p>
      <w:pPr>
        <w:spacing w:after="0" w:line="218" w:lineRule="exact"/>
        <w:rPr>
          <w:sz w:val="20"/>
          <w:szCs w:val="20"/>
          <w:color w:val="auto"/>
        </w:rPr>
      </w:pPr>
    </w:p>
    <w:p>
      <w:pPr>
        <w:ind w:right="140" w:firstLine="637"/>
        <w:spacing w:after="0" w:line="308" w:lineRule="auto"/>
        <w:rPr>
          <w:sz w:val="20"/>
          <w:szCs w:val="20"/>
          <w:color w:val="auto"/>
        </w:rPr>
      </w:pPr>
      <w:r>
        <w:rPr>
          <w:rFonts w:ascii="Arial" w:cs="Arial" w:eastAsia="Arial" w:hAnsi="Arial"/>
          <w:sz w:val="15"/>
          <w:szCs w:val="15"/>
          <w:color w:val="auto"/>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while demand for our outplacement services typically declines. Correspondingly, during periods of weak economic growth or economic contraction, the demand for our staffing services typically declines, while demand for our outplacement services typically accelerates.</w:t>
      </w:r>
    </w:p>
    <w:p>
      <w:pPr>
        <w:spacing w:after="0" w:line="147" w:lineRule="exact"/>
        <w:rPr>
          <w:sz w:val="20"/>
          <w:szCs w:val="20"/>
          <w:color w:val="auto"/>
        </w:rPr>
      </w:pPr>
    </w:p>
    <w:p>
      <w:pPr>
        <w:ind w:right="100" w:firstLine="637"/>
        <w:spacing w:after="0" w:line="260" w:lineRule="auto"/>
        <w:rPr>
          <w:sz w:val="20"/>
          <w:szCs w:val="20"/>
          <w:color w:val="auto"/>
        </w:rPr>
      </w:pPr>
      <w:r>
        <w:rPr>
          <w:rFonts w:ascii="Arial" w:cs="Arial" w:eastAsia="Arial" w:hAnsi="Arial"/>
          <w:sz w:val="17"/>
          <w:szCs w:val="17"/>
          <w:color w:val="auto"/>
        </w:rPr>
        <w:t>During the last several years, secular trends toward greater workforce flexibility have had a favorable impact on demand for our innovative workforce solutions and services around the world. As companies attempt to increase the variability of their cost base, the workforce solutions we provide help them to effectively address the fluctuating demand for their products or services. As the economy recovers, we plan to play an increasing role, as the need for a robust workforce strategy and talent acquisition plan will continue to be critical due to the deep staff cuts that many companies, particularly large organizations, have made during periods of slow economic growth.</w:t>
      </w:r>
    </w:p>
    <w:p>
      <w:pPr>
        <w:spacing w:after="0" w:line="206" w:lineRule="exact"/>
        <w:rPr>
          <w:sz w:val="20"/>
          <w:szCs w:val="20"/>
          <w:color w:val="auto"/>
        </w:rPr>
      </w:pPr>
    </w:p>
    <w:p>
      <w:pPr>
        <w:ind w:right="20" w:firstLine="637"/>
        <w:spacing w:after="0" w:line="276" w:lineRule="auto"/>
        <w:rPr>
          <w:sz w:val="20"/>
          <w:szCs w:val="20"/>
          <w:color w:val="auto"/>
        </w:rPr>
      </w:pPr>
      <w:r>
        <w:rPr>
          <w:rFonts w:ascii="Arial" w:cs="Arial" w:eastAsia="Arial" w:hAnsi="Arial"/>
          <w:sz w:val="16"/>
          <w:szCs w:val="16"/>
          <w:color w:val="auto"/>
        </w:rPr>
        <w:t>Our portfolio of recruitment services includes permanent, temporary and contract recruitment of professionals, as well as administrative and industrial positions. All of these services are provided under our Manpower and Experis brands. We have provided services under our core Manpower brand for over 65 years with a primary focus on the areas of office, call center and industrial services and solutions. We are continuing the global expansion and acceleration of our Experis brand, particularly in the areas of IT, Engineering, Finance and Healthcare, providing high-impact solutions, accelerating organizations’ growth by intensely attracting, assessing and placing specialized expertise to deliver in-demand talent for mission-critical positions. Our experience and expertise allow us to accurately assess candidates’ workplace potential and technical skills to match them to the needs of our clients. Our plan is to develop Experis to be a critical revenue stream for us in the future, as we continue to build our brand and attract the talent our clients need as skills shortages arise.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 w:name="page4"/>
    <w:bookmarkEnd w:id="3"/>
    <w:p>
      <w:pPr>
        <w:ind w:right="20" w:firstLine="465"/>
        <w:spacing w:after="0" w:line="273" w:lineRule="auto"/>
        <w:rPr>
          <w:sz w:val="20"/>
          <w:szCs w:val="20"/>
          <w:color w:val="auto"/>
        </w:rPr>
      </w:pPr>
      <w:r>
        <w:rPr>
          <w:rFonts w:ascii="Arial" w:cs="Arial" w:eastAsia="Arial" w:hAnsi="Arial"/>
          <w:sz w:val="16"/>
          <w:szCs w:val="16"/>
          <w:color w:val="auto"/>
        </w:rPr>
        <w:t>ManpowerGroup Solutions specializes in the delivery of customized workforce strategies and outcome-based solutions. Within this business unit, our recruitment solutions and services include our RPO offering, in which we manage customized, large-scale recruiting and workforce productivity initiatives for clients through an exclusive outsourcing contract. We can manage a single element or all of a client's permanent recruiting and hiring processes, from job profiling to on-boarding, globally or in a single location. MSP services include overall program management, reporting and tracking, supplier selection and management and order distribution. The MSP and RPO offerings both provide specialty expertise in contingent workforce management and broader administrative functions. TBO services include management of financial and administrative processes, including call center and customer service activities and accounting and payroll. BTS provides our clients with access to the world’s labor market and the expertise of ManpowerGroup’s global network. BTS services include the placement of candidates who best meet the qualifications sought by our clients from one country to another country. Our proven experience, process and digital and physical network allow us to drive the per hire cost savings down through an end-to-end recruitment process. Our SWC offering provides our clients with guidance on a workforce strategy that is aligned with and accelerates the execution of their business strategy. SWC uses the consulting methodology that leverages ManpowerGroup’s capability, expertise and our unique perspective on the changing world of work. ManpowerGroup Solutions Language Services delivers the holistic language and content management expertise to drive performance and increase the impact of communications across an organization.</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Americas</w:t>
      </w:r>
    </w:p>
    <w:p>
      <w:pPr>
        <w:spacing w:after="0" w:line="218"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7"/>
          <w:szCs w:val="17"/>
          <w:color w:val="auto"/>
        </w:rPr>
        <w:t>We provide services as Manpower, Experis and ManpowerGroup Solutions through both branch and franchise offices. The total Americas segment had 722 branch and 180 franchise offices. In the United States, where we realized 66% of the Americas’ revenue, we had 486 branch and 165 franchise offices as of December 31, 2013, as well as on-site locations at clients with significant permanent, temporary and contract recruitment requirements. In Other Americas, the largest operations of which include Mexico and Argentina, we had 236 branch offices and 15 franchise offices. We provide a number of central support services to our branches and franchises, which enable us to maintain consistent service quality throughout the region regardless of whether an office is a branch or franchise. In the United States, we provide client invoicing and payroll processing of our contingent workers for all branch offices and some of our franchise offices through administrative centers managed by our Milwaukee headquarters.</w:t>
      </w:r>
    </w:p>
    <w:p>
      <w:pPr>
        <w:spacing w:after="0" w:line="187" w:lineRule="exact"/>
        <w:rPr>
          <w:sz w:val="20"/>
          <w:szCs w:val="20"/>
          <w:color w:val="auto"/>
        </w:rPr>
      </w:pPr>
    </w:p>
    <w:p>
      <w:pPr>
        <w:ind w:right="120" w:firstLine="465"/>
        <w:spacing w:after="0" w:line="262" w:lineRule="auto"/>
        <w:rPr>
          <w:sz w:val="20"/>
          <w:szCs w:val="20"/>
          <w:color w:val="auto"/>
        </w:rPr>
      </w:pPr>
      <w:r>
        <w:rPr>
          <w:rFonts w:ascii="Arial" w:cs="Arial" w:eastAsia="Arial" w:hAnsi="Arial"/>
          <w:sz w:val="17"/>
          <w:szCs w:val="17"/>
          <w:color w:val="auto"/>
        </w:rPr>
        <w:t>Our franchise agreements provide the franchisee with the right to use the Manpower® service mark in a specifically defined exclusive territory. In the United States, franchise fees generally range from 2-3% of franchise sales. Our franchise agreements provide that in the event of a proposed sale of a franchise to a third party, we have the right to acquire the franchise at the same price and on the same terms as proposed by the third party. We exercise this right and intend to continue to do so in the future if opportunities arise with appropriate prices and terms.</w:t>
      </w:r>
    </w:p>
    <w:p>
      <w:pPr>
        <w:spacing w:after="0" w:line="179" w:lineRule="exact"/>
        <w:rPr>
          <w:sz w:val="20"/>
          <w:szCs w:val="20"/>
          <w:color w:val="auto"/>
        </w:rPr>
      </w:pPr>
    </w:p>
    <w:p>
      <w:pPr>
        <w:jc w:val="both"/>
        <w:ind w:firstLine="465"/>
        <w:spacing w:after="0" w:line="260" w:lineRule="auto"/>
        <w:rPr>
          <w:sz w:val="20"/>
          <w:szCs w:val="20"/>
          <w:color w:val="auto"/>
        </w:rPr>
      </w:pPr>
      <w:r>
        <w:rPr>
          <w:rFonts w:ascii="Arial" w:cs="Arial" w:eastAsia="Arial" w:hAnsi="Arial"/>
          <w:sz w:val="17"/>
          <w:szCs w:val="17"/>
          <w:color w:val="auto"/>
        </w:rPr>
        <w:t>Our Manpower and Experis operations provide a variety of workforce solutions and services, including permanent, temporary and contract recruitment, assessment and selection and training. During 2013 in this segment, approximately 34% of temporary and contract recruitment revenues were derived from placing industrial staff, 31% from placing office staff, and 35% from placing professional and technical staff. For our United States operations in 2013, approximately 41% of the temporary and contract recruitment revenues were derived from placing industrial staff, 18% from placing office staff, and 41% from placing professional and technical staff.</w:t>
      </w:r>
    </w:p>
    <w:p>
      <w:pPr>
        <w:spacing w:after="0" w:line="206" w:lineRule="exact"/>
        <w:rPr>
          <w:sz w:val="20"/>
          <w:szCs w:val="20"/>
          <w:color w:val="auto"/>
        </w:rPr>
      </w:pPr>
    </w:p>
    <w:p>
      <w:pPr>
        <w:jc w:val="both"/>
        <w:ind w:firstLine="465"/>
        <w:spacing w:after="0" w:line="280" w:lineRule="auto"/>
        <w:rPr>
          <w:sz w:val="20"/>
          <w:szCs w:val="20"/>
          <w:color w:val="auto"/>
        </w:rPr>
      </w:pPr>
      <w:r>
        <w:rPr>
          <w:rFonts w:ascii="Arial" w:cs="Arial" w:eastAsia="Arial" w:hAnsi="Arial"/>
          <w:sz w:val="17"/>
          <w:szCs w:val="17"/>
          <w:color w:val="auto"/>
        </w:rPr>
        <w:t>Our ManpowerGroup Solutions operations provide a variety of talent based solutions including TBO, MSP, RPO, BTS, SWC and Language Services. We also conduct business in the Americas under our Right Management brand as discussed further at the end of this section.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Southern Europe</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are a leading provider of permanent, temporary and contract recruitment, assessment and selection, training and outsourcing services throughout Europe.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Our largest operations in Southern Europe are in France (73% of the segment revenue) and Italy (15% of the segment revenue).</w:t>
      </w:r>
    </w:p>
    <w:p>
      <w:pPr>
        <w:spacing w:after="0" w:line="233" w:lineRule="exact"/>
        <w:rPr>
          <w:sz w:val="20"/>
          <w:szCs w:val="20"/>
          <w:color w:val="auto"/>
        </w:rPr>
      </w:pPr>
    </w:p>
    <w:p>
      <w:pPr>
        <w:ind w:right="220" w:firstLine="465"/>
        <w:spacing w:after="0" w:line="302" w:lineRule="auto"/>
        <w:rPr>
          <w:sz w:val="20"/>
          <w:szCs w:val="20"/>
          <w:color w:val="auto"/>
        </w:rPr>
      </w:pPr>
      <w:r>
        <w:rPr>
          <w:rFonts w:ascii="Arial" w:cs="Arial" w:eastAsia="Arial" w:hAnsi="Arial"/>
          <w:sz w:val="15"/>
          <w:szCs w:val="15"/>
          <w:color w:val="auto"/>
        </w:rPr>
        <w:t>We conduct our operations in France and the surrounding region as a leading workforce solutions and service provider through 754 branch offices under the name of Manpower, Experis or ManpowerGroup Solutions, and 108 branch offices under the name Supplay. The employment services market in France calls for a wide range of our services including permanent, temporary and contract recruitment, assessment and selection, and training. The temporary recruitment market is predominately focused on recruitment for industrial positions. In 2013, we derived approximately 81% of our temporary recruitment revenues in France from the supply of industrial and construction workers, 17% from the supply of office staff, and 2% from the supply of professional and technical staff.</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 w:name="page5"/>
    <w:bookmarkEnd w:id="4"/>
    <w:p>
      <w:pPr>
        <w:ind w:right="40" w:firstLine="465"/>
        <w:spacing w:after="0" w:line="260" w:lineRule="auto"/>
        <w:rPr>
          <w:sz w:val="20"/>
          <w:szCs w:val="20"/>
          <w:color w:val="auto"/>
        </w:rPr>
      </w:pPr>
      <w:r>
        <w:rPr>
          <w:rFonts w:ascii="Arial" w:cs="Arial" w:eastAsia="Arial" w:hAnsi="Arial"/>
          <w:sz w:val="17"/>
          <w:szCs w:val="17"/>
          <w:color w:val="auto"/>
        </w:rPr>
        <w:t>In Italy, we are a leading workforce solutions and services provider. As of December 31, 2013, ManpowerGroup Italy conducted operations through a network of 239 branch offices. It provides a comprehensive suite of workforce solutions and services offered through Manpower, Experis or ManpowerGroup Solutions, including permanent, temporary and contract recruitment, assessment and selection, training and outsourcing. In 2013, approximately 66% of our temporary and contract recruitment revenues in Italy were derived from placing industrial staff, 9% from placing office staff, including contact center staff, and 25% from placing professional and technical staff.</w:t>
      </w:r>
    </w:p>
    <w:p>
      <w:pPr>
        <w:spacing w:after="0" w:line="206" w:lineRule="exact"/>
        <w:rPr>
          <w:sz w:val="20"/>
          <w:szCs w:val="20"/>
          <w:color w:val="auto"/>
        </w:rPr>
      </w:pPr>
    </w:p>
    <w:p>
      <w:pPr>
        <w:ind w:right="460" w:firstLine="465"/>
        <w:spacing w:after="0" w:line="280" w:lineRule="auto"/>
        <w:rPr>
          <w:sz w:val="20"/>
          <w:szCs w:val="20"/>
          <w:color w:val="auto"/>
        </w:rPr>
      </w:pPr>
      <w:r>
        <w:rPr>
          <w:rFonts w:ascii="Arial" w:cs="Arial" w:eastAsia="Arial" w:hAnsi="Arial"/>
          <w:sz w:val="17"/>
          <w:szCs w:val="17"/>
          <w:color w:val="auto"/>
        </w:rPr>
        <w:t>For our Southern Europe operations in total during 2013, approximately 74% of temporary and contract recruitment revenues were derived from placing industrial staff, 16% from placing office staff, and 10% from placing professional and technical staff.</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conduct business in Southern Europe under our Right Management brand as discussed below.</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Northern Europe</w:t>
      </w:r>
    </w:p>
    <w:p>
      <w:pPr>
        <w:spacing w:after="0" w:line="218" w:lineRule="exact"/>
        <w:rPr>
          <w:sz w:val="20"/>
          <w:szCs w:val="20"/>
          <w:color w:val="auto"/>
        </w:rPr>
      </w:pPr>
    </w:p>
    <w:p>
      <w:pPr>
        <w:ind w:right="140" w:firstLine="465"/>
        <w:spacing w:after="0" w:line="266" w:lineRule="auto"/>
        <w:rPr>
          <w:sz w:val="20"/>
          <w:szCs w:val="20"/>
          <w:color w:val="auto"/>
        </w:rPr>
      </w:pPr>
      <w:r>
        <w:rPr>
          <w:rFonts w:ascii="Arial" w:cs="Arial" w:eastAsia="Arial" w:hAnsi="Arial"/>
          <w:sz w:val="17"/>
          <w:szCs w:val="17"/>
          <w:color w:val="auto"/>
        </w:rPr>
        <w:t>Our largest operations in Northern Europe are in the United Kingdom, the Nordics, Germany and the Netherlands, providing a comprehensive suite of workforce solutions and services through Manpower, Experis and ManpowerGroup Solutions. Collectively, we operate through 593 branch offices and 49 franchise offices in this region. The franchise offices are in Switzerland, where we own 49% of the franchise.</w:t>
      </w:r>
    </w:p>
    <w:p>
      <w:pPr>
        <w:spacing w:after="0" w:line="176" w:lineRule="exact"/>
        <w:rPr>
          <w:sz w:val="20"/>
          <w:szCs w:val="20"/>
          <w:color w:val="auto"/>
        </w:rPr>
      </w:pPr>
    </w:p>
    <w:p>
      <w:pPr>
        <w:jc w:val="both"/>
        <w:ind w:firstLine="465"/>
        <w:spacing w:after="0" w:line="260" w:lineRule="auto"/>
        <w:rPr>
          <w:sz w:val="20"/>
          <w:szCs w:val="20"/>
          <w:color w:val="auto"/>
        </w:rPr>
      </w:pPr>
      <w:r>
        <w:rPr>
          <w:rFonts w:ascii="Arial" w:cs="Arial" w:eastAsia="Arial" w:hAnsi="Arial"/>
          <w:sz w:val="17"/>
          <w:szCs w:val="17"/>
          <w:color w:val="auto"/>
        </w:rPr>
        <w:t>In the United Kingdom, where we have the largest operation in this segment, we are a leading provider of workforce solutions and services. As of December 31, 2013, we conducted operations in the United Kingdom as Manpower, Experis and ManpowerGroup Solutions through a network of 80 branch offices and also provided on-site services to clients who have significant permanent, temporary and contract recruitment requirements. During 2013, approximately 36% of our United Kingdom operation’s temporary recruitment revenues were derived from the supply of industrial staff, 22% from the supply of office staff, and 42% from the supply of professional and technical staff.</w:t>
      </w:r>
    </w:p>
    <w:p>
      <w:pPr>
        <w:spacing w:after="0" w:line="180" w:lineRule="exact"/>
        <w:rPr>
          <w:sz w:val="20"/>
          <w:szCs w:val="20"/>
          <w:color w:val="auto"/>
        </w:rPr>
      </w:pPr>
    </w:p>
    <w:p>
      <w:pPr>
        <w:ind w:right="260" w:firstLine="465"/>
        <w:spacing w:after="0" w:line="291" w:lineRule="auto"/>
        <w:rPr>
          <w:sz w:val="20"/>
          <w:szCs w:val="20"/>
          <w:color w:val="auto"/>
        </w:rPr>
      </w:pPr>
      <w:r>
        <w:rPr>
          <w:rFonts w:ascii="Arial" w:cs="Arial" w:eastAsia="Arial" w:hAnsi="Arial"/>
          <w:sz w:val="16"/>
          <w:szCs w:val="16"/>
          <w:color w:val="auto"/>
        </w:rPr>
        <w:t>We also own Brook Street Bureau PLC, or Brook Street, which operates through a total of 89 branch offices, separate from our other brands in the United Kingdom. Its core business is secretarial, office and light industrial recruitment. Brook Street operates as a local network of branches and competes primarily with local or regional independents. Brook Street’s revenues are comprised of temporary and contract placements as well as permanent recruitment.</w:t>
      </w:r>
    </w:p>
    <w:p>
      <w:pPr>
        <w:spacing w:after="0" w:line="157" w:lineRule="exact"/>
        <w:rPr>
          <w:sz w:val="20"/>
          <w:szCs w:val="20"/>
          <w:color w:val="auto"/>
        </w:rPr>
      </w:pPr>
    </w:p>
    <w:p>
      <w:pPr>
        <w:ind w:right="460" w:firstLine="465"/>
        <w:spacing w:after="0" w:line="280" w:lineRule="auto"/>
        <w:rPr>
          <w:sz w:val="20"/>
          <w:szCs w:val="20"/>
          <w:color w:val="auto"/>
        </w:rPr>
      </w:pPr>
      <w:r>
        <w:rPr>
          <w:rFonts w:ascii="Arial" w:cs="Arial" w:eastAsia="Arial" w:hAnsi="Arial"/>
          <w:sz w:val="17"/>
          <w:szCs w:val="17"/>
          <w:color w:val="auto"/>
        </w:rPr>
        <w:t>For our Northern Europe operations in total during 2013, approximately 38% of temporary and contract recruitment revenues were derived from placing industrial staff, 27% from placing office staff, and 35% from placing professional and technical staff.</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conduct business in Northern Europe under our Right Management brand as discussed below.</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APME</w:t>
      </w:r>
    </w:p>
    <w:p>
      <w:pPr>
        <w:spacing w:after="0" w:line="218" w:lineRule="exact"/>
        <w:rPr>
          <w:sz w:val="20"/>
          <w:szCs w:val="20"/>
          <w:color w:val="auto"/>
        </w:rPr>
      </w:pPr>
    </w:p>
    <w:p>
      <w:pPr>
        <w:ind w:right="100" w:firstLine="465"/>
        <w:spacing w:after="0" w:line="260" w:lineRule="auto"/>
        <w:rPr>
          <w:sz w:val="20"/>
          <w:szCs w:val="20"/>
          <w:color w:val="auto"/>
        </w:rPr>
      </w:pPr>
      <w:r>
        <w:rPr>
          <w:rFonts w:ascii="Arial" w:cs="Arial" w:eastAsia="Arial" w:hAnsi="Arial"/>
          <w:sz w:val="17"/>
          <w:szCs w:val="17"/>
          <w:color w:val="auto"/>
        </w:rPr>
        <w:t>We operate through 191 branch offices in the Asia Pacific Middle East (APME) region. The largest of these operations are located in Australia, China, India and Japan, all of which operate through branch offices. Our APME operations provide a variety of workforce solutions and services offered through Manpower, Experis and ManpowerGroup Solutions, including permanent, temporary and contract recruitment, assessment and selection, training and outsourcing. During 2013, approximately 14% of our APME temporary and contract recruitment revenues were derived from placing industrial staff, 48% from placing office staff, and 38% from placing professional and technical staff.</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also conduct business in APME under our Right Management brand as discussed below.</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Right Management</w:t>
      </w:r>
    </w:p>
    <w:p>
      <w:pPr>
        <w:spacing w:after="0" w:line="218" w:lineRule="exact"/>
        <w:rPr>
          <w:sz w:val="20"/>
          <w:szCs w:val="20"/>
          <w:color w:val="auto"/>
        </w:rPr>
      </w:pPr>
    </w:p>
    <w:p>
      <w:pPr>
        <w:jc w:val="both"/>
        <w:ind w:firstLine="639"/>
        <w:spacing w:after="0" w:line="260" w:lineRule="auto"/>
        <w:rPr>
          <w:sz w:val="20"/>
          <w:szCs w:val="20"/>
          <w:color w:val="auto"/>
        </w:rPr>
      </w:pPr>
      <w:r>
        <w:rPr>
          <w:rFonts w:ascii="Arial" w:cs="Arial" w:eastAsia="Arial" w:hAnsi="Arial"/>
          <w:sz w:val="17"/>
          <w:szCs w:val="17"/>
          <w:color w:val="auto"/>
        </w:rPr>
        <w:t>Right Management is a global leader in talent and career management workforce solutions within ManpowerGroup. The firm designs and delivers solutions to align talent strategy with business strategy. Right Management’s expertise spans Talent Assessment, Leader Development, Organizational Effectiveness, Employee Engagement, and Workforce Transition and Outplacement. With over 130 offices in more than 50 countries and territories, Right Management partners with companies of all sizes – including more than 80% of the Fortune 500 – to help grow and engage their talent, increase productivity and optimize business performance.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auto"/>
        </w:rPr>
        <w:t>Competition</w:t>
      </w:r>
    </w:p>
    <w:p>
      <w:pPr>
        <w:spacing w:after="0" w:line="218" w:lineRule="exact"/>
        <w:rPr>
          <w:sz w:val="20"/>
          <w:szCs w:val="20"/>
          <w:color w:val="auto"/>
        </w:rPr>
      </w:pPr>
    </w:p>
    <w:p>
      <w:pPr>
        <w:jc w:val="both"/>
        <w:ind w:right="280" w:firstLine="465"/>
        <w:spacing w:after="0" w:line="266" w:lineRule="auto"/>
        <w:rPr>
          <w:sz w:val="20"/>
          <w:szCs w:val="20"/>
          <w:color w:val="auto"/>
        </w:rPr>
      </w:pPr>
      <w:r>
        <w:rPr>
          <w:rFonts w:ascii="Arial" w:cs="Arial" w:eastAsia="Arial" w:hAnsi="Arial"/>
          <w:sz w:val="17"/>
          <w:szCs w:val="17"/>
          <w:color w:val="auto"/>
        </w:rPr>
        <w:t>We compete in the employment services industry by offering a broad range of services, including permanent, temporary and contract recruitment, project-based workforce solutions, assessment and selection, training, career and talent management, managed service solutions, outsourcing, consulting and professional services.</w:t>
      </w:r>
    </w:p>
    <w:p>
      <w:pPr>
        <w:spacing w:after="0" w:line="176" w:lineRule="exact"/>
        <w:rPr>
          <w:sz w:val="20"/>
          <w:szCs w:val="20"/>
          <w:color w:val="auto"/>
        </w:rPr>
      </w:pPr>
    </w:p>
    <w:p>
      <w:pPr>
        <w:ind w:right="40" w:firstLine="465"/>
        <w:spacing w:after="0" w:line="295" w:lineRule="auto"/>
        <w:rPr>
          <w:sz w:val="20"/>
          <w:szCs w:val="20"/>
          <w:color w:val="auto"/>
        </w:rPr>
      </w:pPr>
      <w:r>
        <w:rPr>
          <w:rFonts w:ascii="Arial" w:cs="Arial" w:eastAsia="Arial" w:hAnsi="Arial"/>
          <w:sz w:val="15"/>
          <w:szCs w:val="15"/>
          <w:color w:val="auto"/>
        </w:rPr>
        <w:t>Our industry is large and fragmented, comprised of thousands of firms employing millions of people and generating billions of United States dollars in annual revenues. In most areas, no single company has a dominant share of the employment services market. In addition to us, the largest publicly owned companies specializing in recruitment services are Adecco, S.A. (Switzerland), Randstad Holding N.V. (Netherlands) and Kelly Services, Inc. (the United States). We also compete against a variety of regional or specialized companies such as Robert Half Inc., Kforce Inc., PageGroup, Korn/Ferry International and Alexander Mann. It is a highly competitive industry, reflecting several trends in the global marketplace such as the notably increasing demand for skilled people, employers’ desire for more flexible working models and consolidation among clients and in the employment services industry itself. We manage these trends by leveraging established strengths, including one of the employment services industry’s most recognized and respected brands; geographic diversification; size and service scope; an innovative product mix; recruiting and assessment expertise and a strong client base. While staffing is an important aspect of our business, our strategy is focused on providing both the skilled employees our clients need and high-value workforce management, outsourcing and consulting solutions.</w:t>
      </w:r>
    </w:p>
    <w:p>
      <w:pPr>
        <w:spacing w:after="0" w:line="157" w:lineRule="exact"/>
        <w:rPr>
          <w:sz w:val="20"/>
          <w:szCs w:val="20"/>
          <w:color w:val="auto"/>
        </w:rPr>
      </w:pPr>
    </w:p>
    <w:p>
      <w:pPr>
        <w:ind w:firstLine="465"/>
        <w:spacing w:after="0" w:line="258" w:lineRule="auto"/>
        <w:rPr>
          <w:sz w:val="20"/>
          <w:szCs w:val="20"/>
          <w:color w:val="auto"/>
        </w:rPr>
      </w:pPr>
      <w:r>
        <w:rPr>
          <w:rFonts w:ascii="Arial" w:cs="Arial" w:eastAsia="Arial" w:hAnsi="Arial"/>
          <w:sz w:val="17"/>
          <w:szCs w:val="17"/>
          <w:color w:val="auto"/>
        </w:rPr>
        <w:t>Our client mix consists of both small- and medium-size businesses, which are based upon a local or regional relationship with our presence in each market, and large national/multinational client relationships, which comprised approximately 56% of our revenues in 2013. These large national and multinational clients will frequently enter into non-exclusive arrangements with several firms, with the ultimate choice among them being left to the local managers. As a result, employment services firms with a large network of offices compete most effectively for this business which generally has agreed-upon pricing or mark-up on services performed. Client relationships with small- and medium-size businesses tend to rely less upon longer-term contracts, and the competitors for this business are primarily locally-owned businesses.</w:t>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Regulation</w:t>
      </w:r>
    </w:p>
    <w:p>
      <w:pPr>
        <w:spacing w:after="0" w:line="218" w:lineRule="exact"/>
        <w:rPr>
          <w:sz w:val="20"/>
          <w:szCs w:val="20"/>
          <w:color w:val="auto"/>
        </w:rPr>
      </w:pPr>
    </w:p>
    <w:p>
      <w:pPr>
        <w:ind w:right="340" w:firstLine="465"/>
        <w:spacing w:after="0" w:line="280" w:lineRule="auto"/>
        <w:rPr>
          <w:sz w:val="20"/>
          <w:szCs w:val="20"/>
          <w:color w:val="auto"/>
        </w:rPr>
      </w:pPr>
      <w:r>
        <w:rPr>
          <w:rFonts w:ascii="Arial" w:cs="Arial" w:eastAsia="Arial" w:hAnsi="Arial"/>
          <w:sz w:val="17"/>
          <w:szCs w:val="17"/>
          <w:color w:val="auto"/>
        </w:rPr>
        <w:t>The employment services industry is closely regulated in all of the major markets in which we operate, except the United States and Canada. Employment services firms are generally subject to one or more of the following types of government regulation:</w:t>
      </w:r>
    </w:p>
    <w:p>
      <w:pPr>
        <w:spacing w:after="0" w:line="163"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regulation of the employer/employee relationship between the firm and its temporary and contract employees;</w:t>
      </w:r>
    </w:p>
    <w:p>
      <w:pPr>
        <w:spacing w:after="0" w:line="217" w:lineRule="exact"/>
        <w:rPr>
          <w:rFonts w:ascii="Arial" w:cs="Arial" w:eastAsia="Arial" w:hAnsi="Arial"/>
          <w:sz w:val="17"/>
          <w:szCs w:val="17"/>
          <w:color w:val="auto"/>
        </w:rPr>
      </w:pPr>
    </w:p>
    <w:p>
      <w:pPr>
        <w:ind w:left="500" w:hanging="497"/>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registration, licensing, record keeping and reporting requirements; and</w:t>
      </w:r>
    </w:p>
    <w:p>
      <w:pPr>
        <w:spacing w:after="0" w:line="217" w:lineRule="exact"/>
        <w:rPr>
          <w:rFonts w:ascii="Arial" w:cs="Arial" w:eastAsia="Arial" w:hAnsi="Arial"/>
          <w:sz w:val="17"/>
          <w:szCs w:val="17"/>
          <w:color w:val="auto"/>
        </w:rPr>
      </w:pPr>
    </w:p>
    <w:p>
      <w:pPr>
        <w:ind w:left="500" w:hanging="497"/>
        <w:spacing w:after="0"/>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substantive limitations on the operations or the use of temporary and contract employees by clients.</w:t>
      </w:r>
    </w:p>
    <w:p>
      <w:pPr>
        <w:spacing w:after="0" w:line="218" w:lineRule="exact"/>
        <w:rPr>
          <w:sz w:val="20"/>
          <w:szCs w:val="20"/>
          <w:color w:val="auto"/>
        </w:rPr>
      </w:pPr>
    </w:p>
    <w:p>
      <w:pPr>
        <w:ind w:firstLine="465"/>
        <w:spacing w:after="0" w:line="262" w:lineRule="auto"/>
        <w:rPr>
          <w:sz w:val="20"/>
          <w:szCs w:val="20"/>
          <w:color w:val="auto"/>
        </w:rPr>
      </w:pPr>
      <w:r>
        <w:rPr>
          <w:rFonts w:ascii="Arial" w:cs="Arial" w:eastAsia="Arial" w:hAnsi="Arial"/>
          <w:sz w:val="17"/>
          <w:szCs w:val="17"/>
          <w:color w:val="auto"/>
        </w:rPr>
        <w:t>In many markets, the existence or absence of collective bargaining agreements with labor organizations has a significant impact on our operations and the ability of clients to use our services. In some markets, labor agreements are structured on an industry-wide, rather than company-by-company, basis. Changes in these collective bargaining agreements have occurred in the past and are expected to occur in the future and may have a material impact on the operations of employment services firms, including us.</w:t>
      </w:r>
    </w:p>
    <w:p>
      <w:pPr>
        <w:spacing w:after="0" w:line="179" w:lineRule="exact"/>
        <w:rPr>
          <w:sz w:val="20"/>
          <w:szCs w:val="20"/>
          <w:color w:val="auto"/>
        </w:rPr>
      </w:pPr>
    </w:p>
    <w:p>
      <w:pPr>
        <w:ind w:right="40" w:firstLine="465"/>
        <w:spacing w:after="0" w:line="283" w:lineRule="auto"/>
        <w:rPr>
          <w:sz w:val="20"/>
          <w:szCs w:val="20"/>
          <w:color w:val="auto"/>
        </w:rPr>
      </w:pPr>
      <w:r>
        <w:rPr>
          <w:rFonts w:ascii="Arial" w:cs="Arial" w:eastAsia="Arial" w:hAnsi="Arial"/>
          <w:sz w:val="16"/>
          <w:szCs w:val="16"/>
          <w:color w:val="auto"/>
        </w:rPr>
        <w:t>In many countries, including the United States and the United Kingdom, workforce solutions and services firms are considered the legal employers of temporary and contract workers. Therefore, laws regulating the employer/employee relationship, such as tax withholding or reporting, social security or retirement, anti-discrimination and workers’ compensation, govern the firm. In other countries, employment services firms, while not the direct legal employer of temporary and contract workers, are still responsible for collecting taxes and social security deductions and transmitting such amounts to the taxing authorities.</w:t>
      </w:r>
    </w:p>
    <w:p>
      <w:pPr>
        <w:spacing w:after="0" w:line="165" w:lineRule="exact"/>
        <w:rPr>
          <w:sz w:val="20"/>
          <w:szCs w:val="20"/>
          <w:color w:val="auto"/>
        </w:rPr>
      </w:pPr>
    </w:p>
    <w:p>
      <w:pPr>
        <w:ind w:right="140" w:firstLine="465"/>
        <w:spacing w:after="0" w:line="291" w:lineRule="auto"/>
        <w:rPr>
          <w:sz w:val="20"/>
          <w:szCs w:val="20"/>
          <w:color w:val="auto"/>
        </w:rPr>
      </w:pPr>
      <w:r>
        <w:rPr>
          <w:rFonts w:ascii="Arial" w:cs="Arial" w:eastAsia="Arial" w:hAnsi="Arial"/>
          <w:sz w:val="16"/>
          <w:szCs w:val="16"/>
          <w:color w:val="auto"/>
        </w:rPr>
        <w:t>In many countries, particularly in continental Europe and Asia, entry into the employment services market is restricted by the requirement to register with, or obtain licenses from, a government agency. In addition, a wide variety of ministerial requirements may be imposed, such as record keeping, written contracts and reporting. The United States and Canada do not presently have any form of national registration or licensing requirement.</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ind w:right="200" w:firstLine="465"/>
        <w:spacing w:after="0" w:line="258" w:lineRule="auto"/>
        <w:rPr>
          <w:sz w:val="20"/>
          <w:szCs w:val="20"/>
          <w:color w:val="auto"/>
        </w:rPr>
      </w:pPr>
      <w:r>
        <w:rPr>
          <w:rFonts w:ascii="Arial" w:cs="Arial" w:eastAsia="Arial" w:hAnsi="Arial"/>
          <w:sz w:val="17"/>
          <w:szCs w:val="17"/>
          <w:color w:val="auto"/>
        </w:rPr>
        <w:t>In addition to licensing or registration requirements, many countries impose substantive restrictions on the use of temporary and contract workers. Such restrictions include regulations affecting the types of work permitted, the maximum length of assignment, wage levels or reasons for which temporary and contract workers may be employed. In some countries, special taxes, fees or costs are imposed in connection with the use of temporary and contract workers. For example, temporary and contract workers in France are entitled to a 10% allowance for the uncertain duration of employment, which is eliminated if a full-time position is offered to them within three days after assignment termination. In some countries, the contract of employment with temporary and contract employees must differ from the length of assignment.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outplacement and consulting services generally are not subjected to governmental regulation in the markets in which we operate.</w:t>
      </w:r>
    </w:p>
    <w:p>
      <w:pPr>
        <w:spacing w:after="0" w:line="218" w:lineRule="exact"/>
        <w:rPr>
          <w:sz w:val="20"/>
          <w:szCs w:val="20"/>
          <w:color w:val="auto"/>
        </w:rPr>
      </w:pPr>
    </w:p>
    <w:p>
      <w:pPr>
        <w:ind w:right="160" w:firstLine="465"/>
        <w:spacing w:after="0" w:line="266" w:lineRule="auto"/>
        <w:rPr>
          <w:sz w:val="20"/>
          <w:szCs w:val="20"/>
          <w:color w:val="auto"/>
        </w:rPr>
      </w:pPr>
      <w:r>
        <w:rPr>
          <w:rFonts w:ascii="Arial" w:cs="Arial" w:eastAsia="Arial" w:hAnsi="Arial"/>
          <w:sz w:val="17"/>
          <w:szCs w:val="17"/>
          <w:color w:val="auto"/>
        </w:rPr>
        <w:t>In the United States, we are subject to various federal and state laws relating to franchising, principally the Federal Trade Commission’s Franchise Rules and analogous state laws which impact our agreements with our franchised operations. These laws and related rules and regulations impose specific disclosure requirements. Virtually all states also regulate the termination of franchises.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Also see Item 7. “Management’s Discussion and Analysis of Financial Condition and Results of Operations—Legal Regulations.”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Trademarks</w:t>
      </w:r>
    </w:p>
    <w:p>
      <w:pPr>
        <w:spacing w:after="0" w:line="218" w:lineRule="exact"/>
        <w:rPr>
          <w:sz w:val="20"/>
          <w:szCs w:val="20"/>
          <w:color w:val="auto"/>
        </w:rPr>
      </w:pPr>
    </w:p>
    <w:p>
      <w:pPr>
        <w:ind w:right="20" w:firstLine="465"/>
        <w:spacing w:after="0" w:line="236" w:lineRule="auto"/>
        <w:rPr>
          <w:sz w:val="20"/>
          <w:szCs w:val="20"/>
          <w:color w:val="auto"/>
        </w:rPr>
      </w:pPr>
      <w:r>
        <w:rPr>
          <w:rFonts w:ascii="Arial" w:cs="Arial" w:eastAsia="Arial" w:hAnsi="Arial"/>
          <w:sz w:val="16"/>
          <w:szCs w:val="16"/>
          <w:color w:val="auto"/>
        </w:rPr>
        <w:t>We maintain a number of registered trademarks, trade names and service marks in the United States and various other countries. We believe that many of these marks and trade names, including ManpowerGroup</w:t>
      </w:r>
      <w:r>
        <w:rPr>
          <w:rFonts w:ascii="Arial" w:cs="Arial" w:eastAsia="Arial" w:hAnsi="Arial"/>
          <w:sz w:val="22"/>
          <w:szCs w:val="22"/>
          <w:color w:val="auto"/>
          <w:vertAlign w:val="superscript"/>
        </w:rPr>
        <w:t>TM</w:t>
      </w:r>
      <w:r>
        <w:rPr>
          <w:rFonts w:ascii="Arial" w:cs="Arial" w:eastAsia="Arial" w:hAnsi="Arial"/>
          <w:sz w:val="16"/>
          <w:szCs w:val="16"/>
          <w:color w:val="auto"/>
        </w:rPr>
        <w:t>, ManpowerGroup</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Solutions, Manpower®, Experis</w:t>
      </w:r>
      <w:r>
        <w:rPr>
          <w:rFonts w:ascii="Arial" w:cs="Arial" w:eastAsia="Arial" w:hAnsi="Arial"/>
          <w:sz w:val="22"/>
          <w:szCs w:val="22"/>
          <w:color w:val="auto"/>
          <w:vertAlign w:val="superscript"/>
        </w:rPr>
        <w:t>TM</w:t>
      </w:r>
      <w:r>
        <w:rPr>
          <w:rFonts w:ascii="Arial" w:cs="Arial" w:eastAsia="Arial" w:hAnsi="Arial"/>
          <w:sz w:val="16"/>
          <w:szCs w:val="16"/>
          <w:color w:val="auto"/>
        </w:rPr>
        <w:t>, Right Management®, Brook Street®, Manpower Professional</w:t>
      </w:r>
      <w:r>
        <w:rPr>
          <w:rFonts w:ascii="Arial" w:cs="Arial" w:eastAsia="Arial" w:hAnsi="Arial"/>
          <w:sz w:val="22"/>
          <w:szCs w:val="22"/>
          <w:color w:val="auto"/>
          <w:vertAlign w:val="superscript"/>
        </w:rPr>
        <w:t>TM</w:t>
      </w:r>
      <w:r>
        <w:rPr>
          <w:rFonts w:ascii="Arial" w:cs="Arial" w:eastAsia="Arial" w:hAnsi="Arial"/>
          <w:sz w:val="16"/>
          <w:szCs w:val="16"/>
          <w:color w:val="auto"/>
        </w:rPr>
        <w:t>, Elan®, Ultraskill® and Skillware®, have significant value and are materially important to our business. In addition, we maintain other intangible property rights. The trademarks have been assigned an indefinite life based on our expectation of renewing the trademarks, as required, without material modifications and at a minimal cost, and our expectation of positive cash flows beyond the foreseeable future.</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Employees</w:t>
      </w:r>
    </w:p>
    <w:p>
      <w:pPr>
        <w:spacing w:after="0" w:line="218" w:lineRule="exact"/>
        <w:rPr>
          <w:sz w:val="20"/>
          <w:szCs w:val="20"/>
          <w:color w:val="auto"/>
        </w:rPr>
      </w:pPr>
    </w:p>
    <w:p>
      <w:pPr>
        <w:ind w:right="520" w:firstLine="465"/>
        <w:spacing w:after="0" w:line="280" w:lineRule="auto"/>
        <w:rPr>
          <w:sz w:val="20"/>
          <w:szCs w:val="20"/>
          <w:color w:val="auto"/>
        </w:rPr>
      </w:pPr>
      <w:r>
        <w:rPr>
          <w:rFonts w:ascii="Arial" w:cs="Arial" w:eastAsia="Arial" w:hAnsi="Arial"/>
          <w:sz w:val="17"/>
          <w:szCs w:val="17"/>
          <w:color w:val="auto"/>
        </w:rPr>
        <w:t>We had approximately 25,000 full-time equivalent employees as of December 31, 2013. In addition, we estimate that we recruit on behalf of our clients approximately 3.4 million permanent, temporary and contract workers on a worldwide basis each year.</w:t>
      </w:r>
    </w:p>
    <w:p>
      <w:pPr>
        <w:spacing w:after="0" w:line="163" w:lineRule="exact"/>
        <w:rPr>
          <w:sz w:val="20"/>
          <w:szCs w:val="20"/>
          <w:color w:val="auto"/>
        </w:rPr>
      </w:pPr>
    </w:p>
    <w:p>
      <w:pPr>
        <w:jc w:val="both"/>
        <w:ind w:firstLine="700"/>
        <w:spacing w:after="0" w:line="260" w:lineRule="auto"/>
        <w:rPr>
          <w:sz w:val="20"/>
          <w:szCs w:val="20"/>
          <w:color w:val="auto"/>
        </w:rPr>
      </w:pPr>
      <w:r>
        <w:rPr>
          <w:rFonts w:ascii="Arial" w:cs="Arial" w:eastAsia="Arial" w:hAnsi="Arial"/>
          <w:sz w:val="17"/>
          <w:szCs w:val="17"/>
          <w:color w:val="auto"/>
        </w:rPr>
        <w:t>As described above, in most jurisdictions, we, as the employer of our temporary and contract workers or as otherwise required by applicable law, are responsible for employment administration. This administration includes collection of withholding taxes, employer contributions for social security or its equivalent outside the United States, unemployment tax, workers’ compensation and fidelity and liability insurance, and other governmental requirements imposed on employers. In most jurisdictions where such benefits are not legally required, including the United States, we provide health and life insurance, paid holidays and paid vacations to qualifying temporary and contract employees.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Financial Information about Foreign and Domestic Operations</w:t>
      </w:r>
    </w:p>
    <w:p>
      <w:pPr>
        <w:spacing w:after="0" w:line="218" w:lineRule="exact"/>
        <w:rPr>
          <w:sz w:val="20"/>
          <w:szCs w:val="20"/>
          <w:color w:val="auto"/>
        </w:rPr>
      </w:pPr>
    </w:p>
    <w:p>
      <w:pPr>
        <w:ind w:right="100" w:firstLine="465"/>
        <w:spacing w:after="0" w:line="280" w:lineRule="auto"/>
        <w:rPr>
          <w:sz w:val="20"/>
          <w:szCs w:val="20"/>
          <w:color w:val="auto"/>
        </w:rPr>
      </w:pPr>
      <w:r>
        <w:rPr>
          <w:rFonts w:ascii="Arial" w:cs="Arial" w:eastAsia="Arial" w:hAnsi="Arial"/>
          <w:sz w:val="17"/>
          <w:szCs w:val="17"/>
          <w:color w:val="auto"/>
        </w:rPr>
        <w:t>Note 14 to our consolidated financial statements sets forth the information required for each segment and geographical area for the years ended December 31, 2013, 2012 and 2011. Such note is found in our 2013 Annual Report to Shareholders and is incorporated herein by reference.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7" w:name="page8"/>
    <w:bookmarkEnd w:id="7"/>
    <w:p>
      <w:pPr>
        <w:spacing w:after="0"/>
        <w:tabs>
          <w:tab w:leader="none" w:pos="156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224" w:lineRule="exact"/>
        <w:rPr>
          <w:sz w:val="20"/>
          <w:szCs w:val="20"/>
          <w:color w:val="auto"/>
        </w:rPr>
      </w:pPr>
    </w:p>
    <w:p>
      <w:pPr>
        <w:ind w:firstLine="465"/>
        <w:spacing w:after="0" w:line="258" w:lineRule="auto"/>
        <w:rPr>
          <w:sz w:val="20"/>
          <w:szCs w:val="20"/>
          <w:color w:val="auto"/>
        </w:rPr>
      </w:pPr>
      <w:r>
        <w:rPr>
          <w:rFonts w:ascii="Arial" w:cs="Arial" w:eastAsia="Arial" w:hAnsi="Arial"/>
          <w:sz w:val="17"/>
          <w:szCs w:val="17"/>
          <w:color w:val="auto"/>
        </w:rPr>
        <w:t>Statements made in this report that are not statements of historical fact are forward-looking statements. In addition, from time to time, we and our representatives may make statements that are forward-looking. All forward-looking statements involve risks and uncertainties. This section provides you with cautionary statements identifying, for purposes of the safe harbor provisions of the Private Securities Litigation Reform Act of 1995, important factors that could cause our actual results to differ materially from those contained in forward-looking statements made in this report or otherwise made by us or on our behalf. You can identify these forward-looking statements by forward-looking words such as “expect”, “anticipate”, “intend”, “plan”, “may”, “will”, “believe”, “seek”, “estimate”, and similar expressions. You are cautioned not to place undue reliance on these forward-looking statements.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are some of the factors that could cause actual results to differ materially from estimates contained in our forward-looking statements:</w:t>
      </w:r>
    </w:p>
    <w:p>
      <w:pPr>
        <w:spacing w:after="0" w:line="229" w:lineRule="exact"/>
        <w:rPr>
          <w:sz w:val="20"/>
          <w:szCs w:val="20"/>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cost structure of subsidiaries;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management turnover;</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reorganizations;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material changes in the demand from larger clients, including clients with which we have national, multi-national, or sole-supplier arrangements;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availability of workers with the skills required by clients;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increases in the wages paid to our associates;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competitive market pressures, including pricing pressures;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inability to pass along direct cost increases to clients;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invest in and implement information systems;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unanticipated technological changes, including obsolescence or impairment of information systems;</w:t>
      </w:r>
    </w:p>
    <w:p>
      <w:pPr>
        <w:spacing w:after="0" w:line="243"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successfully expand into new markets or offer new service lines;</w:t>
      </w:r>
    </w:p>
    <w:p>
      <w:pPr>
        <w:spacing w:after="0" w:line="243"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client attitudes toward the use of staffing services;</w:t>
      </w:r>
    </w:p>
    <w:p>
      <w:pPr>
        <w:spacing w:after="0" w:line="243"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demand for our specialized services and outplacement services;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government, tax or regulatory policies adverse to the employment services industry;</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general economic conditions in domestic and international markets;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rate and exchange rate fluctuations;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difficulties related to acquisitions, including integrating the acquired companies and achieving the expected benefits;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impairments to the carrying value of acquisitions and other investments resulting from poor financial performance or other factors;</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risk factors disclosed below; and</w:t>
      </w:r>
    </w:p>
    <w:p>
      <w:pPr>
        <w:spacing w:after="0" w:line="217" w:lineRule="exact"/>
        <w:rPr>
          <w:rFonts w:ascii="Arial" w:cs="Arial" w:eastAsia="Arial" w:hAnsi="Arial"/>
          <w:sz w:val="17"/>
          <w:szCs w:val="17"/>
          <w:color w:val="auto"/>
        </w:rPr>
      </w:pPr>
    </w:p>
    <w:p>
      <w:pPr>
        <w:ind w:left="540" w:hanging="537"/>
        <w:spacing w:after="0"/>
        <w:tabs>
          <w:tab w:leader="none" w:pos="5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factors that may be disclosed from time to time in our SEC filings or otherwise.</w:t>
      </w:r>
    </w:p>
    <w:p>
      <w:pPr>
        <w:spacing w:after="0" w:line="218" w:lineRule="exact"/>
        <w:rPr>
          <w:sz w:val="20"/>
          <w:szCs w:val="20"/>
          <w:color w:val="auto"/>
        </w:rPr>
      </w:pPr>
    </w:p>
    <w:p>
      <w:pPr>
        <w:ind w:right="40" w:firstLine="465"/>
        <w:spacing w:after="0" w:line="349" w:lineRule="auto"/>
        <w:rPr>
          <w:sz w:val="20"/>
          <w:szCs w:val="20"/>
          <w:color w:val="auto"/>
        </w:rPr>
      </w:pPr>
      <w:r>
        <w:rPr>
          <w:rFonts w:ascii="Arial" w:cs="Arial" w:eastAsia="Arial" w:hAnsi="Arial"/>
          <w:sz w:val="15"/>
          <w:szCs w:val="15"/>
          <w:color w:val="auto"/>
        </w:rPr>
        <w:t>Some or all of these factors may be beyond our control. We caution you that any forward-looking statement reflects only our belief at the time the statement is made. We undertake no obligation to update any forward-looking statement to reflect events or circumstances after the date on which the statement is made.</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3"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7"/>
          <w:szCs w:val="17"/>
          <w:b w:val="1"/>
          <w:bCs w:val="1"/>
          <w:color w:val="auto"/>
        </w:rPr>
        <w:t>RISK FACTORS</w:t>
      </w:r>
    </w:p>
    <w:p>
      <w:pPr>
        <w:spacing w:after="0" w:line="249" w:lineRule="exact"/>
        <w:rPr>
          <w:sz w:val="20"/>
          <w:szCs w:val="20"/>
          <w:color w:val="auto"/>
        </w:rPr>
      </w:pPr>
    </w:p>
    <w:p>
      <w:pPr>
        <w:jc w:val="both"/>
        <w:ind w:firstLine="465"/>
        <w:spacing w:after="0" w:line="262" w:lineRule="auto"/>
        <w:rPr>
          <w:sz w:val="20"/>
          <w:szCs w:val="20"/>
          <w:color w:val="auto"/>
        </w:rPr>
      </w:pPr>
      <w:r>
        <w:rPr>
          <w:rFonts w:ascii="Arial" w:cs="Arial" w:eastAsia="Arial" w:hAnsi="Arial"/>
          <w:sz w:val="17"/>
          <w:szCs w:val="17"/>
          <w:color w:val="auto"/>
        </w:rPr>
        <w:t>In addition to the other information set forth in this report, you should carefully consider the following factors which could materially adversely affect our business, financial condition, results of operations (including revenues and profitability) or stock price. Our business is also subject to general risks and uncertainties that may broadly affect companies. Additional risks and uncertainties not currently known to us or that we currently deem to be immaterial also could materially adversely affect our business, financial condition, results of operation or stock price.</w:t>
      </w:r>
    </w:p>
    <w:p>
      <w:pPr>
        <w:spacing w:after="0" w:line="199" w:lineRule="exact"/>
        <w:rPr>
          <w:sz w:val="20"/>
          <w:szCs w:val="20"/>
          <w:color w:val="auto"/>
        </w:rPr>
      </w:pPr>
    </w:p>
    <w:p>
      <w:pPr>
        <w:ind w:right="260" w:firstLine="465"/>
        <w:spacing w:after="0" w:line="320" w:lineRule="auto"/>
        <w:rPr>
          <w:sz w:val="20"/>
          <w:szCs w:val="20"/>
          <w:color w:val="auto"/>
        </w:rPr>
      </w:pPr>
      <w:r>
        <w:rPr>
          <w:rFonts w:ascii="Arial" w:cs="Arial" w:eastAsia="Arial" w:hAnsi="Arial"/>
          <w:sz w:val="16"/>
          <w:szCs w:val="16"/>
          <w:b w:val="1"/>
          <w:bCs w:val="1"/>
          <w:color w:val="auto"/>
        </w:rPr>
        <w:t>Our business declined during the global economic downturn as clients required fewer of our workforce solutions and services. There is a risk that, even if global economic conditions recover, we will continue to experience declines in all, or in portions, of our business.</w:t>
      </w:r>
    </w:p>
    <w:p>
      <w:pPr>
        <w:spacing w:after="0" w:line="135" w:lineRule="exact"/>
        <w:rPr>
          <w:sz w:val="20"/>
          <w:szCs w:val="20"/>
          <w:color w:val="auto"/>
        </w:rPr>
      </w:pPr>
    </w:p>
    <w:p>
      <w:pPr>
        <w:jc w:val="both"/>
        <w:ind w:firstLine="465"/>
        <w:spacing w:after="0" w:line="274" w:lineRule="auto"/>
        <w:rPr>
          <w:sz w:val="20"/>
          <w:szCs w:val="20"/>
          <w:color w:val="auto"/>
        </w:rPr>
      </w:pPr>
      <w:r>
        <w:rPr>
          <w:rFonts w:ascii="Arial" w:cs="Arial" w:eastAsia="Arial" w:hAnsi="Arial"/>
          <w:sz w:val="16"/>
          <w:szCs w:val="16"/>
          <w:color w:val="auto"/>
        </w:rPr>
        <w:t>Because demand for workforce solutions and services, particularly staffing services, is sensitive to changes in the level of economic activity, our business may suffer during economic downturns. In 2013, in a continuation of the global economic downturn, we experienced a reduction in our revenues in many of the markets in which we operate, particularly the staffing services which comprise the majority of our business. During periods of weak economic growth or economic contraction, such as 2009 to 2013, the demand for our staffing services typically declines, and such economic contraction may continue. Even if global economic conditions were to improve in 2014, we may not experience a recovery in our business. When demand drops or remains low, our operating profit is typically impacted unfavorably as we experience a deleveraging of our selling and administrative expense base as expenses may not decline as quickly as revenues. In periods of decline, we can only reduce selling and administrative expenses to a certain level without negatively impacting the long-term potential of our branch network and brands. Additionally, during periods of economic uncertainty, companies may slow the rate at which they pay their vendors, or they may become unable to pay their obligations. If our clients become unable to pay amounts owed to us, or pay us more slowly, then our cash flow and profitability may suffer.</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Our results of operations could be adversely affected by volatile or uncertain economic conditions.</w:t>
      </w:r>
    </w:p>
    <w:p>
      <w:pPr>
        <w:spacing w:after="0" w:line="224" w:lineRule="exact"/>
        <w:rPr>
          <w:sz w:val="20"/>
          <w:szCs w:val="20"/>
          <w:color w:val="auto"/>
        </w:rPr>
      </w:pPr>
    </w:p>
    <w:p>
      <w:pPr>
        <w:ind w:right="20" w:firstLine="637"/>
        <w:spacing w:after="0" w:line="257" w:lineRule="auto"/>
        <w:rPr>
          <w:sz w:val="20"/>
          <w:szCs w:val="20"/>
          <w:color w:val="auto"/>
        </w:rPr>
      </w:pPr>
      <w:r>
        <w:rPr>
          <w:rFonts w:ascii="Arial" w:cs="Arial" w:eastAsia="Arial" w:hAnsi="Arial"/>
          <w:sz w:val="17"/>
          <w:szCs w:val="17"/>
          <w:color w:val="auto"/>
        </w:rPr>
        <w:t>Our business is affected by global macroeconomic conditions, which have recently included considerable uncertainty and volatility. In particular, economic conditions have been unstable and difficult to predict globally, particularly within Europe, which represented 65% of our revenues in 2013, and which has experienced a prolonged period of recession. Even without uncertainty and volatility, it is difficult for us to forecast future demand for our services due to the inherent difficulty in forecasting the direction and strength of economic cycles, and the short-term nature of many of our staffing assignments. This situation can be exacerbated by uncertain and volatile economic conditions, which may cause clients to reduce or defer projects for which they utilize our services, thereby negatively affecting demand for them. When it is difficult for us to accurately forecast future demand, we may not be able to determine the optimal level of personnel and office investments necessary to profitably take advantage of growth opportunities.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We may lack the speed and agility to respond to the needs of our clients.</w:t>
      </w:r>
    </w:p>
    <w:p>
      <w:pPr>
        <w:spacing w:after="0" w:line="249" w:lineRule="exact"/>
        <w:rPr>
          <w:sz w:val="20"/>
          <w:szCs w:val="20"/>
          <w:color w:val="auto"/>
        </w:rPr>
      </w:pPr>
    </w:p>
    <w:p>
      <w:pPr>
        <w:jc w:val="both"/>
        <w:ind w:firstLine="465"/>
        <w:spacing w:after="0" w:line="280" w:lineRule="auto"/>
        <w:rPr>
          <w:sz w:val="20"/>
          <w:szCs w:val="20"/>
          <w:color w:val="auto"/>
        </w:rPr>
      </w:pPr>
      <w:r>
        <w:rPr>
          <w:rFonts w:ascii="Arial" w:cs="Arial" w:eastAsia="Arial" w:hAnsi="Arial"/>
          <w:sz w:val="16"/>
          <w:szCs w:val="16"/>
          <w:color w:val="auto"/>
        </w:rPr>
        <w:t>There is a risk we may not be able to respond with sufficient speed and agility to the needs of our clients, which may change rapidly as their businesses evolve. The size and breadth of our organization, comprising approximately 25,000 employees based out of over 3,100 offices in 80 countries and territories, may make it difficult for us to effectively manage our resources and provide coordinated solutions to our clients who require our services in multiple locations. Also, our size and scale may make it difficult to develop and implement new processes and tools across the enterprise in a consistent manner. If our competitors are more agile or effective at meeting the needs of our current and prospective clients, our business and financial results could be materially adversely affected.</w:t>
      </w:r>
    </w:p>
    <w:p>
      <w:pPr>
        <w:spacing w:after="0" w:line="160" w:lineRule="exact"/>
        <w:rPr>
          <w:sz w:val="20"/>
          <w:szCs w:val="20"/>
          <w:color w:val="auto"/>
        </w:rPr>
      </w:pPr>
    </w:p>
    <w:p>
      <w:pPr>
        <w:ind w:right="620" w:firstLine="465"/>
        <w:spacing w:after="0" w:line="287" w:lineRule="auto"/>
        <w:rPr>
          <w:sz w:val="20"/>
          <w:szCs w:val="20"/>
          <w:color w:val="auto"/>
        </w:rPr>
      </w:pPr>
      <w:r>
        <w:rPr>
          <w:rFonts w:ascii="Arial" w:cs="Arial" w:eastAsia="Arial" w:hAnsi="Arial"/>
          <w:sz w:val="17"/>
          <w:szCs w:val="17"/>
          <w:b w:val="1"/>
          <w:bCs w:val="1"/>
          <w:color w:val="auto"/>
        </w:rPr>
        <w:t>The worldwide employment services industry is highly competitive with limited barriers to entry, which could limit our ability to maintain or increase our market share or profitability.</w:t>
      </w:r>
    </w:p>
    <w:p>
      <w:pPr>
        <w:spacing w:after="0" w:line="158" w:lineRule="exact"/>
        <w:rPr>
          <w:sz w:val="20"/>
          <w:szCs w:val="20"/>
          <w:color w:val="auto"/>
        </w:rPr>
      </w:pPr>
    </w:p>
    <w:p>
      <w:pPr>
        <w:ind w:right="20" w:firstLine="465"/>
        <w:spacing w:after="0" w:line="276" w:lineRule="auto"/>
        <w:rPr>
          <w:sz w:val="20"/>
          <w:szCs w:val="20"/>
          <w:color w:val="auto"/>
        </w:rPr>
      </w:pPr>
      <w:r>
        <w:rPr>
          <w:rFonts w:ascii="Arial" w:cs="Arial" w:eastAsia="Arial" w:hAnsi="Arial"/>
          <w:sz w:val="16"/>
          <w:szCs w:val="16"/>
          <w:color w:val="auto"/>
        </w:rPr>
        <w:t>The worldwide employment services industry is highly competitive with limited barriers to entry, and in recent years has undergone significant consolidation. We compete in markets throughout the world with full-service and specialized employment services agencies. Several of our competitors, including Adecco S.A., Randstad Holding N.V. and Kelly Services, Inc., have very substantial marketing and financial resources, and may be better positioned in certain markets. Portions of our industry may become increasingly commoditized, with the result that competition in key areas could become more focused on pricing. We expect that we will continue to experience pressure on price from competitors and clients. There is a risk that we will not compete effectively, including on price, which could limit our ability to maintain or increase our market share and could adversely affect our profitability. This may worsen as clients increasingly take advantage of low-cost alternatives including using their own in-house resources rather than engaging a third party.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9" w:name="page10"/>
    <w:bookmarkEnd w:id="9"/>
    <w:p>
      <w:pPr>
        <w:ind w:right="120" w:firstLine="633"/>
        <w:spacing w:after="0" w:line="287" w:lineRule="auto"/>
        <w:rPr>
          <w:sz w:val="20"/>
          <w:szCs w:val="20"/>
          <w:color w:val="auto"/>
        </w:rPr>
      </w:pPr>
      <w:r>
        <w:rPr>
          <w:rFonts w:ascii="Arial" w:cs="Arial" w:eastAsia="Arial" w:hAnsi="Arial"/>
          <w:sz w:val="17"/>
          <w:szCs w:val="17"/>
          <w:b w:val="1"/>
          <w:bCs w:val="1"/>
          <w:color w:val="auto"/>
        </w:rPr>
        <w:t>We may be unable to effectively implement our business strategy, and there can be no assurance that we will achieve our objectives, including our simplification efforts.</w:t>
      </w:r>
    </w:p>
    <w:p>
      <w:pPr>
        <w:spacing w:after="0" w:line="184"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Our business strategy focuses on growing revenue while improving our operating profits. An important element of our strategy is our effort to diversify our revenues beyond our core staffing and employment services through the sale of innovative workforce solutions that have higher operating margins. These workforce solutions are often unique, non-repeatable and tailored to a client’s needs, and present costs, risk and complexity that may be difficult to calculate. These solutions may be unprofitable if we are not able to accurately anticipate these costs and risks in our pricing for these solutions, including failure to structure a solution to ensure we recover our initial investments, or if we do not have an adequate delivery plan for these solutions.</w:t>
      </w:r>
    </w:p>
    <w:p>
      <w:pPr>
        <w:spacing w:after="0" w:line="20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business strategy also includes continuing efforts to simplify our organizational structure, programs, technology and delivery of services to make us a more agile and effective competitor, to reduce the cost of operating our business and to increase our operating profit and operating profit margin. We may not be successful in our continuing simplification efforts, and they may fail to achieve the cost savings we anticipate; further, we may fail to prevent the return of costs eliminated in these efforts. Additionally, the reductions in personnel and other changes we make in connection with the implementation of our simplification strategy could adversely affect our ability to effectively operate our business. Furthermore, the implementation of our simplification strategy, and other plans to accomplish our business and financial objectives, is highly dependent on factors within and outside of our control, including our performance managing our operations as well as global economic conditions. If, for these or other reasons, we are not successful in implementing our business strategy or achieving the anticipated results, our business, financial condition and results of operations could be materially adversely affected.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performance on contracts may be adversely affected if we or third parties fail to deliver on commitments.</w:t>
      </w:r>
    </w:p>
    <w:p>
      <w:pPr>
        <w:spacing w:after="0" w:line="249" w:lineRule="exact"/>
        <w:rPr>
          <w:sz w:val="20"/>
          <w:szCs w:val="20"/>
          <w:color w:val="auto"/>
        </w:rPr>
      </w:pPr>
    </w:p>
    <w:p>
      <w:pPr>
        <w:ind w:right="40" w:firstLine="465"/>
        <w:spacing w:after="0" w:line="308" w:lineRule="auto"/>
        <w:rPr>
          <w:sz w:val="20"/>
          <w:szCs w:val="20"/>
          <w:color w:val="auto"/>
        </w:rPr>
      </w:pPr>
      <w:r>
        <w:rPr>
          <w:rFonts w:ascii="Arial" w:cs="Arial" w:eastAsia="Arial" w:hAnsi="Arial"/>
          <w:sz w:val="15"/>
          <w:szCs w:val="15"/>
          <w:color w:val="auto"/>
        </w:rPr>
        <w:t>Our contracts are increasingly complex and, in some instances, require that we partner with other parties to provide the workforce solutions required by our clients. Our ability to deliver these solutions and provide the services required by our clients is dependent on our and our partners' ability to meet our clients' delivery requirements and schedules. If we or our partners fail to deliver services on time and in accordance with contractual performance obligations, then our ability to successfully complete our contracts may be adversely affected, which may have a material and adverse impact on our client relations, revenues and profitability.</w:t>
      </w:r>
    </w:p>
    <w:p>
      <w:pPr>
        <w:spacing w:after="0" w:line="167" w:lineRule="exact"/>
        <w:rPr>
          <w:sz w:val="20"/>
          <w:szCs w:val="20"/>
          <w:color w:val="auto"/>
        </w:rPr>
      </w:pPr>
    </w:p>
    <w:p>
      <w:pPr>
        <w:jc w:val="both"/>
        <w:ind w:firstLine="465"/>
        <w:spacing w:after="0" w:line="287" w:lineRule="auto"/>
        <w:rPr>
          <w:sz w:val="20"/>
          <w:szCs w:val="20"/>
          <w:color w:val="auto"/>
        </w:rPr>
      </w:pPr>
      <w:r>
        <w:rPr>
          <w:rFonts w:ascii="Arial" w:cs="Arial" w:eastAsia="Arial" w:hAnsi="Arial"/>
          <w:sz w:val="17"/>
          <w:szCs w:val="17"/>
          <w:b w:val="1"/>
          <w:bCs w:val="1"/>
          <w:color w:val="auto"/>
        </w:rPr>
        <w:t>Our results of operations and ability to grow could be materially negatively affected if we cannot successfully keep pace with technological changes in the development and implementation of our services and solutions.</w:t>
      </w:r>
    </w:p>
    <w:p>
      <w:pPr>
        <w:spacing w:after="0" w:line="184" w:lineRule="exact"/>
        <w:rPr>
          <w:sz w:val="20"/>
          <w:szCs w:val="20"/>
          <w:color w:val="auto"/>
        </w:rPr>
      </w:pPr>
    </w:p>
    <w:p>
      <w:pPr>
        <w:jc w:val="both"/>
        <w:ind w:firstLine="465"/>
        <w:spacing w:after="0" w:line="260" w:lineRule="auto"/>
        <w:rPr>
          <w:sz w:val="20"/>
          <w:szCs w:val="20"/>
          <w:color w:val="auto"/>
        </w:rPr>
      </w:pPr>
      <w:r>
        <w:rPr>
          <w:rFonts w:ascii="Arial" w:cs="Arial" w:eastAsia="Arial" w:hAnsi="Arial"/>
          <w:sz w:val="17"/>
          <w:szCs w:val="17"/>
          <w:color w:val="auto"/>
        </w:rPr>
        <w:t>Our success depends on our ability to keep pace with rapid technological changes in the development and implementation of our services and solutions. Our business is reliant on a variety of technologies, including those which support applicant on-boarding and tracking systems, order management, billing, and client data analytics. If we do not sufficiently invest in new technology and industry developments, or evolve our business at sufficient speed and scale in response to such developments, or if we do not make the right strategic investments to respond to these developments, our services and solutions, our results of operations, and our ability to develop and maintain a competitive advantage could be negatively affected.</w:t>
      </w:r>
    </w:p>
    <w:p>
      <w:pPr>
        <w:spacing w:after="0" w:line="20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If we lose our key personnel, then our business may suffer.</w:t>
      </w:r>
    </w:p>
    <w:p>
      <w:pPr>
        <w:spacing w:after="0" w:line="224" w:lineRule="exact"/>
        <w:rPr>
          <w:sz w:val="20"/>
          <w:szCs w:val="20"/>
          <w:color w:val="auto"/>
        </w:rPr>
      </w:pPr>
    </w:p>
    <w:p>
      <w:pPr>
        <w:ind w:right="60" w:firstLine="465"/>
        <w:spacing w:after="0" w:line="276" w:lineRule="auto"/>
        <w:rPr>
          <w:sz w:val="20"/>
          <w:szCs w:val="20"/>
          <w:color w:val="auto"/>
        </w:rPr>
      </w:pPr>
      <w:r>
        <w:rPr>
          <w:rFonts w:ascii="Arial" w:cs="Arial" w:eastAsia="Arial" w:hAnsi="Arial"/>
          <w:sz w:val="16"/>
          <w:szCs w:val="16"/>
          <w:color w:val="auto"/>
        </w:rPr>
        <w:t>Our operations are dependent on the continued efforts of our officers and executive management and the performance and productivity of our local managers and field personnel. Our ability to attract and retain business is significantly affected by local relationships and the quality of service rendered. If we were to lose key personnel who have acquired significant experience in managing our business or managing companies on a global basis, it could have a significant impact on our operations. Additionally, some of our important client relationships may be dependent on the continued performance of individual managers or field personnel, and there is a risk that loss of those individuals could jeopardize key client relationships. Our simplification plan includes reductions of our workforce, at the staff and officer level, in both our headquarters and throughout our country operations. There is a risk that this simplification and the resultant reductions in personnel could materially adversely affect the effectiveness of our operations, and therefore our business and financial results.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0" w:name="page11"/>
    <w:bookmarkEnd w:id="10"/>
    <w:p>
      <w:pPr>
        <w:ind w:left="640"/>
        <w:spacing w:after="0"/>
        <w:rPr>
          <w:sz w:val="20"/>
          <w:szCs w:val="20"/>
          <w:color w:val="auto"/>
        </w:rPr>
      </w:pPr>
      <w:r>
        <w:rPr>
          <w:rFonts w:ascii="Arial" w:cs="Arial" w:eastAsia="Arial" w:hAnsi="Arial"/>
          <w:sz w:val="15"/>
          <w:szCs w:val="15"/>
          <w:b w:val="1"/>
          <w:bCs w:val="1"/>
          <w:color w:val="auto"/>
        </w:rPr>
        <w:t>Intense competition may limit our ability to attract, train and retain the qualified personnel necessary for us to meet our clients’ staffing needs.</w:t>
      </w:r>
    </w:p>
    <w:p>
      <w:pPr>
        <w:spacing w:after="0" w:line="246" w:lineRule="exact"/>
        <w:rPr>
          <w:sz w:val="20"/>
          <w:szCs w:val="20"/>
          <w:color w:val="auto"/>
        </w:rPr>
      </w:pPr>
    </w:p>
    <w:p>
      <w:pPr>
        <w:ind w:firstLine="465"/>
        <w:spacing w:after="0" w:line="256" w:lineRule="auto"/>
        <w:rPr>
          <w:sz w:val="20"/>
          <w:szCs w:val="20"/>
          <w:color w:val="auto"/>
        </w:rPr>
      </w:pPr>
      <w:r>
        <w:rPr>
          <w:rFonts w:ascii="Arial" w:cs="Arial" w:eastAsia="Arial" w:hAnsi="Arial"/>
          <w:sz w:val="17"/>
          <w:szCs w:val="17"/>
          <w:color w:val="auto"/>
        </w:rPr>
        <w:t>Our business depends on our ability to attract and retain qualified associates who possess the skills and experience necessary to meet the requirements of our clients. We must continually evaluate and upgrade our base of available qualified personnel through recruiting and training programs to keep pace with changing client needs and emerging technologies. Competition for individuals with proven professional skills is intense, and we expect demand for such individuals to remain very strong for the foreseeable future. Qualified personnel may not be available to us in sufficient numbers and on terms of employment acceptable to us. Additionally, our clients may look to us for assistance in identifying and integrating into their organizations workers from diverse backgrounds, and who may represent different generations, geographical regions, and skillsets. These needs may change due to business requirements, or in response to geopolitical and societal trends. There is a risk that we may not be able to identify workers with the required attributes, or that our training programs may not succeed in developing effective or adequate skills. If we fail to recruit, train and retain qualified associates who meet the needs of our clients, our reputation, business and financial results could be materially adversely affected.</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As a result of our geographic breadth, we are more susceptible to certain risks.</w:t>
      </w:r>
    </w:p>
    <w:p>
      <w:pPr>
        <w:spacing w:after="0" w:line="249" w:lineRule="exact"/>
        <w:rPr>
          <w:sz w:val="20"/>
          <w:szCs w:val="20"/>
          <w:color w:val="auto"/>
        </w:rPr>
      </w:pPr>
    </w:p>
    <w:p>
      <w:pPr>
        <w:ind w:right="420" w:firstLine="465"/>
        <w:spacing w:after="0" w:line="280" w:lineRule="auto"/>
        <w:rPr>
          <w:sz w:val="20"/>
          <w:szCs w:val="20"/>
          <w:color w:val="auto"/>
        </w:rPr>
      </w:pPr>
      <w:r>
        <w:rPr>
          <w:rFonts w:ascii="Arial" w:cs="Arial" w:eastAsia="Arial" w:hAnsi="Arial"/>
          <w:sz w:val="17"/>
          <w:szCs w:val="17"/>
          <w:color w:val="auto"/>
        </w:rPr>
        <w:t>We operate in 80 countries and territories around the world. If we are unable to manage the following risks of our global operations, our results could be adversely affected:</w:t>
      </w:r>
    </w:p>
    <w:p>
      <w:pPr>
        <w:spacing w:after="0" w:line="189" w:lineRule="exact"/>
        <w:rPr>
          <w:sz w:val="20"/>
          <w:szCs w:val="20"/>
          <w:color w:val="auto"/>
        </w:rPr>
      </w:pPr>
    </w:p>
    <w:p>
      <w:pPr>
        <w:ind w:left="620" w:hanging="152"/>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risk from political events, including political unrest, hostilities, and strikes.</w:t>
      </w:r>
    </w:p>
    <w:p>
      <w:pPr>
        <w:spacing w:after="0" w:line="243" w:lineRule="exact"/>
        <w:rPr>
          <w:rFonts w:ascii="Arial" w:cs="Arial" w:eastAsia="Arial" w:hAnsi="Arial"/>
          <w:sz w:val="17"/>
          <w:szCs w:val="17"/>
          <w:color w:val="auto"/>
        </w:rPr>
      </w:pPr>
    </w:p>
    <w:p>
      <w:pPr>
        <w:ind w:right="80" w:firstLine="468"/>
        <w:spacing w:after="0" w:line="280" w:lineRule="auto"/>
        <w:tabs>
          <w:tab w:leader="none" w:pos="608"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subject to natural disasters, severe weather conditions, global health emergencies, disruptions of infrastructure and utilities, cyber attacks, and other events beyond our control.</w:t>
      </w:r>
    </w:p>
    <w:p>
      <w:pPr>
        <w:spacing w:after="0" w:line="189" w:lineRule="exact"/>
        <w:rPr>
          <w:rFonts w:ascii="Arial" w:cs="Arial" w:eastAsia="Arial" w:hAnsi="Arial"/>
          <w:sz w:val="17"/>
          <w:szCs w:val="17"/>
          <w:color w:val="auto"/>
        </w:rPr>
      </w:pPr>
    </w:p>
    <w:p>
      <w:pPr>
        <w:jc w:val="both"/>
        <w:ind w:right="100" w:firstLine="468"/>
        <w:spacing w:after="0" w:line="291" w:lineRule="auto"/>
        <w:tabs>
          <w:tab w:leader="none" w:pos="611"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global operations expose us to numerous legal and regulatory requirements, and violations of these regulations could harm our business. In particular, in many parts of the world, including countries in which we operate, practices in the local business community may not conform to international business standards and could violate anticorruption law or regulations, including the U.S. Foreign Corrupt Practices Act and the UK Bribery Act 2010.</w:t>
      </w:r>
    </w:p>
    <w:p>
      <w:pPr>
        <w:spacing w:after="0" w:line="151" w:lineRule="exact"/>
        <w:rPr>
          <w:sz w:val="20"/>
          <w:szCs w:val="20"/>
          <w:color w:val="auto"/>
        </w:rPr>
      </w:pPr>
    </w:p>
    <w:p>
      <w:pPr>
        <w:ind w:right="140" w:firstLine="465"/>
        <w:spacing w:after="0" w:line="287" w:lineRule="auto"/>
        <w:rPr>
          <w:sz w:val="20"/>
          <w:szCs w:val="20"/>
          <w:color w:val="auto"/>
        </w:rPr>
      </w:pPr>
      <w:r>
        <w:rPr>
          <w:rFonts w:ascii="Arial" w:cs="Arial" w:eastAsia="Arial" w:hAnsi="Arial"/>
          <w:sz w:val="17"/>
          <w:szCs w:val="17"/>
          <w:b w:val="1"/>
          <w:bCs w:val="1"/>
          <w:color w:val="auto"/>
        </w:rPr>
        <w:t>Government regulations may result in prohibition or restriction of certain types of employment services or the imposition of additional licensing or tax requirements that may reduce our future earnings.</w:t>
      </w:r>
    </w:p>
    <w:p>
      <w:pPr>
        <w:spacing w:after="0" w:line="158" w:lineRule="exact"/>
        <w:rPr>
          <w:sz w:val="20"/>
          <w:szCs w:val="20"/>
          <w:color w:val="auto"/>
        </w:rPr>
      </w:pPr>
    </w:p>
    <w:p>
      <w:pPr>
        <w:ind w:right="100" w:firstLine="465"/>
        <w:spacing w:after="0" w:line="283" w:lineRule="auto"/>
        <w:rPr>
          <w:sz w:val="20"/>
          <w:szCs w:val="20"/>
          <w:color w:val="auto"/>
        </w:rPr>
      </w:pPr>
      <w:r>
        <w:rPr>
          <w:rFonts w:ascii="Arial" w:cs="Arial" w:eastAsia="Arial" w:hAnsi="Arial"/>
          <w:sz w:val="16"/>
          <w:szCs w:val="16"/>
          <w:color w:val="auto"/>
        </w:rPr>
        <w:t>In many jurisdictions in which we operate, such as France and Germany, the employment services industry is heavily regulated. For example, governmental regulations in Germany restrict the length of contracts and the industries in which our associates may be used. In some countries, special taxes, fees or costs are imposed in connection with the use of our associates. Additionally, in some countries, trade unions have used the political process to target our industry, in an effort to increase the regulatory burden and expense associated with offering or utilizing contingent workforce solutions.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countries in which we operate may, among other things:</w:t>
      </w:r>
    </w:p>
    <w:p>
      <w:pPr>
        <w:spacing w:after="0" w:line="243" w:lineRule="exact"/>
        <w:rPr>
          <w:sz w:val="20"/>
          <w:szCs w:val="20"/>
          <w:color w:val="auto"/>
        </w:rPr>
      </w:pPr>
    </w:p>
    <w:p>
      <w:pPr>
        <w:ind w:left="620" w:hanging="15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create additional regulations that prohibit or restrict the types of employment services that we currently provide;</w:t>
      </w:r>
    </w:p>
    <w:p>
      <w:pPr>
        <w:spacing w:after="0" w:line="217" w:lineRule="exact"/>
        <w:rPr>
          <w:rFonts w:ascii="Arial" w:cs="Arial" w:eastAsia="Arial" w:hAnsi="Arial"/>
          <w:sz w:val="17"/>
          <w:szCs w:val="17"/>
          <w:color w:val="auto"/>
        </w:rPr>
      </w:pPr>
    </w:p>
    <w:p>
      <w:pPr>
        <w:ind w:left="620" w:hanging="15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 new or additional benefits be paid to our associates;</w:t>
      </w:r>
    </w:p>
    <w:p>
      <w:pPr>
        <w:spacing w:after="0" w:line="217" w:lineRule="exact"/>
        <w:rPr>
          <w:rFonts w:ascii="Arial" w:cs="Arial" w:eastAsia="Arial" w:hAnsi="Arial"/>
          <w:sz w:val="17"/>
          <w:szCs w:val="17"/>
          <w:color w:val="auto"/>
        </w:rPr>
      </w:pPr>
    </w:p>
    <w:p>
      <w:pPr>
        <w:ind w:left="620" w:hanging="15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require us to obtain additional licensing to provide employment services; or</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taxes, such as sales or value-added taxes, payable by the providers of temporary and contract recruitment centers.</w:t>
      </w:r>
    </w:p>
    <w:p>
      <w:pPr>
        <w:spacing w:after="0" w:line="243" w:lineRule="exact"/>
        <w:rPr>
          <w:sz w:val="20"/>
          <w:szCs w:val="20"/>
          <w:color w:val="auto"/>
        </w:rPr>
      </w:pPr>
    </w:p>
    <w:p>
      <w:pPr>
        <w:ind w:right="20" w:firstLine="465"/>
        <w:spacing w:after="0" w:line="280" w:lineRule="auto"/>
        <w:rPr>
          <w:sz w:val="20"/>
          <w:szCs w:val="20"/>
          <w:color w:val="auto"/>
        </w:rPr>
      </w:pPr>
      <w:r>
        <w:rPr>
          <w:rFonts w:ascii="Arial" w:cs="Arial" w:eastAsia="Arial" w:hAnsi="Arial"/>
          <w:sz w:val="17"/>
          <w:szCs w:val="17"/>
          <w:color w:val="auto"/>
        </w:rPr>
        <w:t>Any future regulations may have a material adverse effect on our business and financial results because they may make it more difficult or expensive for us to continue to provide employment services.</w:t>
      </w:r>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263" w:right="299" w:bottom="1440" w:gutter="0" w:footer="0" w:header="0"/>
        </w:sectPr>
      </w:pPr>
    </w:p>
    <w:bookmarkStart w:id="11" w:name="page12"/>
    <w:bookmarkEnd w:id="11"/>
    <w:p>
      <w:pPr>
        <w:ind w:right="20" w:firstLine="465"/>
        <w:spacing w:after="0" w:line="287" w:lineRule="auto"/>
        <w:rPr>
          <w:sz w:val="20"/>
          <w:szCs w:val="20"/>
          <w:color w:val="auto"/>
        </w:rPr>
      </w:pPr>
      <w:r>
        <w:rPr>
          <w:rFonts w:ascii="Arial" w:cs="Arial" w:eastAsia="Arial" w:hAnsi="Arial"/>
          <w:sz w:val="17"/>
          <w:szCs w:val="17"/>
          <w:b w:val="1"/>
          <w:bCs w:val="1"/>
          <w:color w:val="auto"/>
        </w:rPr>
        <w:t>We may be exposed to employment-related claims and costs from clients or third parties that could materially adversely affect our business, financial condition and results of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are in the business of employing people and placing them in the workplaces of other businesses. Risks relating to these activities include:</w:t>
      </w:r>
    </w:p>
    <w:p>
      <w:pPr>
        <w:spacing w:after="0" w:line="243" w:lineRule="exact"/>
        <w:rPr>
          <w:sz w:val="20"/>
          <w:szCs w:val="20"/>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claims arising out of the actions or inactions of our associates, including matters for which we may have indemnified a client;</w:t>
      </w:r>
    </w:p>
    <w:p>
      <w:pPr>
        <w:spacing w:after="0" w:line="217" w:lineRule="exact"/>
        <w:rPr>
          <w:rFonts w:ascii="Arial" w:cs="Arial" w:eastAsia="Arial" w:hAnsi="Arial"/>
          <w:sz w:val="17"/>
          <w:szCs w:val="17"/>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claims by our associates of discrimination or harassment directed at them, including claims relating to actions of our clients;</w:t>
      </w:r>
    </w:p>
    <w:p>
      <w:pPr>
        <w:spacing w:after="0" w:line="217" w:lineRule="exact"/>
        <w:rPr>
          <w:rFonts w:ascii="Arial" w:cs="Arial" w:eastAsia="Arial" w:hAnsi="Arial"/>
          <w:sz w:val="17"/>
          <w:szCs w:val="17"/>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claims related to the employment of undocumented or illegal workers;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payment of workers’ compensation claims and other similar claims;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violations of employee pay and benefits requirements such as violations of wage and hour requirements;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retroactive entitlement to employee benefits;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errors and omissions of our associates, particularly in the case of professionals, such as accountants; and</w:t>
      </w:r>
    </w:p>
    <w:p>
      <w:pPr>
        <w:spacing w:after="0" w:line="243" w:lineRule="exact"/>
        <w:rPr>
          <w:rFonts w:ascii="Arial" w:cs="Arial" w:eastAsia="Arial" w:hAnsi="Arial"/>
          <w:sz w:val="17"/>
          <w:szCs w:val="17"/>
          <w:color w:val="auto"/>
        </w:rPr>
      </w:pPr>
    </w:p>
    <w:p>
      <w:pPr>
        <w:ind w:right="20" w:firstLine="468"/>
        <w:spacing w:after="0" w:line="280" w:lineRule="auto"/>
        <w:tabs>
          <w:tab w:leader="none" w:pos="611" w:val="left"/>
        </w:tabs>
        <w:numPr>
          <w:ilvl w:val="0"/>
          <w:numId w:val="9"/>
        </w:numPr>
        <w:rPr>
          <w:rFonts w:ascii="Arial" w:cs="Arial" w:eastAsia="Arial" w:hAnsi="Arial"/>
          <w:sz w:val="17"/>
          <w:szCs w:val="17"/>
          <w:color w:val="auto"/>
        </w:rPr>
      </w:pPr>
      <w:r>
        <w:rPr>
          <w:rFonts w:ascii="Arial" w:cs="Arial" w:eastAsia="Arial" w:hAnsi="Arial"/>
          <w:sz w:val="17"/>
          <w:szCs w:val="17"/>
          <w:color w:val="auto"/>
        </w:rPr>
        <w:t>claims by our clients relating to our associates’ misuse of clients’ proprietary information, misappropriation of funds, other criminal activity or torts or other similar claims.</w:t>
      </w:r>
    </w:p>
    <w:p>
      <w:pPr>
        <w:spacing w:after="0" w:line="163" w:lineRule="exact"/>
        <w:rPr>
          <w:sz w:val="20"/>
          <w:szCs w:val="20"/>
          <w:color w:val="auto"/>
        </w:rPr>
      </w:pPr>
    </w:p>
    <w:p>
      <w:pPr>
        <w:ind w:right="100" w:firstLine="465"/>
        <w:spacing w:after="0" w:line="266" w:lineRule="auto"/>
        <w:rPr>
          <w:sz w:val="20"/>
          <w:szCs w:val="20"/>
          <w:color w:val="auto"/>
        </w:rPr>
      </w:pPr>
      <w:r>
        <w:rPr>
          <w:rFonts w:ascii="Arial" w:cs="Arial" w:eastAsia="Arial" w:hAnsi="Arial"/>
          <w:sz w:val="17"/>
          <w:szCs w:val="17"/>
          <w:color w:val="auto"/>
        </w:rPr>
        <w:t>We may incur fines and other losses or negative publicity with respect to these problems. In addition, some or all of these claims may give rise to litigation, which could be time-consuming to our management team and costly and could have a negative impact on our business. We cannot be certain we will not experience these problems in the future.</w:t>
      </w:r>
    </w:p>
    <w:p>
      <w:pPr>
        <w:spacing w:after="0" w:line="202" w:lineRule="exact"/>
        <w:rPr>
          <w:sz w:val="20"/>
          <w:szCs w:val="20"/>
          <w:color w:val="auto"/>
        </w:rPr>
      </w:pPr>
    </w:p>
    <w:p>
      <w:pPr>
        <w:ind w:right="80"/>
        <w:spacing w:after="0" w:line="283" w:lineRule="auto"/>
        <w:rPr>
          <w:sz w:val="20"/>
          <w:szCs w:val="20"/>
          <w:color w:val="auto"/>
        </w:rPr>
      </w:pPr>
      <w:r>
        <w:rPr>
          <w:rFonts w:ascii="Arial" w:cs="Arial" w:eastAsia="Arial" w:hAnsi="Arial"/>
          <w:sz w:val="16"/>
          <w:szCs w:val="16"/>
          <w:color w:val="auto"/>
        </w:rPr>
        <w:t>We cannot be certain our insurance will be sufficient in amount or scope to cover all claims that may be asserted against us. Should the ultimate judgments or settlements exceed our insurance coverage, they could have a material effect on our results of operations, financial position and cash flows. We cannot be certain we will be able to obtain appropriate types or levels of insurance in the future, that adequate replacement policies will be available on acceptable terms, if at all, or that the companies from which we have obtained insurance will be able to pay claims we make under such policies.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business exposes us to competition law risk.</w:t>
      </w:r>
    </w:p>
    <w:p>
      <w:pPr>
        <w:spacing w:after="0" w:line="249" w:lineRule="exact"/>
        <w:rPr>
          <w:sz w:val="20"/>
          <w:szCs w:val="20"/>
          <w:color w:val="auto"/>
        </w:rPr>
      </w:pPr>
    </w:p>
    <w:p>
      <w:pPr>
        <w:ind w:right="120" w:firstLine="465"/>
        <w:spacing w:after="0" w:line="280" w:lineRule="auto"/>
        <w:rPr>
          <w:sz w:val="20"/>
          <w:szCs w:val="20"/>
          <w:color w:val="auto"/>
        </w:rPr>
      </w:pPr>
      <w:r>
        <w:rPr>
          <w:rFonts w:ascii="Arial" w:cs="Arial" w:eastAsia="Arial" w:hAnsi="Arial"/>
          <w:sz w:val="16"/>
          <w:szCs w:val="16"/>
          <w:color w:val="auto"/>
        </w:rPr>
        <w:t>We are subject to antitrust and competition law in the United States, the European Union, and many other regions in which we operate. Some of our business models may carry a heightened risk of regulatory inquiry under relevant competition laws. Although we have put in place safeguards designed to maintain compliance with applicable competition laws, there can be no assurance these protections will be adequate, and there is a risk that we will be subject to regulatory investigation by relevant authorities. For example, in 2009, we were fined by the French Competition Council following a 2004 investigation, and in 2013 we were informed that the French competition authority had commenced an investigation into us and a number of our competitors in France.</w:t>
      </w:r>
    </w:p>
    <w:p>
      <w:pPr>
        <w:spacing w:after="0" w:line="192" w:lineRule="exact"/>
        <w:rPr>
          <w:sz w:val="20"/>
          <w:szCs w:val="20"/>
          <w:color w:val="auto"/>
        </w:rPr>
      </w:pPr>
    </w:p>
    <w:p>
      <w:pPr>
        <w:ind w:right="340" w:firstLine="465"/>
        <w:spacing w:after="0" w:line="262" w:lineRule="auto"/>
        <w:rPr>
          <w:sz w:val="20"/>
          <w:szCs w:val="20"/>
          <w:color w:val="auto"/>
        </w:rPr>
      </w:pPr>
      <w:r>
        <w:rPr>
          <w:rFonts w:ascii="Arial" w:cs="Arial" w:eastAsia="Arial" w:hAnsi="Arial"/>
          <w:sz w:val="17"/>
          <w:szCs w:val="17"/>
          <w:color w:val="auto"/>
        </w:rPr>
        <w:t>There is no assurance we will successfully defend against such regulatory inquiries, and they may consume substantial amounts of our financial and managerial resources, and result in adverse publicity, even if successfully resolved. An unfavorable outcome with respect to these matters and any future matters could, individually or in the aggregate, result in substantial liabilities that have a material adverse effect upon our business, financial condition or results of operations.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Our ability to attract and retain business and employees may depend on our reputation in the marketplace.</w:t>
      </w:r>
    </w:p>
    <w:p>
      <w:pPr>
        <w:spacing w:after="0" w:line="249" w:lineRule="exact"/>
        <w:rPr>
          <w:sz w:val="20"/>
          <w:szCs w:val="20"/>
          <w:color w:val="auto"/>
        </w:rPr>
      </w:pPr>
    </w:p>
    <w:p>
      <w:pPr>
        <w:ind w:firstLine="465"/>
        <w:spacing w:after="0" w:line="274" w:lineRule="auto"/>
        <w:rPr>
          <w:sz w:val="20"/>
          <w:szCs w:val="20"/>
          <w:color w:val="auto"/>
        </w:rPr>
      </w:pPr>
      <w:r>
        <w:rPr>
          <w:rFonts w:ascii="Arial" w:cs="Arial" w:eastAsia="Arial" w:hAnsi="Arial"/>
          <w:sz w:val="16"/>
          <w:szCs w:val="16"/>
          <w:color w:val="auto"/>
        </w:rPr>
        <w:t>We believe the ManpowerGroup brand name and our reputation are important corporate assets that help distinguish our services from those of competitors and also contribute to our efforts to recruit and retain talented employees. However, our corporate reputation is potentially susceptible to material damage by events such as disputes with clients, information technology security breaches, internal control deficiencies, delivery failures or compliance violations. Similarly, our reputation could be damaged by actions or statements of current or former clients, employees, competitors, vendors, adversaries in legal proceedings, government regulators, as well as members of the investment community or the media. There is a risk that negative information about ManpowerGroup, even if based on rumor or misunderstanding, could adversely affect our business. Damage to our reputation could be difficult, expensive and time-consuming to repair, could make potential or existing clients reluctant to select us for new engagements, resulting in a loss of business, and could adversely affect our recruitment and retention efforts. Damage to our reputation could also reduce the value and effectiveness of the ManpowerGroup brand name and could reduce investor confidence in us, materially adversely affecting our share price.</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3" w:right="259" w:bottom="1440" w:gutter="0" w:footer="0" w:header="0"/>
        </w:sectPr>
      </w:pPr>
    </w:p>
    <w:bookmarkStart w:id="12" w:name="page13"/>
    <w:bookmarkEnd w:id="12"/>
    <w:p>
      <w:pPr>
        <w:ind w:left="460"/>
        <w:spacing w:after="0"/>
        <w:rPr>
          <w:sz w:val="20"/>
          <w:szCs w:val="20"/>
          <w:color w:val="auto"/>
        </w:rPr>
      </w:pPr>
      <w:r>
        <w:rPr>
          <w:rFonts w:ascii="Arial" w:cs="Arial" w:eastAsia="Arial" w:hAnsi="Arial"/>
          <w:sz w:val="17"/>
          <w:szCs w:val="17"/>
          <w:b w:val="1"/>
          <w:bCs w:val="1"/>
          <w:color w:val="auto"/>
        </w:rPr>
        <w:t>Our results of operations and share price could be adversely affected if we are unable to maintain effective internal controls.</w:t>
      </w:r>
    </w:p>
    <w:p>
      <w:pPr>
        <w:spacing w:after="0" w:line="249" w:lineRule="exact"/>
        <w:rPr>
          <w:sz w:val="20"/>
          <w:szCs w:val="20"/>
          <w:color w:val="auto"/>
        </w:rPr>
      </w:pPr>
    </w:p>
    <w:p>
      <w:pPr>
        <w:ind w:right="60" w:firstLine="465"/>
        <w:spacing w:after="0" w:line="256" w:lineRule="auto"/>
        <w:rPr>
          <w:sz w:val="20"/>
          <w:szCs w:val="20"/>
          <w:color w:val="auto"/>
        </w:rPr>
      </w:pPr>
      <w:r>
        <w:rPr>
          <w:rFonts w:ascii="Arial" w:cs="Arial" w:eastAsia="Arial" w:hAnsi="Arial"/>
          <w:sz w:val="17"/>
          <w:szCs w:val="17"/>
          <w:color w:val="auto"/>
        </w:rPr>
        <w:t>The accuracy of our financial reporting is dependent on the effectiveness of our internal controls. We are required to provide a report from management to our shareholders on our internal control over financial reporting that includes an assessment of the effectiveness of these controls. Internal control over financial reporting has inherent limitations, including human error, the possibility that controls could be circumvented or become inadequate because of changed conditions, and fraud. Because of these</w:t>
      </w:r>
    </w:p>
    <w:p>
      <w:pPr>
        <w:spacing w:after="0" w:line="3" w:lineRule="exact"/>
        <w:rPr>
          <w:sz w:val="20"/>
          <w:szCs w:val="20"/>
          <w:color w:val="auto"/>
        </w:rPr>
      </w:pPr>
    </w:p>
    <w:p>
      <w:pPr>
        <w:ind w:right="440"/>
        <w:spacing w:after="0" w:line="253" w:lineRule="auto"/>
        <w:rPr>
          <w:sz w:val="20"/>
          <w:szCs w:val="20"/>
          <w:color w:val="auto"/>
        </w:rPr>
      </w:pPr>
      <w:r>
        <w:rPr>
          <w:rFonts w:ascii="Arial" w:cs="Arial" w:eastAsia="Arial" w:hAnsi="Arial"/>
          <w:sz w:val="17"/>
          <w:szCs w:val="17"/>
          <w:color w:val="auto"/>
        </w:rPr>
        <w:t>inherent limitations, internal control over financial reporting might not prevent or detect all misstatements or fraud. If we cannot maintain and execute adequate internal control over financial reporting or implement required new or improved controls that</w:t>
      </w:r>
    </w:p>
    <w:p>
      <w:pPr>
        <w:spacing w:after="0" w:line="1" w:lineRule="exact"/>
        <w:rPr>
          <w:sz w:val="20"/>
          <w:szCs w:val="20"/>
          <w:color w:val="auto"/>
        </w:rPr>
      </w:pPr>
    </w:p>
    <w:p>
      <w:pPr>
        <w:ind w:right="2460"/>
        <w:spacing w:after="0" w:line="287" w:lineRule="auto"/>
        <w:rPr>
          <w:sz w:val="20"/>
          <w:szCs w:val="20"/>
          <w:color w:val="auto"/>
        </w:rPr>
      </w:pPr>
      <w:r>
        <w:rPr>
          <w:rFonts w:ascii="Arial" w:cs="Arial" w:eastAsia="Arial" w:hAnsi="Arial"/>
          <w:sz w:val="15"/>
          <w:szCs w:val="15"/>
          <w:color w:val="auto"/>
        </w:rPr>
        <w:t>provide reasonable assurance of the reliability of the financial reporting and preparation of our financial statements for external use, we could suffer harm to our reputation, fail to meet our public reporting requirements on a timely basis, be unable to properly</w:t>
      </w:r>
    </w:p>
    <w:p>
      <w:pPr>
        <w:ind w:right="80"/>
        <w:spacing w:after="0" w:line="267" w:lineRule="auto"/>
        <w:rPr>
          <w:sz w:val="20"/>
          <w:szCs w:val="20"/>
          <w:color w:val="auto"/>
        </w:rPr>
      </w:pPr>
      <w:r>
        <w:rPr>
          <w:rFonts w:ascii="Arial" w:cs="Arial" w:eastAsia="Arial" w:hAnsi="Arial"/>
          <w:sz w:val="17"/>
          <w:szCs w:val="17"/>
          <w:color w:val="auto"/>
        </w:rPr>
        <w:t>report on our business and our results of operations, or be required to restate our financial statements, and our results of operations, the market price of our securities and our ability to obtain new business could be materially adversely affected.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Foreign currency fluctuations may have a material adverse effect on our operating results.</w:t>
      </w:r>
    </w:p>
    <w:p>
      <w:pPr>
        <w:spacing w:after="0" w:line="224" w:lineRule="exact"/>
        <w:rPr>
          <w:sz w:val="20"/>
          <w:szCs w:val="20"/>
          <w:color w:val="auto"/>
        </w:rPr>
      </w:pPr>
    </w:p>
    <w:p>
      <w:pPr>
        <w:ind w:firstLine="465"/>
        <w:spacing w:after="0" w:line="257" w:lineRule="auto"/>
        <w:rPr>
          <w:sz w:val="20"/>
          <w:szCs w:val="20"/>
          <w:color w:val="auto"/>
        </w:rPr>
      </w:pPr>
      <w:r>
        <w:rPr>
          <w:rFonts w:ascii="Arial" w:cs="Arial" w:eastAsia="Arial" w:hAnsi="Arial"/>
          <w:sz w:val="17"/>
          <w:szCs w:val="17"/>
          <w:color w:val="auto"/>
        </w:rPr>
        <w:t>We conduct our operations in 80 countries and territories, and the results of our local operations are reported in the applicable foreign currencies and then translated into United States dollars at the applicable foreign currency exchange rates for inclusion in our consolidated financial statements. During 2013, approximately 85% of our revenues were generated outside of the United States, the majority of which were generated in Europe. Furthermore, approximately $517.7 million of our outstanding indebtedness as of December 31, 2013 was denominated in foreign currencies. Because of devaluations and fluctuations in currency exchange rates or the imposition of limitations on conversion of foreign currencies into United States dollars, we are subject to currency translation exposure on the profits of our operations, in addition to economic exposure. This exposure could have a material adverse effect on our business, financial condition, cash flow and results of operations in the future because, among other things, it could cause our reported revenues and profitability to decline or debt levels and interest expense to increase.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We maintain debt that could adversely affect our operating flexibility and put us at a competitive disadvantage.</w:t>
      </w:r>
    </w:p>
    <w:p>
      <w:pPr>
        <w:spacing w:after="0" w:line="224" w:lineRule="exact"/>
        <w:rPr>
          <w:sz w:val="20"/>
          <w:szCs w:val="20"/>
          <w:color w:val="auto"/>
        </w:rPr>
      </w:pPr>
    </w:p>
    <w:p>
      <w:pPr>
        <w:ind w:right="520" w:firstLine="465"/>
        <w:spacing w:after="0" w:line="280" w:lineRule="auto"/>
        <w:rPr>
          <w:sz w:val="20"/>
          <w:szCs w:val="20"/>
          <w:color w:val="auto"/>
        </w:rPr>
      </w:pPr>
      <w:r>
        <w:rPr>
          <w:rFonts w:ascii="Arial" w:cs="Arial" w:eastAsia="Arial" w:hAnsi="Arial"/>
          <w:sz w:val="17"/>
          <w:szCs w:val="17"/>
          <w:color w:val="auto"/>
        </w:rPr>
        <w:t>As of December 31, 2013, we had $517.9 million of total debt. Our level of debt and the limitations imposed on us by our credit agreements could have important consequences for investors, including the following:</w:t>
      </w:r>
    </w:p>
    <w:p>
      <w:pPr>
        <w:spacing w:after="0" w:line="189" w:lineRule="exact"/>
        <w:rPr>
          <w:sz w:val="20"/>
          <w:szCs w:val="20"/>
          <w:color w:val="auto"/>
        </w:rPr>
      </w:pPr>
    </w:p>
    <w:p>
      <w:pPr>
        <w:ind w:right="260" w:firstLine="46"/>
        <w:spacing w:after="0" w:line="280" w:lineRule="auto"/>
        <w:tabs>
          <w:tab w:leader="none" w:pos="189"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not be able to obtain additional debt financing for future working capital, capital expenditures or other corporate purposes or may have to pay more for such financing;</w:t>
      </w:r>
    </w:p>
    <w:p>
      <w:pPr>
        <w:spacing w:after="0" w:line="163" w:lineRule="exact"/>
        <w:rPr>
          <w:rFonts w:ascii="Arial" w:cs="Arial" w:eastAsia="Arial" w:hAnsi="Arial"/>
          <w:sz w:val="17"/>
          <w:szCs w:val="17"/>
          <w:color w:val="auto"/>
        </w:rPr>
      </w:pPr>
    </w:p>
    <w:p>
      <w:pPr>
        <w:ind w:left="200" w:hanging="154"/>
        <w:spacing w:after="0"/>
        <w:tabs>
          <w:tab w:leader="none" w:pos="2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borrowings under our revolving credit facilities are at a variable interest rate, making us more vulnerable to increases in interest rates; and</w:t>
      </w:r>
    </w:p>
    <w:p>
      <w:pPr>
        <w:spacing w:after="0" w:line="243" w:lineRule="exact"/>
        <w:rPr>
          <w:rFonts w:ascii="Arial" w:cs="Arial" w:eastAsia="Arial" w:hAnsi="Arial"/>
          <w:sz w:val="17"/>
          <w:szCs w:val="17"/>
          <w:color w:val="auto"/>
        </w:rPr>
      </w:pPr>
    </w:p>
    <w:p>
      <w:pPr>
        <w:ind w:right="40" w:firstLine="511"/>
        <w:spacing w:after="0" w:line="280" w:lineRule="auto"/>
        <w:tabs>
          <w:tab w:leader="none" w:pos="654" w:val="left"/>
        </w:tabs>
        <w:numPr>
          <w:ilvl w:val="1"/>
          <w:numId w:val="10"/>
        </w:numPr>
        <w:rPr>
          <w:rFonts w:ascii="Arial" w:cs="Arial" w:eastAsia="Arial" w:hAnsi="Arial"/>
          <w:sz w:val="17"/>
          <w:szCs w:val="17"/>
          <w:color w:val="auto"/>
        </w:rPr>
      </w:pPr>
      <w:r>
        <w:rPr>
          <w:rFonts w:ascii="Arial" w:cs="Arial" w:eastAsia="Arial" w:hAnsi="Arial"/>
          <w:sz w:val="17"/>
          <w:szCs w:val="17"/>
          <w:color w:val="auto"/>
        </w:rPr>
        <w:t>we could be less able to take advantage of significant business opportunities, such as acquisition opportunities, and to react to changes in market or industry conditions.</w:t>
      </w:r>
    </w:p>
    <w:p>
      <w:pPr>
        <w:spacing w:after="0" w:line="157" w:lineRule="exact"/>
        <w:rPr>
          <w:sz w:val="20"/>
          <w:szCs w:val="20"/>
          <w:color w:val="auto"/>
        </w:rPr>
      </w:pPr>
    </w:p>
    <w:p>
      <w:pPr>
        <w:ind w:right="840" w:firstLine="465"/>
        <w:spacing w:after="0" w:line="287" w:lineRule="auto"/>
        <w:rPr>
          <w:sz w:val="20"/>
          <w:szCs w:val="20"/>
          <w:color w:val="auto"/>
        </w:rPr>
      </w:pPr>
      <w:r>
        <w:rPr>
          <w:rFonts w:ascii="Arial" w:cs="Arial" w:eastAsia="Arial" w:hAnsi="Arial"/>
          <w:sz w:val="17"/>
          <w:szCs w:val="17"/>
          <w:b w:val="1"/>
          <w:bCs w:val="1"/>
          <w:color w:val="auto"/>
        </w:rPr>
        <w:t>Our failure to comply with restrictive covenants under our revolving credit facilities and other debt instruments could trigger prepayment obligations.</w:t>
      </w:r>
    </w:p>
    <w:p>
      <w:pPr>
        <w:spacing w:after="0" w:line="158" w:lineRule="exact"/>
        <w:rPr>
          <w:sz w:val="20"/>
          <w:szCs w:val="20"/>
          <w:color w:val="auto"/>
        </w:rPr>
      </w:pPr>
    </w:p>
    <w:p>
      <w:pPr>
        <w:ind w:right="140" w:firstLine="465"/>
        <w:spacing w:after="0" w:line="266" w:lineRule="auto"/>
        <w:rPr>
          <w:sz w:val="20"/>
          <w:szCs w:val="20"/>
          <w:color w:val="auto"/>
        </w:rPr>
      </w:pPr>
      <w:r>
        <w:rPr>
          <w:rFonts w:ascii="Arial" w:cs="Arial" w:eastAsia="Arial" w:hAnsi="Arial"/>
          <w:sz w:val="17"/>
          <w:szCs w:val="17"/>
          <w:color w:val="auto"/>
        </w:rPr>
        <w:t>Our failure to comply with the restrictive covenants under our revolving credit facilities and other debt instruments could result in an event of default, which, if not cured or waived, could result in us being required to repay these borrowings before their due date. If we are forced to refinance these borrowings on less favorable terms, our results of operations and financial condition could be adversely affected by increased costs and rates.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The lenders under our and our subsidiaries’ credit facilities may be unwilling or unable to extend credit to us on acceptable terms or at all.</w:t>
      </w:r>
    </w:p>
    <w:p>
      <w:pPr>
        <w:spacing w:after="0" w:line="235" w:lineRule="exact"/>
        <w:rPr>
          <w:sz w:val="20"/>
          <w:szCs w:val="20"/>
          <w:color w:val="auto"/>
        </w:rPr>
      </w:pPr>
    </w:p>
    <w:p>
      <w:pPr>
        <w:ind w:right="100" w:firstLine="465"/>
        <w:spacing w:after="0" w:line="262" w:lineRule="auto"/>
        <w:rPr>
          <w:sz w:val="20"/>
          <w:szCs w:val="20"/>
          <w:color w:val="auto"/>
        </w:rPr>
      </w:pPr>
      <w:r>
        <w:rPr>
          <w:rFonts w:ascii="Arial" w:cs="Arial" w:eastAsia="Arial" w:hAnsi="Arial"/>
          <w:sz w:val="17"/>
          <w:szCs w:val="17"/>
          <w:color w:val="auto"/>
        </w:rPr>
        <w:t>Our liquidity is dependent in part on our revolving credit facility, which is provided by a syndicate of banks. Each bank in the syndicate is responsible on a several, but not joint, basis for providing a portion of the loans under the facility. If any of the participants in the syndicate fails to satisfy its obligations to extend credit under the facility, the other participants refuse or are unable to assume its obligations and we are unable to find an alternative source of funding at comparable rates, our liquidity may be adversely affected or our interest expense may increase substantially.</w:t>
      </w:r>
    </w:p>
    <w:p>
      <w:pPr>
        <w:spacing w:after="0" w:line="205" w:lineRule="exact"/>
        <w:rPr>
          <w:sz w:val="20"/>
          <w:szCs w:val="20"/>
          <w:color w:val="auto"/>
        </w:rPr>
      </w:pPr>
    </w:p>
    <w:p>
      <w:pPr>
        <w:ind w:right="120" w:firstLine="465"/>
        <w:spacing w:after="0" w:line="318" w:lineRule="auto"/>
        <w:rPr>
          <w:sz w:val="20"/>
          <w:szCs w:val="20"/>
          <w:color w:val="auto"/>
        </w:rPr>
      </w:pPr>
      <w:r>
        <w:rPr>
          <w:rFonts w:ascii="Arial" w:cs="Arial" w:eastAsia="Arial" w:hAnsi="Arial"/>
          <w:sz w:val="15"/>
          <w:szCs w:val="15"/>
          <w:color w:val="auto"/>
        </w:rPr>
        <w:t>Furthermore, a number of our subsidiaries maintain uncommitted lines of credit with various banks. Under the terms of these lines of credit, the bank is not obligated to make loans to the subsidiary or to make loans to the subsidiary at a particular interest rate. If any of these banks cancel these lines of credit or otherwise refuse to extend credit on acceptable terms, we may need to extend credit to those subsidiaries or the liquidity of our subsidiaries may be adversely affected.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3" w:name="page14"/>
    <w:bookmarkEnd w:id="13"/>
    <w:p>
      <w:pPr>
        <w:ind w:right="220" w:firstLine="465"/>
        <w:spacing w:after="0" w:line="287" w:lineRule="auto"/>
        <w:rPr>
          <w:sz w:val="20"/>
          <w:szCs w:val="20"/>
          <w:color w:val="auto"/>
        </w:rPr>
      </w:pPr>
      <w:r>
        <w:rPr>
          <w:rFonts w:ascii="Arial" w:cs="Arial" w:eastAsia="Arial" w:hAnsi="Arial"/>
          <w:sz w:val="17"/>
          <w:szCs w:val="17"/>
          <w:b w:val="1"/>
          <w:bCs w:val="1"/>
          <w:color w:val="auto"/>
        </w:rPr>
        <w:t>The performance of our subsidiaries and their ability to distribute cash to our parent company may vary, negatively affecting our ability to service our debt at the parent company level or in other subsidiaries.</w:t>
      </w:r>
    </w:p>
    <w:p>
      <w:pPr>
        <w:spacing w:after="0" w:line="158" w:lineRule="exact"/>
        <w:rPr>
          <w:sz w:val="20"/>
          <w:szCs w:val="20"/>
          <w:color w:val="auto"/>
        </w:rPr>
      </w:pPr>
    </w:p>
    <w:p>
      <w:pPr>
        <w:ind w:firstLine="465"/>
        <w:spacing w:after="0" w:line="280" w:lineRule="auto"/>
        <w:rPr>
          <w:sz w:val="20"/>
          <w:szCs w:val="20"/>
          <w:color w:val="auto"/>
        </w:rPr>
      </w:pPr>
      <w:r>
        <w:rPr>
          <w:rFonts w:ascii="Arial" w:cs="Arial" w:eastAsia="Arial" w:hAnsi="Arial"/>
          <w:sz w:val="16"/>
          <w:szCs w:val="16"/>
          <w:color w:val="auto"/>
        </w:rPr>
        <w:t>Since we conduct a significant portion of our operations through our subsidiaries, our cash flow and our consequent ability to service our debt depends in part upon the earnings of our subsidiaries and the distribution of those earnings to our parent company, or upon loans or other payments of funds by those subsidiaries to our parent company or to other subsidiaries. The payment of such dividends and the making of such loans and advances by our subsidiaries may be subject to legal or contractual restrictions, depend upon the earnings of those subsidiaries and be subject to various business considerations, including the ability of such subsidiaries to pay such dividends or make such loans and advances in a manner that does not result in substantial tax liability or other costs.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Our inability to secure guarantees or letters of credit on acceptable terms may substantially increase our cost of doing business in various countries.</w:t>
      </w:r>
    </w:p>
    <w:p>
      <w:pPr>
        <w:spacing w:after="0" w:line="246" w:lineRule="exact"/>
        <w:rPr>
          <w:sz w:val="20"/>
          <w:szCs w:val="20"/>
          <w:color w:val="auto"/>
        </w:rPr>
      </w:pPr>
    </w:p>
    <w:p>
      <w:pPr>
        <w:ind w:right="80" w:firstLine="465"/>
        <w:spacing w:after="0" w:line="262" w:lineRule="auto"/>
        <w:rPr>
          <w:sz w:val="20"/>
          <w:szCs w:val="20"/>
          <w:color w:val="auto"/>
        </w:rPr>
      </w:pPr>
      <w:r>
        <w:rPr>
          <w:rFonts w:ascii="Arial" w:cs="Arial" w:eastAsia="Arial" w:hAnsi="Arial"/>
          <w:sz w:val="17"/>
          <w:szCs w:val="17"/>
          <w:color w:val="auto"/>
        </w:rPr>
        <w:t>In a number of countries in which we conduct business we are obligated to provide guarantees or letters of credit to secure licenses, lease space or for insurance coverage. We typically receive these guarantees and letters of credit from a number of financial institutions around the world. In the event that we are unable to secure these arrangements from a bank, lender or other third party on acceptable terms, our liquidity may be adversely affected, there could be a disruption to our business or there could be a substantial increase in cost for our business.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The price of our common stock may fluctuate significantly, which may result in losses for investors.</w:t>
      </w:r>
    </w:p>
    <w:p>
      <w:pPr>
        <w:spacing w:after="0" w:line="224" w:lineRule="exact"/>
        <w:rPr>
          <w:sz w:val="20"/>
          <w:szCs w:val="20"/>
          <w:color w:val="auto"/>
        </w:rPr>
      </w:pPr>
    </w:p>
    <w:p>
      <w:pPr>
        <w:jc w:val="both"/>
        <w:ind w:right="20" w:firstLine="465"/>
        <w:spacing w:after="0" w:line="266" w:lineRule="auto"/>
        <w:rPr>
          <w:sz w:val="20"/>
          <w:szCs w:val="20"/>
          <w:color w:val="auto"/>
        </w:rPr>
      </w:pPr>
      <w:r>
        <w:rPr>
          <w:rFonts w:ascii="Arial" w:cs="Arial" w:eastAsia="Arial" w:hAnsi="Arial"/>
          <w:sz w:val="17"/>
          <w:szCs w:val="17"/>
          <w:color w:val="auto"/>
        </w:rPr>
        <w:t>The market price for our common stock has been and may continue to be volatile. For example, during 2013, the price of our common stock as reported on the New York Stock Exchange ranged from a high of $86.66 to a low of $43.49. Our stock price can fluctuate as a result of a variety of factors, including factors listed in these “Risk Factors” and others, many of which are beyond our control. These factors include:</w:t>
      </w:r>
    </w:p>
    <w:p>
      <w:pPr>
        <w:spacing w:after="0" w:line="176" w:lineRule="exact"/>
        <w:rPr>
          <w:sz w:val="20"/>
          <w:szCs w:val="20"/>
          <w:color w:val="auto"/>
        </w:rPr>
      </w:pPr>
    </w:p>
    <w:p>
      <w:pPr>
        <w:ind w:left="620" w:hanging="15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actual or anticipated variations in our quarterly operating results;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announcement of new services by us or our competitors;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announcements relating to strategic relationships or acquisitions;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financial estimates or other statements by securities analysts; and</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changes in general economic conditions.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Wisconsin law and our articles of incorporation and bylaws contain provisions that could make the takeover of our company more difficult.</w:t>
      </w:r>
    </w:p>
    <w:p>
      <w:pPr>
        <w:spacing w:after="0" w:line="235" w:lineRule="exact"/>
        <w:rPr>
          <w:sz w:val="20"/>
          <w:szCs w:val="20"/>
          <w:color w:val="auto"/>
        </w:rPr>
      </w:pPr>
    </w:p>
    <w:p>
      <w:pPr>
        <w:ind w:right="140" w:firstLine="465"/>
        <w:spacing w:after="0" w:line="312" w:lineRule="auto"/>
        <w:rPr>
          <w:sz w:val="20"/>
          <w:szCs w:val="20"/>
          <w:color w:val="auto"/>
        </w:rPr>
      </w:pPr>
      <w:r>
        <w:rPr>
          <w:rFonts w:ascii="Arial" w:cs="Arial" w:eastAsia="Arial" w:hAnsi="Arial"/>
          <w:sz w:val="16"/>
          <w:szCs w:val="16"/>
          <w:color w:val="auto"/>
        </w:rPr>
        <w:t>Certain provisions of Wisconsin law and our articles of incorporation and bylaws could have the effect of delaying or preventing a third party from acquiring us, even if a change in control would be beneficial to our shareholders. These provisions of our articles of incorporation and bylaws currently include:</w:t>
      </w:r>
    </w:p>
    <w:p>
      <w:pPr>
        <w:spacing w:after="0" w:line="141" w:lineRule="exact"/>
        <w:rPr>
          <w:sz w:val="20"/>
          <w:szCs w:val="20"/>
          <w:color w:val="auto"/>
        </w:rPr>
      </w:pPr>
    </w:p>
    <w:p>
      <w:pPr>
        <w:ind w:left="620" w:hanging="15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permitting removal of directors only for cause;</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providing that vacancies on the board of directors will be filled by the remaining directors then in office; and</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requiring advance notice for shareholder proposals and director nominees.</w:t>
      </w:r>
    </w:p>
    <w:p>
      <w:pPr>
        <w:spacing w:after="0" w:line="218" w:lineRule="exact"/>
        <w:rPr>
          <w:sz w:val="20"/>
          <w:szCs w:val="20"/>
          <w:color w:val="auto"/>
        </w:rPr>
      </w:pPr>
    </w:p>
    <w:p>
      <w:pPr>
        <w:ind w:right="40" w:firstLine="465"/>
        <w:spacing w:after="0" w:line="262" w:lineRule="auto"/>
        <w:rPr>
          <w:sz w:val="20"/>
          <w:szCs w:val="20"/>
          <w:color w:val="auto"/>
        </w:rPr>
      </w:pPr>
      <w:r>
        <w:rPr>
          <w:rFonts w:ascii="Arial" w:cs="Arial" w:eastAsia="Arial" w:hAnsi="Arial"/>
          <w:sz w:val="17"/>
          <w:szCs w:val="17"/>
          <w:color w:val="auto"/>
        </w:rPr>
        <w:t>In addition, the Wisconsin control share acquisition statute and Wisconsin’s “fair price” and “business combination” provisions, in addition to other provisions of Wisconsin law, limit the ability of an acquiring person to engage in certain transactions or to exercise the full voting power of acquired shares under certain circumstances. As a result, offers to acquire us, which may represent a premium over the available market price of our common stock, may be withdrawn or otherwise fail to be realized. The provisions described above could cause our stock price to decline.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4" w:name="page15"/>
    <w:bookmarkEnd w:id="14"/>
    <w:p>
      <w:pPr>
        <w:ind w:left="460"/>
        <w:spacing w:after="0"/>
        <w:rPr>
          <w:sz w:val="20"/>
          <w:szCs w:val="20"/>
          <w:color w:val="auto"/>
        </w:rPr>
      </w:pPr>
      <w:r>
        <w:rPr>
          <w:rFonts w:ascii="Arial" w:cs="Arial" w:eastAsia="Arial" w:hAnsi="Arial"/>
          <w:sz w:val="17"/>
          <w:szCs w:val="17"/>
          <w:b w:val="1"/>
          <w:bCs w:val="1"/>
          <w:color w:val="auto"/>
        </w:rPr>
        <w:t>Our acquisition strategy may have a material adverse effect on our business due to unexpected or underestimated costs.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From time to time, we make acquisitions of other companies or operating assets.Our acquisition strategy involves significant risks, including:</w:t>
      </w:r>
    </w:p>
    <w:p>
      <w:pPr>
        <w:spacing w:after="0" w:line="218" w:lineRule="exact"/>
        <w:rPr>
          <w:sz w:val="20"/>
          <w:szCs w:val="20"/>
          <w:color w:val="auto"/>
        </w:rPr>
      </w:pPr>
    </w:p>
    <w:p>
      <w:pPr>
        <w:ind w:left="620" w:hanging="15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difficulties in the assimilation of the operations, services and corporate culture of acquired companies;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over-valuation by us of acquired companies;</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insufficient indemnification from the selling parties for legal liabilities incurred by the acquired companies prior to the acquisitions; and</w:t>
      </w:r>
    </w:p>
    <w:p>
      <w:pPr>
        <w:spacing w:after="0" w:line="243" w:lineRule="exact"/>
        <w:rPr>
          <w:rFonts w:ascii="Arial" w:cs="Arial" w:eastAsia="Arial" w:hAnsi="Arial"/>
          <w:sz w:val="17"/>
          <w:szCs w:val="17"/>
          <w:color w:val="auto"/>
        </w:rPr>
      </w:pPr>
    </w:p>
    <w:p>
      <w:pPr>
        <w:ind w:left="620" w:hanging="152"/>
        <w:spacing w:after="0"/>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diversion of management’s attention from other business concerns.</w:t>
      </w:r>
    </w:p>
    <w:p>
      <w:pPr>
        <w:spacing w:after="0" w:line="243" w:lineRule="exact"/>
        <w:rPr>
          <w:sz w:val="20"/>
          <w:szCs w:val="20"/>
          <w:color w:val="auto"/>
        </w:rPr>
      </w:pPr>
    </w:p>
    <w:p>
      <w:pPr>
        <w:ind w:right="80" w:firstLine="465"/>
        <w:spacing w:after="0" w:line="266" w:lineRule="auto"/>
        <w:rPr>
          <w:sz w:val="20"/>
          <w:szCs w:val="20"/>
          <w:color w:val="auto"/>
        </w:rPr>
      </w:pPr>
      <w:r>
        <w:rPr>
          <w:rFonts w:ascii="Arial" w:cs="Arial" w:eastAsia="Arial" w:hAnsi="Arial"/>
          <w:sz w:val="17"/>
          <w:szCs w:val="17"/>
          <w:color w:val="auto"/>
        </w:rPr>
        <w:t>These risks could have a material adverse effect on our business because they may result in substantial costs to us and disrupt our business. In addition, future acquisitions could materially adversely affect our business, financial condition, results of operations and liquidity. Possible impairment losses on goodwill and intangible assets with an indefinite life, or restructuring charges could also occur.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We could be harmed by improper disclosure or loss of sensitive or confidential company, employee, associate or client data, including personal data.</w:t>
      </w:r>
    </w:p>
    <w:p>
      <w:pPr>
        <w:spacing w:after="0" w:line="246" w:lineRule="exact"/>
        <w:rPr>
          <w:sz w:val="20"/>
          <w:szCs w:val="20"/>
          <w:color w:val="auto"/>
        </w:rPr>
      </w:pPr>
    </w:p>
    <w:p>
      <w:pPr>
        <w:ind w:firstLine="465"/>
        <w:spacing w:after="0" w:line="256" w:lineRule="auto"/>
        <w:rPr>
          <w:sz w:val="20"/>
          <w:szCs w:val="20"/>
          <w:color w:val="auto"/>
        </w:rPr>
      </w:pPr>
      <w:r>
        <w:rPr>
          <w:rFonts w:ascii="Arial" w:cs="Arial" w:eastAsia="Arial" w:hAnsi="Arial"/>
          <w:sz w:val="17"/>
          <w:szCs w:val="17"/>
          <w:color w:val="auto"/>
        </w:rPr>
        <w:t>In connection with the operation of our business, we store, process and transmit a large amount of data, including personnel and payment information, about our employees, clients, associates and candidates, a portion of which is personally sensitive. In doing so, we rely on our own technology and systems, and those of third party vendors we use for a variety of processes. We and our third party vendors have established policies and procedures to help protect the security and privacy of this information. It is possible that our security controls over sensitive or confidential data and other practices we and our third party vendors follow may not prevent the improper access to, disclosure of, or loss of such information. Such disclosure, loss or breach could harm our reputation and subject us to liability under our contracts and laws that protect sensitive or personal data and confidential information, resulting in increased costs or loss of revenue. Further, data privacy is subject to frequently changing rules and regulations, which sometimes conflict among the various jurisdictions and countries in which we provide services. Our failure to adhere to or successfully implement processes in response to changing regulatory requirements in this area could result in legal liability or impairment to our reputation in the marketplace.</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Outsourcing certain aspects of our business could result in disruption and increased costs.</w:t>
      </w:r>
    </w:p>
    <w:p>
      <w:pPr>
        <w:spacing w:after="0" w:line="224" w:lineRule="exact"/>
        <w:rPr>
          <w:sz w:val="20"/>
          <w:szCs w:val="20"/>
          <w:color w:val="auto"/>
        </w:rPr>
      </w:pPr>
    </w:p>
    <w:p>
      <w:pPr>
        <w:ind w:firstLine="465"/>
        <w:spacing w:after="0" w:line="276" w:lineRule="auto"/>
        <w:rPr>
          <w:sz w:val="20"/>
          <w:szCs w:val="20"/>
          <w:color w:val="auto"/>
        </w:rPr>
      </w:pPr>
      <w:r>
        <w:rPr>
          <w:rFonts w:ascii="Arial" w:cs="Arial" w:eastAsia="Arial" w:hAnsi="Arial"/>
          <w:sz w:val="16"/>
          <w:szCs w:val="16"/>
          <w:color w:val="auto"/>
        </w:rPr>
        <w:t>We have outsourced certain aspects of our business to third party vendors that subject us to risks, including disruptions in our business and increased costs. For example, we have engaged third parties to host and manage certain aspects of our data center information and technology infrastructure and to provide certain back office support in several countries. Accordingly, we are subject to the risks associated with the vendor’s ability to provide these services to meet our needs. Our operations will depend significantly upon their and our ability to make our servers, software applications and websites available and to protect our data from damage or interruption from human error, computer viruses, intentional acts of vandalism, labor disputes, natural disasters and similar events. If the cost of these services is more than expected, or if the vendor or we are unable to adequately protect our data and information is lost, or our ability to deliver our services is interrupted, then our business and financial results could be materially adversely affected.</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3" w:right="259" w:bottom="1440" w:gutter="0" w:footer="0" w:header="0"/>
        </w:sectPr>
      </w:pPr>
    </w:p>
    <w:bookmarkStart w:id="15" w:name="page16"/>
    <w:bookmarkEnd w:id="15"/>
    <w:p>
      <w:pPr>
        <w:ind w:left="460"/>
        <w:spacing w:after="0"/>
        <w:rPr>
          <w:sz w:val="20"/>
          <w:szCs w:val="20"/>
          <w:color w:val="auto"/>
        </w:rPr>
      </w:pPr>
      <w:r>
        <w:rPr>
          <w:rFonts w:ascii="Arial" w:cs="Arial" w:eastAsia="Arial" w:hAnsi="Arial"/>
          <w:sz w:val="17"/>
          <w:szCs w:val="17"/>
          <w:b w:val="1"/>
          <w:bCs w:val="1"/>
          <w:color w:val="auto"/>
        </w:rPr>
        <w:t>We have only a limited ability to protect our thought leadership and other intellectual property, which is important to our success.</w:t>
      </w:r>
    </w:p>
    <w:p>
      <w:pPr>
        <w:spacing w:after="0" w:line="249" w:lineRule="exact"/>
        <w:rPr>
          <w:sz w:val="20"/>
          <w:szCs w:val="20"/>
          <w:color w:val="auto"/>
        </w:rPr>
      </w:pPr>
    </w:p>
    <w:p>
      <w:pPr>
        <w:ind w:firstLine="465"/>
        <w:spacing w:after="0" w:line="258" w:lineRule="auto"/>
        <w:rPr>
          <w:sz w:val="20"/>
          <w:szCs w:val="20"/>
          <w:color w:val="auto"/>
        </w:rPr>
      </w:pPr>
      <w:r>
        <w:rPr>
          <w:rFonts w:ascii="Arial" w:cs="Arial" w:eastAsia="Arial" w:hAnsi="Arial"/>
          <w:sz w:val="17"/>
          <w:szCs w:val="17"/>
          <w:color w:val="auto"/>
        </w:rPr>
        <w:t>Our success depends, in part, upon our ability to protect our proprietary methodologies and other intellectual property including the value of our brands. Existing laws of the various countries in which we provide services or solutions may offer only limited protection. We rely upon a combination of trade secrets, confidentiality and other contractual agreements, and patent, copyright, and trademark laws to protect our intellectual property rights. Our intellectual property rights may not prevent competitors from independently developing products and services similar to ours. Further, the steps we take might not be adequate to prevent or deter infringement or other misappropriation of our intellectual property by competitors, former employees or other third parties, which could materially adversely affect our business and financial results.</w:t>
      </w:r>
    </w:p>
    <w:p>
      <w:pPr>
        <w:spacing w:after="0" w:line="210" w:lineRule="exact"/>
        <w:rPr>
          <w:sz w:val="20"/>
          <w:szCs w:val="20"/>
          <w:color w:val="auto"/>
        </w:rPr>
      </w:pPr>
    </w:p>
    <w:p>
      <w:pPr>
        <w:ind w:right="220" w:firstLine="465"/>
        <w:spacing w:after="0" w:line="266" w:lineRule="auto"/>
        <w:rPr>
          <w:sz w:val="20"/>
          <w:szCs w:val="20"/>
          <w:color w:val="auto"/>
        </w:rPr>
      </w:pPr>
      <w:r>
        <w:rPr>
          <w:rFonts w:ascii="Arial" w:cs="Arial" w:eastAsia="Arial" w:hAnsi="Arial"/>
          <w:sz w:val="17"/>
          <w:szCs w:val="17"/>
          <w:color w:val="auto"/>
        </w:rPr>
        <w:t>In addition, we cannot be sure that our services and solutions do not infringe on the intellectual property rights of third parties, and these third parties could claim that we or our clients are infringing upon their intellectual property rights. These claims could harm our reputation, cause us to incur substantial costs or prevent us from offering some services or solutions in the future.</w:t>
      </w:r>
    </w:p>
    <w:p>
      <w:pPr>
        <w:spacing w:after="0" w:line="200" w:lineRule="exact"/>
        <w:rPr>
          <w:sz w:val="20"/>
          <w:szCs w:val="20"/>
          <w:color w:val="auto"/>
        </w:rPr>
      </w:pPr>
    </w:p>
    <w:p>
      <w:pPr>
        <w:spacing w:after="0" w:line="202" w:lineRule="exact"/>
        <w:rPr>
          <w:sz w:val="20"/>
          <w:szCs w:val="20"/>
          <w:color w:val="auto"/>
        </w:rPr>
      </w:pPr>
    </w:p>
    <w:p>
      <w:pPr>
        <w:spacing w:after="0"/>
        <w:tabs>
          <w:tab w:leader="none" w:pos="13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224" w:lineRule="exact"/>
        <w:rPr>
          <w:sz w:val="20"/>
          <w:szCs w:val="20"/>
          <w:color w:val="auto"/>
        </w:rPr>
      </w:pPr>
    </w:p>
    <w:p>
      <w:pPr>
        <w:jc w:val="center"/>
        <w:ind w:right="9380"/>
        <w:spacing w:after="0"/>
        <w:rPr>
          <w:sz w:val="20"/>
          <w:szCs w:val="20"/>
          <w:color w:val="auto"/>
        </w:rPr>
      </w:pPr>
      <w:r>
        <w:rPr>
          <w:rFonts w:ascii="Arial" w:cs="Arial" w:eastAsia="Arial" w:hAnsi="Arial"/>
          <w:sz w:val="17"/>
          <w:szCs w:val="17"/>
          <w:color w:val="auto"/>
        </w:rPr>
        <w:t>Not applicable.</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224" w:lineRule="exact"/>
        <w:rPr>
          <w:sz w:val="20"/>
          <w:szCs w:val="20"/>
          <w:color w:val="auto"/>
        </w:rPr>
      </w:pPr>
    </w:p>
    <w:p>
      <w:pPr>
        <w:ind w:right="340" w:firstLine="465"/>
        <w:spacing w:after="0" w:line="280" w:lineRule="auto"/>
        <w:rPr>
          <w:sz w:val="20"/>
          <w:szCs w:val="20"/>
          <w:color w:val="auto"/>
        </w:rPr>
      </w:pPr>
      <w:r>
        <w:rPr>
          <w:rFonts w:ascii="Arial" w:cs="Arial" w:eastAsia="Arial" w:hAnsi="Arial"/>
          <w:sz w:val="17"/>
          <w:szCs w:val="17"/>
          <w:color w:val="auto"/>
        </w:rPr>
        <w:t>We own properties at various locations worldwide, none of which are material. Most of our operations are conducted from leased premises and we do not anticipate any difficulty in renewing these leases or in finding alternative sites in the ordinary course of business.</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involved in litigation of a routine nature and various legal matters, which are being defended and handled in the ordinary course of business.</w:t>
      </w:r>
    </w:p>
    <w:p>
      <w:pPr>
        <w:spacing w:after="0" w:line="223"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263" w:right="2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6"/>
        </w:trPr>
        <w:tc>
          <w:tcPr>
            <w:tcW w:w="2220" w:type="dxa"/>
            <w:vAlign w:val="bottom"/>
          </w:tcPr>
          <w:p>
            <w:pPr>
              <w:spacing w:after="0"/>
              <w:rPr>
                <w:sz w:val="17"/>
                <w:szCs w:val="17"/>
                <w:color w:val="auto"/>
              </w:rPr>
            </w:pPr>
          </w:p>
        </w:tc>
        <w:tc>
          <w:tcPr>
            <w:tcW w:w="9200" w:type="dxa"/>
            <w:vAlign w:val="bottom"/>
          </w:tcPr>
          <w:p>
            <w:pPr>
              <w:ind w:left="1520"/>
              <w:spacing w:after="0"/>
              <w:rPr>
                <w:sz w:val="20"/>
                <w:szCs w:val="20"/>
                <w:color w:val="auto"/>
              </w:rPr>
            </w:pPr>
            <w:r>
              <w:rPr>
                <w:rFonts w:ascii="Arial" w:cs="Arial" w:eastAsia="Arial" w:hAnsi="Arial"/>
                <w:sz w:val="17"/>
                <w:szCs w:val="17"/>
                <w:b w:val="1"/>
                <w:bCs w:val="1"/>
                <w:color w:val="auto"/>
              </w:rPr>
              <w:t>EXECUTIVE OFFICERS OF MANPOWERGROUP</w:t>
            </w:r>
          </w:p>
        </w:tc>
      </w:tr>
      <w:tr>
        <w:trPr>
          <w:trHeight w:val="223"/>
        </w:trPr>
        <w:tc>
          <w:tcPr>
            <w:tcW w:w="2220" w:type="dxa"/>
            <w:vAlign w:val="bottom"/>
          </w:tcPr>
          <w:p>
            <w:pPr>
              <w:spacing w:after="0"/>
              <w:rPr>
                <w:sz w:val="19"/>
                <w:szCs w:val="19"/>
                <w:color w:val="auto"/>
              </w:rPr>
            </w:pPr>
          </w:p>
        </w:tc>
        <w:tc>
          <w:tcPr>
            <w:tcW w:w="9200" w:type="dxa"/>
            <w:vAlign w:val="bottom"/>
          </w:tcPr>
          <w:p>
            <w:pPr>
              <w:ind w:left="2580"/>
              <w:spacing w:after="0"/>
              <w:rPr>
                <w:sz w:val="20"/>
                <w:szCs w:val="20"/>
                <w:color w:val="auto"/>
              </w:rPr>
            </w:pPr>
            <w:r>
              <w:rPr>
                <w:rFonts w:ascii="Arial" w:cs="Arial" w:eastAsia="Arial" w:hAnsi="Arial"/>
                <w:sz w:val="17"/>
                <w:szCs w:val="17"/>
                <w:b w:val="1"/>
                <w:bCs w:val="1"/>
                <w:color w:val="auto"/>
              </w:rPr>
              <w:t>(as of February 18, 2014)</w:t>
            </w:r>
          </w:p>
        </w:tc>
      </w:tr>
      <w:tr>
        <w:trPr>
          <w:trHeight w:val="859"/>
        </w:trPr>
        <w:tc>
          <w:tcPr>
            <w:tcW w:w="2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 of Officer</w:t>
            </w:r>
          </w:p>
        </w:tc>
        <w:tc>
          <w:tcPr>
            <w:tcW w:w="92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Office</w:t>
            </w:r>
          </w:p>
        </w:tc>
      </w:tr>
      <w:tr>
        <w:trPr>
          <w:trHeight w:val="401"/>
        </w:trPr>
        <w:tc>
          <w:tcPr>
            <w:tcW w:w="2220" w:type="dxa"/>
            <w:vAlign w:val="bottom"/>
          </w:tcPr>
          <w:p>
            <w:pPr>
              <w:spacing w:after="0"/>
              <w:rPr>
                <w:sz w:val="20"/>
                <w:szCs w:val="20"/>
                <w:color w:val="auto"/>
              </w:rPr>
            </w:pPr>
            <w:r>
              <w:rPr>
                <w:rFonts w:ascii="Arial" w:cs="Arial" w:eastAsia="Arial" w:hAnsi="Arial"/>
                <w:sz w:val="17"/>
                <w:szCs w:val="17"/>
                <w:color w:val="auto"/>
              </w:rPr>
              <w:t>Jeffrey A. Joerres</w:t>
            </w:r>
          </w:p>
        </w:tc>
        <w:tc>
          <w:tcPr>
            <w:tcW w:w="9200" w:type="dxa"/>
            <w:vAlign w:val="bottom"/>
          </w:tcPr>
          <w:p>
            <w:pPr>
              <w:ind w:left="160"/>
              <w:spacing w:after="0"/>
              <w:rPr>
                <w:sz w:val="20"/>
                <w:szCs w:val="20"/>
                <w:color w:val="auto"/>
              </w:rPr>
            </w:pPr>
            <w:r>
              <w:rPr>
                <w:rFonts w:ascii="Arial" w:cs="Arial" w:eastAsia="Arial" w:hAnsi="Arial"/>
                <w:sz w:val="17"/>
                <w:szCs w:val="17"/>
                <w:color w:val="auto"/>
                <w:w w:val="99"/>
              </w:rPr>
              <w:t>Chairman of ManpowerGroup since May 2001. Chief Executive Officer of ManpowerGroup since April 1999. President of</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54</w:t>
            </w:r>
          </w:p>
        </w:tc>
        <w:tc>
          <w:tcPr>
            <w:tcW w:w="9200" w:type="dxa"/>
            <w:vAlign w:val="bottom"/>
          </w:tcPr>
          <w:p>
            <w:pPr>
              <w:ind w:left="160"/>
              <w:spacing w:after="0"/>
              <w:rPr>
                <w:sz w:val="20"/>
                <w:szCs w:val="20"/>
                <w:color w:val="auto"/>
              </w:rPr>
            </w:pPr>
            <w:r>
              <w:rPr>
                <w:rFonts w:ascii="Arial" w:cs="Arial" w:eastAsia="Arial" w:hAnsi="Arial"/>
                <w:sz w:val="17"/>
                <w:szCs w:val="17"/>
                <w:color w:val="auto"/>
                <w:w w:val="95"/>
              </w:rPr>
              <w:t>ManpowerGroup from April 1999 to November 2012. A director of Johnson Controls, Inc., Artisan Partners Asset Management</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2"/>
              </w:rPr>
              <w:t>and the Federal Board Reserve of Chicago, serving as Chair. A director of ManpowerGroup for more than five years. An employee</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of ManpowerGroup since July 1993.</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rPr>
              <w:t>Jonas Prising</w:t>
            </w:r>
          </w:p>
        </w:tc>
        <w:tc>
          <w:tcPr>
            <w:tcW w:w="9200" w:type="dxa"/>
            <w:vAlign w:val="bottom"/>
          </w:tcPr>
          <w:p>
            <w:pPr>
              <w:ind w:left="160"/>
              <w:spacing w:after="0"/>
              <w:rPr>
                <w:sz w:val="20"/>
                <w:szCs w:val="20"/>
                <w:color w:val="auto"/>
              </w:rPr>
            </w:pPr>
            <w:r>
              <w:rPr>
                <w:rFonts w:ascii="Arial" w:cs="Arial" w:eastAsia="Arial" w:hAnsi="Arial"/>
                <w:sz w:val="17"/>
                <w:szCs w:val="17"/>
                <w:color w:val="auto"/>
                <w:w w:val="93"/>
              </w:rPr>
              <w:t>ManpowerGroup President since November 2012. President of ManpowerGroup – The Americas since January 2009. Executive</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49</w:t>
            </w:r>
          </w:p>
        </w:tc>
        <w:tc>
          <w:tcPr>
            <w:tcW w:w="9200" w:type="dxa"/>
            <w:vAlign w:val="bottom"/>
          </w:tcPr>
          <w:p>
            <w:pPr>
              <w:ind w:left="160"/>
              <w:spacing w:after="0"/>
              <w:rPr>
                <w:sz w:val="20"/>
                <w:szCs w:val="20"/>
                <w:color w:val="auto"/>
              </w:rPr>
            </w:pPr>
            <w:r>
              <w:rPr>
                <w:rFonts w:ascii="Arial" w:cs="Arial" w:eastAsia="Arial" w:hAnsi="Arial"/>
                <w:sz w:val="17"/>
                <w:szCs w:val="17"/>
                <w:color w:val="auto"/>
                <w:w w:val="92"/>
              </w:rPr>
              <w:t>Vice President of ManpowerGroup from January 2009 to November 2012. Executive Vice President of ManpowerGroup, President</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5"/>
              </w:rPr>
              <w:t>– United States and Canadian Operations from January 2006 to December 2008. An employee of ManpowerGroup since May</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1999.</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rPr>
              <w:t>Darryl Green</w:t>
            </w:r>
          </w:p>
        </w:tc>
        <w:tc>
          <w:tcPr>
            <w:tcW w:w="9200" w:type="dxa"/>
            <w:vAlign w:val="bottom"/>
          </w:tcPr>
          <w:p>
            <w:pPr>
              <w:ind w:left="160"/>
              <w:spacing w:after="0"/>
              <w:rPr>
                <w:sz w:val="20"/>
                <w:szCs w:val="20"/>
                <w:color w:val="auto"/>
              </w:rPr>
            </w:pPr>
            <w:r>
              <w:rPr>
                <w:rFonts w:ascii="Arial" w:cs="Arial" w:eastAsia="Arial" w:hAnsi="Arial"/>
                <w:sz w:val="17"/>
                <w:szCs w:val="17"/>
                <w:color w:val="auto"/>
              </w:rPr>
              <w:t>ManpowerGroup President since November 2012. President of Asia Pacific and Middle East Operations since January</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53</w:t>
            </w:r>
          </w:p>
        </w:tc>
        <w:tc>
          <w:tcPr>
            <w:tcW w:w="9200" w:type="dxa"/>
            <w:vAlign w:val="bottom"/>
          </w:tcPr>
          <w:p>
            <w:pPr>
              <w:ind w:left="160"/>
              <w:spacing w:after="0"/>
              <w:rPr>
                <w:sz w:val="20"/>
                <w:szCs w:val="20"/>
                <w:color w:val="auto"/>
              </w:rPr>
            </w:pPr>
            <w:r>
              <w:rPr>
                <w:rFonts w:ascii="Arial" w:cs="Arial" w:eastAsia="Arial" w:hAnsi="Arial"/>
                <w:sz w:val="17"/>
                <w:szCs w:val="17"/>
                <w:color w:val="auto"/>
              </w:rPr>
              <w:t>2009. Executive Vice President of ManpowerGroup from January 2009 to November 2012. Executive Vice President of</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8"/>
              </w:rPr>
              <w:t>ManpowerGroup, President – Asia-Pacific Operations from May 2007 to December 2008. Prior to joining ManpowerGroup,</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2"/>
              </w:rPr>
              <w:t>served as CEO of Tata Teleservices. Previously, CEO of Vodafone Japan, a publicly listed mobile services provider. An employee</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of ManpowerGroup since May 2007.</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rPr>
              <w:t>Michael J. Van Handel</w:t>
            </w:r>
          </w:p>
        </w:tc>
        <w:tc>
          <w:tcPr>
            <w:tcW w:w="9200" w:type="dxa"/>
            <w:vAlign w:val="bottom"/>
          </w:tcPr>
          <w:p>
            <w:pPr>
              <w:ind w:left="160"/>
              <w:spacing w:after="0"/>
              <w:rPr>
                <w:sz w:val="20"/>
                <w:szCs w:val="20"/>
                <w:color w:val="auto"/>
              </w:rPr>
            </w:pPr>
            <w:r>
              <w:rPr>
                <w:rFonts w:ascii="Arial" w:cs="Arial" w:eastAsia="Arial" w:hAnsi="Arial"/>
                <w:sz w:val="17"/>
                <w:szCs w:val="17"/>
                <w:color w:val="auto"/>
                <w:w w:val="98"/>
              </w:rPr>
              <w:t>Executive Vice President, Chief Financial Officer of ManpowerGroup since January 2008. Executive Vice President, Chief</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54</w:t>
            </w:r>
          </w:p>
        </w:tc>
        <w:tc>
          <w:tcPr>
            <w:tcW w:w="9200" w:type="dxa"/>
            <w:vAlign w:val="bottom"/>
          </w:tcPr>
          <w:p>
            <w:pPr>
              <w:ind w:left="160"/>
              <w:spacing w:after="0"/>
              <w:rPr>
                <w:sz w:val="20"/>
                <w:szCs w:val="20"/>
                <w:color w:val="auto"/>
              </w:rPr>
            </w:pPr>
            <w:r>
              <w:rPr>
                <w:rFonts w:ascii="Arial" w:cs="Arial" w:eastAsia="Arial" w:hAnsi="Arial"/>
                <w:sz w:val="17"/>
                <w:szCs w:val="17"/>
                <w:color w:val="auto"/>
                <w:w w:val="96"/>
              </w:rPr>
              <w:t>Financial Officer and Secretary of ManpowerGroup from April 2002 to January 2008. An employee of ManpowerGroup since</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May 1989. A director of BMO Financial Corp. and Cellular Dynamics International, Inc.</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rPr>
              <w:t>Hans Leentjes</w:t>
            </w:r>
          </w:p>
        </w:tc>
        <w:tc>
          <w:tcPr>
            <w:tcW w:w="9200" w:type="dxa"/>
            <w:vAlign w:val="bottom"/>
          </w:tcPr>
          <w:p>
            <w:pPr>
              <w:ind w:left="160"/>
              <w:spacing w:after="0"/>
              <w:rPr>
                <w:sz w:val="20"/>
                <w:szCs w:val="20"/>
                <w:color w:val="auto"/>
              </w:rPr>
            </w:pPr>
            <w:r>
              <w:rPr>
                <w:rFonts w:ascii="Arial" w:cs="Arial" w:eastAsia="Arial" w:hAnsi="Arial"/>
                <w:sz w:val="17"/>
                <w:szCs w:val="17"/>
                <w:color w:val="auto"/>
                <w:w w:val="94"/>
              </w:rPr>
              <w:t>Executive Vice President of ManpowerGroup, President – Northern Europe since January 2011. Regional Managing Director of</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48</w:t>
            </w:r>
          </w:p>
        </w:tc>
        <w:tc>
          <w:tcPr>
            <w:tcW w:w="9200" w:type="dxa"/>
            <w:vAlign w:val="bottom"/>
          </w:tcPr>
          <w:p>
            <w:pPr>
              <w:ind w:left="160"/>
              <w:spacing w:after="0"/>
              <w:rPr>
                <w:sz w:val="20"/>
                <w:szCs w:val="20"/>
                <w:color w:val="auto"/>
              </w:rPr>
            </w:pPr>
            <w:r>
              <w:rPr>
                <w:rFonts w:ascii="Arial" w:cs="Arial" w:eastAsia="Arial" w:hAnsi="Arial"/>
                <w:sz w:val="17"/>
                <w:szCs w:val="17"/>
                <w:color w:val="auto"/>
                <w:w w:val="99"/>
              </w:rPr>
              <w:t>EMEA’s Central Region from January 2009 to December 2010. Country Manager of the Netherlands from March 2005 to</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6"/>
              </w:rPr>
              <w:t>December 2008. An employee of ManpowerGroup since March 2005. A director of ABU, the Dutch Association of temporary</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work agencies, from 2006 to June 2011.</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rPr>
              <w:t>Mara E. Swan</w:t>
            </w:r>
          </w:p>
        </w:tc>
        <w:tc>
          <w:tcPr>
            <w:tcW w:w="9200" w:type="dxa"/>
            <w:vAlign w:val="bottom"/>
          </w:tcPr>
          <w:p>
            <w:pPr>
              <w:ind w:left="160"/>
              <w:spacing w:after="0"/>
              <w:rPr>
                <w:sz w:val="20"/>
                <w:szCs w:val="20"/>
                <w:color w:val="auto"/>
              </w:rPr>
            </w:pPr>
            <w:r>
              <w:rPr>
                <w:rFonts w:ascii="Arial" w:cs="Arial" w:eastAsia="Arial" w:hAnsi="Arial"/>
                <w:sz w:val="17"/>
                <w:szCs w:val="17"/>
                <w:color w:val="auto"/>
                <w:w w:val="91"/>
              </w:rPr>
              <w:t>Executive Vice President - Global Strategy and Talent since January 2009. Senior Vice President of Global Human Resources from</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54</w:t>
            </w:r>
          </w:p>
        </w:tc>
        <w:tc>
          <w:tcPr>
            <w:tcW w:w="9200" w:type="dxa"/>
            <w:vAlign w:val="bottom"/>
          </w:tcPr>
          <w:p>
            <w:pPr>
              <w:ind w:left="160"/>
              <w:spacing w:after="0"/>
              <w:rPr>
                <w:sz w:val="20"/>
                <w:szCs w:val="20"/>
                <w:color w:val="auto"/>
              </w:rPr>
            </w:pPr>
            <w:r>
              <w:rPr>
                <w:rFonts w:ascii="Arial" w:cs="Arial" w:eastAsia="Arial" w:hAnsi="Arial"/>
                <w:sz w:val="17"/>
                <w:szCs w:val="17"/>
                <w:color w:val="auto"/>
                <w:w w:val="99"/>
              </w:rPr>
              <w:t>August 2005 to December 2008. Prior to ManpowerGroup, served as Chief People Officer for the Molson Coors Brewing</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6"/>
              </w:rPr>
              <w:t>Company for its global operations. An employee of ManpowerGroup since August 2005. A director of GOJO Industries since</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November 2012.</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w w:val="98"/>
              </w:rPr>
              <w:t>Sriram “Ram” Chandrashekar</w:t>
            </w:r>
          </w:p>
        </w:tc>
        <w:tc>
          <w:tcPr>
            <w:tcW w:w="9200" w:type="dxa"/>
            <w:vAlign w:val="bottom"/>
          </w:tcPr>
          <w:p>
            <w:pPr>
              <w:ind w:left="160"/>
              <w:spacing w:after="0"/>
              <w:rPr>
                <w:sz w:val="20"/>
                <w:szCs w:val="20"/>
                <w:color w:val="auto"/>
              </w:rPr>
            </w:pPr>
            <w:r>
              <w:rPr>
                <w:rFonts w:ascii="Arial" w:cs="Arial" w:eastAsia="Arial" w:hAnsi="Arial"/>
                <w:sz w:val="17"/>
                <w:szCs w:val="17"/>
                <w:color w:val="auto"/>
                <w:w w:val="93"/>
              </w:rPr>
              <w:t>Executive Vice President, Operational Excellence and IT, and President of Asia Pacific Middle East Region since February 2014.</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47</w:t>
            </w:r>
          </w:p>
        </w:tc>
        <w:tc>
          <w:tcPr>
            <w:tcW w:w="9200" w:type="dxa"/>
            <w:vAlign w:val="bottom"/>
          </w:tcPr>
          <w:p>
            <w:pPr>
              <w:ind w:left="160"/>
              <w:spacing w:after="0"/>
              <w:rPr>
                <w:sz w:val="20"/>
                <w:szCs w:val="20"/>
                <w:color w:val="auto"/>
              </w:rPr>
            </w:pPr>
            <w:r>
              <w:rPr>
                <w:rFonts w:ascii="Arial" w:cs="Arial" w:eastAsia="Arial" w:hAnsi="Arial"/>
                <w:sz w:val="17"/>
                <w:szCs w:val="17"/>
                <w:color w:val="auto"/>
                <w:w w:val="95"/>
              </w:rPr>
              <w:t>Senior Vice President of Operational Excellence and IT from October 2012 to February 2014. COO of Asia Pacific Middle East</w:t>
            </w:r>
          </w:p>
        </w:tc>
      </w:tr>
      <w:tr>
        <w:trPr>
          <w:trHeight w:val="206"/>
        </w:trPr>
        <w:tc>
          <w:tcPr>
            <w:tcW w:w="2220" w:type="dxa"/>
            <w:vAlign w:val="bottom"/>
          </w:tcPr>
          <w:p>
            <w:pPr>
              <w:spacing w:after="0"/>
              <w:rPr>
                <w:sz w:val="17"/>
                <w:szCs w:val="17"/>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w w:val="96"/>
              </w:rPr>
              <w:t>Region from April 2008 to October 2012. Prior to joining ManpowerGroup, COO of Sterling Infotech Group of companies. An</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employee of ManpowerGroup since April 2008.</w:t>
            </w:r>
          </w:p>
        </w:tc>
      </w:tr>
      <w:tr>
        <w:trPr>
          <w:trHeight w:val="402"/>
        </w:trPr>
        <w:tc>
          <w:tcPr>
            <w:tcW w:w="2220" w:type="dxa"/>
            <w:vAlign w:val="bottom"/>
          </w:tcPr>
          <w:p>
            <w:pPr>
              <w:spacing w:after="0"/>
              <w:rPr>
                <w:sz w:val="20"/>
                <w:szCs w:val="20"/>
                <w:color w:val="auto"/>
              </w:rPr>
            </w:pPr>
            <w:r>
              <w:rPr>
                <w:rFonts w:ascii="Arial" w:cs="Arial" w:eastAsia="Arial" w:hAnsi="Arial"/>
                <w:sz w:val="17"/>
                <w:szCs w:val="17"/>
                <w:color w:val="auto"/>
              </w:rPr>
              <w:t>Richard D. Buchband</w:t>
            </w:r>
          </w:p>
        </w:tc>
        <w:tc>
          <w:tcPr>
            <w:tcW w:w="9200" w:type="dxa"/>
            <w:vAlign w:val="bottom"/>
          </w:tcPr>
          <w:p>
            <w:pPr>
              <w:ind w:left="160"/>
              <w:spacing w:after="0"/>
              <w:rPr>
                <w:sz w:val="20"/>
                <w:szCs w:val="20"/>
                <w:color w:val="auto"/>
              </w:rPr>
            </w:pPr>
            <w:r>
              <w:rPr>
                <w:rFonts w:ascii="Arial" w:cs="Arial" w:eastAsia="Arial" w:hAnsi="Arial"/>
                <w:sz w:val="17"/>
                <w:szCs w:val="17"/>
                <w:color w:val="auto"/>
                <w:w w:val="91"/>
              </w:rPr>
              <w:t>Senior Vice President, General Counsel and Secretary of ManpowerGroup since January 2013. Prior to joining ManpowerGroup, a</w:t>
            </w:r>
          </w:p>
        </w:tc>
      </w:tr>
      <w:tr>
        <w:trPr>
          <w:trHeight w:val="206"/>
        </w:trPr>
        <w:tc>
          <w:tcPr>
            <w:tcW w:w="2220" w:type="dxa"/>
            <w:vAlign w:val="bottom"/>
          </w:tcPr>
          <w:p>
            <w:pPr>
              <w:spacing w:after="0"/>
              <w:rPr>
                <w:sz w:val="20"/>
                <w:szCs w:val="20"/>
                <w:color w:val="auto"/>
              </w:rPr>
            </w:pPr>
            <w:r>
              <w:rPr>
                <w:rFonts w:ascii="Arial" w:cs="Arial" w:eastAsia="Arial" w:hAnsi="Arial"/>
                <w:sz w:val="17"/>
                <w:szCs w:val="17"/>
                <w:color w:val="auto"/>
              </w:rPr>
              <w:t>Age 50</w:t>
            </w:r>
          </w:p>
        </w:tc>
        <w:tc>
          <w:tcPr>
            <w:tcW w:w="9200" w:type="dxa"/>
            <w:vAlign w:val="bottom"/>
          </w:tcPr>
          <w:p>
            <w:pPr>
              <w:ind w:left="160"/>
              <w:spacing w:after="0"/>
              <w:rPr>
                <w:sz w:val="20"/>
                <w:szCs w:val="20"/>
                <w:color w:val="auto"/>
              </w:rPr>
            </w:pPr>
            <w:r>
              <w:rPr>
                <w:rFonts w:ascii="Arial" w:cs="Arial" w:eastAsia="Arial" w:hAnsi="Arial"/>
                <w:sz w:val="17"/>
                <w:szCs w:val="17"/>
                <w:color w:val="auto"/>
                <w:w w:val="95"/>
              </w:rPr>
              <w:t>partner and Associate General Counsel for Accenture plc from 2006 to 2011. An employee of ManpowerGroup since January</w:t>
            </w:r>
          </w:p>
        </w:tc>
      </w:tr>
      <w:tr>
        <w:trPr>
          <w:trHeight w:val="217"/>
        </w:trPr>
        <w:tc>
          <w:tcPr>
            <w:tcW w:w="22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7"/>
                <w:szCs w:val="17"/>
                <w:color w:val="auto"/>
              </w:rPr>
              <w:t>2013.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17" w:name="page18"/>
    <w:bookmarkEnd w:id="17"/>
    <w:p>
      <w:pPr>
        <w:ind w:left="4760"/>
        <w:spacing w:after="0"/>
        <w:rPr>
          <w:sz w:val="20"/>
          <w:szCs w:val="20"/>
          <w:color w:val="auto"/>
        </w:rPr>
      </w:pPr>
      <w:r>
        <w:rPr>
          <w:rFonts w:ascii="Arial" w:cs="Arial" w:eastAsia="Arial" w:hAnsi="Arial"/>
          <w:sz w:val="17"/>
          <w:szCs w:val="17"/>
          <w:b w:val="1"/>
          <w:bCs w:val="1"/>
          <w:color w:val="auto"/>
        </w:rPr>
        <w:t>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Audit Committee Approval of Audit-Related and Non-Audit Services</w:t>
      </w:r>
    </w:p>
    <w:p>
      <w:pPr>
        <w:spacing w:after="0" w:line="218" w:lineRule="exact"/>
        <w:rPr>
          <w:sz w:val="20"/>
          <w:szCs w:val="20"/>
          <w:color w:val="auto"/>
        </w:rPr>
      </w:pPr>
    </w:p>
    <w:p>
      <w:pPr>
        <w:ind w:right="620"/>
        <w:spacing w:after="0" w:line="280" w:lineRule="auto"/>
        <w:rPr>
          <w:sz w:val="20"/>
          <w:szCs w:val="20"/>
          <w:color w:val="auto"/>
        </w:rPr>
      </w:pPr>
      <w:r>
        <w:rPr>
          <w:rFonts w:ascii="Arial" w:cs="Arial" w:eastAsia="Arial" w:hAnsi="Arial"/>
          <w:sz w:val="17"/>
          <w:szCs w:val="17"/>
          <w:color w:val="auto"/>
        </w:rPr>
        <w:t>The Audit Committee of our Board of Directors has approved the following audit-related and non-audit services performed or to be performed for us by our independent registered public accounting firm, Deloitte &amp; Touche LLP and Affiliates, in 2013:</w:t>
      </w:r>
    </w:p>
    <w:p>
      <w:pPr>
        <w:spacing w:after="0" w:line="396" w:lineRule="exact"/>
        <w:rPr>
          <w:sz w:val="20"/>
          <w:szCs w:val="20"/>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preparation and/or review of tax returns, including sales and use tax, excise tax, income tax, local tax, property tax, and value-added tax;</w:t>
      </w:r>
    </w:p>
    <w:p>
      <w:pPr>
        <w:spacing w:after="0" w:line="243" w:lineRule="exact"/>
        <w:rPr>
          <w:rFonts w:ascii="Arial" w:cs="Arial" w:eastAsia="Arial" w:hAnsi="Arial"/>
          <w:sz w:val="17"/>
          <w:szCs w:val="17"/>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consultation regarding appropriate handling of items on tax returns, required disclosures, elections and filing positions available to us;</w:t>
      </w:r>
    </w:p>
    <w:p>
      <w:pPr>
        <w:spacing w:after="0" w:line="243" w:lineRule="exact"/>
        <w:rPr>
          <w:rFonts w:ascii="Arial" w:cs="Arial" w:eastAsia="Arial" w:hAnsi="Arial"/>
          <w:sz w:val="17"/>
          <w:szCs w:val="17"/>
          <w:color w:val="auto"/>
        </w:rPr>
      </w:pPr>
    </w:p>
    <w:p>
      <w:pPr>
        <w:ind w:left="460" w:hanging="457"/>
        <w:spacing w:after="0" w:line="266"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assistance with tax audits and examinations, including providing technical advice on technical interpretations, applicable laws and regulations, tax accounting, foreign tax credits, foreign income tax, foreign earnings and profits, United-States treatment of foreign subsidiary income, and value-added tax, excise tax or equivalent taxes in foreign jurisdictions;</w:t>
      </w:r>
    </w:p>
    <w:p>
      <w:pPr>
        <w:spacing w:after="0" w:line="201" w:lineRule="exact"/>
        <w:rPr>
          <w:rFonts w:ascii="Arial" w:cs="Arial" w:eastAsia="Arial" w:hAnsi="Arial"/>
          <w:sz w:val="17"/>
          <w:szCs w:val="17"/>
          <w:color w:val="auto"/>
        </w:rPr>
      </w:pPr>
    </w:p>
    <w:p>
      <w:pPr>
        <w:ind w:left="460" w:right="140" w:hanging="457"/>
        <w:spacing w:after="0" w:line="280"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advice and assistance with respect to transfer pricing matters, including the preparation of reports used by us to comply with taxing authority documentation requirements regarding royalties and inter-company pricing, and assistance with tax exemptions; and</w:t>
      </w:r>
    </w:p>
    <w:p>
      <w:pPr>
        <w:spacing w:after="0" w:line="189" w:lineRule="exact"/>
        <w:rPr>
          <w:rFonts w:ascii="Arial" w:cs="Arial" w:eastAsia="Arial" w:hAnsi="Arial"/>
          <w:sz w:val="17"/>
          <w:szCs w:val="17"/>
          <w:color w:val="auto"/>
        </w:rPr>
      </w:pPr>
    </w:p>
    <w:p>
      <w:pPr>
        <w:ind w:left="460" w:hanging="457"/>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audit services with respect to certain procedures for governmental requirements and an opening balance sheet for an acquired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676" w:right="29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PART II</w:t>
      </w:r>
    </w:p>
    <w:p>
      <w:pPr>
        <w:spacing w:after="0" w:line="21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Shareholder Matters and Issuer Purchases of Equity Securities</w:t>
      </w:r>
    </w:p>
    <w:p>
      <w:pPr>
        <w:spacing w:after="0" w:line="224" w:lineRule="exact"/>
        <w:rPr>
          <w:sz w:val="20"/>
          <w:szCs w:val="20"/>
          <w:color w:val="auto"/>
        </w:rPr>
      </w:pPr>
    </w:p>
    <w:p>
      <w:pPr>
        <w:ind w:right="240" w:firstLine="620"/>
        <w:spacing w:after="0" w:line="262" w:lineRule="auto"/>
        <w:rPr>
          <w:sz w:val="20"/>
          <w:szCs w:val="20"/>
          <w:color w:val="auto"/>
        </w:rPr>
      </w:pPr>
      <w:r>
        <w:rPr>
          <w:rFonts w:ascii="Arial" w:cs="Arial" w:eastAsia="Arial" w:hAnsi="Arial"/>
          <w:sz w:val="17"/>
          <w:szCs w:val="17"/>
          <w:color w:val="auto"/>
        </w:rPr>
        <w:t>In December 2012 and November 2011, the Board of Directors authorized the repurchase of 8.0 million and 3.0 million shares of our common stock, respectively. Share repurchases may be made from time to time through a variety of methods, including open market purchases, block transactions, privately negotiated transactions, accelerated share repurchase programs, forward repurchase agreements or similar facilities. The following table shows the total amount of shares repurchased under these authorizations during the fourth quarter of 2013.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4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left="74"/>
              <w:spacing w:after="0"/>
              <w:rPr>
                <w:sz w:val="20"/>
                <w:szCs w:val="20"/>
                <w:color w:val="auto"/>
              </w:rPr>
            </w:pPr>
            <w:r>
              <w:rPr>
                <w:rFonts w:ascii="Arial" w:cs="Arial" w:eastAsia="Arial" w:hAnsi="Arial"/>
                <w:sz w:val="17"/>
                <w:szCs w:val="17"/>
                <w:b w:val="1"/>
                <w:bCs w:val="1"/>
                <w:color w:val="auto"/>
                <w:w w:val="91"/>
              </w:rPr>
              <w:t>Total number of</w:t>
            </w: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Maximum</w:t>
            </w:r>
          </w:p>
        </w:tc>
        <w:tc>
          <w:tcPr>
            <w:tcW w:w="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ind w:left="74"/>
              <w:spacing w:after="0"/>
              <w:rPr>
                <w:sz w:val="20"/>
                <w:szCs w:val="20"/>
                <w:color w:val="auto"/>
              </w:rPr>
            </w:pPr>
            <w:r>
              <w:rPr>
                <w:rFonts w:ascii="Arial" w:cs="Arial" w:eastAsia="Arial" w:hAnsi="Arial"/>
                <w:sz w:val="17"/>
                <w:szCs w:val="17"/>
                <w:b w:val="1"/>
                <w:bCs w:val="1"/>
                <w:color w:val="auto"/>
                <w:w w:val="86"/>
              </w:rPr>
              <w:t>shares purchased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89"/>
              </w:rPr>
              <w:t>number of shares</w:t>
            </w:r>
          </w:p>
        </w:tc>
      </w:tr>
      <w:tr>
        <w:trPr>
          <w:trHeight w:val="20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center"/>
              <w:ind w:left="54"/>
              <w:spacing w:after="0"/>
              <w:rPr>
                <w:sz w:val="20"/>
                <w:szCs w:val="20"/>
                <w:color w:val="auto"/>
              </w:rPr>
            </w:pPr>
            <w:r>
              <w:rPr>
                <w:rFonts w:ascii="Arial" w:cs="Arial" w:eastAsia="Arial" w:hAnsi="Arial"/>
                <w:sz w:val="17"/>
                <w:szCs w:val="17"/>
                <w:b w:val="1"/>
                <w:bCs w:val="1"/>
                <w:color w:val="auto"/>
                <w:w w:val="89"/>
              </w:rPr>
              <w:t>Average</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ind w:left="74"/>
              <w:spacing w:after="0"/>
              <w:rPr>
                <w:sz w:val="20"/>
                <w:szCs w:val="20"/>
                <w:color w:val="auto"/>
              </w:rPr>
            </w:pPr>
            <w:r>
              <w:rPr>
                <w:rFonts w:ascii="Arial" w:cs="Arial" w:eastAsia="Arial" w:hAnsi="Arial"/>
                <w:sz w:val="17"/>
                <w:szCs w:val="17"/>
                <w:b w:val="1"/>
                <w:bCs w:val="1"/>
                <w:color w:val="auto"/>
                <w:w w:val="92"/>
              </w:rPr>
              <w:t>as part of publicly</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0"/>
              </w:rPr>
              <w:t>that may yet be</w:t>
            </w:r>
          </w:p>
        </w:tc>
      </w:tr>
      <w:tr>
        <w:trPr>
          <w:trHeight w:val="206"/>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580" w:type="dxa"/>
            <w:vAlign w:val="bottom"/>
          </w:tcPr>
          <w:p>
            <w:pPr>
              <w:jc w:val="center"/>
              <w:ind w:left="54"/>
              <w:spacing w:after="0"/>
              <w:rPr>
                <w:sz w:val="20"/>
                <w:szCs w:val="20"/>
                <w:color w:val="auto"/>
              </w:rPr>
            </w:pPr>
            <w:r>
              <w:rPr>
                <w:rFonts w:ascii="Arial" w:cs="Arial" w:eastAsia="Arial" w:hAnsi="Arial"/>
                <w:sz w:val="17"/>
                <w:szCs w:val="17"/>
                <w:b w:val="1"/>
                <w:bCs w:val="1"/>
                <w:color w:val="auto"/>
                <w:w w:val="93"/>
              </w:rPr>
              <w:t>Total number of</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center"/>
              <w:ind w:left="74"/>
              <w:spacing w:after="0"/>
              <w:rPr>
                <w:sz w:val="20"/>
                <w:szCs w:val="20"/>
                <w:color w:val="auto"/>
              </w:rPr>
            </w:pPr>
            <w:r>
              <w:rPr>
                <w:rFonts w:ascii="Arial" w:cs="Arial" w:eastAsia="Arial" w:hAnsi="Arial"/>
                <w:sz w:val="17"/>
                <w:szCs w:val="17"/>
                <w:b w:val="1"/>
                <w:bCs w:val="1"/>
                <w:color w:val="auto"/>
                <w:w w:val="92"/>
              </w:rPr>
              <w:t>price paid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ind w:left="74"/>
              <w:spacing w:after="0"/>
              <w:rPr>
                <w:sz w:val="20"/>
                <w:szCs w:val="20"/>
                <w:color w:val="auto"/>
              </w:rPr>
            </w:pPr>
            <w:r>
              <w:rPr>
                <w:rFonts w:ascii="Arial" w:cs="Arial" w:eastAsia="Arial" w:hAnsi="Arial"/>
                <w:sz w:val="17"/>
                <w:szCs w:val="17"/>
                <w:b w:val="1"/>
                <w:bCs w:val="1"/>
                <w:color w:val="auto"/>
                <w:w w:val="90"/>
              </w:rPr>
              <w:t>announced plan or</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7"/>
                <w:szCs w:val="17"/>
                <w:b w:val="1"/>
                <w:bCs w:val="1"/>
                <w:color w:val="auto"/>
                <w:w w:val="90"/>
              </w:rPr>
              <w:t>purchased under the</w:t>
            </w:r>
          </w:p>
        </w:tc>
      </w:tr>
      <w:tr>
        <w:trPr>
          <w:trHeight w:val="231"/>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58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b w:val="1"/>
                <w:bCs w:val="1"/>
                <w:color w:val="auto"/>
                <w:w w:val="87"/>
              </w:rPr>
              <w:t>shares purchased</w:t>
            </w:r>
          </w:p>
        </w:tc>
        <w:tc>
          <w:tcPr>
            <w:tcW w:w="14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Borders>
              <w:bottom w:val="single" w:sz="8" w:color="auto"/>
            </w:tcBorders>
          </w:tcPr>
          <w:p>
            <w:pPr>
              <w:jc w:val="center"/>
              <w:ind w:left="54"/>
              <w:spacing w:after="0"/>
              <w:rPr>
                <w:sz w:val="20"/>
                <w:szCs w:val="20"/>
                <w:color w:val="auto"/>
              </w:rPr>
            </w:pPr>
            <w:r>
              <w:rPr>
                <w:rFonts w:ascii="Arial" w:cs="Arial" w:eastAsia="Arial" w:hAnsi="Arial"/>
                <w:sz w:val="17"/>
                <w:szCs w:val="17"/>
                <w:b w:val="1"/>
                <w:bCs w:val="1"/>
                <w:color w:val="auto"/>
                <w:w w:val="88"/>
              </w:rPr>
              <w:t>per share</w:t>
            </w:r>
          </w:p>
        </w:tc>
        <w:tc>
          <w:tcPr>
            <w:tcW w:w="1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Borders>
              <w:bottom w:val="single" w:sz="8" w:color="auto"/>
            </w:tcBorders>
          </w:tcPr>
          <w:p>
            <w:pPr>
              <w:jc w:val="center"/>
              <w:ind w:left="74"/>
              <w:spacing w:after="0"/>
              <w:rPr>
                <w:sz w:val="20"/>
                <w:szCs w:val="20"/>
                <w:color w:val="auto"/>
              </w:rPr>
            </w:pPr>
            <w:r>
              <w:rPr>
                <w:rFonts w:ascii="Arial" w:cs="Arial" w:eastAsia="Arial" w:hAnsi="Arial"/>
                <w:sz w:val="17"/>
                <w:szCs w:val="17"/>
                <w:b w:val="1"/>
                <w:bCs w:val="1"/>
                <w:color w:val="auto"/>
                <w:w w:val="89"/>
              </w:rPr>
              <w:t>programs</w:t>
            </w:r>
          </w:p>
        </w:tc>
        <w:tc>
          <w:tcPr>
            <w:tcW w:w="1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plan or programs</w:t>
            </w:r>
          </w:p>
        </w:tc>
        <w:tc>
          <w:tcPr>
            <w:tcW w:w="2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October 1 - 31, 2013</w:t>
            </w:r>
          </w:p>
        </w:tc>
        <w:tc>
          <w:tcPr>
            <w:tcW w:w="15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8,000,000</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00" w:type="dxa"/>
            <w:vAlign w:val="bottom"/>
          </w:tcPr>
          <w:p>
            <w:pPr>
              <w:spacing w:after="0"/>
              <w:rPr>
                <w:sz w:val="20"/>
                <w:szCs w:val="20"/>
                <w:color w:val="auto"/>
              </w:rPr>
            </w:pPr>
            <w:r>
              <w:rPr>
                <w:rFonts w:ascii="Arial" w:cs="Arial" w:eastAsia="Arial" w:hAnsi="Arial"/>
                <w:sz w:val="17"/>
                <w:szCs w:val="17"/>
                <w:color w:val="auto"/>
              </w:rPr>
              <w:t>November 1 - 30, 2013</w:t>
            </w:r>
          </w:p>
        </w:tc>
        <w:tc>
          <w:tcPr>
            <w:tcW w:w="15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2020" w:type="dxa"/>
            <w:vAlign w:val="bottom"/>
            <w:gridSpan w:val="2"/>
          </w:tcPr>
          <w:p>
            <w:pPr>
              <w:jc w:val="right"/>
              <w:spacing w:after="0"/>
              <w:rPr>
                <w:sz w:val="20"/>
                <w:szCs w:val="20"/>
                <w:color w:val="auto"/>
              </w:rPr>
            </w:pPr>
            <w:r>
              <w:rPr>
                <w:rFonts w:ascii="Arial" w:cs="Arial" w:eastAsia="Arial" w:hAnsi="Arial"/>
                <w:sz w:val="17"/>
                <w:szCs w:val="17"/>
                <w:color w:val="auto"/>
              </w:rPr>
              <w:t>8,000,000</w:t>
            </w:r>
          </w:p>
        </w:tc>
        <w:tc>
          <w:tcPr>
            <w:tcW w:w="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December 1 - 31, 2013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6,042</w:t>
            </w:r>
          </w:p>
        </w:tc>
        <w:tc>
          <w:tcPr>
            <w:tcW w:w="520" w:type="dxa"/>
            <w:vAlign w:val="bottom"/>
            <w:shd w:val="clear" w:color="auto" w:fill="CCEEFF"/>
          </w:tcPr>
          <w:p>
            <w:pPr>
              <w:jc w:val="right"/>
              <w:ind w:right="127"/>
              <w:spacing w:after="0"/>
              <w:rPr>
                <w:sz w:val="20"/>
                <w:szCs w:val="20"/>
                <w:color w:val="auto"/>
              </w:rPr>
            </w:pPr>
            <w:r>
              <w:rPr>
                <w:rFonts w:ascii="Arial" w:cs="Arial" w:eastAsia="Arial" w:hAnsi="Arial"/>
                <w:sz w:val="12"/>
                <w:szCs w:val="12"/>
                <w:color w:val="auto"/>
              </w:rPr>
              <w:t>(1)(2)</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8,000,000</w:t>
            </w:r>
          </w:p>
        </w:tc>
        <w:tc>
          <w:tcPr>
            <w:tcW w:w="20" w:type="dxa"/>
            <w:vAlign w:val="bottom"/>
          </w:tcPr>
          <w:p>
            <w:pPr>
              <w:spacing w:after="0"/>
              <w:rPr>
                <w:sz w:val="17"/>
                <w:szCs w:val="17"/>
                <w:color w:val="auto"/>
              </w:rPr>
            </w:pPr>
          </w:p>
        </w:tc>
      </w:tr>
    </w:tbl>
    <w:p>
      <w:pPr>
        <w:spacing w:after="0" w:line="194" w:lineRule="exact"/>
        <w:rPr>
          <w:sz w:val="20"/>
          <w:szCs w:val="20"/>
          <w:color w:val="auto"/>
        </w:rPr>
      </w:pPr>
    </w:p>
    <w:p>
      <w:pPr>
        <w:ind w:right="660" w:firstLine="3"/>
        <w:spacing w:after="0" w:line="260" w:lineRule="auto"/>
        <w:tabs>
          <w:tab w:leader="none" w:pos="244" w:val="left"/>
        </w:tabs>
        <w:numPr>
          <w:ilvl w:val="0"/>
          <w:numId w:val="15"/>
        </w:numPr>
        <w:rPr>
          <w:rFonts w:ascii="Arial" w:cs="Arial" w:eastAsia="Arial" w:hAnsi="Arial"/>
          <w:sz w:val="17"/>
          <w:szCs w:val="17"/>
          <w:color w:val="auto"/>
        </w:rPr>
      </w:pPr>
      <w:r>
        <w:rPr>
          <w:rFonts w:ascii="Arial" w:cs="Arial" w:eastAsia="Arial" w:hAnsi="Arial"/>
          <w:sz w:val="17"/>
          <w:szCs w:val="17"/>
          <w:color w:val="auto"/>
        </w:rPr>
        <w:t>5,856 shares of common stock withheld by ManpowerGroup to satisfy tax withholding obligations on shares acquired by certain officers in settlement of restricted stock.</w:t>
      </w:r>
    </w:p>
    <w:p>
      <w:pPr>
        <w:ind w:left="240" w:hanging="237"/>
        <w:spacing w:after="0"/>
        <w:tabs>
          <w:tab w:leader="none" w:pos="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186 shares of restricted stock delivered by a director to ManpowerGroup, upon vesting, to satisfy tax withholding requirements.</w:t>
      </w:r>
    </w:p>
    <w:p>
      <w:pPr>
        <w:spacing w:after="0" w:line="207" w:lineRule="exact"/>
        <w:rPr>
          <w:sz w:val="20"/>
          <w:szCs w:val="20"/>
          <w:color w:val="auto"/>
        </w:rPr>
      </w:pPr>
    </w:p>
    <w:p>
      <w:pPr>
        <w:ind w:right="60" w:firstLine="465"/>
        <w:spacing w:after="0" w:line="291" w:lineRule="auto"/>
        <w:rPr>
          <w:sz w:val="20"/>
          <w:szCs w:val="20"/>
          <w:color w:val="auto"/>
        </w:rPr>
      </w:pPr>
      <w:r>
        <w:rPr>
          <w:rFonts w:ascii="Arial" w:cs="Arial" w:eastAsia="Arial" w:hAnsi="Arial"/>
          <w:sz w:val="16"/>
          <w:szCs w:val="16"/>
          <w:color w:val="auto"/>
        </w:rPr>
        <w:t>The remaining information required by this Item is set forth in our Annual Report to Shareholders for the fiscal year ended December 31, 2013, under the heading “Note 15—Quarterly Data” (page 84) and “Corporate Information” (page 87) and in our Proxy Statement for the Annual Meeting of Shareholders to be held on April 29, 2014, under the caption “Equity Compensation Plan Information”, which information is hereby incorporated herein by reference.</w:t>
      </w:r>
    </w:p>
    <w:p>
      <w:pPr>
        <w:spacing w:after="0" w:line="357" w:lineRule="exact"/>
        <w:rPr>
          <w:sz w:val="20"/>
          <w:szCs w:val="20"/>
          <w:color w:val="auto"/>
        </w:rPr>
      </w:pPr>
    </w:p>
    <w:p>
      <w:pPr>
        <w:spacing w:after="0"/>
        <w:tabs>
          <w:tab w:leader="none" w:pos="14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24" w:lineRule="exact"/>
        <w:rPr>
          <w:sz w:val="20"/>
          <w:szCs w:val="20"/>
          <w:color w:val="auto"/>
        </w:rPr>
      </w:pPr>
    </w:p>
    <w:p>
      <w:pPr>
        <w:ind w:right="540" w:firstLine="465"/>
        <w:spacing w:after="0" w:line="280"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2013, under the heading “Selected Financial Data” (page 85), which information is hereby incorporated herein by reference.</w:t>
      </w:r>
    </w:p>
    <w:p>
      <w:pPr>
        <w:spacing w:after="0" w:line="364"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4" w:lineRule="exact"/>
        <w:rPr>
          <w:sz w:val="20"/>
          <w:szCs w:val="20"/>
          <w:color w:val="auto"/>
        </w:rPr>
      </w:pPr>
    </w:p>
    <w:p>
      <w:pPr>
        <w:ind w:right="300" w:firstLine="465"/>
        <w:spacing w:after="0" w:line="266"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2013, under the heading “Management’s Discussion and Analysis of Financial Condition and Results of Operations” (pages 25 to 48), which information is hereby incorporated herein by reference.</w:t>
      </w:r>
    </w:p>
    <w:p>
      <w:pPr>
        <w:spacing w:after="0" w:line="377"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24" w:lineRule="exact"/>
        <w:rPr>
          <w:sz w:val="20"/>
          <w:szCs w:val="20"/>
          <w:color w:val="auto"/>
        </w:rPr>
      </w:pPr>
    </w:p>
    <w:p>
      <w:pPr>
        <w:ind w:right="540" w:firstLine="465"/>
        <w:spacing w:after="0" w:line="280" w:lineRule="auto"/>
        <w:rPr>
          <w:sz w:val="20"/>
          <w:szCs w:val="20"/>
          <w:color w:val="auto"/>
        </w:rPr>
      </w:pPr>
      <w:r>
        <w:rPr>
          <w:rFonts w:ascii="Arial" w:cs="Arial" w:eastAsia="Arial" w:hAnsi="Arial"/>
          <w:sz w:val="17"/>
          <w:szCs w:val="17"/>
          <w:color w:val="auto"/>
        </w:rPr>
        <w:t>The information required by this Item is set forth in our Annual Report to Shareholders for the fiscal year ended December 31, 2013, under the heading “Significant Matters Affecting Results of Operations” (pages 44 to 48), which information is hereby incorporated herein by reference.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934" w:right="239" w:bottom="1440" w:gutter="0" w:footer="0" w:header="0"/>
        </w:sectPr>
      </w:pPr>
    </w:p>
    <w:bookmarkStart w:id="19" w:name="page20"/>
    <w:bookmarkEnd w:id="19"/>
    <w:p>
      <w:pPr>
        <w:spacing w:after="0"/>
        <w:tabs>
          <w:tab w:leader="none" w:pos="124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24" w:lineRule="exact"/>
        <w:rPr>
          <w:sz w:val="20"/>
          <w:szCs w:val="20"/>
          <w:color w:val="auto"/>
        </w:rPr>
      </w:pPr>
    </w:p>
    <w:p>
      <w:pPr>
        <w:ind w:right="700" w:firstLine="465"/>
        <w:spacing w:after="0" w:line="280" w:lineRule="auto"/>
        <w:rPr>
          <w:sz w:val="20"/>
          <w:szCs w:val="20"/>
          <w:color w:val="auto"/>
        </w:rPr>
      </w:pPr>
      <w:r>
        <w:rPr>
          <w:rFonts w:ascii="Arial" w:cs="Arial" w:eastAsia="Arial" w:hAnsi="Arial"/>
          <w:sz w:val="17"/>
          <w:szCs w:val="17"/>
          <w:color w:val="auto"/>
        </w:rPr>
        <w:t>The information required by this Item is set forth in the financial statements and the notes thereto (pages 52 to 84) contained in our Annual Report to Shareholders for the fiscal year ended December 31, 2013, which information is hereby incorporated herein by reference.</w:t>
      </w:r>
    </w:p>
    <w:p>
      <w:pPr>
        <w:spacing w:after="0" w:line="390" w:lineRule="exact"/>
        <w:rPr>
          <w:sz w:val="20"/>
          <w:szCs w:val="20"/>
          <w:color w:val="auto"/>
        </w:rPr>
      </w:pPr>
    </w:p>
    <w:p>
      <w:pPr>
        <w:spacing w:after="0"/>
        <w:tabs>
          <w:tab w:leader="none" w:pos="128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24" w:lineRule="exact"/>
        <w:rPr>
          <w:sz w:val="20"/>
          <w:szCs w:val="20"/>
          <w:color w:val="auto"/>
        </w:rPr>
      </w:pPr>
    </w:p>
    <w:p>
      <w:pPr>
        <w:ind w:firstLine="465"/>
        <w:spacing w:after="0" w:line="274"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and principal financial officers, or persons performing similar functions, as appropriate to allow timely decisions regarding required disclosure.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224" w:lineRule="exact"/>
        <w:rPr>
          <w:sz w:val="20"/>
          <w:szCs w:val="20"/>
          <w:color w:val="auto"/>
        </w:rPr>
      </w:pPr>
    </w:p>
    <w:p>
      <w:pPr>
        <w:jc w:val="both"/>
        <w:ind w:right="120" w:firstLine="465"/>
        <w:spacing w:after="0" w:line="262" w:lineRule="auto"/>
        <w:rPr>
          <w:sz w:val="20"/>
          <w:szCs w:val="20"/>
          <w:color w:val="auto"/>
        </w:rPr>
      </w:pPr>
      <w:r>
        <w:rPr>
          <w:rFonts w:ascii="Arial" w:cs="Arial" w:eastAsia="Arial" w:hAnsi="Arial"/>
          <w:sz w:val="17"/>
          <w:szCs w:val="17"/>
          <w:color w:val="auto"/>
        </w:rPr>
        <w:t>The Management Report on Internal Control Over Financial Reporting is set forth on page 49 in our Annual Report to Shareholders for the fiscal year ended December 31, 2013, which information is hereby incorporated herein by reference. The Independent Registered Public Accounting Firm’s report with respect to the effectiveness of internal control over financial reporting is included on page 51 of our Annual Report to Shareholders for the year ended December 31, 2013, which information is hereby incorporated herein by reference.</w:t>
      </w:r>
    </w:p>
    <w:p>
      <w:pPr>
        <w:spacing w:after="0" w:line="179" w:lineRule="exact"/>
        <w:rPr>
          <w:sz w:val="20"/>
          <w:szCs w:val="20"/>
          <w:color w:val="auto"/>
        </w:rPr>
      </w:pPr>
    </w:p>
    <w:p>
      <w:pPr>
        <w:ind w:right="340" w:firstLine="465"/>
        <w:spacing w:after="0" w:line="280" w:lineRule="auto"/>
        <w:rPr>
          <w:sz w:val="20"/>
          <w:szCs w:val="20"/>
          <w:color w:val="auto"/>
        </w:rPr>
      </w:pPr>
      <w:r>
        <w:rPr>
          <w:rFonts w:ascii="Arial" w:cs="Arial" w:eastAsia="Arial" w:hAnsi="Arial"/>
          <w:sz w:val="17"/>
          <w:szCs w:val="17"/>
          <w:color w:val="auto"/>
        </w:rPr>
        <w:t>There have been no changes in our internal control over financial reporting that occurred during our last fiscal quarter that have materially affected, or are reasonably likely to materially affect, our internal control over financial reporting.</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3" w:right="259" w:bottom="1440" w:gutter="0" w:footer="0" w:header="0"/>
        </w:sectPr>
      </w:pPr>
    </w:p>
    <w:bookmarkStart w:id="20" w:name="page21"/>
    <w:bookmarkEnd w:id="20"/>
    <w:p>
      <w:pPr>
        <w:spacing w:after="0"/>
        <w:tabs>
          <w:tab w:leader="none" w:pos="12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49" w:lineRule="exact"/>
        <w:rPr>
          <w:sz w:val="20"/>
          <w:szCs w:val="20"/>
          <w:color w:val="auto"/>
        </w:rPr>
      </w:pPr>
    </w:p>
    <w:p>
      <w:pPr>
        <w:ind w:right="140" w:firstLine="620"/>
        <w:spacing w:after="0" w:line="260" w:lineRule="auto"/>
        <w:rPr>
          <w:sz w:val="20"/>
          <w:szCs w:val="20"/>
          <w:color w:val="auto"/>
        </w:rPr>
      </w:pPr>
      <w:r>
        <w:rPr>
          <w:rFonts w:ascii="Arial" w:cs="Arial" w:eastAsia="Arial" w:hAnsi="Arial"/>
          <w:sz w:val="17"/>
          <w:szCs w:val="17"/>
          <w:color w:val="auto"/>
        </w:rPr>
        <w:t>On February 20, 2014, the Company entered into a compensation agreement and severance agreement with each of Jeffrey A. Joerres, the Chief Executive Officer of the company, and Michael J. Van Handel, the Executive Vice President and Chief Financial Officer of the Company. These agreements replaced similar agreements that expired on February 16, 2014. The term under each of the compensation agreements and severance agreements expires on the first to occur of (1) the date two years after the occurrence of a change of control of the Company or (2) February 20, 2017, if no such change of control occurs before February 20, 2017.</w:t>
      </w:r>
    </w:p>
    <w:p>
      <w:pPr>
        <w:spacing w:after="0" w:line="206" w:lineRule="exact"/>
        <w:rPr>
          <w:sz w:val="20"/>
          <w:szCs w:val="20"/>
          <w:color w:val="auto"/>
        </w:rPr>
      </w:pPr>
    </w:p>
    <w:p>
      <w:pPr>
        <w:ind w:right="60" w:firstLine="620"/>
        <w:spacing w:after="0" w:line="280" w:lineRule="auto"/>
        <w:rPr>
          <w:sz w:val="20"/>
          <w:szCs w:val="20"/>
          <w:color w:val="auto"/>
        </w:rPr>
      </w:pPr>
      <w:r>
        <w:rPr>
          <w:rFonts w:ascii="Arial" w:cs="Arial" w:eastAsia="Arial" w:hAnsi="Arial"/>
          <w:sz w:val="17"/>
          <w:szCs w:val="17"/>
          <w:color w:val="auto"/>
        </w:rPr>
        <w:t>Aside from the new term applicable to each agreement, the agreements were adopted in substantially in the same form as the agreements they replaced with minor modifications, including the following changes:</w:t>
      </w:r>
    </w:p>
    <w:p>
      <w:pPr>
        <w:spacing w:after="0" w:line="189" w:lineRule="exact"/>
        <w:rPr>
          <w:sz w:val="20"/>
          <w:szCs w:val="20"/>
          <w:color w:val="auto"/>
        </w:rPr>
      </w:pPr>
    </w:p>
    <w:p>
      <w:pPr>
        <w:ind w:left="620" w:right="60" w:firstLine="312"/>
        <w:spacing w:after="0" w:line="266" w:lineRule="auto"/>
        <w:tabs>
          <w:tab w:leader="none" w:pos="11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the compensation agreements, Mr. Joerres and Mr. Van Handel are entitled to receive a base salary, as may be increased from time to time by the Company. Effective February 11, 2014, Mr. Van Handel’s base salary has been increased to $660,000 per year and this is reflected in his compensation agreement.</w:t>
      </w:r>
    </w:p>
    <w:p>
      <w:pPr>
        <w:spacing w:after="0" w:line="176" w:lineRule="exact"/>
        <w:rPr>
          <w:rFonts w:ascii="Arial" w:cs="Arial" w:eastAsia="Arial" w:hAnsi="Arial"/>
          <w:sz w:val="17"/>
          <w:szCs w:val="17"/>
          <w:color w:val="auto"/>
        </w:rPr>
      </w:pPr>
    </w:p>
    <w:p>
      <w:pPr>
        <w:ind w:left="620" w:firstLine="312"/>
        <w:spacing w:after="0" w:line="275" w:lineRule="auto"/>
        <w:tabs>
          <w:tab w:leader="none" w:pos="117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Under the severance agreements, the definition of “good reason” has been modified to include (i) any material breach by the Company or one of its affiliates of a material obligation to pay or provide benefits or compensation to the executive, (ii) a material diminution in base salary, (iii) a material diminution in the executive’s authority, duties or authority, coupled with a material reduction in the executive’s target bonus opportunity, (iv) a material diminution in the executive’s authority, duties or responsibility which is not coupled with a material reduction in the executive’s target bonus opportunity, but which occurs within 2 years after a change of control; or (v) a material reduction in the executive’s target bonus opportunity which is not coupled with a material diminution in the executive’s authority, duties or responsibilities, but which occurs within 2 years after a change of control. Under the prior agreements, “good reason” included a material diminution of the executive’s authority, duties or responsibilities, but did not include a material diminution in the executive’s target bonus opportunity (other than in the two years following a change of control).</w:t>
      </w:r>
    </w:p>
    <w:p>
      <w:pPr>
        <w:spacing w:after="0" w:line="171" w:lineRule="exact"/>
        <w:rPr>
          <w:rFonts w:ascii="Arial" w:cs="Arial" w:eastAsia="Arial" w:hAnsi="Arial"/>
          <w:sz w:val="16"/>
          <w:szCs w:val="16"/>
          <w:color w:val="auto"/>
        </w:rPr>
      </w:pPr>
    </w:p>
    <w:p>
      <w:pPr>
        <w:ind w:left="620" w:right="220" w:firstLine="312"/>
        <w:spacing w:after="0" w:line="266" w:lineRule="auto"/>
        <w:tabs>
          <w:tab w:leader="none" w:pos="117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 the severance agreements, the healthcare continuation benefits for a termination that does not occur in connection with a change of control have been revised so that the Company will pay the total cost of benefit continuation for twelve months. Under the prior agreements, the Company was required only to pay the normal employer-portion of such cost.</w:t>
      </w:r>
    </w:p>
    <w:p>
      <w:pPr>
        <w:spacing w:after="0" w:line="176"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The foregoing description of the compensation agreements and severance agreements is qualified in its entirety by reference to the compensation</w:t>
      </w:r>
    </w:p>
    <w:p>
      <w:pPr>
        <w:spacing w:after="0" w:line="22" w:lineRule="exact"/>
        <w:rPr>
          <w:sz w:val="20"/>
          <w:szCs w:val="20"/>
          <w:color w:val="auto"/>
        </w:rPr>
      </w:pPr>
    </w:p>
    <w:p>
      <w:pPr>
        <w:jc w:val="center"/>
        <w:ind w:right="160"/>
        <w:spacing w:after="0"/>
        <w:rPr>
          <w:sz w:val="20"/>
          <w:szCs w:val="20"/>
          <w:color w:val="auto"/>
        </w:rPr>
      </w:pPr>
      <w:r>
        <w:rPr>
          <w:rFonts w:ascii="Arial" w:cs="Arial" w:eastAsia="Arial" w:hAnsi="Arial"/>
          <w:sz w:val="15"/>
          <w:szCs w:val="15"/>
          <w:color w:val="auto"/>
        </w:rPr>
        <w:t>agreements and severance agreements and compensation agreements filed herewith as exhibits 10.7(a) - 10.8(b), which are incorporated by reference 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3"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7"/>
          <w:szCs w:val="17"/>
          <w:b w:val="1"/>
          <w:bCs w:val="1"/>
          <w:color w:val="auto"/>
        </w:rPr>
        <w:t>PART III</w:t>
      </w: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24" w:lineRule="exact"/>
        <w:rPr>
          <w:sz w:val="20"/>
          <w:szCs w:val="20"/>
          <w:color w:val="auto"/>
        </w:rPr>
      </w:pPr>
    </w:p>
    <w:p>
      <w:pPr>
        <w:ind w:left="880" w:hanging="464"/>
        <w:spacing w:after="0"/>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Executive Officers. Reference is made to “Executive Officers of ManpowerGroup” in Part I after Item 4.</w:t>
      </w:r>
    </w:p>
    <w:p>
      <w:pPr>
        <w:spacing w:after="0" w:line="217" w:lineRule="exact"/>
        <w:rPr>
          <w:rFonts w:ascii="Arial" w:cs="Arial" w:eastAsia="Arial" w:hAnsi="Arial"/>
          <w:sz w:val="17"/>
          <w:szCs w:val="17"/>
          <w:color w:val="auto"/>
        </w:rPr>
      </w:pPr>
    </w:p>
    <w:p>
      <w:pPr>
        <w:ind w:left="880" w:hanging="464"/>
        <w:spacing w:after="0" w:line="280"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Directors. The information required by this Item is set forth in our Proxy Statement for the Annual Meeting of Shareholders to be held on April 29, 2014 under the caption “Election of Directors,” which information is hereby incorporated herein by reference.</w:t>
      </w:r>
    </w:p>
    <w:p>
      <w:pPr>
        <w:spacing w:after="0" w:line="163" w:lineRule="exact"/>
        <w:rPr>
          <w:rFonts w:ascii="Arial" w:cs="Arial" w:eastAsia="Arial" w:hAnsi="Arial"/>
          <w:sz w:val="17"/>
          <w:szCs w:val="17"/>
          <w:color w:val="auto"/>
        </w:rPr>
      </w:pPr>
    </w:p>
    <w:p>
      <w:pPr>
        <w:ind w:left="880" w:right="240" w:hanging="464"/>
        <w:spacing w:after="0" w:line="266"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board of directors has determined that both Gina R. Boswell, chairman of the audit committee, and Roberto Mendoza are an “audit committee financial expert.” Ms. Boswell and Mr. Mendoza are both “independent” as that term is used in Item 7(d)(3)(iv) of Schedule 14A under the Securities Exchange Act of 1934.</w:t>
      </w:r>
    </w:p>
    <w:p>
      <w:pPr>
        <w:spacing w:after="0" w:line="176" w:lineRule="exact"/>
        <w:rPr>
          <w:rFonts w:ascii="Arial" w:cs="Arial" w:eastAsia="Arial" w:hAnsi="Arial"/>
          <w:sz w:val="17"/>
          <w:szCs w:val="17"/>
          <w:color w:val="auto"/>
        </w:rPr>
      </w:pPr>
    </w:p>
    <w:p>
      <w:pPr>
        <w:ind w:left="880" w:right="100" w:hanging="464"/>
        <w:spacing w:after="0" w:line="312" w:lineRule="auto"/>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 Committee. The information required by this Item is set forth in our Proxy Statement for the Annual Meeting of Shareholders to be held on April 29, 2014 under the caption “Meetings and Committees of the Board,” which information is hereby incorporated herein by reference.</w:t>
      </w:r>
    </w:p>
    <w:p>
      <w:pPr>
        <w:spacing w:after="0" w:line="141" w:lineRule="exact"/>
        <w:rPr>
          <w:rFonts w:ascii="Arial" w:cs="Arial" w:eastAsia="Arial" w:hAnsi="Arial"/>
          <w:sz w:val="16"/>
          <w:szCs w:val="16"/>
          <w:color w:val="auto"/>
        </w:rPr>
      </w:pPr>
    </w:p>
    <w:p>
      <w:pPr>
        <w:ind w:left="880" w:right="320" w:hanging="464"/>
        <w:spacing w:after="0" w:line="266" w:lineRule="auto"/>
        <w:tabs>
          <w:tab w:leader="none" w:pos="8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Section 16 Compliance. The information required by this Item is set forth in our Proxy Statement for the Annual Meeting of Shareholders to be held April 29, 2014 under the caption “Section 16(a) Beneficial Ownership Reporting Compliance,” which information is hereby incorporated herein by reference.</w:t>
      </w:r>
    </w:p>
    <w:p>
      <w:pPr>
        <w:spacing w:after="0" w:line="176" w:lineRule="exact"/>
        <w:rPr>
          <w:rFonts w:ascii="Arial" w:cs="Arial" w:eastAsia="Arial" w:hAnsi="Arial"/>
          <w:sz w:val="17"/>
          <w:szCs w:val="17"/>
          <w:color w:val="auto"/>
        </w:rPr>
      </w:pPr>
    </w:p>
    <w:p>
      <w:pPr>
        <w:ind w:left="880" w:right="80" w:hanging="464"/>
        <w:spacing w:after="0" w:line="349"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have adopted a Code of Business Conduct and Ethics that applies to our directors, officers and employees, including our principal executive officer, principal financial officer, principal accounting officer and controller. We have posted the Code on our Internet website at www.manpowergroup.com.</w:t>
      </w:r>
    </w:p>
    <w:p>
      <w:pPr>
        <w:spacing w:after="0" w:line="112"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4" w:lineRule="exact"/>
        <w:rPr>
          <w:sz w:val="20"/>
          <w:szCs w:val="20"/>
          <w:color w:val="auto"/>
        </w:rPr>
      </w:pPr>
    </w:p>
    <w:p>
      <w:pPr>
        <w:ind w:firstLine="465"/>
        <w:spacing w:after="0" w:line="291" w:lineRule="auto"/>
        <w:rPr>
          <w:sz w:val="20"/>
          <w:szCs w:val="20"/>
          <w:color w:val="auto"/>
        </w:rPr>
      </w:pPr>
      <w:r>
        <w:rPr>
          <w:rFonts w:ascii="Arial" w:cs="Arial" w:eastAsia="Arial" w:hAnsi="Arial"/>
          <w:sz w:val="16"/>
          <w:szCs w:val="16"/>
          <w:color w:val="auto"/>
        </w:rPr>
        <w:t>The information required by this Item is set forth in our Proxy Statement for the Annual Meeting of Shareholders to be held on April 29, 2014, under the caption “Executive and Director Compensation”; under the caption “Executive Compensation Committee Interlocks and Insider Participation”; and under the caption “Report of the Executive Compensation Committee of the Board of Directors,” which information is hereby incorporated herein by reference.</w:t>
      </w:r>
    </w:p>
    <w:p>
      <w:pPr>
        <w:spacing w:after="0" w:line="15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Shareholder Matters</w:t>
      </w:r>
    </w:p>
    <w:p>
      <w:pPr>
        <w:spacing w:after="0" w:line="224" w:lineRule="exact"/>
        <w:rPr>
          <w:sz w:val="20"/>
          <w:szCs w:val="20"/>
          <w:color w:val="auto"/>
        </w:rPr>
      </w:pPr>
    </w:p>
    <w:p>
      <w:pPr>
        <w:ind w:right="420" w:firstLine="465"/>
        <w:spacing w:after="0" w:line="266" w:lineRule="auto"/>
        <w:rPr>
          <w:sz w:val="20"/>
          <w:szCs w:val="20"/>
          <w:color w:val="auto"/>
        </w:rPr>
      </w:pPr>
      <w:r>
        <w:rPr>
          <w:rFonts w:ascii="Arial" w:cs="Arial" w:eastAsia="Arial" w:hAnsi="Arial"/>
          <w:sz w:val="17"/>
          <w:szCs w:val="17"/>
          <w:color w:val="auto"/>
        </w:rPr>
        <w:t>The information required by this Item is set forth in our Proxy Statement for the Annual Meeting of Shareholders to be held on April 29, 2014, under the caption “Security Ownership of Certain Beneficial Owners” and under the caption “Security Ownership of Management”; and under the caption “Equity Compensation Plan Information,” which information is hereby incorporated herein by reference.</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224" w:lineRule="exact"/>
        <w:rPr>
          <w:sz w:val="20"/>
          <w:szCs w:val="20"/>
          <w:color w:val="auto"/>
        </w:rPr>
      </w:pPr>
    </w:p>
    <w:p>
      <w:pPr>
        <w:ind w:right="420" w:firstLine="465"/>
        <w:spacing w:after="0" w:line="280" w:lineRule="auto"/>
        <w:rPr>
          <w:sz w:val="20"/>
          <w:szCs w:val="20"/>
          <w:color w:val="auto"/>
        </w:rPr>
      </w:pPr>
      <w:r>
        <w:rPr>
          <w:rFonts w:ascii="Arial" w:cs="Arial" w:eastAsia="Arial" w:hAnsi="Arial"/>
          <w:sz w:val="17"/>
          <w:szCs w:val="17"/>
          <w:color w:val="auto"/>
        </w:rPr>
        <w:t>The information required by this Item is set forth in our Proxy Statement for the Annual Meeting of Shareholders to be held on April 29, 2014, under the caption “Meetings and Committees of the Board,” which information is hereby incorporated herein by reference.</w:t>
      </w:r>
    </w:p>
    <w:p>
      <w:pPr>
        <w:spacing w:after="0" w:line="157"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24" w:lineRule="exact"/>
        <w:rPr>
          <w:sz w:val="20"/>
          <w:szCs w:val="20"/>
          <w:color w:val="auto"/>
        </w:rPr>
      </w:pPr>
    </w:p>
    <w:p>
      <w:pPr>
        <w:ind w:right="420" w:firstLine="465"/>
        <w:spacing w:after="0" w:line="280" w:lineRule="auto"/>
        <w:rPr>
          <w:sz w:val="20"/>
          <w:szCs w:val="20"/>
          <w:color w:val="auto"/>
        </w:rPr>
      </w:pPr>
      <w:r>
        <w:rPr>
          <w:rFonts w:ascii="Arial" w:cs="Arial" w:eastAsia="Arial" w:hAnsi="Arial"/>
          <w:sz w:val="17"/>
          <w:szCs w:val="17"/>
          <w:color w:val="auto"/>
        </w:rPr>
        <w:t>The information required by this Item is set forth in our Proxy Statement for the Annual Meeting of Shareholders to be held on April 29, 2014, under the caption “Audit Committee Report,” which information is hereby incorporated herein by reference.</w:t>
      </w: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263"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23"/>
        </w:trPr>
        <w:tc>
          <w:tcPr>
            <w:tcW w:w="620" w:type="dxa"/>
            <w:vAlign w:val="bottom"/>
          </w:tcPr>
          <w:p>
            <w:pPr>
              <w:spacing w:after="0"/>
              <w:rPr>
                <w:sz w:val="19"/>
                <w:szCs w:val="19"/>
                <w:color w:val="auto"/>
              </w:rPr>
            </w:pPr>
          </w:p>
        </w:tc>
        <w:tc>
          <w:tcPr>
            <w:tcW w:w="8300" w:type="dxa"/>
            <w:vAlign w:val="bottom"/>
          </w:tcPr>
          <w:p>
            <w:pPr>
              <w:ind w:left="4760"/>
              <w:spacing w:after="0"/>
              <w:rPr>
                <w:sz w:val="20"/>
                <w:szCs w:val="20"/>
                <w:color w:val="auto"/>
              </w:rPr>
            </w:pPr>
            <w:r>
              <w:rPr>
                <w:rFonts w:ascii="Arial" w:cs="Arial" w:eastAsia="Arial" w:hAnsi="Arial"/>
                <w:sz w:val="17"/>
                <w:szCs w:val="17"/>
                <w:b w:val="1"/>
                <w:bCs w:val="1"/>
                <w:color w:val="auto"/>
              </w:rPr>
              <w:t>PART IV</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620" w:type="dxa"/>
            <w:vAlign w:val="bottom"/>
          </w:tcPr>
          <w:p>
            <w:pPr>
              <w:spacing w:after="0"/>
              <w:rPr>
                <w:sz w:val="20"/>
                <w:szCs w:val="20"/>
                <w:color w:val="auto"/>
              </w:rPr>
            </w:pPr>
            <w:r>
              <w:rPr>
                <w:rFonts w:ascii="Arial" w:cs="Arial" w:eastAsia="Arial" w:hAnsi="Arial"/>
                <w:sz w:val="17"/>
                <w:szCs w:val="17"/>
                <w:b w:val="1"/>
                <w:bCs w:val="1"/>
                <w:color w:val="auto"/>
                <w:w w:val="94"/>
              </w:rPr>
              <w:t>Item 15.</w:t>
            </w:r>
          </w:p>
        </w:tc>
        <w:tc>
          <w:tcPr>
            <w:tcW w:w="8300" w:type="dxa"/>
            <w:vAlign w:val="bottom"/>
          </w:tcPr>
          <w:p>
            <w:pPr>
              <w:ind w:left="640"/>
              <w:spacing w:after="0"/>
              <w:rPr>
                <w:sz w:val="20"/>
                <w:szCs w:val="20"/>
                <w:color w:val="auto"/>
              </w:rPr>
            </w:pPr>
            <w:r>
              <w:rPr>
                <w:rFonts w:ascii="Arial" w:cs="Arial" w:eastAsia="Arial" w:hAnsi="Arial"/>
                <w:sz w:val="17"/>
                <w:szCs w:val="17"/>
                <w:b w:val="1"/>
                <w:bCs w:val="1"/>
                <w:color w:val="auto"/>
              </w:rPr>
              <w:t>Exhibits and Financial Statement Schedules.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920" w:type="dxa"/>
            <w:vAlign w:val="bottom"/>
            <w:gridSpan w:val="2"/>
          </w:tcPr>
          <w:p>
            <w:pPr>
              <w:spacing w:after="0"/>
              <w:rPr>
                <w:sz w:val="20"/>
                <w:szCs w:val="20"/>
                <w:color w:val="auto"/>
              </w:rPr>
            </w:pPr>
            <w:r>
              <w:rPr>
                <w:rFonts w:ascii="Arial" w:cs="Arial" w:eastAsia="Arial" w:hAnsi="Arial"/>
                <w:sz w:val="17"/>
                <w:szCs w:val="17"/>
                <w:color w:val="auto"/>
              </w:rPr>
              <w:t>(a)(1) Financial Statements.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3"/>
        </w:trPr>
        <w:tc>
          <w:tcPr>
            <w:tcW w:w="62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100" w:type="dxa"/>
            <w:vAlign w:val="bottom"/>
          </w:tcPr>
          <w:p>
            <w:pPr>
              <w:jc w:val="center"/>
              <w:ind w:left="774"/>
              <w:spacing w:after="0"/>
              <w:rPr>
                <w:sz w:val="20"/>
                <w:szCs w:val="20"/>
                <w:color w:val="auto"/>
              </w:rPr>
            </w:pPr>
            <w:r>
              <w:rPr>
                <w:rFonts w:ascii="Arial" w:cs="Arial" w:eastAsia="Arial" w:hAnsi="Arial"/>
                <w:sz w:val="17"/>
                <w:szCs w:val="17"/>
                <w:b w:val="1"/>
                <w:bCs w:val="1"/>
                <w:color w:val="auto"/>
                <w:w w:val="92"/>
              </w:rPr>
              <w:t>Page Number(s)</w:t>
            </w: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8300" w:type="dxa"/>
            <w:vAlign w:val="bottom"/>
          </w:tcPr>
          <w:p>
            <w:pPr>
              <w:spacing w:after="0"/>
              <w:rPr>
                <w:sz w:val="17"/>
                <w:szCs w:val="17"/>
                <w:color w:val="auto"/>
              </w:rPr>
            </w:pPr>
          </w:p>
        </w:tc>
        <w:tc>
          <w:tcPr>
            <w:tcW w:w="2100" w:type="dxa"/>
            <w:vAlign w:val="bottom"/>
          </w:tcPr>
          <w:p>
            <w:pPr>
              <w:jc w:val="center"/>
              <w:ind w:left="734"/>
              <w:spacing w:after="0"/>
              <w:rPr>
                <w:sz w:val="20"/>
                <w:szCs w:val="20"/>
                <w:color w:val="auto"/>
              </w:rPr>
            </w:pPr>
            <w:r>
              <w:rPr>
                <w:rFonts w:ascii="Arial" w:cs="Arial" w:eastAsia="Arial" w:hAnsi="Arial"/>
                <w:sz w:val="17"/>
                <w:szCs w:val="17"/>
                <w:b w:val="1"/>
                <w:bCs w:val="1"/>
                <w:color w:val="auto"/>
                <w:w w:val="93"/>
              </w:rPr>
              <w:t>in Annual Report</w:t>
            </w:r>
          </w:p>
        </w:tc>
        <w:tc>
          <w:tcPr>
            <w:tcW w:w="0" w:type="dxa"/>
            <w:vAlign w:val="bottom"/>
          </w:tcPr>
          <w:p>
            <w:pPr>
              <w:spacing w:after="0"/>
              <w:rPr>
                <w:sz w:val="1"/>
                <w:szCs w:val="1"/>
                <w:color w:val="auto"/>
              </w:rPr>
            </w:pPr>
          </w:p>
        </w:tc>
      </w:tr>
      <w:tr>
        <w:trPr>
          <w:trHeight w:val="223"/>
        </w:trPr>
        <w:tc>
          <w:tcPr>
            <w:tcW w:w="8920" w:type="dxa"/>
            <w:vAlign w:val="bottom"/>
            <w:gridSpan w:val="2"/>
            <w:vMerge w:val="restart"/>
          </w:tcPr>
          <w:p>
            <w:pPr>
              <w:spacing w:after="0"/>
              <w:rPr>
                <w:sz w:val="20"/>
                <w:szCs w:val="20"/>
                <w:color w:val="auto"/>
              </w:rPr>
            </w:pPr>
            <w:r>
              <w:rPr>
                <w:rFonts w:ascii="Arial" w:cs="Arial" w:eastAsia="Arial" w:hAnsi="Arial"/>
                <w:sz w:val="17"/>
                <w:szCs w:val="17"/>
                <w:color w:val="auto"/>
                <w:w w:val="99"/>
              </w:rPr>
              <w:t>Consolidated Financial Statements (data incorporated by reference from the attached Annual Report to Shareholders):</w:t>
            </w:r>
          </w:p>
        </w:tc>
        <w:tc>
          <w:tcPr>
            <w:tcW w:w="2100" w:type="dxa"/>
            <w:vAlign w:val="bottom"/>
          </w:tcPr>
          <w:p>
            <w:pPr>
              <w:jc w:val="center"/>
              <w:ind w:left="734"/>
              <w:spacing w:after="0"/>
              <w:rPr>
                <w:sz w:val="20"/>
                <w:szCs w:val="20"/>
                <w:color w:val="auto"/>
              </w:rPr>
            </w:pPr>
            <w:r>
              <w:rPr>
                <w:rFonts w:ascii="Arial" w:cs="Arial" w:eastAsia="Arial" w:hAnsi="Arial"/>
                <w:sz w:val="17"/>
                <w:szCs w:val="17"/>
                <w:b w:val="1"/>
                <w:bCs w:val="1"/>
                <w:color w:val="auto"/>
                <w:w w:val="89"/>
              </w:rPr>
              <w:t>to Shareholders</w:t>
            </w:r>
          </w:p>
        </w:tc>
        <w:tc>
          <w:tcPr>
            <w:tcW w:w="0" w:type="dxa"/>
            <w:vAlign w:val="bottom"/>
          </w:tcPr>
          <w:p>
            <w:pPr>
              <w:spacing w:after="0"/>
              <w:rPr>
                <w:sz w:val="1"/>
                <w:szCs w:val="1"/>
                <w:color w:val="auto"/>
              </w:rPr>
            </w:pPr>
          </w:p>
        </w:tc>
      </w:tr>
      <w:tr>
        <w:trPr>
          <w:trHeight w:val="206"/>
        </w:trPr>
        <w:tc>
          <w:tcPr>
            <w:tcW w:w="892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3"/>
        </w:trPr>
        <w:tc>
          <w:tcPr>
            <w:tcW w:w="8920" w:type="dxa"/>
            <w:vAlign w:val="bottom"/>
            <w:gridSpan w:val="2"/>
          </w:tcPr>
          <w:p>
            <w:pPr>
              <w:ind w:left="40"/>
              <w:spacing w:after="0"/>
              <w:rPr>
                <w:sz w:val="20"/>
                <w:szCs w:val="20"/>
                <w:color w:val="auto"/>
              </w:rPr>
            </w:pPr>
            <w:r>
              <w:rPr>
                <w:rFonts w:ascii="Arial" w:cs="Arial" w:eastAsia="Arial" w:hAnsi="Arial"/>
                <w:sz w:val="17"/>
                <w:szCs w:val="17"/>
                <w:color w:val="auto"/>
              </w:rPr>
              <w:t>Reports of Independent Registered Public Accounting Firm</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91"/>
              </w:rPr>
              <w:t>50-51</w:t>
            </w:r>
          </w:p>
        </w:tc>
        <w:tc>
          <w:tcPr>
            <w:tcW w:w="0" w:type="dxa"/>
            <w:vAlign w:val="bottom"/>
          </w:tcPr>
          <w:p>
            <w:pPr>
              <w:spacing w:after="0"/>
              <w:rPr>
                <w:sz w:val="1"/>
                <w:szCs w:val="1"/>
                <w:color w:val="auto"/>
              </w:rPr>
            </w:pPr>
          </w:p>
        </w:tc>
      </w:tr>
      <w:tr>
        <w:trPr>
          <w:trHeight w:val="413"/>
        </w:trPr>
        <w:tc>
          <w:tcPr>
            <w:tcW w:w="8920" w:type="dxa"/>
            <w:vAlign w:val="bottom"/>
            <w:gridSpan w:val="2"/>
          </w:tcPr>
          <w:p>
            <w:pPr>
              <w:ind w:left="40"/>
              <w:spacing w:after="0"/>
              <w:rPr>
                <w:sz w:val="20"/>
                <w:szCs w:val="20"/>
                <w:color w:val="auto"/>
              </w:rPr>
            </w:pPr>
            <w:r>
              <w:rPr>
                <w:rFonts w:ascii="Arial" w:cs="Arial" w:eastAsia="Arial" w:hAnsi="Arial"/>
                <w:sz w:val="17"/>
                <w:szCs w:val="17"/>
                <w:color w:val="auto"/>
              </w:rPr>
              <w:t>Consolidated Statements of Operations for the years ended December 31, 2013, 2012 and 2011</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84"/>
              </w:rPr>
              <w:t>52</w:t>
            </w:r>
          </w:p>
        </w:tc>
        <w:tc>
          <w:tcPr>
            <w:tcW w:w="0" w:type="dxa"/>
            <w:vAlign w:val="bottom"/>
          </w:tcPr>
          <w:p>
            <w:pPr>
              <w:spacing w:after="0"/>
              <w:rPr>
                <w:sz w:val="1"/>
                <w:szCs w:val="1"/>
                <w:color w:val="auto"/>
              </w:rPr>
            </w:pPr>
          </w:p>
        </w:tc>
      </w:tr>
      <w:tr>
        <w:trPr>
          <w:trHeight w:val="413"/>
        </w:trPr>
        <w:tc>
          <w:tcPr>
            <w:tcW w:w="8920" w:type="dxa"/>
            <w:vAlign w:val="bottom"/>
            <w:gridSpan w:val="2"/>
          </w:tcPr>
          <w:p>
            <w:pPr>
              <w:ind w:left="40"/>
              <w:spacing w:after="0"/>
              <w:rPr>
                <w:sz w:val="20"/>
                <w:szCs w:val="20"/>
                <w:color w:val="auto"/>
              </w:rPr>
            </w:pPr>
            <w:r>
              <w:rPr>
                <w:rFonts w:ascii="Arial" w:cs="Arial" w:eastAsia="Arial" w:hAnsi="Arial"/>
                <w:sz w:val="17"/>
                <w:szCs w:val="17"/>
                <w:color w:val="auto"/>
              </w:rPr>
              <w:t>Consolidated Statements of Comprehensive Income for the years ended December 31, 2013, 2012 and 2011</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84"/>
              </w:rPr>
              <w:t>52</w:t>
            </w:r>
          </w:p>
        </w:tc>
        <w:tc>
          <w:tcPr>
            <w:tcW w:w="0" w:type="dxa"/>
            <w:vAlign w:val="bottom"/>
          </w:tcPr>
          <w:p>
            <w:pPr>
              <w:spacing w:after="0"/>
              <w:rPr>
                <w:sz w:val="1"/>
                <w:szCs w:val="1"/>
                <w:color w:val="auto"/>
              </w:rPr>
            </w:pPr>
          </w:p>
        </w:tc>
      </w:tr>
      <w:tr>
        <w:trPr>
          <w:trHeight w:val="413"/>
        </w:trPr>
        <w:tc>
          <w:tcPr>
            <w:tcW w:w="8920" w:type="dxa"/>
            <w:vAlign w:val="bottom"/>
            <w:gridSpan w:val="2"/>
          </w:tcPr>
          <w:p>
            <w:pPr>
              <w:ind w:left="40"/>
              <w:spacing w:after="0"/>
              <w:rPr>
                <w:sz w:val="20"/>
                <w:szCs w:val="20"/>
                <w:color w:val="auto"/>
              </w:rPr>
            </w:pPr>
            <w:r>
              <w:rPr>
                <w:rFonts w:ascii="Arial" w:cs="Arial" w:eastAsia="Arial" w:hAnsi="Arial"/>
                <w:sz w:val="17"/>
                <w:szCs w:val="17"/>
                <w:color w:val="auto"/>
              </w:rPr>
              <w:t>Consolidated Balance Sheets as of December 31, 2013 and 2012</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84"/>
              </w:rPr>
              <w:t>53</w:t>
            </w:r>
          </w:p>
        </w:tc>
        <w:tc>
          <w:tcPr>
            <w:tcW w:w="0" w:type="dxa"/>
            <w:vAlign w:val="bottom"/>
          </w:tcPr>
          <w:p>
            <w:pPr>
              <w:spacing w:after="0"/>
              <w:rPr>
                <w:sz w:val="1"/>
                <w:szCs w:val="1"/>
                <w:color w:val="auto"/>
              </w:rPr>
            </w:pPr>
          </w:p>
        </w:tc>
      </w:tr>
      <w:tr>
        <w:trPr>
          <w:trHeight w:val="413"/>
        </w:trPr>
        <w:tc>
          <w:tcPr>
            <w:tcW w:w="8920" w:type="dxa"/>
            <w:vAlign w:val="bottom"/>
            <w:gridSpan w:val="2"/>
          </w:tcPr>
          <w:p>
            <w:pPr>
              <w:ind w:left="40"/>
              <w:spacing w:after="0"/>
              <w:rPr>
                <w:sz w:val="20"/>
                <w:szCs w:val="20"/>
                <w:color w:val="auto"/>
              </w:rPr>
            </w:pPr>
            <w:r>
              <w:rPr>
                <w:rFonts w:ascii="Arial" w:cs="Arial" w:eastAsia="Arial" w:hAnsi="Arial"/>
                <w:sz w:val="17"/>
                <w:szCs w:val="17"/>
                <w:color w:val="auto"/>
              </w:rPr>
              <w:t>Consolidated Statements of Cash Flows for the years ended December 31, 2013, 2012, and 2011</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413"/>
        </w:trPr>
        <w:tc>
          <w:tcPr>
            <w:tcW w:w="8920" w:type="dxa"/>
            <w:vAlign w:val="bottom"/>
            <w:gridSpan w:val="2"/>
          </w:tcPr>
          <w:p>
            <w:pPr>
              <w:ind w:left="40"/>
              <w:spacing w:after="0"/>
              <w:rPr>
                <w:sz w:val="20"/>
                <w:szCs w:val="20"/>
                <w:color w:val="auto"/>
              </w:rPr>
            </w:pPr>
            <w:r>
              <w:rPr>
                <w:rFonts w:ascii="Arial" w:cs="Arial" w:eastAsia="Arial" w:hAnsi="Arial"/>
                <w:sz w:val="17"/>
                <w:szCs w:val="17"/>
                <w:color w:val="auto"/>
              </w:rPr>
              <w:t>Consolidated Statements of Shareholders’ Equity for the years ended December 31, 2013, 2012 and 2011</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84"/>
              </w:rPr>
              <w:t>55</w:t>
            </w:r>
          </w:p>
        </w:tc>
        <w:tc>
          <w:tcPr>
            <w:tcW w:w="0" w:type="dxa"/>
            <w:vAlign w:val="bottom"/>
          </w:tcPr>
          <w:p>
            <w:pPr>
              <w:spacing w:after="0"/>
              <w:rPr>
                <w:sz w:val="1"/>
                <w:szCs w:val="1"/>
                <w:color w:val="auto"/>
              </w:rPr>
            </w:pPr>
          </w:p>
        </w:tc>
      </w:tr>
      <w:tr>
        <w:trPr>
          <w:trHeight w:val="413"/>
        </w:trPr>
        <w:tc>
          <w:tcPr>
            <w:tcW w:w="8920" w:type="dxa"/>
            <w:vAlign w:val="bottom"/>
            <w:gridSpan w:val="2"/>
          </w:tcPr>
          <w:p>
            <w:pPr>
              <w:ind w:left="460"/>
              <w:spacing w:after="0"/>
              <w:rPr>
                <w:sz w:val="20"/>
                <w:szCs w:val="20"/>
                <w:color w:val="auto"/>
              </w:rPr>
            </w:pPr>
            <w:r>
              <w:rPr>
                <w:rFonts w:ascii="Arial" w:cs="Arial" w:eastAsia="Arial" w:hAnsi="Arial"/>
                <w:sz w:val="17"/>
                <w:szCs w:val="17"/>
                <w:color w:val="auto"/>
              </w:rPr>
              <w:t>Notes to Consolidated Financial Statements</w:t>
            </w:r>
          </w:p>
        </w:tc>
        <w:tc>
          <w:tcPr>
            <w:tcW w:w="2100" w:type="dxa"/>
            <w:vAlign w:val="bottom"/>
          </w:tcPr>
          <w:p>
            <w:pPr>
              <w:jc w:val="center"/>
              <w:ind w:left="774"/>
              <w:spacing w:after="0"/>
              <w:rPr>
                <w:sz w:val="20"/>
                <w:szCs w:val="20"/>
                <w:color w:val="auto"/>
              </w:rPr>
            </w:pPr>
            <w:r>
              <w:rPr>
                <w:rFonts w:ascii="Arial" w:cs="Arial" w:eastAsia="Arial" w:hAnsi="Arial"/>
                <w:sz w:val="17"/>
                <w:szCs w:val="17"/>
                <w:color w:val="auto"/>
                <w:w w:val="91"/>
              </w:rPr>
              <w:t>56-84</w:t>
            </w:r>
          </w:p>
        </w:tc>
        <w:tc>
          <w:tcPr>
            <w:tcW w:w="0" w:type="dxa"/>
            <w:vAlign w:val="bottom"/>
          </w:tcPr>
          <w:p>
            <w:pPr>
              <w:spacing w:after="0"/>
              <w:rPr>
                <w:sz w:val="1"/>
                <w:szCs w:val="1"/>
                <w:color w:val="auto"/>
              </w:rPr>
            </w:pPr>
          </w:p>
        </w:tc>
      </w:tr>
      <w:tr>
        <w:trPr>
          <w:trHeight w:val="413"/>
        </w:trPr>
        <w:tc>
          <w:tcPr>
            <w:tcW w:w="8920" w:type="dxa"/>
            <w:vAlign w:val="bottom"/>
            <w:gridSpan w:val="2"/>
          </w:tcPr>
          <w:p>
            <w:pPr>
              <w:spacing w:after="0"/>
              <w:rPr>
                <w:sz w:val="20"/>
                <w:szCs w:val="20"/>
                <w:color w:val="auto"/>
              </w:rPr>
            </w:pPr>
            <w:r>
              <w:rPr>
                <w:rFonts w:ascii="Arial" w:cs="Arial" w:eastAsia="Arial" w:hAnsi="Arial"/>
                <w:sz w:val="17"/>
                <w:szCs w:val="17"/>
                <w:color w:val="auto"/>
              </w:rPr>
              <w:t>(a)(2) Financial Statement Schedule.</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7"/>
                <w:szCs w:val="17"/>
                <w:color w:val="auto"/>
              </w:rPr>
              <w:t>Report of Independent Registered Public Accounting Firm on Financial Statement Schedule</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20" w:type="dxa"/>
            <w:vAlign w:val="bottom"/>
          </w:tcPr>
          <w:p>
            <w:pPr>
              <w:spacing w:after="0"/>
              <w:rPr>
                <w:sz w:val="24"/>
                <w:szCs w:val="24"/>
                <w:color w:val="auto"/>
              </w:rPr>
            </w:pPr>
          </w:p>
        </w:tc>
        <w:tc>
          <w:tcPr>
            <w:tcW w:w="8300" w:type="dxa"/>
            <w:vAlign w:val="bottom"/>
          </w:tcPr>
          <w:p>
            <w:pPr>
              <w:ind w:left="20"/>
              <w:spacing w:after="0"/>
              <w:rPr>
                <w:sz w:val="20"/>
                <w:szCs w:val="20"/>
                <w:color w:val="auto"/>
              </w:rPr>
            </w:pPr>
            <w:r>
              <w:rPr>
                <w:rFonts w:ascii="Arial" w:cs="Arial" w:eastAsia="Arial" w:hAnsi="Arial"/>
                <w:sz w:val="17"/>
                <w:szCs w:val="17"/>
                <w:color w:val="auto"/>
              </w:rPr>
              <w:t>SCHEDULE II—Valuation and Qualifying Accounts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920" w:type="dxa"/>
            <w:vAlign w:val="bottom"/>
            <w:gridSpan w:val="2"/>
          </w:tcPr>
          <w:p>
            <w:pPr>
              <w:spacing w:after="0"/>
              <w:rPr>
                <w:sz w:val="20"/>
                <w:szCs w:val="20"/>
                <w:color w:val="auto"/>
              </w:rPr>
            </w:pPr>
            <w:r>
              <w:rPr>
                <w:rFonts w:ascii="Arial" w:cs="Arial" w:eastAsia="Arial" w:hAnsi="Arial"/>
                <w:sz w:val="17"/>
                <w:szCs w:val="17"/>
                <w:color w:val="auto"/>
              </w:rPr>
              <w:t>(a)(3) Exhibits.</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8920" w:type="dxa"/>
            <w:vAlign w:val="bottom"/>
            <w:gridSpan w:val="2"/>
          </w:tcPr>
          <w:p>
            <w:pPr>
              <w:ind w:left="520"/>
              <w:spacing w:after="0"/>
              <w:rPr>
                <w:sz w:val="20"/>
                <w:szCs w:val="20"/>
                <w:color w:val="auto"/>
              </w:rPr>
            </w:pPr>
            <w:r>
              <w:rPr>
                <w:rFonts w:ascii="Arial" w:cs="Arial" w:eastAsia="Arial" w:hAnsi="Arial"/>
                <w:sz w:val="17"/>
                <w:szCs w:val="17"/>
                <w:color w:val="auto"/>
              </w:rPr>
              <w:t>See (c) below.</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firstLine="465"/>
        <w:spacing w:after="0" w:line="266" w:lineRule="auto"/>
        <w:rPr>
          <w:sz w:val="20"/>
          <w:szCs w:val="20"/>
          <w:color w:val="auto"/>
        </w:rPr>
      </w:pPr>
      <w:r>
        <w:rPr>
          <w:rFonts w:ascii="Arial" w:cs="Arial" w:eastAsia="Arial" w:hAnsi="Arial"/>
          <w:sz w:val="17"/>
          <w:szCs w:val="17"/>
          <w:color w:val="auto"/>
        </w:rPr>
        <w:t>Pursuant to Regulation S-K, Item 601(b)(4)(iii), ManpowerGroup Inc. hereby agrees to furnish to the Commission, upon request, a copy of each instrument and agreement with respect to long-term debt of ManpowerGroup Inc. and its consolidated subsidiaries which does not exceed 10 percent of the total assets of ManpowerGroup Inc. and its subsidiaries on a consolidated basis.</w:t>
      </w:r>
    </w:p>
    <w:p>
      <w:pPr>
        <w:spacing w:after="0" w:line="200" w:lineRule="exact"/>
        <w:rPr>
          <w:sz w:val="20"/>
          <w:szCs w:val="20"/>
          <w:color w:val="auto"/>
        </w:rPr>
      </w:pPr>
    </w:p>
    <w:p>
      <w:pPr>
        <w:spacing w:after="0" w:line="324"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180"/>
          </w:cols>
          <w:pgMar w:left="240" w:top="263" w:right="4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7"/>
        </w:trPr>
        <w:tc>
          <w:tcPr>
            <w:tcW w:w="1020" w:type="dxa"/>
            <w:vAlign w:val="bottom"/>
          </w:tcPr>
          <w:p>
            <w:pPr>
              <w:spacing w:after="0"/>
              <w:rPr>
                <w:sz w:val="20"/>
                <w:szCs w:val="20"/>
                <w:color w:val="auto"/>
              </w:rPr>
            </w:pPr>
            <w:r>
              <w:rPr>
                <w:rFonts w:ascii="Arial" w:cs="Arial" w:eastAsia="Arial" w:hAnsi="Arial"/>
                <w:sz w:val="17"/>
                <w:szCs w:val="17"/>
                <w:color w:val="auto"/>
              </w:rPr>
              <w:t>(c) Exhibits.</w:t>
            </w:r>
          </w:p>
        </w:tc>
        <w:tc>
          <w:tcPr>
            <w:tcW w:w="10400" w:type="dxa"/>
            <w:vAlign w:val="bottom"/>
          </w:tcPr>
          <w:p>
            <w:pPr>
              <w:spacing w:after="0"/>
              <w:rPr>
                <w:sz w:val="18"/>
                <w:szCs w:val="18"/>
                <w:color w:val="auto"/>
              </w:rPr>
            </w:pPr>
          </w:p>
        </w:tc>
      </w:tr>
      <w:tr>
        <w:trPr>
          <w:trHeight w:val="402"/>
        </w:trPr>
        <w:tc>
          <w:tcPr>
            <w:tcW w:w="1020" w:type="dxa"/>
            <w:vAlign w:val="bottom"/>
          </w:tcPr>
          <w:p>
            <w:pPr>
              <w:ind w:left="80"/>
              <w:spacing w:after="0"/>
              <w:rPr>
                <w:sz w:val="20"/>
                <w:szCs w:val="20"/>
                <w:color w:val="auto"/>
              </w:rPr>
            </w:pPr>
            <w:r>
              <w:rPr>
                <w:rFonts w:ascii="Arial" w:cs="Arial" w:eastAsia="Arial" w:hAnsi="Arial"/>
                <w:sz w:val="17"/>
                <w:szCs w:val="17"/>
                <w:color w:val="auto"/>
              </w:rPr>
              <w:t>3.1</w:t>
            </w:r>
          </w:p>
        </w:tc>
        <w:tc>
          <w:tcPr>
            <w:tcW w:w="10400" w:type="dxa"/>
            <w:vAlign w:val="bottom"/>
          </w:tcPr>
          <w:p>
            <w:pPr>
              <w:ind w:left="160"/>
              <w:spacing w:after="0"/>
              <w:rPr>
                <w:sz w:val="20"/>
                <w:szCs w:val="20"/>
                <w:color w:val="auto"/>
              </w:rPr>
            </w:pPr>
            <w:r>
              <w:rPr>
                <w:rFonts w:ascii="Arial" w:cs="Arial" w:eastAsia="Arial" w:hAnsi="Arial"/>
                <w:sz w:val="17"/>
                <w:szCs w:val="17"/>
                <w:color w:val="auto"/>
                <w:w w:val="94"/>
              </w:rPr>
              <w:t>Amended and Restated Articles of Incorporation of ManpowerGroup Inc., incorporated by reference to the Company’s Quarterly Report on Form</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10-Q for the quarter ended June 30, 2013.</w:t>
            </w:r>
          </w:p>
        </w:tc>
      </w:tr>
      <w:tr>
        <w:trPr>
          <w:trHeight w:val="402"/>
        </w:trPr>
        <w:tc>
          <w:tcPr>
            <w:tcW w:w="1020" w:type="dxa"/>
            <w:vAlign w:val="bottom"/>
          </w:tcPr>
          <w:p>
            <w:pPr>
              <w:ind w:left="80"/>
              <w:spacing w:after="0"/>
              <w:rPr>
                <w:sz w:val="20"/>
                <w:szCs w:val="20"/>
                <w:color w:val="auto"/>
              </w:rPr>
            </w:pPr>
            <w:r>
              <w:rPr>
                <w:rFonts w:ascii="Arial" w:cs="Arial" w:eastAsia="Arial" w:hAnsi="Arial"/>
                <w:sz w:val="17"/>
                <w:szCs w:val="17"/>
                <w:color w:val="auto"/>
              </w:rPr>
              <w:t>3.2</w:t>
            </w:r>
          </w:p>
        </w:tc>
        <w:tc>
          <w:tcPr>
            <w:tcW w:w="10400" w:type="dxa"/>
            <w:vAlign w:val="bottom"/>
          </w:tcPr>
          <w:p>
            <w:pPr>
              <w:ind w:left="160"/>
              <w:spacing w:after="0"/>
              <w:rPr>
                <w:sz w:val="20"/>
                <w:szCs w:val="20"/>
                <w:color w:val="auto"/>
              </w:rPr>
            </w:pPr>
            <w:r>
              <w:rPr>
                <w:rFonts w:ascii="Arial" w:cs="Arial" w:eastAsia="Arial" w:hAnsi="Arial"/>
                <w:sz w:val="17"/>
                <w:szCs w:val="17"/>
                <w:color w:val="auto"/>
                <w:w w:val="96"/>
              </w:rPr>
              <w:t>Amended and Restated By-laws of ManpowerGroup Inc., incorporated by reference to the Company’s Quarterly Report on Form 10-Q for the</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quarter ended June 30, 2013.</w:t>
            </w:r>
          </w:p>
        </w:tc>
      </w:tr>
      <w:tr>
        <w:trPr>
          <w:trHeight w:val="402"/>
        </w:trPr>
        <w:tc>
          <w:tcPr>
            <w:tcW w:w="1020" w:type="dxa"/>
            <w:vAlign w:val="bottom"/>
          </w:tcPr>
          <w:p>
            <w:pPr>
              <w:ind w:left="80"/>
              <w:spacing w:after="0"/>
              <w:rPr>
                <w:sz w:val="20"/>
                <w:szCs w:val="20"/>
                <w:color w:val="auto"/>
              </w:rPr>
            </w:pPr>
            <w:r>
              <w:rPr>
                <w:rFonts w:ascii="Arial" w:cs="Arial" w:eastAsia="Arial" w:hAnsi="Arial"/>
                <w:sz w:val="17"/>
                <w:szCs w:val="17"/>
                <w:color w:val="auto"/>
              </w:rPr>
              <w:t>4.1</w:t>
            </w:r>
          </w:p>
        </w:tc>
        <w:tc>
          <w:tcPr>
            <w:tcW w:w="10400" w:type="dxa"/>
            <w:vAlign w:val="bottom"/>
          </w:tcPr>
          <w:p>
            <w:pPr>
              <w:ind w:left="160"/>
              <w:spacing w:after="0"/>
              <w:rPr>
                <w:sz w:val="20"/>
                <w:szCs w:val="20"/>
                <w:color w:val="auto"/>
              </w:rPr>
            </w:pPr>
            <w:r>
              <w:rPr>
                <w:rFonts w:ascii="Arial" w:cs="Arial" w:eastAsia="Arial" w:hAnsi="Arial"/>
                <w:sz w:val="17"/>
                <w:szCs w:val="17"/>
                <w:color w:val="auto"/>
                <w:w w:val="97"/>
              </w:rPr>
              <w:t>Fiscal and Paying Agency Agreement between the Company and Citibank, N.A., as Fiscal Agent, Principal Paying Agent and Registrar and</w:t>
            </w:r>
          </w:p>
        </w:tc>
      </w:tr>
      <w:tr>
        <w:trPr>
          <w:trHeight w:val="206"/>
        </w:trPr>
        <w:tc>
          <w:tcPr>
            <w:tcW w:w="1020" w:type="dxa"/>
            <w:vAlign w:val="bottom"/>
          </w:tcPr>
          <w:p>
            <w:pPr>
              <w:spacing w:after="0"/>
              <w:rPr>
                <w:sz w:val="17"/>
                <w:szCs w:val="17"/>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w w:val="92"/>
              </w:rPr>
              <w:t>Transfer Agent, dated as of June 22, 2012 (including the form of Note attached thereto as Schedule I), incorporated by reference to the Company’s</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Quarterly Report on Form 10-Q for the quarter ended June 30, 2012.</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10.1</w:t>
            </w:r>
          </w:p>
        </w:tc>
        <w:tc>
          <w:tcPr>
            <w:tcW w:w="10400" w:type="dxa"/>
            <w:vAlign w:val="bottom"/>
          </w:tcPr>
          <w:p>
            <w:pPr>
              <w:ind w:left="160"/>
              <w:spacing w:after="0"/>
              <w:rPr>
                <w:sz w:val="20"/>
                <w:szCs w:val="20"/>
                <w:color w:val="auto"/>
              </w:rPr>
            </w:pPr>
            <w:r>
              <w:rPr>
                <w:rFonts w:ascii="Arial" w:cs="Arial" w:eastAsia="Arial" w:hAnsi="Arial"/>
                <w:sz w:val="17"/>
                <w:szCs w:val="17"/>
                <w:color w:val="auto"/>
                <w:w w:val="94"/>
              </w:rPr>
              <w:t>Amended and Restated Manpower Inc. Senior Management Performance-Based Deferred Compensation Plan, incorporated by reference to the</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Company’s Annual Report on Form 10-K for the year ended December 31, 2005.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10.2</w:t>
            </w:r>
          </w:p>
        </w:tc>
        <w:tc>
          <w:tcPr>
            <w:tcW w:w="10400" w:type="dxa"/>
            <w:vAlign w:val="bottom"/>
          </w:tcPr>
          <w:p>
            <w:pPr>
              <w:ind w:left="160"/>
              <w:spacing w:after="0"/>
              <w:rPr>
                <w:sz w:val="20"/>
                <w:szCs w:val="20"/>
                <w:color w:val="auto"/>
              </w:rPr>
            </w:pPr>
            <w:r>
              <w:rPr>
                <w:rFonts w:ascii="Arial" w:cs="Arial" w:eastAsia="Arial" w:hAnsi="Arial"/>
                <w:sz w:val="17"/>
                <w:szCs w:val="17"/>
                <w:color w:val="auto"/>
                <w:w w:val="91"/>
              </w:rPr>
              <w:t>Amended and Restated Five-Year Credit Agreement dated as of August 13, 2013 among the Company, a syndicate of lenders and Citibank, N.A., as</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w w:val="96"/>
              </w:rPr>
              <w:t>Administrative Agent, incorporated by reference to the Company’s Quarterly Report on Form 10-Q for the quarter ended September 30, 2013.</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10.3</w:t>
            </w:r>
          </w:p>
        </w:tc>
        <w:tc>
          <w:tcPr>
            <w:tcW w:w="10400" w:type="dxa"/>
            <w:vAlign w:val="bottom"/>
          </w:tcPr>
          <w:p>
            <w:pPr>
              <w:ind w:left="160"/>
              <w:spacing w:after="0"/>
              <w:rPr>
                <w:sz w:val="20"/>
                <w:szCs w:val="20"/>
                <w:color w:val="auto"/>
              </w:rPr>
            </w:pPr>
            <w:r>
              <w:rPr>
                <w:rFonts w:ascii="Arial" w:cs="Arial" w:eastAsia="Arial" w:hAnsi="Arial"/>
                <w:sz w:val="17"/>
                <w:szCs w:val="17"/>
                <w:color w:val="auto"/>
                <w:w w:val="94"/>
              </w:rPr>
              <w:t>Manpower Savings Related Share Option Scheme incorporated by reference to the Company’s Annual Report on Form 10-K for the year ended</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December 31, 2010.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10.4</w:t>
            </w:r>
          </w:p>
        </w:tc>
        <w:tc>
          <w:tcPr>
            <w:tcW w:w="10400" w:type="dxa"/>
            <w:vAlign w:val="bottom"/>
          </w:tcPr>
          <w:p>
            <w:pPr>
              <w:ind w:left="160"/>
              <w:spacing w:after="0"/>
              <w:rPr>
                <w:sz w:val="20"/>
                <w:szCs w:val="20"/>
                <w:color w:val="auto"/>
              </w:rPr>
            </w:pPr>
            <w:r>
              <w:rPr>
                <w:rFonts w:ascii="Arial" w:cs="Arial" w:eastAsia="Arial" w:hAnsi="Arial"/>
                <w:sz w:val="17"/>
                <w:szCs w:val="17"/>
                <w:color w:val="auto"/>
                <w:w w:val="94"/>
              </w:rPr>
              <w:t>Manpower 1990 Employee Stock Purchase Plan (Amended and Restated effective April 26, 2005), incorporated by reference to the Company’s</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Quarterly Report on Form 10-Q for the quarter ended March 31, 2005.</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10.5</w:t>
            </w:r>
          </w:p>
        </w:tc>
        <w:tc>
          <w:tcPr>
            <w:tcW w:w="10400" w:type="dxa"/>
            <w:vAlign w:val="bottom"/>
          </w:tcPr>
          <w:p>
            <w:pPr>
              <w:ind w:left="160"/>
              <w:spacing w:after="0"/>
              <w:rPr>
                <w:sz w:val="20"/>
                <w:szCs w:val="20"/>
                <w:color w:val="auto"/>
              </w:rPr>
            </w:pPr>
            <w:r>
              <w:rPr>
                <w:rFonts w:ascii="Arial" w:cs="Arial" w:eastAsia="Arial" w:hAnsi="Arial"/>
                <w:sz w:val="17"/>
                <w:szCs w:val="17"/>
                <w:color w:val="auto"/>
                <w:w w:val="94"/>
              </w:rPr>
              <w:t>Manpower Retirement Plan, as amended and restated effective as of March 1, 1989, incorporated by reference to Form 10-K of Manpower PLC,</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SEC File No. 0-9890, filed for the fiscal year ended October 31, 1989.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10.6</w:t>
            </w:r>
          </w:p>
        </w:tc>
        <w:tc>
          <w:tcPr>
            <w:tcW w:w="10400" w:type="dxa"/>
            <w:vAlign w:val="bottom"/>
          </w:tcPr>
          <w:p>
            <w:pPr>
              <w:ind w:left="160"/>
              <w:spacing w:after="0"/>
              <w:rPr>
                <w:sz w:val="20"/>
                <w:szCs w:val="20"/>
                <w:color w:val="auto"/>
              </w:rPr>
            </w:pPr>
            <w:r>
              <w:rPr>
                <w:rFonts w:ascii="Arial" w:cs="Arial" w:eastAsia="Arial" w:hAnsi="Arial"/>
                <w:sz w:val="17"/>
                <w:szCs w:val="17"/>
                <w:color w:val="auto"/>
                <w:w w:val="95"/>
              </w:rPr>
              <w:t>Manpower Inc. Corporate Senior Management Annual Incentive Pool Plan, incorporated by reference to Appendix C to the Proxy Statement on</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Schedule 14A filed on March 23, 2011 in connection with the 2011 Annual Meeting of the Shareholders of the Company.**</w:t>
            </w:r>
          </w:p>
        </w:tc>
      </w:tr>
      <w:tr>
        <w:trPr>
          <w:trHeight w:val="413"/>
        </w:trPr>
        <w:tc>
          <w:tcPr>
            <w:tcW w:w="1020" w:type="dxa"/>
            <w:vAlign w:val="bottom"/>
          </w:tcPr>
          <w:p>
            <w:pPr>
              <w:spacing w:after="0"/>
              <w:rPr>
                <w:sz w:val="20"/>
                <w:szCs w:val="20"/>
                <w:color w:val="auto"/>
              </w:rPr>
            </w:pPr>
            <w:r>
              <w:rPr>
                <w:rFonts w:ascii="Arial" w:cs="Arial" w:eastAsia="Arial" w:hAnsi="Arial"/>
                <w:sz w:val="17"/>
                <w:szCs w:val="17"/>
                <w:color w:val="auto"/>
              </w:rPr>
              <w:t>10.7(a)</w:t>
            </w:r>
          </w:p>
        </w:tc>
        <w:tc>
          <w:tcPr>
            <w:tcW w:w="10400" w:type="dxa"/>
            <w:vAlign w:val="bottom"/>
          </w:tcPr>
          <w:p>
            <w:pPr>
              <w:ind w:left="160"/>
              <w:spacing w:after="0"/>
              <w:rPr>
                <w:sz w:val="20"/>
                <w:szCs w:val="20"/>
                <w:color w:val="auto"/>
              </w:rPr>
            </w:pPr>
            <w:r>
              <w:rPr>
                <w:rFonts w:ascii="Arial" w:cs="Arial" w:eastAsia="Arial" w:hAnsi="Arial"/>
                <w:sz w:val="17"/>
                <w:szCs w:val="17"/>
                <w:color w:val="auto"/>
              </w:rPr>
              <w:t>Compensation Agreement between Jeffrey A. Joerres and the Company dated as of February 20, 2014. **</w:t>
            </w:r>
          </w:p>
        </w:tc>
      </w:tr>
      <w:tr>
        <w:trPr>
          <w:trHeight w:val="413"/>
        </w:trPr>
        <w:tc>
          <w:tcPr>
            <w:tcW w:w="1020" w:type="dxa"/>
            <w:vAlign w:val="bottom"/>
          </w:tcPr>
          <w:p>
            <w:pPr>
              <w:spacing w:after="0"/>
              <w:rPr>
                <w:sz w:val="20"/>
                <w:szCs w:val="20"/>
                <w:color w:val="auto"/>
              </w:rPr>
            </w:pPr>
            <w:r>
              <w:rPr>
                <w:rFonts w:ascii="Arial" w:cs="Arial" w:eastAsia="Arial" w:hAnsi="Arial"/>
                <w:sz w:val="17"/>
                <w:szCs w:val="17"/>
                <w:color w:val="auto"/>
              </w:rPr>
              <w:t>10.7(b)</w:t>
            </w:r>
          </w:p>
        </w:tc>
        <w:tc>
          <w:tcPr>
            <w:tcW w:w="10400" w:type="dxa"/>
            <w:vAlign w:val="bottom"/>
          </w:tcPr>
          <w:p>
            <w:pPr>
              <w:ind w:left="160"/>
              <w:spacing w:after="0"/>
              <w:rPr>
                <w:sz w:val="20"/>
                <w:szCs w:val="20"/>
                <w:color w:val="auto"/>
              </w:rPr>
            </w:pPr>
            <w:r>
              <w:rPr>
                <w:rFonts w:ascii="Arial" w:cs="Arial" w:eastAsia="Arial" w:hAnsi="Arial"/>
                <w:sz w:val="17"/>
                <w:szCs w:val="17"/>
                <w:color w:val="auto"/>
              </w:rPr>
              <w:t>Severance Agreement between Jeffrey A. Joerres and the Company dated as of February 20, 2014. **</w:t>
            </w:r>
          </w:p>
        </w:tc>
      </w:tr>
      <w:tr>
        <w:trPr>
          <w:trHeight w:val="413"/>
        </w:trPr>
        <w:tc>
          <w:tcPr>
            <w:tcW w:w="1020" w:type="dxa"/>
            <w:vAlign w:val="bottom"/>
          </w:tcPr>
          <w:p>
            <w:pPr>
              <w:spacing w:after="0"/>
              <w:rPr>
                <w:sz w:val="20"/>
                <w:szCs w:val="20"/>
                <w:color w:val="auto"/>
              </w:rPr>
            </w:pPr>
            <w:r>
              <w:rPr>
                <w:rFonts w:ascii="Arial" w:cs="Arial" w:eastAsia="Arial" w:hAnsi="Arial"/>
                <w:sz w:val="17"/>
                <w:szCs w:val="17"/>
                <w:color w:val="auto"/>
              </w:rPr>
              <w:t>10.8(a)</w:t>
            </w:r>
          </w:p>
        </w:tc>
        <w:tc>
          <w:tcPr>
            <w:tcW w:w="10400" w:type="dxa"/>
            <w:vAlign w:val="bottom"/>
          </w:tcPr>
          <w:p>
            <w:pPr>
              <w:ind w:left="160"/>
              <w:spacing w:after="0"/>
              <w:rPr>
                <w:sz w:val="20"/>
                <w:szCs w:val="20"/>
                <w:color w:val="auto"/>
              </w:rPr>
            </w:pPr>
            <w:r>
              <w:rPr>
                <w:rFonts w:ascii="Arial" w:cs="Arial" w:eastAsia="Arial" w:hAnsi="Arial"/>
                <w:sz w:val="17"/>
                <w:szCs w:val="17"/>
                <w:color w:val="auto"/>
              </w:rPr>
              <w:t>Compensation Agreement between Michael J. Van Handel and the Company dated as of February 20, 2014. **</w:t>
            </w:r>
          </w:p>
        </w:tc>
      </w:tr>
      <w:tr>
        <w:trPr>
          <w:trHeight w:val="413"/>
        </w:trPr>
        <w:tc>
          <w:tcPr>
            <w:tcW w:w="1020" w:type="dxa"/>
            <w:vAlign w:val="bottom"/>
          </w:tcPr>
          <w:p>
            <w:pPr>
              <w:spacing w:after="0"/>
              <w:rPr>
                <w:sz w:val="20"/>
                <w:szCs w:val="20"/>
                <w:color w:val="auto"/>
              </w:rPr>
            </w:pPr>
            <w:r>
              <w:rPr>
                <w:rFonts w:ascii="Arial" w:cs="Arial" w:eastAsia="Arial" w:hAnsi="Arial"/>
                <w:sz w:val="17"/>
                <w:szCs w:val="17"/>
                <w:color w:val="auto"/>
              </w:rPr>
              <w:t>10.8(b)</w:t>
            </w:r>
          </w:p>
        </w:tc>
        <w:tc>
          <w:tcPr>
            <w:tcW w:w="10400" w:type="dxa"/>
            <w:vAlign w:val="bottom"/>
          </w:tcPr>
          <w:p>
            <w:pPr>
              <w:ind w:left="160"/>
              <w:spacing w:after="0"/>
              <w:rPr>
                <w:sz w:val="20"/>
                <w:szCs w:val="20"/>
                <w:color w:val="auto"/>
              </w:rPr>
            </w:pPr>
            <w:r>
              <w:rPr>
                <w:rFonts w:ascii="Arial" w:cs="Arial" w:eastAsia="Arial" w:hAnsi="Arial"/>
                <w:sz w:val="17"/>
                <w:szCs w:val="17"/>
                <w:color w:val="auto"/>
              </w:rPr>
              <w:t>Severance Agreement between Michael J. Van Handel and the Company dated as of February 20, 2014.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10.9(a)</w:t>
            </w:r>
          </w:p>
        </w:tc>
        <w:tc>
          <w:tcPr>
            <w:tcW w:w="10400" w:type="dxa"/>
            <w:vAlign w:val="bottom"/>
          </w:tcPr>
          <w:p>
            <w:pPr>
              <w:ind w:left="160"/>
              <w:spacing w:after="0"/>
              <w:rPr>
                <w:sz w:val="20"/>
                <w:szCs w:val="20"/>
                <w:color w:val="auto"/>
              </w:rPr>
            </w:pPr>
            <w:r>
              <w:rPr>
                <w:rFonts w:ascii="Arial" w:cs="Arial" w:eastAsia="Arial" w:hAnsi="Arial"/>
                <w:sz w:val="17"/>
                <w:szCs w:val="17"/>
                <w:color w:val="auto"/>
                <w:w w:val="93"/>
              </w:rPr>
              <w:t>Amended and Restated Assignment Agreement by and among the Company and Jonas Prising dated as of December 29, 2008, incorporated by</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reference to the Company’s Current Report on Form 8-K dated December 29, 2008.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10.9(b)</w:t>
            </w:r>
          </w:p>
        </w:tc>
        <w:tc>
          <w:tcPr>
            <w:tcW w:w="10400" w:type="dxa"/>
            <w:vAlign w:val="bottom"/>
          </w:tcPr>
          <w:p>
            <w:pPr>
              <w:ind w:left="160"/>
              <w:spacing w:after="0"/>
              <w:rPr>
                <w:sz w:val="20"/>
                <w:szCs w:val="20"/>
                <w:color w:val="auto"/>
              </w:rPr>
            </w:pPr>
            <w:r>
              <w:rPr>
                <w:rFonts w:ascii="Arial" w:cs="Arial" w:eastAsia="Arial" w:hAnsi="Arial"/>
                <w:sz w:val="17"/>
                <w:szCs w:val="17"/>
                <w:color w:val="auto"/>
                <w:w w:val="92"/>
              </w:rPr>
              <w:t>Amendment to Assignment Agreement between the Company and Jonas Prising dated March 7, 2011, incorporated by reference to the Company’s</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Current Report on Form 8-K dated March 7, 2011.**</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10.9(c)</w:t>
            </w:r>
          </w:p>
        </w:tc>
        <w:tc>
          <w:tcPr>
            <w:tcW w:w="10400" w:type="dxa"/>
            <w:vAlign w:val="bottom"/>
          </w:tcPr>
          <w:p>
            <w:pPr>
              <w:ind w:left="160"/>
              <w:spacing w:after="0"/>
              <w:rPr>
                <w:sz w:val="20"/>
                <w:szCs w:val="20"/>
                <w:color w:val="auto"/>
              </w:rPr>
            </w:pPr>
            <w:r>
              <w:rPr>
                <w:rFonts w:ascii="Arial" w:cs="Arial" w:eastAsia="Arial" w:hAnsi="Arial"/>
                <w:sz w:val="17"/>
                <w:szCs w:val="17"/>
                <w:color w:val="auto"/>
                <w:w w:val="92"/>
              </w:rPr>
              <w:t>Letter Agreement between Darryl Green and the Company dated as of April 4, 2007, incorporated by reference to the Company’s Annual Report on</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Form 10-K for the fiscal year ended December 31, 2007.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10.10(a)</w:t>
            </w:r>
          </w:p>
        </w:tc>
        <w:tc>
          <w:tcPr>
            <w:tcW w:w="10400" w:type="dxa"/>
            <w:vAlign w:val="bottom"/>
          </w:tcPr>
          <w:p>
            <w:pPr>
              <w:ind w:left="160"/>
              <w:spacing w:after="0"/>
              <w:rPr>
                <w:sz w:val="20"/>
                <w:szCs w:val="20"/>
                <w:color w:val="auto"/>
              </w:rPr>
            </w:pPr>
            <w:r>
              <w:rPr>
                <w:rFonts w:ascii="Arial" w:cs="Arial" w:eastAsia="Arial" w:hAnsi="Arial"/>
                <w:sz w:val="17"/>
                <w:szCs w:val="17"/>
                <w:color w:val="auto"/>
                <w:w w:val="99"/>
              </w:rPr>
              <w:t>Terms and Conditions Regarding the Grant of Awards to Non-Employee Directors under the 2003 Equity Incentive Plan of Manpower Inc.</w:t>
            </w:r>
          </w:p>
        </w:tc>
      </w:tr>
      <w:tr>
        <w:trPr>
          <w:trHeight w:val="206"/>
        </w:trPr>
        <w:tc>
          <w:tcPr>
            <w:tcW w:w="1020" w:type="dxa"/>
            <w:vAlign w:val="bottom"/>
          </w:tcPr>
          <w:p>
            <w:pPr>
              <w:spacing w:after="0"/>
              <w:rPr>
                <w:sz w:val="17"/>
                <w:szCs w:val="17"/>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w w:val="92"/>
              </w:rPr>
              <w:t>(Amended and Restated Effective February 16, 2011), incorporated by reference to the Company’s Current Report on Form 8-K dated February 16,</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2011.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10.10(b)</w:t>
            </w:r>
          </w:p>
        </w:tc>
        <w:tc>
          <w:tcPr>
            <w:tcW w:w="10400" w:type="dxa"/>
            <w:vAlign w:val="bottom"/>
          </w:tcPr>
          <w:p>
            <w:pPr>
              <w:ind w:left="160"/>
              <w:spacing w:after="0"/>
              <w:rPr>
                <w:sz w:val="20"/>
                <w:szCs w:val="20"/>
                <w:color w:val="auto"/>
              </w:rPr>
            </w:pPr>
            <w:r>
              <w:rPr>
                <w:rFonts w:ascii="Arial" w:cs="Arial" w:eastAsia="Arial" w:hAnsi="Arial"/>
                <w:sz w:val="17"/>
                <w:szCs w:val="17"/>
                <w:color w:val="auto"/>
                <w:w w:val="93"/>
              </w:rPr>
              <w:t>Terms and Conditions Regarding the Grant of Awards to Non-Employee Directors Under the 2011 Equity Incentive Plan (Amended and Restated</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October 29, 2013). **</w:t>
            </w:r>
          </w:p>
        </w:tc>
      </w:tr>
      <w:tr>
        <w:trPr>
          <w:trHeight w:val="413"/>
        </w:trPr>
        <w:tc>
          <w:tcPr>
            <w:tcW w:w="1020" w:type="dxa"/>
            <w:vAlign w:val="bottom"/>
          </w:tcPr>
          <w:p>
            <w:pPr>
              <w:spacing w:after="0"/>
              <w:rPr>
                <w:sz w:val="20"/>
                <w:szCs w:val="20"/>
                <w:color w:val="auto"/>
              </w:rPr>
            </w:pPr>
            <w:r>
              <w:rPr>
                <w:rFonts w:ascii="Arial" w:cs="Arial" w:eastAsia="Arial" w:hAnsi="Arial"/>
                <w:sz w:val="17"/>
                <w:szCs w:val="17"/>
                <w:color w:val="auto"/>
              </w:rPr>
              <w:t>10.10(c)</w:t>
            </w:r>
          </w:p>
        </w:tc>
        <w:tc>
          <w:tcPr>
            <w:tcW w:w="10400" w:type="dxa"/>
            <w:vAlign w:val="bottom"/>
          </w:tcPr>
          <w:p>
            <w:pPr>
              <w:ind w:left="160"/>
              <w:spacing w:after="0"/>
              <w:rPr>
                <w:sz w:val="20"/>
                <w:szCs w:val="20"/>
                <w:color w:val="auto"/>
              </w:rPr>
            </w:pPr>
            <w:r>
              <w:rPr>
                <w:rFonts w:ascii="Arial" w:cs="Arial" w:eastAsia="Arial" w:hAnsi="Arial"/>
                <w:sz w:val="17"/>
                <w:szCs w:val="17"/>
                <w:color w:val="auto"/>
              </w:rPr>
              <w:t>Manpower Inc. Compensation for Non-Employee Directors (Amended and Restated Effective October 29, 2013). **</w:t>
            </w:r>
          </w:p>
        </w:tc>
      </w:tr>
      <w:tr>
        <w:trPr>
          <w:trHeight w:val="402"/>
        </w:trPr>
        <w:tc>
          <w:tcPr>
            <w:tcW w:w="1020" w:type="dxa"/>
            <w:vAlign w:val="bottom"/>
          </w:tcPr>
          <w:p>
            <w:pPr>
              <w:spacing w:after="0"/>
              <w:rPr>
                <w:sz w:val="20"/>
                <w:szCs w:val="20"/>
                <w:color w:val="auto"/>
              </w:rPr>
            </w:pPr>
            <w:r>
              <w:rPr>
                <w:rFonts w:ascii="Arial" w:cs="Arial" w:eastAsia="Arial" w:hAnsi="Arial"/>
                <w:sz w:val="17"/>
                <w:szCs w:val="17"/>
                <w:color w:val="auto"/>
              </w:rPr>
              <w:t>10.10(d)</w:t>
            </w:r>
          </w:p>
        </w:tc>
        <w:tc>
          <w:tcPr>
            <w:tcW w:w="10400" w:type="dxa"/>
            <w:vAlign w:val="bottom"/>
          </w:tcPr>
          <w:p>
            <w:pPr>
              <w:ind w:left="160"/>
              <w:spacing w:after="0"/>
              <w:rPr>
                <w:sz w:val="20"/>
                <w:szCs w:val="20"/>
                <w:color w:val="auto"/>
              </w:rPr>
            </w:pPr>
            <w:r>
              <w:rPr>
                <w:rFonts w:ascii="Arial" w:cs="Arial" w:eastAsia="Arial" w:hAnsi="Arial"/>
                <w:sz w:val="17"/>
                <w:szCs w:val="17"/>
                <w:color w:val="auto"/>
                <w:w w:val="91"/>
              </w:rPr>
              <w:t>Amended and Restated Severance Agreement between Jonas Prising and the Company dated as of February 15, 2012, incorporated by reference to</w:t>
            </w:r>
          </w:p>
        </w:tc>
      </w:tr>
      <w:tr>
        <w:trPr>
          <w:trHeight w:val="217"/>
        </w:trPr>
        <w:tc>
          <w:tcPr>
            <w:tcW w:w="1020" w:type="dxa"/>
            <w:vAlign w:val="bottom"/>
          </w:tcPr>
          <w:p>
            <w:pPr>
              <w:spacing w:after="0"/>
              <w:rPr>
                <w:sz w:val="18"/>
                <w:szCs w:val="18"/>
                <w:color w:val="auto"/>
              </w:rPr>
            </w:pPr>
          </w:p>
        </w:tc>
        <w:tc>
          <w:tcPr>
            <w:tcW w:w="10400" w:type="dxa"/>
            <w:vAlign w:val="bottom"/>
          </w:tcPr>
          <w:p>
            <w:pPr>
              <w:ind w:left="160"/>
              <w:spacing w:after="0"/>
              <w:rPr>
                <w:sz w:val="20"/>
                <w:szCs w:val="20"/>
                <w:color w:val="auto"/>
              </w:rPr>
            </w:pPr>
            <w:r>
              <w:rPr>
                <w:rFonts w:ascii="Arial" w:cs="Arial" w:eastAsia="Arial" w:hAnsi="Arial"/>
                <w:sz w:val="17"/>
                <w:szCs w:val="17"/>
                <w:color w:val="auto"/>
              </w:rPr>
              <w:t>the Company’s Current Report on Form 8-K dated February 15, 2012.</w:t>
            </w:r>
          </w:p>
        </w:tc>
      </w:tr>
      <w:tr>
        <w:trPr>
          <w:trHeight w:val="581"/>
        </w:trPr>
        <w:tc>
          <w:tcPr>
            <w:tcW w:w="1020" w:type="dxa"/>
            <w:vAlign w:val="bottom"/>
          </w:tcPr>
          <w:p>
            <w:pPr>
              <w:spacing w:after="0"/>
              <w:rPr>
                <w:sz w:val="24"/>
                <w:szCs w:val="24"/>
                <w:color w:val="auto"/>
              </w:rPr>
            </w:pPr>
          </w:p>
        </w:tc>
        <w:tc>
          <w:tcPr>
            <w:tcW w:w="10400" w:type="dxa"/>
            <w:vAlign w:val="bottom"/>
          </w:tcPr>
          <w:p>
            <w:pPr>
              <w:ind w:left="4600"/>
              <w:spacing w:after="0"/>
              <w:rPr>
                <w:sz w:val="20"/>
                <w:szCs w:val="20"/>
                <w:color w:val="auto"/>
              </w:rPr>
            </w:pPr>
            <w:r>
              <w:rPr>
                <w:rFonts w:ascii="Arial" w:cs="Arial" w:eastAsia="Arial" w:hAnsi="Arial"/>
                <w:sz w:val="17"/>
                <w:szCs w:val="17"/>
                <w:color w:val="auto"/>
              </w:rPr>
              <w:t>24</w:t>
            </w:r>
          </w:p>
        </w:tc>
      </w:tr>
      <w:tr>
        <w:trPr>
          <w:trHeight w:val="114"/>
        </w:trPr>
        <w:tc>
          <w:tcPr>
            <w:tcW w:w="1020" w:type="dxa"/>
            <w:vAlign w:val="bottom"/>
            <w:tcBorders>
              <w:bottom w:val="single" w:sz="8" w:color="808080"/>
            </w:tcBorders>
          </w:tcPr>
          <w:p>
            <w:pPr>
              <w:spacing w:after="0"/>
              <w:rPr>
                <w:sz w:val="9"/>
                <w:szCs w:val="9"/>
                <w:color w:val="auto"/>
              </w:rPr>
            </w:pPr>
          </w:p>
        </w:tc>
        <w:tc>
          <w:tcPr>
            <w:tcW w:w="104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6"/>
        </w:trPr>
        <w:tc>
          <w:tcPr>
            <w:tcW w:w="900" w:type="dxa"/>
            <w:vAlign w:val="bottom"/>
          </w:tcPr>
          <w:p>
            <w:pPr>
              <w:spacing w:after="0"/>
              <w:rPr>
                <w:sz w:val="20"/>
                <w:szCs w:val="20"/>
                <w:color w:val="auto"/>
              </w:rPr>
            </w:pPr>
            <w:r>
              <w:rPr>
                <w:rFonts w:ascii="Arial" w:cs="Arial" w:eastAsia="Arial" w:hAnsi="Arial"/>
                <w:sz w:val="17"/>
                <w:szCs w:val="17"/>
                <w:color w:val="auto"/>
              </w:rPr>
              <w:t>10.10(e)</w:t>
            </w:r>
          </w:p>
        </w:tc>
        <w:tc>
          <w:tcPr>
            <w:tcW w:w="10520" w:type="dxa"/>
            <w:vAlign w:val="bottom"/>
          </w:tcPr>
          <w:p>
            <w:pPr>
              <w:ind w:left="280"/>
              <w:spacing w:after="0"/>
              <w:rPr>
                <w:sz w:val="20"/>
                <w:szCs w:val="20"/>
                <w:color w:val="auto"/>
              </w:rPr>
            </w:pPr>
            <w:r>
              <w:rPr>
                <w:rFonts w:ascii="Arial" w:cs="Arial" w:eastAsia="Arial" w:hAnsi="Arial"/>
                <w:sz w:val="17"/>
                <w:szCs w:val="17"/>
                <w:color w:val="auto"/>
                <w:w w:val="94"/>
              </w:rPr>
              <w:t>Amended and Restated Severance Agreement dated July 31, 2012 between the Company and Owen Sullivan, incorporated by reference to the</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Company’s Current Report on Form 8-K dated July 31, 2012.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10.10(f)</w:t>
            </w:r>
          </w:p>
        </w:tc>
        <w:tc>
          <w:tcPr>
            <w:tcW w:w="10520" w:type="dxa"/>
            <w:vAlign w:val="bottom"/>
          </w:tcPr>
          <w:p>
            <w:pPr>
              <w:ind w:left="280"/>
              <w:spacing w:after="0"/>
              <w:rPr>
                <w:sz w:val="20"/>
                <w:szCs w:val="20"/>
                <w:color w:val="auto"/>
              </w:rPr>
            </w:pPr>
            <w:r>
              <w:rPr>
                <w:rFonts w:ascii="Arial" w:cs="Arial" w:eastAsia="Arial" w:hAnsi="Arial"/>
                <w:sz w:val="17"/>
                <w:szCs w:val="17"/>
                <w:color w:val="auto"/>
                <w:w w:val="92"/>
              </w:rPr>
              <w:t>Employment Separation Agreement dated March 29, 2013 between the Company and Owen Sullivan, incorporated by reference to the Company’s</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Current Report on Form 8-K dated March 29, 2013.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10.10(g)</w:t>
            </w:r>
          </w:p>
        </w:tc>
        <w:tc>
          <w:tcPr>
            <w:tcW w:w="10520" w:type="dxa"/>
            <w:vAlign w:val="bottom"/>
          </w:tcPr>
          <w:p>
            <w:pPr>
              <w:ind w:left="280"/>
              <w:spacing w:after="0"/>
              <w:rPr>
                <w:sz w:val="20"/>
                <w:szCs w:val="20"/>
                <w:color w:val="auto"/>
              </w:rPr>
            </w:pPr>
            <w:r>
              <w:rPr>
                <w:rFonts w:ascii="Arial" w:cs="Arial" w:eastAsia="Arial" w:hAnsi="Arial"/>
                <w:sz w:val="17"/>
                <w:szCs w:val="17"/>
                <w:color w:val="auto"/>
                <w:w w:val="90"/>
              </w:rPr>
              <w:t>Amended and Restated Severance Agreement between Mara Swan and the Company dated as of February 15, 2012, incorporated by reference to the</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Company’s Quarterly Report on Form 10-Q for the quarter ended March 31, 2012.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10.10(h)</w:t>
            </w:r>
          </w:p>
        </w:tc>
        <w:tc>
          <w:tcPr>
            <w:tcW w:w="10520" w:type="dxa"/>
            <w:vAlign w:val="bottom"/>
          </w:tcPr>
          <w:p>
            <w:pPr>
              <w:ind w:left="280"/>
              <w:spacing w:after="0"/>
              <w:rPr>
                <w:sz w:val="20"/>
                <w:szCs w:val="20"/>
                <w:color w:val="auto"/>
              </w:rPr>
            </w:pPr>
            <w:r>
              <w:rPr>
                <w:rFonts w:ascii="Arial" w:cs="Arial" w:eastAsia="Arial" w:hAnsi="Arial"/>
                <w:sz w:val="17"/>
                <w:szCs w:val="17"/>
                <w:color w:val="auto"/>
                <w:w w:val="91"/>
              </w:rPr>
              <w:t>Severance Agreement dated August 13, 2013 between the Company and Darryl Green, incorporated by reference to the Company’s Current Report</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on Form 8-K dated August 13, 2013.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10.10(i)</w:t>
            </w:r>
          </w:p>
        </w:tc>
        <w:tc>
          <w:tcPr>
            <w:tcW w:w="10520" w:type="dxa"/>
            <w:vAlign w:val="bottom"/>
          </w:tcPr>
          <w:p>
            <w:pPr>
              <w:ind w:left="280"/>
              <w:spacing w:after="0"/>
              <w:rPr>
                <w:sz w:val="20"/>
                <w:szCs w:val="20"/>
                <w:color w:val="auto"/>
              </w:rPr>
            </w:pPr>
            <w:r>
              <w:rPr>
                <w:rFonts w:ascii="Arial" w:cs="Arial" w:eastAsia="Arial" w:hAnsi="Arial"/>
                <w:sz w:val="17"/>
                <w:szCs w:val="17"/>
                <w:color w:val="auto"/>
                <w:w w:val="92"/>
              </w:rPr>
              <w:t>Severance Agreement dated February 13, 2013 between the Company and Richard Buchband, incorporated by reference to the Company’s Annual</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Report on Form 10-K for the year ended December 31, 2012.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10.10(j)</w:t>
            </w:r>
          </w:p>
        </w:tc>
        <w:tc>
          <w:tcPr>
            <w:tcW w:w="10520" w:type="dxa"/>
            <w:vAlign w:val="bottom"/>
          </w:tcPr>
          <w:p>
            <w:pPr>
              <w:ind w:left="280"/>
              <w:spacing w:after="0"/>
              <w:rPr>
                <w:sz w:val="20"/>
                <w:szCs w:val="20"/>
                <w:color w:val="auto"/>
              </w:rPr>
            </w:pPr>
            <w:r>
              <w:rPr>
                <w:rFonts w:ascii="Arial" w:cs="Arial" w:eastAsia="Arial" w:hAnsi="Arial"/>
                <w:sz w:val="17"/>
                <w:szCs w:val="17"/>
                <w:color w:val="auto"/>
                <w:w w:val="97"/>
              </w:rPr>
              <w:t>2003 Equity Incentive Plan of Manpower Inc. (Amended and Restated Effective April 28, 2009), incorporated by reference to the Company’s</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Registration Statement on Form S-8 dated September 4, 2009.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10.10(k)</w:t>
            </w:r>
          </w:p>
        </w:tc>
        <w:tc>
          <w:tcPr>
            <w:tcW w:w="10520" w:type="dxa"/>
            <w:vAlign w:val="bottom"/>
          </w:tcPr>
          <w:p>
            <w:pPr>
              <w:ind w:left="280"/>
              <w:spacing w:after="0"/>
              <w:rPr>
                <w:sz w:val="20"/>
                <w:szCs w:val="20"/>
                <w:color w:val="auto"/>
              </w:rPr>
            </w:pPr>
            <w:r>
              <w:rPr>
                <w:rFonts w:ascii="Arial" w:cs="Arial" w:eastAsia="Arial" w:hAnsi="Arial"/>
                <w:sz w:val="17"/>
                <w:szCs w:val="17"/>
                <w:color w:val="auto"/>
                <w:w w:val="95"/>
              </w:rPr>
              <w:t>Amendment of Manpower Inc. 2003 Equity Incentive Plan, incorporated by reference to the Company’s Quarterly Report on Form 10-Q for the</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quarter ended March 31, 2010.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10.10(l)</w:t>
            </w:r>
          </w:p>
        </w:tc>
        <w:tc>
          <w:tcPr>
            <w:tcW w:w="10520" w:type="dxa"/>
            <w:vAlign w:val="bottom"/>
          </w:tcPr>
          <w:p>
            <w:pPr>
              <w:ind w:left="280"/>
              <w:spacing w:after="0"/>
              <w:rPr>
                <w:sz w:val="20"/>
                <w:szCs w:val="20"/>
                <w:color w:val="auto"/>
              </w:rPr>
            </w:pPr>
            <w:r>
              <w:rPr>
                <w:rFonts w:ascii="Arial" w:cs="Arial" w:eastAsia="Arial" w:hAnsi="Arial"/>
                <w:sz w:val="17"/>
                <w:szCs w:val="17"/>
                <w:color w:val="auto"/>
                <w:w w:val="92"/>
              </w:rPr>
              <w:t>2011 Equity Incentive Plan of Manpower Inc., incorporated by reference to Appendix D to the Proxy Statement on Schedule 14A filed on March 23,</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2011 in connection with the 2011 Annual Meeting of the Shareholders of the Company.**</w:t>
            </w: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10.10(m)</w:t>
            </w:r>
          </w:p>
        </w:tc>
        <w:tc>
          <w:tcPr>
            <w:tcW w:w="10520" w:type="dxa"/>
            <w:vAlign w:val="bottom"/>
          </w:tcPr>
          <w:p>
            <w:pPr>
              <w:ind w:left="280"/>
              <w:spacing w:after="0"/>
              <w:rPr>
                <w:sz w:val="20"/>
                <w:szCs w:val="20"/>
                <w:color w:val="auto"/>
              </w:rPr>
            </w:pPr>
            <w:r>
              <w:rPr>
                <w:rFonts w:ascii="Arial" w:cs="Arial" w:eastAsia="Arial" w:hAnsi="Arial"/>
                <w:sz w:val="17"/>
                <w:szCs w:val="17"/>
                <w:color w:val="auto"/>
              </w:rPr>
              <w:t>Form of Indemnification Agreement, incorporated by reference to the Company’s Current Report on Form 8-K dated October 31, 2006.</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10.11(a)</w:t>
            </w:r>
          </w:p>
        </w:tc>
        <w:tc>
          <w:tcPr>
            <w:tcW w:w="10520" w:type="dxa"/>
            <w:vAlign w:val="bottom"/>
          </w:tcPr>
          <w:p>
            <w:pPr>
              <w:ind w:left="280"/>
              <w:spacing w:after="0"/>
              <w:rPr>
                <w:sz w:val="20"/>
                <w:szCs w:val="20"/>
                <w:color w:val="auto"/>
              </w:rPr>
            </w:pPr>
            <w:r>
              <w:rPr>
                <w:rFonts w:ascii="Arial" w:cs="Arial" w:eastAsia="Arial" w:hAnsi="Arial"/>
                <w:sz w:val="17"/>
                <w:szCs w:val="17"/>
                <w:color w:val="auto"/>
                <w:w w:val="93"/>
              </w:rPr>
              <w:t>Form of Nonstatutory Stock Option Agreement, incorporated by reference to the Company’s Annual Report on Form 10-K for the fiscal year ended</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December 31, 2007.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10.11(b)</w:t>
            </w:r>
          </w:p>
        </w:tc>
        <w:tc>
          <w:tcPr>
            <w:tcW w:w="10520" w:type="dxa"/>
            <w:vAlign w:val="bottom"/>
          </w:tcPr>
          <w:p>
            <w:pPr>
              <w:ind w:left="280"/>
              <w:spacing w:after="0"/>
              <w:rPr>
                <w:sz w:val="20"/>
                <w:szCs w:val="20"/>
                <w:color w:val="auto"/>
              </w:rPr>
            </w:pPr>
            <w:r>
              <w:rPr>
                <w:rFonts w:ascii="Arial" w:cs="Arial" w:eastAsia="Arial" w:hAnsi="Arial"/>
                <w:sz w:val="17"/>
                <w:szCs w:val="17"/>
                <w:color w:val="auto"/>
                <w:w w:val="95"/>
              </w:rPr>
              <w:t>2012 Form of Performance Share Unit Agreement, incorporated by reference to the Company’s Quarterly Report on Form 10-Q for the quarter</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ended June 30, 2012.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10.11(c)</w:t>
            </w:r>
          </w:p>
        </w:tc>
        <w:tc>
          <w:tcPr>
            <w:tcW w:w="10520" w:type="dxa"/>
            <w:vAlign w:val="bottom"/>
          </w:tcPr>
          <w:p>
            <w:pPr>
              <w:ind w:left="280"/>
              <w:spacing w:after="0"/>
              <w:rPr>
                <w:sz w:val="20"/>
                <w:szCs w:val="20"/>
                <w:color w:val="auto"/>
              </w:rPr>
            </w:pPr>
            <w:r>
              <w:rPr>
                <w:rFonts w:ascii="Arial" w:cs="Arial" w:eastAsia="Arial" w:hAnsi="Arial"/>
                <w:sz w:val="17"/>
                <w:szCs w:val="17"/>
                <w:color w:val="auto"/>
                <w:w w:val="93"/>
              </w:rPr>
              <w:t>Amended Offer Letter between Hans Leentjes and the Company dated as of May 10, 2011, incorporated by reference to the Company’s Quarterly</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Report on Form 10-Q for the quarter ended June 30, 2011. **</w:t>
            </w: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10.11(d)</w:t>
            </w:r>
          </w:p>
        </w:tc>
        <w:tc>
          <w:tcPr>
            <w:tcW w:w="10520" w:type="dxa"/>
            <w:vAlign w:val="bottom"/>
          </w:tcPr>
          <w:p>
            <w:pPr>
              <w:ind w:left="280"/>
              <w:spacing w:after="0"/>
              <w:rPr>
                <w:sz w:val="20"/>
                <w:szCs w:val="20"/>
                <w:color w:val="auto"/>
              </w:rPr>
            </w:pPr>
            <w:r>
              <w:rPr>
                <w:rFonts w:ascii="Arial" w:cs="Arial" w:eastAsia="Arial" w:hAnsi="Arial"/>
                <w:sz w:val="17"/>
                <w:szCs w:val="17"/>
                <w:color w:val="auto"/>
              </w:rPr>
              <w:t>Severance Agreement between Hans Leentjes and the Company dated as of February 17, 2014.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10.11(e)</w:t>
            </w:r>
          </w:p>
        </w:tc>
        <w:tc>
          <w:tcPr>
            <w:tcW w:w="10520" w:type="dxa"/>
            <w:vAlign w:val="bottom"/>
          </w:tcPr>
          <w:p>
            <w:pPr>
              <w:ind w:left="280"/>
              <w:spacing w:after="0"/>
              <w:rPr>
                <w:sz w:val="20"/>
                <w:szCs w:val="20"/>
                <w:color w:val="auto"/>
              </w:rPr>
            </w:pPr>
            <w:r>
              <w:rPr>
                <w:rFonts w:ascii="Arial" w:cs="Arial" w:eastAsia="Arial" w:hAnsi="Arial"/>
                <w:sz w:val="17"/>
                <w:szCs w:val="17"/>
                <w:color w:val="auto"/>
                <w:w w:val="95"/>
              </w:rPr>
              <w:t>Form of Restricted Stock Agreement (CEO Form), incorporated by reference to the Company’s Annual Report on Form 10-K for the fiscal year</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ended December 31, 2007.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10.11(f)</w:t>
            </w:r>
          </w:p>
        </w:tc>
        <w:tc>
          <w:tcPr>
            <w:tcW w:w="10520" w:type="dxa"/>
            <w:vAlign w:val="bottom"/>
          </w:tcPr>
          <w:p>
            <w:pPr>
              <w:ind w:left="280"/>
              <w:spacing w:after="0"/>
              <w:rPr>
                <w:sz w:val="20"/>
                <w:szCs w:val="20"/>
                <w:color w:val="auto"/>
              </w:rPr>
            </w:pPr>
            <w:r>
              <w:rPr>
                <w:rFonts w:ascii="Arial" w:cs="Arial" w:eastAsia="Arial" w:hAnsi="Arial"/>
                <w:sz w:val="17"/>
                <w:szCs w:val="17"/>
                <w:color w:val="auto"/>
                <w:w w:val="92"/>
              </w:rPr>
              <w:t>Form of Restricted Stock Unit Agreement, incorporated by reference to the Company’s Quarterly Report on Form 10-Q for the quarter ended March</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31, 2009.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10.11(g)</w:t>
            </w:r>
          </w:p>
        </w:tc>
        <w:tc>
          <w:tcPr>
            <w:tcW w:w="10520" w:type="dxa"/>
            <w:vAlign w:val="bottom"/>
          </w:tcPr>
          <w:p>
            <w:pPr>
              <w:ind w:left="280"/>
              <w:spacing w:after="0"/>
              <w:rPr>
                <w:sz w:val="20"/>
                <w:szCs w:val="20"/>
                <w:color w:val="auto"/>
              </w:rPr>
            </w:pPr>
            <w:r>
              <w:rPr>
                <w:rFonts w:ascii="Arial" w:cs="Arial" w:eastAsia="Arial" w:hAnsi="Arial"/>
                <w:sz w:val="17"/>
                <w:szCs w:val="17"/>
                <w:color w:val="auto"/>
                <w:w w:val="91"/>
              </w:rPr>
              <w:t>Form of Career Share Unit Agreement, incorporated by reference to the Company’s Quarterly Report on Form 10-Q for the quarter ended March 31,</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2009. **</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10.11(h)</w:t>
            </w:r>
          </w:p>
        </w:tc>
        <w:tc>
          <w:tcPr>
            <w:tcW w:w="10520" w:type="dxa"/>
            <w:vAlign w:val="bottom"/>
          </w:tcPr>
          <w:p>
            <w:pPr>
              <w:ind w:left="280"/>
              <w:spacing w:after="0"/>
              <w:rPr>
                <w:sz w:val="20"/>
                <w:szCs w:val="20"/>
                <w:color w:val="auto"/>
              </w:rPr>
            </w:pPr>
            <w:r>
              <w:rPr>
                <w:rFonts w:ascii="Arial" w:cs="Arial" w:eastAsia="Arial" w:hAnsi="Arial"/>
                <w:sz w:val="17"/>
                <w:szCs w:val="17"/>
                <w:color w:val="auto"/>
                <w:w w:val="94"/>
              </w:rPr>
              <w:t>Form of Stock Option Agreement under 2011 Equity Incentive Plan, incorporated by reference to the Company’s Quarterly Report on Form 10-Q</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for the quarter ended March 31, 2012.</w:t>
            </w:r>
          </w:p>
        </w:tc>
      </w:tr>
      <w:tr>
        <w:trPr>
          <w:trHeight w:val="402"/>
        </w:trPr>
        <w:tc>
          <w:tcPr>
            <w:tcW w:w="900" w:type="dxa"/>
            <w:vAlign w:val="bottom"/>
          </w:tcPr>
          <w:p>
            <w:pPr>
              <w:spacing w:after="0"/>
              <w:rPr>
                <w:sz w:val="20"/>
                <w:szCs w:val="20"/>
                <w:color w:val="auto"/>
              </w:rPr>
            </w:pPr>
            <w:r>
              <w:rPr>
                <w:rFonts w:ascii="Arial" w:cs="Arial" w:eastAsia="Arial" w:hAnsi="Arial"/>
                <w:sz w:val="17"/>
                <w:szCs w:val="17"/>
                <w:color w:val="auto"/>
              </w:rPr>
              <w:t>10.11(i)</w:t>
            </w:r>
          </w:p>
        </w:tc>
        <w:tc>
          <w:tcPr>
            <w:tcW w:w="10520" w:type="dxa"/>
            <w:vAlign w:val="bottom"/>
          </w:tcPr>
          <w:p>
            <w:pPr>
              <w:ind w:left="280"/>
              <w:spacing w:after="0"/>
              <w:rPr>
                <w:sz w:val="20"/>
                <w:szCs w:val="20"/>
                <w:color w:val="auto"/>
              </w:rPr>
            </w:pPr>
            <w:r>
              <w:rPr>
                <w:rFonts w:ascii="Arial" w:cs="Arial" w:eastAsia="Arial" w:hAnsi="Arial"/>
                <w:sz w:val="17"/>
                <w:szCs w:val="17"/>
                <w:color w:val="auto"/>
                <w:w w:val="92"/>
              </w:rPr>
              <w:t>Form of Restricted Stock Unit Agreement under 2011 Equity Incentive Plan, incorporated by reference to the Company’s Quarterly Report on Form</w:t>
            </w:r>
          </w:p>
        </w:tc>
      </w:tr>
      <w:tr>
        <w:trPr>
          <w:trHeight w:val="217"/>
        </w:trPr>
        <w:tc>
          <w:tcPr>
            <w:tcW w:w="900" w:type="dxa"/>
            <w:vAlign w:val="bottom"/>
          </w:tcPr>
          <w:p>
            <w:pPr>
              <w:spacing w:after="0"/>
              <w:rPr>
                <w:sz w:val="18"/>
                <w:szCs w:val="18"/>
                <w:color w:val="auto"/>
              </w:rPr>
            </w:pPr>
          </w:p>
        </w:tc>
        <w:tc>
          <w:tcPr>
            <w:tcW w:w="10520" w:type="dxa"/>
            <w:vAlign w:val="bottom"/>
          </w:tcPr>
          <w:p>
            <w:pPr>
              <w:ind w:left="280"/>
              <w:spacing w:after="0"/>
              <w:rPr>
                <w:sz w:val="20"/>
                <w:szCs w:val="20"/>
                <w:color w:val="auto"/>
              </w:rPr>
            </w:pPr>
            <w:r>
              <w:rPr>
                <w:rFonts w:ascii="Arial" w:cs="Arial" w:eastAsia="Arial" w:hAnsi="Arial"/>
                <w:sz w:val="17"/>
                <w:szCs w:val="17"/>
                <w:color w:val="auto"/>
              </w:rPr>
              <w:t>10-Q for the quarter ended March 31, 2012.</w:t>
            </w:r>
          </w:p>
        </w:tc>
      </w:tr>
      <w:tr>
        <w:trPr>
          <w:trHeight w:val="413"/>
        </w:trPr>
        <w:tc>
          <w:tcPr>
            <w:tcW w:w="900" w:type="dxa"/>
            <w:vAlign w:val="bottom"/>
          </w:tcPr>
          <w:p>
            <w:pPr>
              <w:spacing w:after="0"/>
              <w:rPr>
                <w:sz w:val="20"/>
                <w:szCs w:val="20"/>
                <w:color w:val="auto"/>
              </w:rPr>
            </w:pPr>
            <w:r>
              <w:rPr>
                <w:rFonts w:ascii="Arial" w:cs="Arial" w:eastAsia="Arial" w:hAnsi="Arial"/>
                <w:sz w:val="17"/>
                <w:szCs w:val="17"/>
                <w:color w:val="auto"/>
              </w:rPr>
              <w:t>12.1</w:t>
            </w:r>
          </w:p>
        </w:tc>
        <w:tc>
          <w:tcPr>
            <w:tcW w:w="10520" w:type="dxa"/>
            <w:vAlign w:val="bottom"/>
          </w:tcPr>
          <w:p>
            <w:pPr>
              <w:ind w:left="280"/>
              <w:spacing w:after="0"/>
              <w:rPr>
                <w:sz w:val="20"/>
                <w:szCs w:val="20"/>
                <w:color w:val="auto"/>
              </w:rPr>
            </w:pPr>
            <w:r>
              <w:rPr>
                <w:rFonts w:ascii="Arial" w:cs="Arial" w:eastAsia="Arial" w:hAnsi="Arial"/>
                <w:sz w:val="17"/>
                <w:szCs w:val="17"/>
                <w:color w:val="auto"/>
              </w:rPr>
              <w:t>Statement Regarding Computation of Ratio of Earnings to Fixed Charges.</w:t>
            </w:r>
          </w:p>
        </w:tc>
      </w:tr>
    </w:tbl>
    <w:p>
      <w:pPr>
        <w:spacing w:after="0" w:line="196" w:lineRule="exact"/>
        <w:rPr>
          <w:sz w:val="20"/>
          <w:szCs w:val="20"/>
          <w:color w:val="auto"/>
        </w:rPr>
      </w:pPr>
    </w:p>
    <w:p>
      <w:pPr>
        <w:ind w:left="1180" w:right="20" w:hanging="1177"/>
        <w:spacing w:after="0" w:line="280" w:lineRule="auto"/>
        <w:tabs>
          <w:tab w:leader="none" w:pos="11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2013 Annual Report to Shareholders. Pursuant to Item 601(b)(13) of Regulation S-K, the portions of the Annual Report incorporated by reference in this Form 10-K are filed as an exhibit hereto.</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708"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7"/>
        </w:trPr>
        <w:tc>
          <w:tcPr>
            <w:tcW w:w="740" w:type="dxa"/>
            <w:vAlign w:val="bottom"/>
          </w:tcPr>
          <w:p>
            <w:pPr>
              <w:spacing w:after="0"/>
              <w:rPr>
                <w:sz w:val="20"/>
                <w:szCs w:val="20"/>
                <w:color w:val="auto"/>
              </w:rPr>
            </w:pPr>
            <w:r>
              <w:rPr>
                <w:rFonts w:ascii="Arial" w:cs="Arial" w:eastAsia="Arial" w:hAnsi="Arial"/>
                <w:sz w:val="17"/>
                <w:szCs w:val="17"/>
                <w:color w:val="auto"/>
              </w:rPr>
              <w:t>21</w:t>
            </w:r>
          </w:p>
        </w:tc>
        <w:tc>
          <w:tcPr>
            <w:tcW w:w="10400" w:type="dxa"/>
            <w:vAlign w:val="bottom"/>
          </w:tcPr>
          <w:p>
            <w:pPr>
              <w:ind w:left="440"/>
              <w:spacing w:after="0"/>
              <w:rPr>
                <w:sz w:val="20"/>
                <w:szCs w:val="20"/>
                <w:color w:val="auto"/>
              </w:rPr>
            </w:pPr>
            <w:r>
              <w:rPr>
                <w:rFonts w:ascii="Arial" w:cs="Arial" w:eastAsia="Arial" w:hAnsi="Arial"/>
                <w:sz w:val="17"/>
                <w:szCs w:val="17"/>
                <w:color w:val="auto"/>
              </w:rPr>
              <w:t>Subsidiaries of the Company.</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23.1</w:t>
            </w:r>
          </w:p>
        </w:tc>
        <w:tc>
          <w:tcPr>
            <w:tcW w:w="10400" w:type="dxa"/>
            <w:vAlign w:val="bottom"/>
          </w:tcPr>
          <w:p>
            <w:pPr>
              <w:ind w:left="440"/>
              <w:spacing w:after="0"/>
              <w:rPr>
                <w:sz w:val="20"/>
                <w:szCs w:val="20"/>
                <w:color w:val="auto"/>
              </w:rPr>
            </w:pPr>
            <w:r>
              <w:rPr>
                <w:rFonts w:ascii="Arial" w:cs="Arial" w:eastAsia="Arial" w:hAnsi="Arial"/>
                <w:sz w:val="17"/>
                <w:szCs w:val="17"/>
                <w:color w:val="auto"/>
              </w:rPr>
              <w:t>Consent of Deloitte &amp; Touche LLP.</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24</w:t>
            </w:r>
          </w:p>
        </w:tc>
        <w:tc>
          <w:tcPr>
            <w:tcW w:w="10400" w:type="dxa"/>
            <w:vAlign w:val="bottom"/>
          </w:tcPr>
          <w:p>
            <w:pPr>
              <w:ind w:left="440"/>
              <w:spacing w:after="0"/>
              <w:rPr>
                <w:sz w:val="20"/>
                <w:szCs w:val="20"/>
                <w:color w:val="auto"/>
              </w:rPr>
            </w:pPr>
            <w:r>
              <w:rPr>
                <w:rFonts w:ascii="Arial" w:cs="Arial" w:eastAsia="Arial" w:hAnsi="Arial"/>
                <w:sz w:val="17"/>
                <w:szCs w:val="17"/>
                <w:color w:val="auto"/>
              </w:rPr>
              <w:t>Power of Attorney.</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31.1</w:t>
            </w:r>
          </w:p>
        </w:tc>
        <w:tc>
          <w:tcPr>
            <w:tcW w:w="10400" w:type="dxa"/>
            <w:vAlign w:val="bottom"/>
          </w:tcPr>
          <w:p>
            <w:pPr>
              <w:ind w:left="440"/>
              <w:spacing w:after="0"/>
              <w:rPr>
                <w:sz w:val="20"/>
                <w:szCs w:val="20"/>
                <w:color w:val="auto"/>
              </w:rPr>
            </w:pPr>
            <w:r>
              <w:rPr>
                <w:rFonts w:ascii="Arial" w:cs="Arial" w:eastAsia="Arial" w:hAnsi="Arial"/>
                <w:sz w:val="17"/>
                <w:szCs w:val="17"/>
                <w:color w:val="auto"/>
                <w:w w:val="92"/>
              </w:rPr>
              <w:t>Certification of Jeffrey A. Joerres, Chairman and Chief Executive Officer, pursuant to Section 13a-14(a) of the Securities Exchange Act of 1934.</w:t>
            </w:r>
          </w:p>
        </w:tc>
      </w:tr>
      <w:tr>
        <w:trPr>
          <w:trHeight w:val="402"/>
        </w:trPr>
        <w:tc>
          <w:tcPr>
            <w:tcW w:w="740" w:type="dxa"/>
            <w:vAlign w:val="bottom"/>
          </w:tcPr>
          <w:p>
            <w:pPr>
              <w:spacing w:after="0"/>
              <w:rPr>
                <w:sz w:val="20"/>
                <w:szCs w:val="20"/>
                <w:color w:val="auto"/>
              </w:rPr>
            </w:pPr>
            <w:r>
              <w:rPr>
                <w:rFonts w:ascii="Arial" w:cs="Arial" w:eastAsia="Arial" w:hAnsi="Arial"/>
                <w:sz w:val="17"/>
                <w:szCs w:val="17"/>
                <w:color w:val="auto"/>
              </w:rPr>
              <w:t>31.2</w:t>
            </w:r>
          </w:p>
        </w:tc>
        <w:tc>
          <w:tcPr>
            <w:tcW w:w="10400" w:type="dxa"/>
            <w:vAlign w:val="bottom"/>
          </w:tcPr>
          <w:p>
            <w:pPr>
              <w:ind w:left="440"/>
              <w:spacing w:after="0"/>
              <w:rPr>
                <w:sz w:val="20"/>
                <w:szCs w:val="20"/>
                <w:color w:val="auto"/>
              </w:rPr>
            </w:pPr>
            <w:r>
              <w:rPr>
                <w:rFonts w:ascii="Arial" w:cs="Arial" w:eastAsia="Arial" w:hAnsi="Arial"/>
                <w:sz w:val="17"/>
                <w:szCs w:val="17"/>
                <w:color w:val="auto"/>
                <w:w w:val="94"/>
              </w:rPr>
              <w:t>Certification of Michael J. Van Handel, Executive Vice President and Chief Financial Officer, pursuant to Section 13a-14(a) of the Securities</w:t>
            </w:r>
          </w:p>
        </w:tc>
      </w:tr>
      <w:tr>
        <w:trPr>
          <w:trHeight w:val="217"/>
        </w:trPr>
        <w:tc>
          <w:tcPr>
            <w:tcW w:w="740" w:type="dxa"/>
            <w:vAlign w:val="bottom"/>
          </w:tcPr>
          <w:p>
            <w:pPr>
              <w:spacing w:after="0"/>
              <w:rPr>
                <w:sz w:val="18"/>
                <w:szCs w:val="18"/>
                <w:color w:val="auto"/>
              </w:rPr>
            </w:pPr>
          </w:p>
        </w:tc>
        <w:tc>
          <w:tcPr>
            <w:tcW w:w="10400" w:type="dxa"/>
            <w:vAlign w:val="bottom"/>
          </w:tcPr>
          <w:p>
            <w:pPr>
              <w:ind w:left="440"/>
              <w:spacing w:after="0"/>
              <w:rPr>
                <w:sz w:val="20"/>
                <w:szCs w:val="20"/>
                <w:color w:val="auto"/>
              </w:rPr>
            </w:pPr>
            <w:r>
              <w:rPr>
                <w:rFonts w:ascii="Arial" w:cs="Arial" w:eastAsia="Arial" w:hAnsi="Arial"/>
                <w:sz w:val="17"/>
                <w:szCs w:val="17"/>
                <w:color w:val="auto"/>
              </w:rPr>
              <w:t>Exchange Act of 1934.</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32.1</w:t>
            </w:r>
          </w:p>
        </w:tc>
        <w:tc>
          <w:tcPr>
            <w:tcW w:w="10400" w:type="dxa"/>
            <w:vAlign w:val="bottom"/>
          </w:tcPr>
          <w:p>
            <w:pPr>
              <w:ind w:left="440"/>
              <w:spacing w:after="0"/>
              <w:rPr>
                <w:sz w:val="20"/>
                <w:szCs w:val="20"/>
                <w:color w:val="auto"/>
              </w:rPr>
            </w:pPr>
            <w:r>
              <w:rPr>
                <w:rFonts w:ascii="Arial" w:cs="Arial" w:eastAsia="Arial" w:hAnsi="Arial"/>
                <w:sz w:val="17"/>
                <w:szCs w:val="17"/>
                <w:color w:val="auto"/>
              </w:rPr>
              <w:t>Statement of Jeffrey A. Joerres, Chairman and Chief Executive Officer, pursuant to 18 U.S.C. ss. 1350.</w:t>
            </w:r>
          </w:p>
        </w:tc>
      </w:tr>
      <w:tr>
        <w:trPr>
          <w:trHeight w:val="413"/>
        </w:trPr>
        <w:tc>
          <w:tcPr>
            <w:tcW w:w="740" w:type="dxa"/>
            <w:vAlign w:val="bottom"/>
          </w:tcPr>
          <w:p>
            <w:pPr>
              <w:spacing w:after="0"/>
              <w:rPr>
                <w:sz w:val="20"/>
                <w:szCs w:val="20"/>
                <w:color w:val="auto"/>
              </w:rPr>
            </w:pPr>
            <w:r>
              <w:rPr>
                <w:rFonts w:ascii="Arial" w:cs="Arial" w:eastAsia="Arial" w:hAnsi="Arial"/>
                <w:sz w:val="17"/>
                <w:szCs w:val="17"/>
                <w:color w:val="auto"/>
              </w:rPr>
              <w:t>32.2</w:t>
            </w:r>
          </w:p>
        </w:tc>
        <w:tc>
          <w:tcPr>
            <w:tcW w:w="10400" w:type="dxa"/>
            <w:vAlign w:val="bottom"/>
          </w:tcPr>
          <w:p>
            <w:pPr>
              <w:ind w:left="440"/>
              <w:spacing w:after="0"/>
              <w:rPr>
                <w:sz w:val="20"/>
                <w:szCs w:val="20"/>
                <w:color w:val="auto"/>
              </w:rPr>
            </w:pPr>
            <w:r>
              <w:rPr>
                <w:rFonts w:ascii="Arial" w:cs="Arial" w:eastAsia="Arial" w:hAnsi="Arial"/>
                <w:sz w:val="17"/>
                <w:szCs w:val="17"/>
                <w:color w:val="auto"/>
              </w:rPr>
              <w:t>Statement of Michael J. Van Handel, Executive Vice President and Chief Financial Officer, pursuant to 18 U.S.C. ss. 1350.</w:t>
            </w:r>
          </w:p>
        </w:tc>
      </w:tr>
    </w:tbl>
    <w:p>
      <w:pPr>
        <w:spacing w:after="0" w:line="196" w:lineRule="exact"/>
        <w:rPr>
          <w:sz w:val="20"/>
          <w:szCs w:val="20"/>
          <w:color w:val="auto"/>
        </w:rPr>
      </w:pPr>
    </w:p>
    <w:p>
      <w:pPr>
        <w:ind w:left="1180" w:hanging="1177"/>
        <w:spacing w:after="0" w:line="262" w:lineRule="auto"/>
        <w:tabs>
          <w:tab w:leader="none" w:pos="11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materials from the Company’s Annual Report on Form 10-K for the year ended December 31, 2013, formatted in XBRL (Extensible Business Reporting Language): (i) Consolidated Balance Sheets, (ii) Consolidated Statements of Operations, (iii) Consolidated Statements of Comprehensive Income, (iv) Consolidated Statements of Cash Flows, (v) Consolidated Statements of Shareholders’ Equity, (vi) Notes to Consolidated Financial Statements and (vii) Schedule II – Valuation and Qualifying Accounts.</w:t>
      </w:r>
    </w:p>
    <w:p>
      <w:pPr>
        <w:spacing w:after="0" w:line="179" w:lineRule="exact"/>
        <w:rPr>
          <w:sz w:val="20"/>
          <w:szCs w:val="20"/>
          <w:color w:val="auto"/>
        </w:rPr>
      </w:pPr>
    </w:p>
    <w:p>
      <w:pPr>
        <w:ind w:left="460" w:hanging="457"/>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w:t>
      </w:r>
    </w:p>
    <w:p>
      <w:pPr>
        <w:spacing w:after="0" w:line="200" w:lineRule="exact"/>
        <w:rPr>
          <w:sz w:val="20"/>
          <w:szCs w:val="20"/>
          <w:color w:val="auto"/>
        </w:rPr>
      </w:pP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708"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color w:val="auto"/>
        </w:rPr>
        <w:t>SIGNATURES</w:t>
      </w:r>
    </w:p>
    <w:p>
      <w:pPr>
        <w:spacing w:after="0" w:line="224" w:lineRule="exact"/>
        <w:rPr>
          <w:sz w:val="20"/>
          <w:szCs w:val="20"/>
          <w:color w:val="auto"/>
        </w:rPr>
      </w:pPr>
    </w:p>
    <w:p>
      <w:pPr>
        <w:ind w:right="460" w:firstLine="465"/>
        <w:spacing w:after="0" w:line="28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MANPOWERGROUP INC.</w:t>
      </w:r>
    </w:p>
    <w:p>
      <w:pPr>
        <w:spacing w:after="0" w:line="202" w:lineRule="exact"/>
        <w:rPr>
          <w:sz w:val="20"/>
          <w:szCs w:val="20"/>
          <w:color w:val="auto"/>
        </w:rPr>
      </w:pPr>
    </w:p>
    <w:tbl>
      <w:tblPr>
        <w:tblLayout w:type="fixed"/>
        <w:tblInd w:w="5960" w:type="dxa"/>
        <w:tblCellMar>
          <w:top w:w="0" w:type="dxa"/>
          <w:left w:w="0" w:type="dxa"/>
          <w:bottom w:w="0" w:type="dxa"/>
          <w:right w:w="0" w:type="dxa"/>
        </w:tblCellMar>
      </w:tblPr>
      <w:tr>
        <w:trPr>
          <w:trHeight w:val="195"/>
        </w:trPr>
        <w:tc>
          <w:tcPr>
            <w:tcW w:w="1160" w:type="dxa"/>
            <w:vAlign w:val="bottom"/>
          </w:tcPr>
          <w:p>
            <w:pPr>
              <w:spacing w:after="0"/>
              <w:rPr>
                <w:sz w:val="20"/>
                <w:szCs w:val="20"/>
                <w:color w:val="auto"/>
              </w:rPr>
            </w:pPr>
            <w:r>
              <w:rPr>
                <w:rFonts w:ascii="Arial" w:cs="Arial" w:eastAsia="Arial" w:hAnsi="Arial"/>
                <w:sz w:val="17"/>
                <w:szCs w:val="17"/>
                <w:color w:val="auto"/>
              </w:rPr>
              <w:t>By:</w:t>
            </w:r>
          </w:p>
        </w:tc>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9"/>
              </w:rPr>
              <w:t>/s/ Jeffrey A. Joerres</w:t>
            </w:r>
          </w:p>
        </w:tc>
        <w:tc>
          <w:tcPr>
            <w:tcW w:w="1240" w:type="dxa"/>
            <w:vAlign w:val="bottom"/>
          </w:tcPr>
          <w:p>
            <w:pPr>
              <w:spacing w:after="0"/>
              <w:rPr>
                <w:sz w:val="16"/>
                <w:szCs w:val="16"/>
                <w:color w:val="auto"/>
              </w:rPr>
            </w:pPr>
          </w:p>
        </w:tc>
      </w:tr>
      <w:tr>
        <w:trPr>
          <w:trHeight w:val="213"/>
        </w:trPr>
        <w:tc>
          <w:tcPr>
            <w:tcW w:w="116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rPr>
              <w:t>Jeffrey A. Joerres</w:t>
            </w:r>
          </w:p>
        </w:tc>
      </w:tr>
      <w:tr>
        <w:trPr>
          <w:trHeight w:val="217"/>
        </w:trPr>
        <w:tc>
          <w:tcPr>
            <w:tcW w:w="116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Arial" w:cs="Arial" w:eastAsia="Arial" w:hAnsi="Arial"/>
                <w:sz w:val="17"/>
                <w:szCs w:val="17"/>
                <w:color w:val="auto"/>
                <w:w w:val="92"/>
              </w:rPr>
              <w:t>Chairman and Chief Executive Officer</w:t>
            </w:r>
          </w:p>
        </w:tc>
      </w:tr>
      <w:tr>
        <w:trPr>
          <w:trHeight w:val="413"/>
        </w:trPr>
        <w:tc>
          <w:tcPr>
            <w:tcW w:w="1160" w:type="dxa"/>
            <w:vAlign w:val="bottom"/>
          </w:tcPr>
          <w:p>
            <w:pPr>
              <w:spacing w:after="0"/>
              <w:rPr>
                <w:sz w:val="20"/>
                <w:szCs w:val="20"/>
                <w:color w:val="auto"/>
              </w:rPr>
            </w:pPr>
            <w:r>
              <w:rPr>
                <w:rFonts w:ascii="Arial" w:cs="Arial" w:eastAsia="Arial" w:hAnsi="Arial"/>
                <w:sz w:val="17"/>
                <w:szCs w:val="17"/>
                <w:color w:val="auto"/>
              </w:rPr>
              <w:t>Date:</w:t>
            </w:r>
          </w:p>
        </w:tc>
        <w:tc>
          <w:tcPr>
            <w:tcW w:w="2660" w:type="dxa"/>
            <w:vAlign w:val="bottom"/>
            <w:gridSpan w:val="2"/>
          </w:tcPr>
          <w:p>
            <w:pPr>
              <w:spacing w:after="0"/>
              <w:rPr>
                <w:sz w:val="20"/>
                <w:szCs w:val="20"/>
                <w:color w:val="auto"/>
              </w:rPr>
            </w:pPr>
            <w:r>
              <w:rPr>
                <w:rFonts w:ascii="Arial" w:cs="Arial" w:eastAsia="Arial" w:hAnsi="Arial"/>
                <w:sz w:val="17"/>
                <w:szCs w:val="17"/>
                <w:color w:val="auto"/>
              </w:rPr>
              <w:t>February 21,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280" w:firstLine="465"/>
        <w:spacing w:after="0" w:line="28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4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b w:val="1"/>
                <w:bCs w:val="1"/>
                <w:color w:val="auto"/>
              </w:rPr>
              <w:t>Name</w:t>
            </w:r>
          </w:p>
        </w:tc>
        <w:tc>
          <w:tcPr>
            <w:tcW w:w="5860" w:type="dxa"/>
            <w:vAlign w:val="bottom"/>
            <w:tcBorders>
              <w:bottom w:val="single" w:sz="8" w:color="auto"/>
            </w:tcBorders>
          </w:tcPr>
          <w:p>
            <w:pPr>
              <w:ind w:left="3480"/>
              <w:spacing w:after="0"/>
              <w:rPr>
                <w:sz w:val="20"/>
                <w:szCs w:val="20"/>
                <w:color w:val="auto"/>
              </w:rPr>
            </w:pPr>
            <w:r>
              <w:rPr>
                <w:rFonts w:ascii="Arial" w:cs="Arial" w:eastAsia="Arial" w:hAnsi="Arial"/>
                <w:sz w:val="17"/>
                <w:szCs w:val="17"/>
                <w:b w:val="1"/>
                <w:bCs w:val="1"/>
                <w:color w:val="auto"/>
              </w:rPr>
              <w:t>Title</w:t>
            </w:r>
          </w:p>
        </w:tc>
        <w:tc>
          <w:tcPr>
            <w:tcW w:w="2900" w:type="dxa"/>
            <w:vAlign w:val="bottom"/>
            <w:tcBorders>
              <w:bottom w:val="single" w:sz="8" w:color="auto"/>
            </w:tcBorders>
          </w:tcPr>
          <w:p>
            <w:pPr>
              <w:ind w:left="1620"/>
              <w:spacing w:after="0"/>
              <w:rPr>
                <w:sz w:val="20"/>
                <w:szCs w:val="20"/>
                <w:color w:val="auto"/>
              </w:rPr>
            </w:pPr>
            <w:r>
              <w:rPr>
                <w:rFonts w:ascii="Arial" w:cs="Arial" w:eastAsia="Arial" w:hAnsi="Arial"/>
                <w:sz w:val="17"/>
                <w:szCs w:val="17"/>
                <w:b w:val="1"/>
                <w:bCs w:val="1"/>
                <w:color w:val="auto"/>
              </w:rPr>
              <w:t>Date</w:t>
            </w:r>
          </w:p>
        </w:tc>
      </w:tr>
      <w:tr>
        <w:trPr>
          <w:trHeight w:val="374"/>
        </w:trPr>
        <w:tc>
          <w:tcPr>
            <w:tcW w:w="2660" w:type="dxa"/>
            <w:vAlign w:val="bottom"/>
            <w:gridSpan w:val="3"/>
          </w:tcPr>
          <w:p>
            <w:pPr>
              <w:spacing w:after="0"/>
              <w:rPr>
                <w:sz w:val="20"/>
                <w:szCs w:val="20"/>
                <w:color w:val="auto"/>
              </w:rPr>
            </w:pPr>
            <w:r>
              <w:rPr>
                <w:rFonts w:ascii="Arial" w:cs="Arial" w:eastAsia="Arial" w:hAnsi="Arial"/>
                <w:sz w:val="17"/>
                <w:szCs w:val="17"/>
                <w:color w:val="auto"/>
              </w:rPr>
              <w:t>/s/ Jeffrey A. Joerres</w:t>
            </w:r>
          </w:p>
        </w:tc>
        <w:tc>
          <w:tcPr>
            <w:tcW w:w="5860" w:type="dxa"/>
            <w:vAlign w:val="bottom"/>
          </w:tcPr>
          <w:p>
            <w:pPr>
              <w:ind w:left="760"/>
              <w:spacing w:after="0"/>
              <w:rPr>
                <w:sz w:val="20"/>
                <w:szCs w:val="20"/>
                <w:color w:val="auto"/>
              </w:rPr>
            </w:pPr>
            <w:r>
              <w:rPr>
                <w:rFonts w:ascii="Arial" w:cs="Arial" w:eastAsia="Arial" w:hAnsi="Arial"/>
                <w:sz w:val="17"/>
                <w:szCs w:val="17"/>
                <w:color w:val="auto"/>
              </w:rPr>
              <w:t>Chairman, Chief Executive Officer and a Director</w:t>
            </w:r>
          </w:p>
        </w:tc>
        <w:tc>
          <w:tcPr>
            <w:tcW w:w="2900" w:type="dxa"/>
            <w:vAlign w:val="bottom"/>
          </w:tcPr>
          <w:p>
            <w:pPr>
              <w:ind w:left="820"/>
              <w:spacing w:after="0"/>
              <w:rPr>
                <w:sz w:val="20"/>
                <w:szCs w:val="20"/>
                <w:color w:val="auto"/>
              </w:rPr>
            </w:pPr>
            <w:r>
              <w:rPr>
                <w:rFonts w:ascii="Arial" w:cs="Arial" w:eastAsia="Arial" w:hAnsi="Arial"/>
                <w:sz w:val="17"/>
                <w:szCs w:val="17"/>
                <w:color w:val="auto"/>
              </w:rPr>
              <w:t>February 21, 2014</w:t>
            </w:r>
          </w:p>
        </w:tc>
      </w:tr>
      <w:tr>
        <w:trPr>
          <w:trHeight w:val="224"/>
        </w:trPr>
        <w:tc>
          <w:tcPr>
            <w:tcW w:w="14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Jeffrey A. Joerres</w:t>
            </w:r>
          </w:p>
        </w:tc>
        <w:tc>
          <w:tcPr>
            <w:tcW w:w="1240" w:type="dxa"/>
            <w:vAlign w:val="bottom"/>
            <w:gridSpan w:val="2"/>
          </w:tcPr>
          <w:p>
            <w:pPr>
              <w:spacing w:after="0"/>
              <w:rPr>
                <w:sz w:val="19"/>
                <w:szCs w:val="19"/>
                <w:color w:val="auto"/>
              </w:rPr>
            </w:pPr>
          </w:p>
        </w:tc>
        <w:tc>
          <w:tcPr>
            <w:tcW w:w="5860" w:type="dxa"/>
            <w:vAlign w:val="bottom"/>
          </w:tcPr>
          <w:p>
            <w:pPr>
              <w:ind w:left="760"/>
              <w:spacing w:after="0"/>
              <w:rPr>
                <w:sz w:val="20"/>
                <w:szCs w:val="20"/>
                <w:color w:val="auto"/>
              </w:rPr>
            </w:pPr>
            <w:r>
              <w:rPr>
                <w:rFonts w:ascii="Arial" w:cs="Arial" w:eastAsia="Arial" w:hAnsi="Arial"/>
                <w:sz w:val="17"/>
                <w:szCs w:val="17"/>
                <w:color w:val="auto"/>
              </w:rPr>
              <w:t>(Principal Executive Officer)</w:t>
            </w:r>
          </w:p>
        </w:tc>
        <w:tc>
          <w:tcPr>
            <w:tcW w:w="2900" w:type="dxa"/>
            <w:vAlign w:val="bottom"/>
          </w:tcPr>
          <w:p>
            <w:pPr>
              <w:spacing w:after="0"/>
              <w:rPr>
                <w:sz w:val="19"/>
                <w:szCs w:val="19"/>
                <w:color w:val="auto"/>
              </w:rPr>
            </w:pPr>
          </w:p>
        </w:tc>
      </w:tr>
      <w:tr>
        <w:trPr>
          <w:trHeight w:val="376"/>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1"/>
              </w:rPr>
              <w:t>/s/ Michael J. Van Handel</w:t>
            </w:r>
          </w:p>
        </w:tc>
        <w:tc>
          <w:tcPr>
            <w:tcW w:w="880" w:type="dxa"/>
            <w:vAlign w:val="bottom"/>
          </w:tcPr>
          <w:p>
            <w:pPr>
              <w:spacing w:after="0"/>
              <w:rPr>
                <w:sz w:val="24"/>
                <w:szCs w:val="24"/>
                <w:color w:val="auto"/>
              </w:rPr>
            </w:pPr>
          </w:p>
        </w:tc>
        <w:tc>
          <w:tcPr>
            <w:tcW w:w="5860" w:type="dxa"/>
            <w:vAlign w:val="bottom"/>
          </w:tcPr>
          <w:p>
            <w:pPr>
              <w:ind w:left="760"/>
              <w:spacing w:after="0"/>
              <w:rPr>
                <w:sz w:val="20"/>
                <w:szCs w:val="20"/>
                <w:color w:val="auto"/>
              </w:rPr>
            </w:pPr>
            <w:r>
              <w:rPr>
                <w:rFonts w:ascii="Arial" w:cs="Arial" w:eastAsia="Arial" w:hAnsi="Arial"/>
                <w:sz w:val="17"/>
                <w:szCs w:val="17"/>
                <w:color w:val="auto"/>
              </w:rPr>
              <w:t>Executive Vice President and Chief Financial Officer</w:t>
            </w:r>
          </w:p>
        </w:tc>
        <w:tc>
          <w:tcPr>
            <w:tcW w:w="2900" w:type="dxa"/>
            <w:vAlign w:val="bottom"/>
          </w:tcPr>
          <w:p>
            <w:pPr>
              <w:ind w:left="820"/>
              <w:spacing w:after="0"/>
              <w:rPr>
                <w:sz w:val="20"/>
                <w:szCs w:val="20"/>
                <w:color w:val="auto"/>
              </w:rPr>
            </w:pPr>
            <w:r>
              <w:rPr>
                <w:rFonts w:ascii="Arial" w:cs="Arial" w:eastAsia="Arial" w:hAnsi="Arial"/>
                <w:sz w:val="17"/>
                <w:szCs w:val="17"/>
                <w:color w:val="auto"/>
              </w:rPr>
              <w:t>February 21, 2014</w:t>
            </w:r>
          </w:p>
        </w:tc>
      </w:tr>
      <w:tr>
        <w:trPr>
          <w:trHeight w:val="224"/>
        </w:trPr>
        <w:tc>
          <w:tcPr>
            <w:tcW w:w="2660" w:type="dxa"/>
            <w:vAlign w:val="bottom"/>
            <w:gridSpan w:val="3"/>
          </w:tcPr>
          <w:p>
            <w:pPr>
              <w:spacing w:after="0"/>
              <w:rPr>
                <w:sz w:val="20"/>
                <w:szCs w:val="20"/>
                <w:color w:val="auto"/>
              </w:rPr>
            </w:pPr>
            <w:r>
              <w:rPr>
                <w:rFonts w:ascii="Arial" w:cs="Arial" w:eastAsia="Arial" w:hAnsi="Arial"/>
                <w:sz w:val="17"/>
                <w:szCs w:val="17"/>
                <w:color w:val="auto"/>
              </w:rPr>
              <w:t>Michael J. Van Handel</w:t>
            </w:r>
          </w:p>
        </w:tc>
        <w:tc>
          <w:tcPr>
            <w:tcW w:w="5860" w:type="dxa"/>
            <w:vAlign w:val="bottom"/>
          </w:tcPr>
          <w:p>
            <w:pPr>
              <w:ind w:left="760"/>
              <w:spacing w:after="0"/>
              <w:rPr>
                <w:sz w:val="20"/>
                <w:szCs w:val="20"/>
                <w:color w:val="auto"/>
              </w:rPr>
            </w:pPr>
            <w:r>
              <w:rPr>
                <w:rFonts w:ascii="Arial" w:cs="Arial" w:eastAsia="Arial" w:hAnsi="Arial"/>
                <w:sz w:val="17"/>
                <w:szCs w:val="17"/>
                <w:color w:val="auto"/>
              </w:rPr>
              <w:t>(Principal Financial Officer and Principal Accounting Officer)</w:t>
            </w:r>
          </w:p>
        </w:tc>
        <w:tc>
          <w:tcPr>
            <w:tcW w:w="2900" w:type="dxa"/>
            <w:vAlign w:val="bottom"/>
          </w:tcPr>
          <w:p>
            <w:pPr>
              <w:spacing w:after="0"/>
              <w:rPr>
                <w:sz w:val="19"/>
                <w:szCs w:val="19"/>
                <w:color w:val="auto"/>
              </w:rPr>
            </w:pPr>
          </w:p>
        </w:tc>
      </w:tr>
    </w:tbl>
    <w:p>
      <w:pPr>
        <w:spacing w:after="0" w:line="196" w:lineRule="exact"/>
        <w:rPr>
          <w:sz w:val="20"/>
          <w:szCs w:val="20"/>
          <w:color w:val="auto"/>
        </w:rPr>
      </w:pPr>
    </w:p>
    <w:p>
      <w:pPr>
        <w:ind w:right="300"/>
        <w:spacing w:after="0" w:line="280" w:lineRule="auto"/>
        <w:rPr>
          <w:sz w:val="20"/>
          <w:szCs w:val="20"/>
          <w:color w:val="auto"/>
        </w:rPr>
      </w:pPr>
      <w:r>
        <w:rPr>
          <w:rFonts w:ascii="Arial" w:cs="Arial" w:eastAsia="Arial" w:hAnsi="Arial"/>
          <w:sz w:val="17"/>
          <w:szCs w:val="17"/>
          <w:color w:val="auto"/>
        </w:rPr>
        <w:t>Directors: Marc J. Bolland, Gina R. Boswell, Cari M. Dominguez, William Downe, Jack M. Greenberg, Patricia A. Hemingway Hall, Terry A. Hueneke, Roberto Mendoza, Ulice Payne, Jr., Elizabeth P. Sartain, John R. Walter and Edward J. Zore</w:t>
      </w:r>
    </w:p>
    <w:p>
      <w:pPr>
        <w:spacing w:after="0" w:line="370"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February 21, 2014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auto"/>
              </w:rPr>
              <w:t>By:</w:t>
            </w:r>
          </w:p>
        </w:tc>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1"/>
              </w:rPr>
              <w:t>/s/ Richard Buchband</w:t>
            </w:r>
          </w:p>
        </w:tc>
      </w:tr>
      <w:tr>
        <w:trPr>
          <w:trHeight w:val="213"/>
        </w:trPr>
        <w:tc>
          <w:tcPr>
            <w:tcW w:w="10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Richard Buchband</w:t>
            </w:r>
          </w:p>
        </w:tc>
      </w:tr>
      <w:tr>
        <w:trPr>
          <w:trHeight w:val="217"/>
        </w:trPr>
        <w:tc>
          <w:tcPr>
            <w:tcW w:w="10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7"/>
                <w:szCs w:val="17"/>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hanging="457"/>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Pursuant to authority granted by powers of attorney, copies of which are filed herewith.</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63" w:right="23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ManpowerGroup Inc.</w:t>
      </w:r>
    </w:p>
    <w:p>
      <w:pPr>
        <w:spacing w:after="0" w:line="21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audited the consolidated financial statements of ManpowerGroup Inc. and subsidiaries (the "Company") as of December 31, 2013 and 2012, and for each of the three years in the period ended December 31, 2013, and the Company’s internal control over financial reporting as of December 31, 2013, and have issued our reports thereon dated February 21, 2014; such consolidated financial statements and reports are included in your 2013 Annual Report to Shareholders and are incorporated herein by reference. Our audits also included the consolidated financial statement schedule of the Company listed in Item 15.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21,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495" w:right="279" w:bottom="1440" w:gutter="0" w:footer="0" w:header="0"/>
        </w:sectPr>
      </w:pPr>
    </w:p>
    <w:bookmarkStart w:id="28" w:name="page29"/>
    <w:bookmarkEnd w:id="28"/>
    <w:p>
      <w:pPr>
        <w:ind w:left="3280"/>
        <w:spacing w:after="0"/>
        <w:rPr>
          <w:sz w:val="20"/>
          <w:szCs w:val="20"/>
          <w:color w:val="auto"/>
        </w:rPr>
      </w:pPr>
      <w:r>
        <w:rPr>
          <w:rFonts w:ascii="Arial" w:cs="Arial" w:eastAsia="Arial" w:hAnsi="Arial"/>
          <w:sz w:val="17"/>
          <w:szCs w:val="17"/>
          <w:b w:val="1"/>
          <w:bCs w:val="1"/>
          <w:color w:val="auto"/>
        </w:rPr>
        <w:t>SCHEDULE II - VALUATION AND QUALIFYING ACCOUNTS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years ended December 31, 2013, 2012 and 2011, in millions: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Allowance for Doubtful Accounts: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Balance at</w:t>
            </w:r>
          </w:p>
        </w:tc>
        <w:tc>
          <w:tcPr>
            <w:tcW w:w="12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Provisions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1"/>
              </w:rPr>
              <w:t>Balance</w:t>
            </w:r>
          </w:p>
        </w:tc>
      </w:tr>
      <w:tr>
        <w:trPr>
          <w:trHeight w:val="206"/>
        </w:trPr>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8"/>
              </w:rPr>
              <w:t>Beginning</w:t>
            </w: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Charged to</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5"/>
              </w:rPr>
              <w:t>Translation</w:t>
            </w:r>
          </w:p>
        </w:tc>
        <w:tc>
          <w:tcPr>
            <w:tcW w:w="1500" w:type="dxa"/>
            <w:vAlign w:val="bottom"/>
            <w:gridSpan w:val="4"/>
          </w:tcPr>
          <w:p>
            <w:pPr>
              <w:jc w:val="right"/>
              <w:ind w:right="200"/>
              <w:spacing w:after="0"/>
              <w:rPr>
                <w:sz w:val="20"/>
                <w:szCs w:val="20"/>
                <w:color w:val="auto"/>
              </w:rPr>
            </w:pPr>
            <w:r>
              <w:rPr>
                <w:rFonts w:ascii="Arial" w:cs="Arial" w:eastAsia="Arial" w:hAnsi="Arial"/>
                <w:sz w:val="17"/>
                <w:szCs w:val="17"/>
                <w:b w:val="1"/>
                <w:bCs w:val="1"/>
                <w:color w:val="auto"/>
                <w:w w:val="92"/>
              </w:rPr>
              <w:t>Reclassifications</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at End</w:t>
            </w:r>
          </w:p>
        </w:tc>
      </w:tr>
      <w:tr>
        <w:trPr>
          <w:trHeight w:val="231"/>
        </w:trPr>
        <w:tc>
          <w:tcPr>
            <w:tcW w:w="3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4"/>
              <w:spacing w:after="0"/>
              <w:rPr>
                <w:sz w:val="20"/>
                <w:szCs w:val="20"/>
                <w:color w:val="auto"/>
              </w:rPr>
            </w:pPr>
            <w:r>
              <w:rPr>
                <w:rFonts w:ascii="Arial" w:cs="Arial" w:eastAsia="Arial" w:hAnsi="Arial"/>
                <w:sz w:val="17"/>
                <w:szCs w:val="17"/>
                <w:b w:val="1"/>
                <w:bCs w:val="1"/>
                <w:color w:val="auto"/>
                <w:w w:val="93"/>
              </w:rPr>
              <w:t>of Year</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b w:val="1"/>
                <w:bCs w:val="1"/>
                <w:color w:val="auto"/>
                <w:w w:val="90"/>
              </w:rPr>
              <w:t>Earnings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Write-Offs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w w:val="89"/>
              </w:rPr>
              <w:t>Adjustments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b w:val="1"/>
                <w:bCs w:val="1"/>
                <w:color w:val="auto"/>
                <w:w w:val="99"/>
              </w:rPr>
              <w:t>and Other</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4"/>
              <w:spacing w:after="0"/>
              <w:rPr>
                <w:sz w:val="20"/>
                <w:szCs w:val="20"/>
                <w:color w:val="auto"/>
              </w:rPr>
            </w:pPr>
            <w:r>
              <w:rPr>
                <w:rFonts w:ascii="Arial" w:cs="Arial" w:eastAsia="Arial" w:hAnsi="Arial"/>
                <w:sz w:val="17"/>
                <w:szCs w:val="17"/>
                <w:b w:val="1"/>
                <w:bCs w:val="1"/>
                <w:color w:val="auto"/>
                <w:w w:val="90"/>
              </w:rPr>
              <w:t>of Year</w:t>
            </w:r>
          </w:p>
        </w:tc>
        <w:tc>
          <w:tcPr>
            <w:tcW w:w="100" w:type="dxa"/>
            <w:vAlign w:val="bottom"/>
          </w:tcPr>
          <w:p>
            <w:pPr>
              <w:spacing w:after="0"/>
              <w:rPr>
                <w:sz w:val="20"/>
                <w:szCs w:val="20"/>
                <w:color w:val="auto"/>
              </w:rPr>
            </w:pPr>
          </w:p>
        </w:tc>
      </w:tr>
      <w:tr>
        <w:trPr>
          <w:trHeight w:val="206"/>
        </w:trPr>
        <w:tc>
          <w:tcPr>
            <w:tcW w:w="3320" w:type="dxa"/>
            <w:vAlign w:val="bottom"/>
            <w:shd w:val="clear" w:color="auto" w:fill="CCEEFF"/>
          </w:tcPr>
          <w:p>
            <w:pPr>
              <w:jc w:val="right"/>
              <w:ind w:right="1454"/>
              <w:spacing w:after="0"/>
              <w:rPr>
                <w:sz w:val="20"/>
                <w:szCs w:val="20"/>
                <w:color w:val="auto"/>
              </w:rPr>
            </w:pPr>
            <w:r>
              <w:rPr>
                <w:rFonts w:ascii="Arial" w:cs="Arial" w:eastAsia="Arial" w:hAnsi="Arial"/>
                <w:sz w:val="17"/>
                <w:szCs w:val="17"/>
                <w:color w:val="auto"/>
              </w:rPr>
              <w:t>2013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118.0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0"/>
              </w:rPr>
              <w:t>24.1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118.6</w:t>
            </w:r>
          </w:p>
        </w:tc>
      </w:tr>
      <w:tr>
        <w:trPr>
          <w:trHeight w:val="206"/>
        </w:trPr>
        <w:tc>
          <w:tcPr>
            <w:tcW w:w="3320" w:type="dxa"/>
            <w:vAlign w:val="bottom"/>
          </w:tcPr>
          <w:p>
            <w:pPr>
              <w:jc w:val="right"/>
              <w:ind w:right="1454"/>
              <w:spacing w:after="0"/>
              <w:rPr>
                <w:sz w:val="20"/>
                <w:szCs w:val="20"/>
                <w:color w:val="auto"/>
              </w:rPr>
            </w:pPr>
            <w:r>
              <w:rPr>
                <w:rFonts w:ascii="Arial" w:cs="Arial" w:eastAsia="Arial" w:hAnsi="Arial"/>
                <w:sz w:val="17"/>
                <w:szCs w:val="17"/>
                <w:color w:val="auto"/>
              </w:rPr>
              <w:t>2012</w:t>
            </w:r>
          </w:p>
        </w:tc>
        <w:tc>
          <w:tcPr>
            <w:tcW w:w="140" w:type="dxa"/>
            <w:vAlign w:val="bottom"/>
          </w:tcPr>
          <w:p>
            <w:pPr>
              <w:spacing w:after="0"/>
              <w:rPr>
                <w:sz w:val="17"/>
                <w:szCs w:val="17"/>
                <w:color w:val="auto"/>
              </w:rPr>
            </w:pPr>
          </w:p>
        </w:tc>
        <w:tc>
          <w:tcPr>
            <w:tcW w:w="1000" w:type="dxa"/>
            <w:vAlign w:val="bottom"/>
          </w:tcPr>
          <w:p>
            <w:pPr>
              <w:ind w:left="620"/>
              <w:spacing w:after="0"/>
              <w:rPr>
                <w:sz w:val="20"/>
                <w:szCs w:val="20"/>
                <w:color w:val="auto"/>
              </w:rPr>
            </w:pPr>
            <w:r>
              <w:rPr>
                <w:rFonts w:ascii="Arial" w:cs="Arial" w:eastAsia="Arial" w:hAnsi="Arial"/>
                <w:sz w:val="17"/>
                <w:szCs w:val="17"/>
                <w:color w:val="auto"/>
                <w:w w:val="84"/>
              </w:rPr>
              <w:t>108.6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left="514"/>
              <w:spacing w:after="0"/>
              <w:rPr>
                <w:sz w:val="20"/>
                <w:szCs w:val="20"/>
                <w:color w:val="auto"/>
              </w:rPr>
            </w:pPr>
            <w:r>
              <w:rPr>
                <w:rFonts w:ascii="Arial" w:cs="Arial" w:eastAsia="Arial" w:hAnsi="Arial"/>
                <w:sz w:val="17"/>
                <w:szCs w:val="17"/>
                <w:color w:val="auto"/>
                <w:w w:val="90"/>
              </w:rPr>
              <w:t>29.2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118.0</w:t>
            </w:r>
          </w:p>
        </w:tc>
      </w:tr>
      <w:tr>
        <w:trPr>
          <w:trHeight w:val="206"/>
        </w:trPr>
        <w:tc>
          <w:tcPr>
            <w:tcW w:w="3320" w:type="dxa"/>
            <w:vAlign w:val="bottom"/>
            <w:shd w:val="clear" w:color="auto" w:fill="CCEEFF"/>
          </w:tcPr>
          <w:p>
            <w:pPr>
              <w:jc w:val="right"/>
              <w:ind w:right="1454"/>
              <w:spacing w:after="0"/>
              <w:rPr>
                <w:sz w:val="20"/>
                <w:szCs w:val="20"/>
                <w:color w:val="auto"/>
              </w:rPr>
            </w:pPr>
            <w:r>
              <w:rPr>
                <w:rFonts w:ascii="Arial" w:cs="Arial" w:eastAsia="Arial" w:hAnsi="Arial"/>
                <w:sz w:val="17"/>
                <w:szCs w:val="17"/>
                <w:color w:val="auto"/>
              </w:rPr>
              <w:t>2011</w:t>
            </w:r>
          </w:p>
        </w:tc>
        <w:tc>
          <w:tcPr>
            <w:tcW w:w="1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111.6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0"/>
              </w:rPr>
              <w:t>25.9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108.6</w:t>
            </w:r>
          </w:p>
        </w:tc>
      </w:tr>
      <w:tr>
        <w:trPr>
          <w:trHeight w:val="644"/>
        </w:trPr>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left="674"/>
              <w:spacing w:after="0"/>
              <w:rPr>
                <w:sz w:val="20"/>
                <w:szCs w:val="20"/>
                <w:color w:val="auto"/>
              </w:rPr>
            </w:pPr>
            <w:r>
              <w:rPr>
                <w:rFonts w:ascii="Arial" w:cs="Arial" w:eastAsia="Arial" w:hAnsi="Arial"/>
                <w:sz w:val="17"/>
                <w:szCs w:val="17"/>
                <w:color w:val="auto"/>
                <w:w w:val="94"/>
              </w:rPr>
              <w:t>29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1373" w:right="239" w:bottom="1440" w:gutter="0" w:footer="0" w:header="0"/>
        </w:sectPr>
      </w:pPr>
    </w:p>
    <w:bookmarkStart w:id="29" w:name="page30"/>
    <w:bookmarkEnd w:id="29"/>
    <w:p>
      <w:pPr>
        <w:spacing w:after="0" w:line="20"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Exhibit 10.7(a)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ManpowerGroup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Mr. Jeffrey A. Joerres:</w:t>
      </w:r>
    </w:p>
    <w:p>
      <w:pPr>
        <w:spacing w:after="0" w:line="243" w:lineRule="exact"/>
        <w:rPr>
          <w:sz w:val="20"/>
          <w:szCs w:val="20"/>
          <w:color w:val="auto"/>
        </w:rPr>
      </w:pPr>
    </w:p>
    <w:p>
      <w:pPr>
        <w:ind w:right="420" w:firstLine="620"/>
        <w:spacing w:after="0" w:line="280" w:lineRule="auto"/>
        <w:rPr>
          <w:sz w:val="20"/>
          <w:szCs w:val="20"/>
          <w:color w:val="auto"/>
        </w:rPr>
      </w:pPr>
      <w:r>
        <w:rPr>
          <w:rFonts w:ascii="Arial" w:cs="Arial" w:eastAsia="Arial" w:hAnsi="Arial"/>
          <w:sz w:val="17"/>
          <w:szCs w:val="17"/>
          <w:color w:val="auto"/>
        </w:rPr>
        <w:t>We have agreed as follows with respect to the compensation to be paid and the other benefits to be provided to you in connection with your continuing employment by ManpowerGroup Inc. (the “Corporation”):</w:t>
      </w:r>
    </w:p>
    <w:p>
      <w:pPr>
        <w:spacing w:after="0" w:line="189" w:lineRule="exact"/>
        <w:rPr>
          <w:sz w:val="20"/>
          <w:szCs w:val="20"/>
          <w:color w:val="auto"/>
        </w:rPr>
      </w:pPr>
    </w:p>
    <w:p>
      <w:pPr>
        <w:ind w:right="80" w:firstLine="623"/>
        <w:spacing w:after="0" w:line="283" w:lineRule="auto"/>
        <w:tabs>
          <w:tab w:leader="none" w:pos="834"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will be a period beginning on the date of this letter indicated above and ending on the first to occur of the following: (a) the date two years after the occurrence of a Change of Control, as defined in the letter to you of even date regarding other rights and obligations on termination of your employment; (b) February 20, 2017, if no Change of Control occurs between the date of this letter indicated above and February 20, 2017; or (c) the Date of Termination, as defined in the letter from the Corporation to you of even date regarding other rights and obligations on termination of your employment.</w:t>
      </w:r>
    </w:p>
    <w:p>
      <w:pPr>
        <w:spacing w:after="0" w:line="190" w:lineRule="exact"/>
        <w:rPr>
          <w:rFonts w:ascii="Arial" w:cs="Arial" w:eastAsia="Arial" w:hAnsi="Arial"/>
          <w:sz w:val="16"/>
          <w:szCs w:val="16"/>
          <w:color w:val="auto"/>
        </w:rPr>
      </w:pPr>
    </w:p>
    <w:p>
      <w:pPr>
        <w:ind w:left="840" w:hanging="217"/>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Base Compensation</w:t>
      </w:r>
      <w:r>
        <w:rPr>
          <w:rFonts w:ascii="Arial" w:cs="Arial" w:eastAsia="Arial" w:hAnsi="Arial"/>
          <w:sz w:val="16"/>
          <w:szCs w:val="16"/>
          <w:color w:val="auto"/>
        </w:rPr>
        <w:t>. You will be paid a base salary for your services during the Term at the rate of One Million Two Hundred Thousand Dollars</w:t>
      </w:r>
    </w:p>
    <w:p>
      <w:pPr>
        <w:spacing w:after="0" w:line="33"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($1,200,000) per year, as may be increased from time to time by the Corporation. Your base compensation will be paid in accordance with the Corporation’s regular payroll practices with respect to such compensation as in effect from time to time.</w:t>
      </w:r>
    </w:p>
    <w:p>
      <w:pPr>
        <w:spacing w:after="0" w:line="200" w:lineRule="exact"/>
        <w:rPr>
          <w:sz w:val="20"/>
          <w:szCs w:val="20"/>
          <w:color w:val="auto"/>
        </w:rPr>
      </w:pPr>
    </w:p>
    <w:p>
      <w:pPr>
        <w:ind w:right="20" w:firstLine="623"/>
        <w:spacing w:after="0" w:line="262" w:lineRule="auto"/>
        <w:tabs>
          <w:tab w:leader="none" w:pos="83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Incentive Bonus</w:t>
      </w:r>
      <w:r>
        <w:rPr>
          <w:rFonts w:ascii="Arial" w:cs="Arial" w:eastAsia="Arial" w:hAnsi="Arial"/>
          <w:sz w:val="17"/>
          <w:szCs w:val="17"/>
          <w:color w:val="auto"/>
        </w:rPr>
        <w:t>. You also will be entitled to receive incentive compensation for your services during the Term in accordance with an incentive compensation plan approved and administered by the Executive Compensation and Human Resources Committee of the Board of Directors of the Corporation. Such plan may be amended or replaced from time to time by such Committee, but without your agreement no such action will adversely affect any rights you may have under such plan as of the time of such action.</w:t>
      </w:r>
    </w:p>
    <w:p>
      <w:pPr>
        <w:spacing w:after="0" w:line="204" w:lineRule="exact"/>
        <w:rPr>
          <w:rFonts w:ascii="Arial" w:cs="Arial" w:eastAsia="Arial" w:hAnsi="Arial"/>
          <w:sz w:val="17"/>
          <w:szCs w:val="17"/>
          <w:color w:val="auto"/>
        </w:rPr>
      </w:pPr>
    </w:p>
    <w:p>
      <w:pPr>
        <w:ind w:right="80" w:firstLine="623"/>
        <w:spacing w:after="0" w:line="280" w:lineRule="auto"/>
        <w:tabs>
          <w:tab w:leader="none" w:pos="834"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entire Term, the Corporation will provide you with, and you will be eligible for, all benefits of employment generally made available to the senior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executive personnel of the Corporation of similar rank. You also will be entitled to vacations and perquisites in accordance with the Corporation’s policies as in effect from time to time for senior executives of the Corporation.</w:t>
      </w:r>
    </w:p>
    <w:p>
      <w:pPr>
        <w:spacing w:after="0" w:line="191" w:lineRule="exact"/>
        <w:rPr>
          <w:rFonts w:ascii="Arial" w:cs="Arial" w:eastAsia="Arial" w:hAnsi="Arial"/>
          <w:sz w:val="16"/>
          <w:szCs w:val="16"/>
          <w:color w:val="auto"/>
        </w:rPr>
      </w:pPr>
    </w:p>
    <w:p>
      <w:pPr>
        <w:jc w:val="both"/>
        <w:ind w:right="260" w:firstLine="623"/>
        <w:spacing w:after="0" w:line="266" w:lineRule="auto"/>
        <w:tabs>
          <w:tab w:leader="none" w:pos="834"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201" w:lineRule="exact"/>
        <w:rPr>
          <w:rFonts w:ascii="Arial" w:cs="Arial" w:eastAsia="Arial" w:hAnsi="Arial"/>
          <w:sz w:val="17"/>
          <w:szCs w:val="17"/>
          <w:color w:val="auto"/>
        </w:rPr>
      </w:pPr>
    </w:p>
    <w:p>
      <w:pPr>
        <w:ind w:left="840" w:hanging="217"/>
        <w:spacing w:after="0"/>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Nondisclosure and Nonsolicitation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480" w:hanging="238"/>
        <w:spacing w:after="0"/>
        <w:tabs>
          <w:tab w:leader="none" w:pos="1480"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240" w:right="20" w:firstLine="622"/>
        <w:spacing w:after="0" w:line="272" w:lineRule="auto"/>
        <w:tabs>
          <w:tab w:leader="none" w:pos="2101" w:val="left"/>
        </w:tabs>
        <w:numPr>
          <w:ilvl w:val="2"/>
          <w:numId w:val="23"/>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Corporation and its direct and indirect subsidiaries (collectively,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(a) you first secure written consent of the Corporation to such disclosure, possession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Notwithstanding the foregoing, the rights of the Consolidated ManpowerGroup to protect business information which constitutes trade secrets under applicable trade secrets law or privileged information shall extend beyond such two-year period, in accordance with applicable law.</w:t>
      </w:r>
    </w:p>
    <w:p>
      <w:pPr>
        <w:spacing w:after="0" w:line="201" w:lineRule="exact"/>
        <w:rPr>
          <w:rFonts w:ascii="Arial" w:cs="Arial" w:eastAsia="Arial" w:hAnsi="Arial"/>
          <w:sz w:val="16"/>
          <w:szCs w:val="16"/>
          <w:color w:val="auto"/>
        </w:rPr>
      </w:pPr>
    </w:p>
    <w:p>
      <w:pPr>
        <w:ind w:left="1240" w:right="180" w:firstLine="622"/>
        <w:spacing w:after="0" w:line="262" w:lineRule="auto"/>
        <w:tabs>
          <w:tab w:leader="none" w:pos="2156" w:val="left"/>
        </w:tabs>
        <w:numPr>
          <w:ilvl w:val="2"/>
          <w:numId w:val="23"/>
        </w:numPr>
        <w:rPr>
          <w:rFonts w:ascii="Arial" w:cs="Arial" w:eastAsia="Arial" w:hAnsi="Arial"/>
          <w:sz w:val="17"/>
          <w:szCs w:val="17"/>
          <w:color w:val="auto"/>
        </w:rPr>
      </w:pPr>
      <w:r>
        <w:rPr>
          <w:rFonts w:ascii="Arial" w:cs="Arial" w:eastAsia="Arial" w:hAnsi="Arial"/>
          <w:sz w:val="17"/>
          <w:szCs w:val="17"/>
          <w:color w:val="auto"/>
        </w:rPr>
        <w:t>Upon your termination of employment, for whatever reason,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04" w:lineRule="exact"/>
        <w:rPr>
          <w:rFonts w:ascii="Arial" w:cs="Arial" w:eastAsia="Arial" w:hAnsi="Arial"/>
          <w:sz w:val="17"/>
          <w:szCs w:val="17"/>
          <w:color w:val="auto"/>
        </w:rPr>
      </w:pPr>
    </w:p>
    <w:p>
      <w:pPr>
        <w:ind w:left="620" w:right="20" w:firstLine="622"/>
        <w:spacing w:after="0" w:line="257" w:lineRule="auto"/>
        <w:tabs>
          <w:tab w:leader="none" w:pos="1526" w:val="left"/>
        </w:tabs>
        <w:numPr>
          <w:ilvl w:val="1"/>
          <w:numId w:val="23"/>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pacing w:after="0" w:line="212" w:lineRule="exact"/>
        <w:rPr>
          <w:rFonts w:ascii="Arial" w:cs="Arial" w:eastAsia="Arial" w:hAnsi="Arial"/>
          <w:sz w:val="17"/>
          <w:szCs w:val="17"/>
          <w:color w:val="auto"/>
        </w:rPr>
      </w:pPr>
    </w:p>
    <w:p>
      <w:pPr>
        <w:ind w:left="620" w:right="360" w:firstLine="622"/>
        <w:spacing w:after="0" w:line="349" w:lineRule="auto"/>
        <w:tabs>
          <w:tab w:leader="none" w:pos="1516" w:val="left"/>
        </w:tabs>
        <w:numPr>
          <w:ilvl w:val="1"/>
          <w:numId w:val="23"/>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Consolidated ManpowerGroup and its businesses and properties in the event of your breach of any of the restrictions imposed by Sections 6(a) - (b), above. You therefore agree that, in the event of any such</w:t>
      </w:r>
    </w:p>
    <w:p>
      <w:pPr>
        <w:sectPr>
          <w:pgSz w:w="11900" w:h="16858" w:orient="portrait"/>
          <w:cols w:equalWidth="0" w:num="1">
            <w:col w:w="11420"/>
          </w:cols>
          <w:pgMar w:left="240" w:top="114" w:right="239" w:bottom="0" w:gutter="0" w:footer="0" w:header="0"/>
        </w:sectPr>
      </w:pPr>
    </w:p>
    <w:bookmarkStart w:id="30" w:name="page31"/>
    <w:bookmarkEnd w:id="30"/>
    <w:p>
      <w:pPr>
        <w:spacing w:after="0" w:line="49" w:lineRule="exact"/>
        <w:rPr>
          <w:sz w:val="20"/>
          <w:szCs w:val="20"/>
          <w:color w:val="auto"/>
        </w:rPr>
      </w:pPr>
    </w:p>
    <w:p>
      <w:pPr>
        <w:ind w:left="620" w:right="140"/>
        <w:spacing w:after="0" w:line="262" w:lineRule="auto"/>
        <w:rPr>
          <w:sz w:val="20"/>
          <w:szCs w:val="20"/>
          <w:color w:val="auto"/>
        </w:rPr>
      </w:pPr>
      <w:r>
        <w:rPr>
          <w:rFonts w:ascii="Arial" w:cs="Arial" w:eastAsia="Arial" w:hAnsi="Arial"/>
          <w:sz w:val="17"/>
          <w:szCs w:val="17"/>
          <w:color w:val="auto"/>
        </w:rPr>
        <w:t>actual, impending or threatened breach, the Corporation will be entitled, in addition to any other remedies and damages available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205" w:lineRule="exact"/>
        <w:rPr>
          <w:sz w:val="20"/>
          <w:szCs w:val="20"/>
          <w:color w:val="auto"/>
        </w:rPr>
      </w:pPr>
    </w:p>
    <w:p>
      <w:pPr>
        <w:ind w:right="460" w:firstLine="623"/>
        <w:spacing w:after="0" w:line="280" w:lineRule="auto"/>
        <w:tabs>
          <w:tab w:leader="none" w:pos="83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ind w:right="40" w:firstLine="623"/>
        <w:spacing w:after="0" w:line="266" w:lineRule="auto"/>
        <w:tabs>
          <w:tab w:leader="none" w:pos="83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ind w:right="140" w:firstLine="623"/>
        <w:spacing w:after="0" w:line="262" w:lineRule="auto"/>
        <w:tabs>
          <w:tab w:leader="none" w:pos="83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subject to the obligations of the Corporation and the Consolidated ManpowerGroup as set forth herein.</w:t>
      </w:r>
    </w:p>
    <w:p>
      <w:pPr>
        <w:spacing w:after="0" w:line="204" w:lineRule="exact"/>
        <w:rPr>
          <w:rFonts w:ascii="Arial" w:cs="Arial" w:eastAsia="Arial" w:hAnsi="Arial"/>
          <w:sz w:val="17"/>
          <w:szCs w:val="17"/>
          <w:color w:val="auto"/>
        </w:rPr>
      </w:pPr>
    </w:p>
    <w:p>
      <w:pPr>
        <w:ind w:right="200" w:firstLine="623"/>
        <w:spacing w:after="0" w:line="280"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right="200" w:firstLine="623"/>
        <w:spacing w:after="0" w:line="280" w:lineRule="auto"/>
        <w:tabs>
          <w:tab w:leader="none" w:pos="914"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right="20" w:firstLine="623"/>
        <w:spacing w:after="0" w:line="280"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right="200" w:firstLine="623"/>
        <w:spacing w:after="0" w:line="266" w:lineRule="auto"/>
        <w:tabs>
          <w:tab w:leader="none" w:pos="92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Previous Agreement</w:t>
      </w:r>
      <w:r>
        <w:rPr>
          <w:rFonts w:ascii="Arial" w:cs="Arial" w:eastAsia="Arial" w:hAnsi="Arial"/>
          <w:sz w:val="17"/>
          <w:szCs w:val="17"/>
          <w:color w:val="auto"/>
        </w:rPr>
        <w:t>. This letter, upon acceptance by you, expressly supersedes that certain letter agreement between you and the Corporation dated February 16, 2011, which primarily concerns your compensation and benefits, and such agreement shall, as of the date of your acceptance, have no further force or effect.</w:t>
      </w:r>
    </w:p>
    <w:p>
      <w:pPr>
        <w:spacing w:after="0" w:line="201" w:lineRule="exact"/>
        <w:rPr>
          <w:rFonts w:ascii="Arial" w:cs="Arial" w:eastAsia="Arial" w:hAnsi="Arial"/>
          <w:sz w:val="17"/>
          <w:szCs w:val="17"/>
          <w:color w:val="auto"/>
        </w:rPr>
      </w:pPr>
    </w:p>
    <w:p>
      <w:pPr>
        <w:ind w:right="60" w:firstLine="623"/>
        <w:spacing w:after="0" w:line="283" w:lineRule="auto"/>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Subsection 6(c)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190" w:lineRule="exact"/>
        <w:rPr>
          <w:sz w:val="20"/>
          <w:szCs w:val="20"/>
          <w:color w:val="auto"/>
        </w:rPr>
      </w:pPr>
    </w:p>
    <w:p>
      <w:pPr>
        <w:ind w:left="1240" w:right="20" w:hanging="617"/>
        <w:spacing w:after="0" w:line="273" w:lineRule="auto"/>
        <w:tabs>
          <w:tab w:leader="none" w:pos="12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8" w:lineRule="exact"/>
        <w:rPr>
          <w:rFonts w:ascii="Arial" w:cs="Arial" w:eastAsia="Arial" w:hAnsi="Arial"/>
          <w:sz w:val="16"/>
          <w:szCs w:val="16"/>
          <w:color w:val="auto"/>
        </w:rPr>
      </w:pPr>
    </w:p>
    <w:p>
      <w:pPr>
        <w:jc w:val="both"/>
        <w:ind w:left="1240" w:hanging="284"/>
        <w:spacing w:after="0" w:line="255" w:lineRule="auto"/>
        <w:tabs>
          <w:tab w:leader="none" w:pos="12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18" w:lineRule="exact"/>
        <w:rPr>
          <w:sz w:val="20"/>
          <w:szCs w:val="20"/>
          <w:color w:val="auto"/>
        </w:rPr>
      </w:pPr>
    </w:p>
    <w:p>
      <w:pPr>
        <w:ind w:right="420" w:firstLine="623"/>
        <w:spacing w:after="0" w:line="280" w:lineRule="auto"/>
        <w:tabs>
          <w:tab w:leader="none" w:pos="1308"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 6, above, of this agreement are severable and should be construed independently of each other. The invalidity of one such provision shall not affect the validity of any other such provision.</w:t>
      </w:r>
    </w:p>
    <w:p>
      <w:pPr>
        <w:spacing w:after="0" w:line="189" w:lineRule="exact"/>
        <w:rPr>
          <w:sz w:val="20"/>
          <w:szCs w:val="20"/>
          <w:color w:val="auto"/>
        </w:rPr>
      </w:pPr>
    </w:p>
    <w:p>
      <w:pPr>
        <w:ind w:right="380" w:firstLine="620"/>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-8890</wp:posOffset>
            </wp:positionV>
            <wp:extent cx="1152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5252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 Executive Vice President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and Chief Financial Officer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20th day of February, 2014.</w:t>
      </w:r>
    </w:p>
    <w:p>
      <w:pPr>
        <w:sectPr>
          <w:pgSz w:w="11900" w:h="16887" w:orient="portrait"/>
          <w:cols w:equalWidth="0" w:num="1">
            <w:col w:w="11420"/>
          </w:cols>
          <w:pgMar w:left="240" w:top="127" w:right="239" w:bottom="0" w:gutter="0" w:footer="0" w:header="0"/>
        </w:sectPr>
      </w:pPr>
    </w:p>
    <w:bookmarkStart w:id="31" w:name="page32"/>
    <w:bookmarkEnd w:id="31"/>
    <w:p>
      <w:pPr>
        <w:spacing w:after="0"/>
        <w:rPr>
          <w:sz w:val="20"/>
          <w:szCs w:val="20"/>
          <w:color w:val="auto"/>
        </w:rPr>
      </w:pPr>
      <w:r>
        <w:rPr>
          <w:rFonts w:ascii="Arial" w:cs="Arial" w:eastAsia="Arial" w:hAnsi="Arial"/>
          <w:sz w:val="15"/>
          <w:szCs w:val="15"/>
          <w:u w:val="single" w:color="auto"/>
          <w:color w:val="auto"/>
        </w:rPr>
        <w:t>/s/ Jeffrey A. Joerres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ectPr>
          <w:pgSz w:w="11900" w:h="16838" w:orient="portrait"/>
          <w:cols w:equalWidth="0" w:num="1">
            <w:col w:w="10219"/>
          </w:cols>
          <w:pgMar w:left="240" w:top="824" w:right="1440" w:bottom="1440" w:gutter="0" w:footer="0" w:header="0"/>
        </w:sectPr>
      </w:pPr>
    </w:p>
    <w:bookmarkStart w:id="32" w:name="page33"/>
    <w:bookmarkEnd w:id="32"/>
    <w:p>
      <w:pPr>
        <w:ind w:left="10100"/>
        <w:spacing w:after="0"/>
        <w:rPr>
          <w:sz w:val="20"/>
          <w:szCs w:val="20"/>
          <w:color w:val="auto"/>
        </w:rPr>
      </w:pPr>
      <w:r>
        <w:rPr>
          <w:rFonts w:ascii="Arial" w:cs="Arial" w:eastAsia="Arial" w:hAnsi="Arial"/>
          <w:sz w:val="19"/>
          <w:szCs w:val="19"/>
          <w:b w:val="1"/>
          <w:bCs w:val="1"/>
          <w:color w:val="auto"/>
        </w:rPr>
        <w:t>Exhibit 10.7(b)</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ManpowerGroup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20, 2014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Mr. Jeffrey A. Joerres:</w:t>
      </w:r>
    </w:p>
    <w:p>
      <w:pPr>
        <w:spacing w:after="0" w:line="243" w:lineRule="exact"/>
        <w:rPr>
          <w:sz w:val="20"/>
          <w:szCs w:val="20"/>
          <w:color w:val="auto"/>
        </w:rPr>
      </w:pPr>
    </w:p>
    <w:p>
      <w:pPr>
        <w:ind w:right="100" w:firstLine="620"/>
        <w:spacing w:after="0" w:line="291"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 Consolidated ManpowerGroup”). Accordingly, as an inducement for you to continue your employment in order to assure the continued availability of your services to the Consolidated ManpowerGroup, we have agreed as follows:</w:t>
      </w:r>
    </w:p>
    <w:p>
      <w:pPr>
        <w:spacing w:after="0" w:line="183" w:lineRule="exact"/>
        <w:rPr>
          <w:sz w:val="20"/>
          <w:szCs w:val="20"/>
          <w:color w:val="auto"/>
        </w:rPr>
      </w:pPr>
    </w:p>
    <w:p>
      <w:pPr>
        <w:ind w:left="620" w:hanging="212"/>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letter:</w:t>
      </w:r>
    </w:p>
    <w:p>
      <w:pPr>
        <w:spacing w:after="0" w:line="243" w:lineRule="exact"/>
        <w:rPr>
          <w:rFonts w:ascii="Arial" w:cs="Arial" w:eastAsia="Arial" w:hAnsi="Arial"/>
          <w:sz w:val="17"/>
          <w:szCs w:val="17"/>
          <w:color w:val="auto"/>
        </w:rPr>
      </w:pPr>
    </w:p>
    <w:p>
      <w:pPr>
        <w:jc w:val="both"/>
        <w:ind w:left="1240" w:hanging="275"/>
        <w:spacing w:after="0" w:line="272" w:lineRule="auto"/>
        <w:tabs>
          <w:tab w:leader="none" w:pos="1240"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Executive Compensation and Human Resources Committee of the Board of Directors, (ii) failure or refusal to follow the reasonable instructions or direction of the Board of Directors, which failure or refusal remains uncured, if subject to cure, to the reasonable satisfaction of the Board of Directors for five (5) business days after receiving notice thereof from the Executive Compensation and Human Resources Committee, or repeated failure or refusal to follow the reasonable instructions or directions of the Board of Directors, (iii) any act by you of fraud, material dishonesty or material disloyalty involving the Consolidated ManpowerGroup, (iv) any violation by you of a Consolidated ManpowerGroup policy of material import (including, but not limited to, the Code of Business Conduct and Ethics, the Policy on Insider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1(a), no act, or failure to act, on your part will be deemed “willful” unless done, or omitted to be done, by you not in good faith.</w:t>
      </w:r>
    </w:p>
    <w:p>
      <w:pPr>
        <w:spacing w:after="0" w:line="203" w:lineRule="exact"/>
        <w:rPr>
          <w:rFonts w:ascii="Arial" w:cs="Arial" w:eastAsia="Arial" w:hAnsi="Arial"/>
          <w:sz w:val="16"/>
          <w:szCs w:val="16"/>
          <w:color w:val="auto"/>
        </w:rPr>
      </w:pPr>
    </w:p>
    <w:p>
      <w:pPr>
        <w:ind w:left="1240" w:hanging="284"/>
        <w:spacing w:after="0"/>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shall mean the first to occur of any of the following:</w:t>
      </w:r>
    </w:p>
    <w:p>
      <w:pPr>
        <w:spacing w:after="0" w:line="243" w:lineRule="exact"/>
        <w:rPr>
          <w:rFonts w:ascii="Arial" w:cs="Arial" w:eastAsia="Arial" w:hAnsi="Arial"/>
          <w:sz w:val="17"/>
          <w:szCs w:val="17"/>
          <w:color w:val="auto"/>
        </w:rPr>
      </w:pPr>
    </w:p>
    <w:p>
      <w:pPr>
        <w:jc w:val="both"/>
        <w:ind w:left="1860" w:hanging="247"/>
        <w:spacing w:after="0" w:line="292" w:lineRule="auto"/>
        <w:tabs>
          <w:tab w:leader="none" w:pos="1860" w:val="left"/>
        </w:tabs>
        <w:numPr>
          <w:ilvl w:val="2"/>
          <w:numId w:val="27"/>
        </w:numPr>
        <w:rPr>
          <w:rFonts w:ascii="Arial" w:cs="Arial" w:eastAsia="Arial" w:hAnsi="Arial"/>
          <w:sz w:val="15"/>
          <w:szCs w:val="15"/>
          <w:color w:val="auto"/>
        </w:rPr>
      </w:pPr>
      <w:r>
        <w:rPr>
          <w:rFonts w:ascii="Arial" w:cs="Arial" w:eastAsia="Arial" w:hAnsi="Arial"/>
          <w:sz w:val="15"/>
          <w:szCs w:val="15"/>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91" w:lineRule="exact"/>
        <w:rPr>
          <w:rFonts w:ascii="Arial" w:cs="Arial" w:eastAsia="Arial" w:hAnsi="Arial"/>
          <w:sz w:val="15"/>
          <w:szCs w:val="15"/>
          <w:color w:val="auto"/>
        </w:rPr>
      </w:pPr>
    </w:p>
    <w:p>
      <w:pPr>
        <w:jc w:val="both"/>
        <w:ind w:left="1860" w:hanging="294"/>
        <w:spacing w:after="0" w:line="299" w:lineRule="auto"/>
        <w:tabs>
          <w:tab w:leader="none" w:pos="1860" w:val="left"/>
        </w:tabs>
        <w:numPr>
          <w:ilvl w:val="2"/>
          <w:numId w:val="27"/>
        </w:numPr>
        <w:rPr>
          <w:rFonts w:ascii="Arial" w:cs="Arial" w:eastAsia="Arial" w:hAnsi="Arial"/>
          <w:sz w:val="15"/>
          <w:szCs w:val="15"/>
          <w:color w:val="auto"/>
        </w:rPr>
      </w:pPr>
      <w:r>
        <w:rPr>
          <w:rFonts w:ascii="Arial" w:cs="Arial" w:eastAsia="Arial" w:hAnsi="Arial"/>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1" w:lineRule="exact"/>
        <w:rPr>
          <w:rFonts w:ascii="Arial" w:cs="Arial" w:eastAsia="Arial" w:hAnsi="Arial"/>
          <w:sz w:val="15"/>
          <w:szCs w:val="15"/>
          <w:color w:val="auto"/>
        </w:rPr>
      </w:pPr>
    </w:p>
    <w:p>
      <w:pPr>
        <w:ind w:left="1860" w:hanging="342"/>
        <w:spacing w:after="0" w:line="280" w:lineRule="auto"/>
        <w:tabs>
          <w:tab w:leader="none" w:pos="1860" w:val="left"/>
        </w:tabs>
        <w:numPr>
          <w:ilvl w:val="2"/>
          <w:numId w:val="27"/>
        </w:numPr>
        <w:rPr>
          <w:rFonts w:ascii="Arial" w:cs="Arial" w:eastAsia="Arial" w:hAnsi="Arial"/>
          <w:sz w:val="17"/>
          <w:szCs w:val="17"/>
          <w:color w:val="auto"/>
        </w:rPr>
      </w:pPr>
      <w:r>
        <w:rPr>
          <w:rFonts w:ascii="Arial" w:cs="Arial" w:eastAsia="Arial" w:hAnsi="Arial"/>
          <w:sz w:val="17"/>
          <w:szCs w:val="17"/>
          <w:color w:val="auto"/>
        </w:rPr>
        <w:t>the consummation of any liquidation or dissolution of the Corporation or a sale or other disposition of all or substantially all of the assets of the Corporation; or</w:t>
      </w:r>
    </w:p>
    <w:p>
      <w:pPr>
        <w:spacing w:after="0" w:line="189" w:lineRule="exact"/>
        <w:rPr>
          <w:rFonts w:ascii="Arial" w:cs="Arial" w:eastAsia="Arial" w:hAnsi="Arial"/>
          <w:sz w:val="17"/>
          <w:szCs w:val="17"/>
          <w:color w:val="auto"/>
        </w:rPr>
      </w:pPr>
    </w:p>
    <w:p>
      <w:pPr>
        <w:jc w:val="both"/>
        <w:ind w:left="1860" w:hanging="333"/>
        <w:spacing w:after="0" w:line="257" w:lineRule="auto"/>
        <w:tabs>
          <w:tab w:leader="none" w:pos="1860" w:val="left"/>
        </w:tabs>
        <w:numPr>
          <w:ilvl w:val="2"/>
          <w:numId w:val="27"/>
        </w:numPr>
        <w:rPr>
          <w:rFonts w:ascii="Arial" w:cs="Arial" w:eastAsia="Arial" w:hAnsi="Arial"/>
          <w:sz w:val="17"/>
          <w:szCs w:val="17"/>
          <w:color w:val="auto"/>
        </w:rPr>
      </w:pPr>
      <w:r>
        <w:rPr>
          <w:rFonts w:ascii="Arial" w:cs="Arial" w:eastAsia="Arial" w:hAnsi="Arial"/>
          <w:sz w:val="17"/>
          <w:szCs w:val="17"/>
          <w:color w:val="auto"/>
        </w:rPr>
        <w:t xml:space="preserve">individuals who, as of the date of this letter, constitute the Board of Directors of the Corporation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12" w:lineRule="exact"/>
        <w:rPr>
          <w:rFonts w:ascii="Arial" w:cs="Arial" w:eastAsia="Arial" w:hAnsi="Arial"/>
          <w:sz w:val="17"/>
          <w:szCs w:val="17"/>
          <w:color w:val="auto"/>
        </w:rPr>
      </w:pPr>
    </w:p>
    <w:p>
      <w:pPr>
        <w:jc w:val="both"/>
        <w:ind w:left="1860" w:hanging="285"/>
        <w:spacing w:after="0" w:line="318" w:lineRule="auto"/>
        <w:tabs>
          <w:tab w:leader="none" w:pos="1860" w:val="left"/>
        </w:tabs>
        <w:numPr>
          <w:ilvl w:val="2"/>
          <w:numId w:val="27"/>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ectPr>
          <w:pgSz w:w="11900" w:h="16838" w:orient="portrait"/>
          <w:cols w:equalWidth="0" w:num="1">
            <w:col w:w="11420"/>
          </w:cols>
          <w:pgMar w:left="240" w:top="114" w:right="239" w:bottom="0" w:gutter="0" w:footer="0" w:header="0"/>
        </w:sectPr>
      </w:pPr>
    </w:p>
    <w:bookmarkStart w:id="33" w:name="page34"/>
    <w:bookmarkEnd w:id="33"/>
    <w:p>
      <w:pPr>
        <w:ind w:left="1452" w:right="480" w:hanging="618"/>
        <w:spacing w:after="0" w:line="280" w:lineRule="auto"/>
        <w:tabs>
          <w:tab w:leader="none" w:pos="14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any material breach of any material obligation of any member of the Consolidated ManpowerGroup for the payment or provision of compensation or other benefits to you;</w:t>
      </w:r>
    </w:p>
    <w:p>
      <w:pPr>
        <w:spacing w:after="0" w:line="189" w:lineRule="exact"/>
        <w:rPr>
          <w:rFonts w:ascii="Arial" w:cs="Arial" w:eastAsia="Arial" w:hAnsi="Arial"/>
          <w:sz w:val="17"/>
          <w:szCs w:val="17"/>
          <w:color w:val="auto"/>
        </w:rPr>
      </w:pPr>
    </w:p>
    <w:p>
      <w:pPr>
        <w:ind w:left="1452" w:hanging="618"/>
        <w:spacing w:after="0"/>
        <w:tabs>
          <w:tab w:leader="none" w:pos="14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material diminution in your base salary;</w:t>
      </w:r>
    </w:p>
    <w:p>
      <w:pPr>
        <w:spacing w:after="0" w:line="243" w:lineRule="exact"/>
        <w:rPr>
          <w:rFonts w:ascii="Arial" w:cs="Arial" w:eastAsia="Arial" w:hAnsi="Arial"/>
          <w:sz w:val="17"/>
          <w:szCs w:val="17"/>
          <w:color w:val="auto"/>
        </w:rPr>
      </w:pPr>
    </w:p>
    <w:p>
      <w:pPr>
        <w:ind w:left="1452" w:right="40" w:hanging="618"/>
        <w:spacing w:after="0" w:line="266" w:lineRule="auto"/>
        <w:tabs>
          <w:tab w:leader="none" w:pos="14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01" w:lineRule="exact"/>
        <w:rPr>
          <w:rFonts w:ascii="Arial" w:cs="Arial" w:eastAsia="Arial" w:hAnsi="Arial"/>
          <w:sz w:val="17"/>
          <w:szCs w:val="17"/>
          <w:color w:val="auto"/>
        </w:rPr>
      </w:pPr>
    </w:p>
    <w:p>
      <w:pPr>
        <w:ind w:left="1452" w:right="240" w:hanging="618"/>
        <w:spacing w:after="0" w:line="280" w:lineRule="auto"/>
        <w:tabs>
          <w:tab w:leader="none" w:pos="14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89" w:lineRule="exact"/>
        <w:rPr>
          <w:rFonts w:ascii="Arial" w:cs="Arial" w:eastAsia="Arial" w:hAnsi="Arial"/>
          <w:sz w:val="17"/>
          <w:szCs w:val="17"/>
          <w:color w:val="auto"/>
        </w:rPr>
      </w:pPr>
    </w:p>
    <w:p>
      <w:pPr>
        <w:ind w:left="1452" w:right="200" w:hanging="618"/>
        <w:spacing w:after="0" w:line="266" w:lineRule="auto"/>
        <w:tabs>
          <w:tab w:leader="none" w:pos="14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01" w:lineRule="exact"/>
        <w:rPr>
          <w:rFonts w:ascii="Arial" w:cs="Arial" w:eastAsia="Arial" w:hAnsi="Arial"/>
          <w:sz w:val="17"/>
          <w:szCs w:val="17"/>
          <w:color w:val="auto"/>
        </w:rPr>
      </w:pPr>
    </w:p>
    <w:p>
      <w:pPr>
        <w:ind w:left="1452" w:right="300" w:hanging="618"/>
        <w:spacing w:after="0" w:line="280" w:lineRule="auto"/>
        <w:tabs>
          <w:tab w:leader="none" w:pos="1452" w:val="left"/>
        </w:tabs>
        <w:numPr>
          <w:ilvl w:val="0"/>
          <w:numId w:val="28"/>
        </w:numPr>
        <w:rPr>
          <w:rFonts w:ascii="Arial" w:cs="Arial" w:eastAsia="Arial" w:hAnsi="Arial"/>
          <w:sz w:val="17"/>
          <w:szCs w:val="17"/>
          <w:color w:val="auto"/>
        </w:rPr>
      </w:pPr>
      <w:r>
        <w:rPr>
          <w:rFonts w:ascii="Arial" w:cs="Arial" w:eastAsia="Arial" w:hAnsi="Arial"/>
          <w:sz w:val="17"/>
          <w:szCs w:val="17"/>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89" w:lineRule="exact"/>
        <w:rPr>
          <w:sz w:val="20"/>
          <w:szCs w:val="20"/>
          <w:color w:val="auto"/>
        </w:rPr>
      </w:pPr>
    </w:p>
    <w:p>
      <w:pPr>
        <w:ind w:left="832" w:right="60"/>
        <w:spacing w:after="0" w:line="262" w:lineRule="auto"/>
        <w:rPr>
          <w:sz w:val="20"/>
          <w:szCs w:val="20"/>
          <w:color w:val="auto"/>
        </w:rPr>
      </w:pPr>
      <w:r>
        <w:rPr>
          <w:rFonts w:ascii="Arial" w:cs="Arial" w:eastAsia="Arial" w:hAnsi="Arial"/>
          <w:sz w:val="17"/>
          <w:szCs w:val="17"/>
          <w:color w:val="auto"/>
        </w:rPr>
        <w:t>Notwithstanding Subsections 1(c)(i)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205" w:lineRule="exact"/>
        <w:rPr>
          <w:sz w:val="20"/>
          <w:szCs w:val="20"/>
          <w:color w:val="auto"/>
        </w:rPr>
      </w:pPr>
    </w:p>
    <w:p>
      <w:pPr>
        <w:jc w:val="both"/>
        <w:ind w:left="832" w:hanging="284"/>
        <w:spacing w:after="0" w:line="260" w:lineRule="auto"/>
        <w:tabs>
          <w:tab w:leader="none" w:pos="83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05" w:lineRule="exact"/>
        <w:rPr>
          <w:rFonts w:ascii="Arial" w:cs="Arial" w:eastAsia="Arial" w:hAnsi="Arial"/>
          <w:sz w:val="17"/>
          <w:szCs w:val="17"/>
          <w:color w:val="auto"/>
        </w:rPr>
      </w:pPr>
    </w:p>
    <w:p>
      <w:pPr>
        <w:ind w:left="832" w:hanging="275"/>
        <w:spacing w:after="0" w:line="312" w:lineRule="auto"/>
        <w:tabs>
          <w:tab w:leader="none" w:pos="83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66" w:lineRule="exact"/>
        <w:rPr>
          <w:rFonts w:ascii="Arial" w:cs="Arial" w:eastAsia="Arial" w:hAnsi="Arial"/>
          <w:sz w:val="16"/>
          <w:szCs w:val="16"/>
          <w:color w:val="auto"/>
        </w:rPr>
      </w:pPr>
    </w:p>
    <w:p>
      <w:pPr>
        <w:jc w:val="both"/>
        <w:ind w:left="832" w:hanging="256"/>
        <w:spacing w:after="0" w:line="266" w:lineRule="auto"/>
        <w:tabs>
          <w:tab w:leader="none" w:pos="83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two years after the occurrence of a Change of Control; (b) February 20, 2017, if no Change of Control occurs between the date of this letter indicated above and February 20, 2017; and (c) the Date of Termination.</w:t>
      </w:r>
    </w:p>
    <w:p>
      <w:pPr>
        <w:spacing w:after="0" w:line="201" w:lineRule="exact"/>
        <w:rPr>
          <w:rFonts w:ascii="Arial" w:cs="Arial" w:eastAsia="Arial" w:hAnsi="Arial"/>
          <w:sz w:val="17"/>
          <w:szCs w:val="17"/>
          <w:color w:val="auto"/>
        </w:rPr>
      </w:pPr>
    </w:p>
    <w:p>
      <w:pPr>
        <w:ind w:left="832" w:hanging="284"/>
        <w:spacing w:after="0"/>
        <w:tabs>
          <w:tab w:leader="none" w:pos="832"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the executives of the Corporation from time to time.</w:t>
      </w:r>
    </w:p>
    <w:p>
      <w:pPr>
        <w:spacing w:after="0" w:line="254" w:lineRule="exact"/>
        <w:rPr>
          <w:rFonts w:ascii="Arial" w:cs="Arial" w:eastAsia="Arial" w:hAnsi="Arial"/>
          <w:sz w:val="16"/>
          <w:szCs w:val="16"/>
          <w:color w:val="auto"/>
        </w:rPr>
      </w:pPr>
    </w:p>
    <w:p>
      <w:pPr>
        <w:ind w:left="832" w:hanging="284"/>
        <w:spacing w:after="0" w:line="280" w:lineRule="auto"/>
        <w:tabs>
          <w:tab w:leader="none" w:pos="83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Compensation Agreement</w:t>
      </w:r>
      <w:r>
        <w:rPr>
          <w:rFonts w:ascii="Arial" w:cs="Arial" w:eastAsia="Arial" w:hAnsi="Arial"/>
          <w:sz w:val="17"/>
          <w:szCs w:val="17"/>
          <w:color w:val="auto"/>
        </w:rPr>
        <w:t>. The “Compensation Agreement” means the letter of even date from the Corporation to you, as accepted by you, regarding your compensation and benefits.</w:t>
      </w:r>
    </w:p>
    <w:p>
      <w:pPr>
        <w:spacing w:after="0" w:line="189" w:lineRule="exact"/>
        <w:rPr>
          <w:rFonts w:ascii="Arial" w:cs="Arial" w:eastAsia="Arial" w:hAnsi="Arial"/>
          <w:sz w:val="17"/>
          <w:szCs w:val="17"/>
          <w:color w:val="auto"/>
        </w:rPr>
      </w:pPr>
    </w:p>
    <w:p>
      <w:pPr>
        <w:ind w:left="832" w:hanging="246"/>
        <w:spacing w:after="0"/>
        <w:tabs>
          <w:tab w:leader="none" w:pos="832" w:val="left"/>
        </w:tabs>
        <w:numPr>
          <w:ilvl w:val="1"/>
          <w:numId w:val="29"/>
        </w:numPr>
        <w:rPr>
          <w:rFonts w:ascii="Arial" w:cs="Arial" w:eastAsia="Arial" w:hAnsi="Arial"/>
          <w:sz w:val="17"/>
          <w:szCs w:val="17"/>
          <w:color w:val="auto"/>
        </w:rPr>
      </w:pPr>
      <w:r>
        <w:rPr>
          <w:rFonts w:ascii="Arial" w:cs="Arial" w:eastAsia="Arial" w:hAnsi="Arial"/>
          <w:sz w:val="17"/>
          <w:szCs w:val="17"/>
          <w:u w:val="single" w:color="auto"/>
          <w:color w:val="auto"/>
        </w:rPr>
        <w:t>Protected Period</w:t>
      </w:r>
      <w:r>
        <w:rPr>
          <w:rFonts w:ascii="Arial" w:cs="Arial" w:eastAsia="Arial" w:hAnsi="Arial"/>
          <w:sz w:val="17"/>
          <w:szCs w:val="17"/>
          <w:color w:val="auto"/>
        </w:rPr>
        <w:t>. The “Protected Period” shall be a period of time determined in accordance with the following:</w:t>
      </w:r>
    </w:p>
    <w:p>
      <w:pPr>
        <w:spacing w:after="0" w:line="243" w:lineRule="exact"/>
        <w:rPr>
          <w:rFonts w:ascii="Arial" w:cs="Arial" w:eastAsia="Arial" w:hAnsi="Arial"/>
          <w:sz w:val="17"/>
          <w:szCs w:val="17"/>
          <w:color w:val="auto"/>
        </w:rPr>
      </w:pPr>
    </w:p>
    <w:p>
      <w:pPr>
        <w:jc w:val="both"/>
        <w:ind w:left="1452" w:hanging="247"/>
        <w:spacing w:after="0" w:line="318" w:lineRule="auto"/>
        <w:tabs>
          <w:tab w:leader="none" w:pos="1452" w:val="left"/>
        </w:tabs>
        <w:numPr>
          <w:ilvl w:val="2"/>
          <w:numId w:val="29"/>
        </w:numPr>
        <w:rPr>
          <w:rFonts w:ascii="Arial" w:cs="Arial" w:eastAsia="Arial" w:hAnsi="Arial"/>
          <w:sz w:val="15"/>
          <w:szCs w:val="15"/>
          <w:color w:val="auto"/>
        </w:rPr>
      </w:pPr>
      <w:r>
        <w:rPr>
          <w:rFonts w:ascii="Arial" w:cs="Arial" w:eastAsia="Arial" w:hAnsi="Arial"/>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6" w:lineRule="exact"/>
        <w:rPr>
          <w:rFonts w:ascii="Arial" w:cs="Arial" w:eastAsia="Arial" w:hAnsi="Arial"/>
          <w:sz w:val="15"/>
          <w:szCs w:val="15"/>
          <w:color w:val="auto"/>
        </w:rPr>
      </w:pPr>
    </w:p>
    <w:p>
      <w:pPr>
        <w:jc w:val="both"/>
        <w:ind w:left="1452" w:hanging="294"/>
        <w:spacing w:after="0" w:line="262" w:lineRule="auto"/>
        <w:tabs>
          <w:tab w:leader="none" w:pos="1452" w:val="left"/>
        </w:tabs>
        <w:numPr>
          <w:ilvl w:val="2"/>
          <w:numId w:val="29"/>
        </w:numPr>
        <w:rPr>
          <w:rFonts w:ascii="Arial" w:cs="Arial" w:eastAsia="Arial" w:hAnsi="Arial"/>
          <w:sz w:val="17"/>
          <w:szCs w:val="17"/>
          <w:color w:val="auto"/>
        </w:rPr>
      </w:pPr>
      <w:r>
        <w:rPr>
          <w:rFonts w:ascii="Arial" w:cs="Arial" w:eastAsia="Arial" w:hAnsi="Arial"/>
          <w:sz w:val="17"/>
          <w:szCs w:val="17"/>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4" w:lineRule="exact"/>
        <w:rPr>
          <w:rFonts w:ascii="Arial" w:cs="Arial" w:eastAsia="Arial" w:hAnsi="Arial"/>
          <w:sz w:val="17"/>
          <w:szCs w:val="17"/>
          <w:color w:val="auto"/>
        </w:rPr>
      </w:pPr>
    </w:p>
    <w:p>
      <w:pPr>
        <w:ind w:left="1452" w:hanging="342"/>
        <w:spacing w:after="0" w:line="312" w:lineRule="auto"/>
        <w:tabs>
          <w:tab w:leader="none" w:pos="1452" w:val="left"/>
        </w:tabs>
        <w:numPr>
          <w:ilvl w:val="2"/>
          <w:numId w:val="29"/>
        </w:numPr>
        <w:rPr>
          <w:rFonts w:ascii="Arial" w:cs="Arial" w:eastAsia="Arial" w:hAnsi="Arial"/>
          <w:sz w:val="16"/>
          <w:szCs w:val="16"/>
          <w:color w:val="auto"/>
        </w:rPr>
      </w:pPr>
      <w:r>
        <w:rPr>
          <w:rFonts w:ascii="Arial" w:cs="Arial" w:eastAsia="Arial" w:hAnsi="Arial"/>
          <w:sz w:val="16"/>
          <w:szCs w:val="16"/>
          <w:color w:val="auto"/>
        </w:rPr>
        <w:t xml:space="preserve">in the case of any Change of Control not described in clauses (i) or (ii), </w:t>
      </w:r>
      <w:r>
        <w:rPr>
          <w:rFonts w:ascii="Arial" w:cs="Arial" w:eastAsia="Arial" w:hAnsi="Arial"/>
          <w:sz w:val="16"/>
          <w:szCs w:val="16"/>
          <w:u w:val="single" w:color="auto"/>
          <w:color w:val="auto"/>
        </w:rPr>
        <w:t>above</w:t>
      </w:r>
      <w:r>
        <w:rPr>
          <w:rFonts w:ascii="Arial" w:cs="Arial" w:eastAsia="Arial" w:hAnsi="Arial"/>
          <w:sz w:val="16"/>
          <w:szCs w:val="16"/>
          <w:color w:val="auto"/>
        </w:rPr>
        <w:t>, the Protected Period shall commence on the date that is six months prior to the Change of Control and shall continue through and including the date of the Change of Control.</w:t>
      </w:r>
    </w:p>
    <w:p>
      <w:pPr>
        <w:spacing w:after="0" w:line="166" w:lineRule="exact"/>
        <w:rPr>
          <w:rFonts w:ascii="Arial" w:cs="Arial" w:eastAsia="Arial" w:hAnsi="Arial"/>
          <w:sz w:val="16"/>
          <w:szCs w:val="16"/>
          <w:color w:val="auto"/>
        </w:rPr>
      </w:pPr>
    </w:p>
    <w:p>
      <w:pPr>
        <w:ind w:left="212" w:hanging="212"/>
        <w:spacing w:after="0"/>
        <w:tabs>
          <w:tab w:leader="none" w:pos="21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 on Termination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80" w:lineRule="auto"/>
        <w:tabs>
          <w:tab w:leader="none" w:pos="83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for Cause or by You Other Than for Good Reason</w:t>
      </w:r>
      <w:r>
        <w:rPr>
          <w:rFonts w:ascii="Arial" w:cs="Arial" w:eastAsia="Arial" w:hAnsi="Arial"/>
          <w:sz w:val="16"/>
          <w:szCs w:val="16"/>
          <w:color w:val="auto"/>
        </w:rPr>
        <w:t>. If your employment with the Consolidated ManpowerGroup is terminated by the Corporation for Cause or by you other than for Good Reason, the Corporation will pay you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91" w:lineRule="exact"/>
        <w:rPr>
          <w:rFonts w:ascii="Arial" w:cs="Arial" w:eastAsia="Arial" w:hAnsi="Arial"/>
          <w:sz w:val="16"/>
          <w:szCs w:val="16"/>
          <w:color w:val="auto"/>
        </w:rPr>
      </w:pPr>
    </w:p>
    <w:p>
      <w:pPr>
        <w:jc w:val="both"/>
        <w:ind w:left="832" w:hanging="284"/>
        <w:spacing w:after="0" w:line="274" w:lineRule="auto"/>
        <w:tabs>
          <w:tab w:leader="none" w:pos="832"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Consolidated ManpowerGroup terminates during the Term by reason of your disability or death, the Corporation will pay you or provide you with (i) your unpaid bonus, if any, attributable to any complete fiscal year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0" w:lineRule="exact"/>
        <w:rPr>
          <w:rFonts w:ascii="Arial" w:cs="Arial" w:eastAsia="Arial" w:hAnsi="Arial"/>
          <w:sz w:val="16"/>
          <w:szCs w:val="16"/>
          <w:color w:val="auto"/>
        </w:rPr>
      </w:pPr>
    </w:p>
    <w:p>
      <w:pPr>
        <w:jc w:val="both"/>
        <w:ind w:left="832" w:hanging="275"/>
        <w:spacing w:after="0" w:line="266" w:lineRule="auto"/>
        <w:tabs>
          <w:tab w:leader="none" w:pos="832"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Other than in a Change of Control</w:t>
      </w:r>
      <w:r>
        <w:rPr>
          <w:rFonts w:ascii="Arial" w:cs="Arial" w:eastAsia="Arial" w:hAnsi="Arial"/>
          <w:sz w:val="17"/>
          <w:szCs w:val="17"/>
          <w:color w:val="auto"/>
        </w:rPr>
        <w:t>. If your employment with the Consolidated ManpowerGroup terminates during the Term for any reason not specified in Subsections 2(a) or (b), above, and Subsection 2(d), below, does not apply to the termination, you will be entitled to the following:</w:t>
      </w:r>
    </w:p>
    <w:p>
      <w:pPr>
        <w:sectPr>
          <w:pgSz w:w="11900" w:h="16838" w:orient="portrait"/>
          <w:cols w:equalWidth="0" w:num="1">
            <w:col w:w="11012"/>
          </w:cols>
          <w:pgMar w:left="648" w:top="127" w:right="239" w:bottom="0" w:gutter="0" w:footer="0" w:header="0"/>
        </w:sectPr>
      </w:pPr>
    </w:p>
    <w:bookmarkStart w:id="34" w:name="page35"/>
    <w:bookmarkEnd w:id="34"/>
    <w:p>
      <w:pPr>
        <w:ind w:left="1524" w:right="960" w:hanging="618"/>
        <w:spacing w:after="0" w:line="280" w:lineRule="auto"/>
        <w:tabs>
          <w:tab w:leader="none" w:pos="15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89" w:lineRule="exact"/>
        <w:rPr>
          <w:rFonts w:ascii="Arial" w:cs="Arial" w:eastAsia="Arial" w:hAnsi="Arial"/>
          <w:sz w:val="17"/>
          <w:szCs w:val="17"/>
          <w:color w:val="auto"/>
        </w:rPr>
      </w:pPr>
    </w:p>
    <w:p>
      <w:pPr>
        <w:ind w:left="1524" w:hanging="618"/>
        <w:spacing w:after="0" w:line="260" w:lineRule="auto"/>
        <w:tabs>
          <w:tab w:leader="none" w:pos="15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205" w:lineRule="exact"/>
        <w:rPr>
          <w:rFonts w:ascii="Arial" w:cs="Arial" w:eastAsia="Arial" w:hAnsi="Arial"/>
          <w:sz w:val="17"/>
          <w:szCs w:val="17"/>
          <w:color w:val="auto"/>
        </w:rPr>
      </w:pPr>
    </w:p>
    <w:p>
      <w:pPr>
        <w:ind w:left="1524" w:hanging="618"/>
        <w:spacing w:after="0" w:line="262" w:lineRule="auto"/>
        <w:tabs>
          <w:tab w:leader="none" w:pos="15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and one-half times the amount of your base salary as then in effect; and</w:t>
      </w:r>
    </w:p>
    <w:p>
      <w:pPr>
        <w:spacing w:after="0" w:line="204" w:lineRule="exact"/>
        <w:rPr>
          <w:rFonts w:ascii="Arial" w:cs="Arial" w:eastAsia="Arial" w:hAnsi="Arial"/>
          <w:sz w:val="17"/>
          <w:szCs w:val="17"/>
          <w:color w:val="auto"/>
        </w:rPr>
      </w:pPr>
    </w:p>
    <w:p>
      <w:pPr>
        <w:ind w:left="1524" w:right="40" w:hanging="618"/>
        <w:spacing w:after="0" w:line="276" w:lineRule="auto"/>
        <w:tabs>
          <w:tab w:leader="none" w:pos="15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96" w:lineRule="exact"/>
        <w:rPr>
          <w:rFonts w:ascii="Arial" w:cs="Arial" w:eastAsia="Arial" w:hAnsi="Arial"/>
          <w:sz w:val="16"/>
          <w:szCs w:val="16"/>
          <w:color w:val="auto"/>
        </w:rPr>
      </w:pPr>
    </w:p>
    <w:p>
      <w:pPr>
        <w:ind w:left="1524" w:right="200"/>
        <w:spacing w:after="0" w:line="289" w:lineRule="auto"/>
        <w:rPr>
          <w:rFonts w:ascii="Arial" w:cs="Arial" w:eastAsia="Arial" w:hAnsi="Arial"/>
          <w:sz w:val="16"/>
          <w:szCs w:val="16"/>
          <w:color w:val="auto"/>
        </w:rPr>
      </w:pPr>
      <w:r>
        <w:rPr>
          <w:rFonts w:ascii="Arial" w:cs="Arial" w:eastAsia="Arial" w:hAnsi="Arial"/>
          <w:sz w:val="15"/>
          <w:szCs w:val="15"/>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w:t>
      </w:r>
    </w:p>
    <w:p>
      <w:pPr>
        <w:spacing w:after="0" w:line="4" w:lineRule="exact"/>
        <w:rPr>
          <w:sz w:val="20"/>
          <w:szCs w:val="20"/>
          <w:color w:val="auto"/>
        </w:rPr>
      </w:pPr>
    </w:p>
    <w:p>
      <w:pPr>
        <w:ind w:left="1524"/>
        <w:spacing w:after="0" w:line="272" w:lineRule="auto"/>
        <w:rPr>
          <w:sz w:val="20"/>
          <w:szCs w:val="20"/>
          <w:color w:val="auto"/>
        </w:rPr>
      </w:pPr>
      <w:r>
        <w:rPr>
          <w:rFonts w:ascii="Arial" w:cs="Arial" w:eastAsia="Arial" w:hAnsi="Arial"/>
          <w:sz w:val="16"/>
          <w:szCs w:val="16"/>
          <w:color w:val="auto"/>
        </w:rPr>
        <w:t>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w:t>
      </w:r>
    </w:p>
    <w:p>
      <w:pPr>
        <w:spacing w:after="0" w:line="201" w:lineRule="exact"/>
        <w:rPr>
          <w:sz w:val="20"/>
          <w:szCs w:val="20"/>
          <w:color w:val="auto"/>
        </w:rPr>
      </w:pPr>
    </w:p>
    <w:p>
      <w:pPr>
        <w:jc w:val="both"/>
        <w:ind w:left="284" w:hanging="284"/>
        <w:spacing w:after="0" w:line="266" w:lineRule="auto"/>
        <w:tabs>
          <w:tab w:leader="none" w:pos="28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Change of Control</w:t>
      </w:r>
      <w:r>
        <w:rPr>
          <w:rFonts w:ascii="Arial" w:cs="Arial" w:eastAsia="Arial" w:hAnsi="Arial"/>
          <w:sz w:val="17"/>
          <w:szCs w:val="17"/>
          <w:color w:val="auto"/>
        </w:rPr>
        <w:t>. If, during the Term and either during a Protected Period or within two years after the occurrence of a Change of Control, your employment with the Consolidated ManpowerGroup terminates for any reason not specified in Subsections 2(a) or (b), above, you will be entitled to the following:</w:t>
      </w:r>
    </w:p>
    <w:p>
      <w:pPr>
        <w:spacing w:after="0" w:line="201" w:lineRule="exact"/>
        <w:rPr>
          <w:rFonts w:ascii="Arial" w:cs="Arial" w:eastAsia="Arial" w:hAnsi="Arial"/>
          <w:sz w:val="17"/>
          <w:szCs w:val="17"/>
          <w:color w:val="auto"/>
        </w:rPr>
      </w:pPr>
    </w:p>
    <w:p>
      <w:pPr>
        <w:ind w:left="1524" w:right="960" w:hanging="618"/>
        <w:spacing w:after="0" w:line="280" w:lineRule="auto"/>
        <w:tabs>
          <w:tab w:leader="none" w:pos="1524"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89" w:lineRule="exact"/>
        <w:rPr>
          <w:rFonts w:ascii="Arial" w:cs="Arial" w:eastAsia="Arial" w:hAnsi="Arial"/>
          <w:sz w:val="17"/>
          <w:szCs w:val="17"/>
          <w:color w:val="auto"/>
        </w:rPr>
      </w:pPr>
    </w:p>
    <w:p>
      <w:pPr>
        <w:ind w:left="1524" w:right="260" w:hanging="618"/>
        <w:spacing w:after="0" w:line="262" w:lineRule="auto"/>
        <w:tabs>
          <w:tab w:leader="none" w:pos="1524"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204" w:lineRule="exact"/>
        <w:rPr>
          <w:rFonts w:ascii="Arial" w:cs="Arial" w:eastAsia="Arial" w:hAnsi="Arial"/>
          <w:sz w:val="17"/>
          <w:szCs w:val="17"/>
          <w:color w:val="auto"/>
        </w:rPr>
      </w:pPr>
    </w:p>
    <w:p>
      <w:pPr>
        <w:ind w:left="1524" w:right="40" w:hanging="618"/>
        <w:spacing w:after="0" w:line="266" w:lineRule="auto"/>
        <w:tabs>
          <w:tab w:leader="none" w:pos="1524"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 and</w:t>
      </w:r>
    </w:p>
    <w:p>
      <w:pPr>
        <w:spacing w:after="0" w:line="201" w:lineRule="exact"/>
        <w:rPr>
          <w:rFonts w:ascii="Arial" w:cs="Arial" w:eastAsia="Arial" w:hAnsi="Arial"/>
          <w:sz w:val="17"/>
          <w:szCs w:val="17"/>
          <w:color w:val="auto"/>
        </w:rPr>
      </w:pPr>
    </w:p>
    <w:p>
      <w:pPr>
        <w:ind w:left="1524" w:right="60" w:hanging="618"/>
        <w:spacing w:after="0" w:line="296" w:lineRule="auto"/>
        <w:tabs>
          <w:tab w:leader="none" w:pos="1524" w:val="left"/>
        </w:tabs>
        <w:numPr>
          <w:ilvl w:val="1"/>
          <w:numId w:val="32"/>
        </w:numPr>
        <w:rPr>
          <w:rFonts w:ascii="Arial" w:cs="Arial" w:eastAsia="Arial" w:hAnsi="Arial"/>
          <w:sz w:val="15"/>
          <w:szCs w:val="15"/>
          <w:color w:val="auto"/>
        </w:rPr>
      </w:pPr>
      <w:r>
        <w:rPr>
          <w:rFonts w:ascii="Arial" w:cs="Arial" w:eastAsia="Arial" w:hAnsi="Arial"/>
          <w:sz w:val="15"/>
          <w:szCs w:val="15"/>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2" w:lineRule="exact"/>
        <w:rPr>
          <w:rFonts w:ascii="Arial" w:cs="Arial" w:eastAsia="Arial" w:hAnsi="Arial"/>
          <w:sz w:val="15"/>
          <w:szCs w:val="15"/>
          <w:color w:val="auto"/>
        </w:rPr>
      </w:pPr>
    </w:p>
    <w:p>
      <w:pPr>
        <w:ind w:left="1524" w:right="180"/>
        <w:spacing w:after="0" w:line="292" w:lineRule="auto"/>
        <w:rPr>
          <w:rFonts w:ascii="Arial" w:cs="Arial" w:eastAsia="Arial" w:hAnsi="Arial"/>
          <w:sz w:val="15"/>
          <w:szCs w:val="15"/>
          <w:color w:val="auto"/>
        </w:rPr>
      </w:pPr>
      <w:r>
        <w:rPr>
          <w:rFonts w:ascii="Arial" w:cs="Arial" w:eastAsia="Arial" w:hAnsi="Arial"/>
          <w:sz w:val="15"/>
          <w:szCs w:val="15"/>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w:t>
      </w:r>
    </w:p>
    <w:p>
      <w:pPr>
        <w:sectPr>
          <w:pgSz w:w="11900" w:h="16838" w:orient="portrait"/>
          <w:cols w:equalWidth="0" w:num="1">
            <w:col w:w="10464"/>
          </w:cols>
          <w:pgMar w:left="1196" w:top="359" w:right="239" w:bottom="0" w:gutter="0" w:footer="0" w:header="0"/>
        </w:sectPr>
      </w:pPr>
    </w:p>
    <w:bookmarkStart w:id="35" w:name="page36"/>
    <w:bookmarkEnd w:id="35"/>
    <w:p>
      <w:pPr>
        <w:spacing w:after="0" w:line="119" w:lineRule="exact"/>
        <w:rPr>
          <w:sz w:val="20"/>
          <w:szCs w:val="20"/>
          <w:color w:val="auto"/>
        </w:rPr>
      </w:pPr>
    </w:p>
    <w:p>
      <w:pPr>
        <w:jc w:val="both"/>
        <w:ind w:left="2072" w:right="240"/>
        <w:spacing w:after="0" w:line="266" w:lineRule="auto"/>
        <w:rPr>
          <w:sz w:val="20"/>
          <w:szCs w:val="20"/>
          <w:color w:val="auto"/>
        </w:rPr>
      </w:pPr>
      <w:r>
        <w:rPr>
          <w:rFonts w:ascii="Arial" w:cs="Arial" w:eastAsia="Arial" w:hAnsi="Arial"/>
          <w:sz w:val="17"/>
          <w:szCs w:val="17"/>
          <w:color w:val="auto"/>
        </w:rPr>
        <w:t>subsidized COBRA payments provided by this Subsection 2(d)(iv) are taxable, the payments will be grossed-up so that the net amount received by you, after subtraction of all taxes applicable to the payments plus the gross-up amount, will equal the cost of such COBRA coverage.</w:t>
      </w:r>
    </w:p>
    <w:p>
      <w:pPr>
        <w:spacing w:after="0" w:line="202" w:lineRule="exact"/>
        <w:rPr>
          <w:sz w:val="20"/>
          <w:szCs w:val="20"/>
          <w:color w:val="auto"/>
        </w:rPr>
      </w:pPr>
    </w:p>
    <w:p>
      <w:pPr>
        <w:jc w:val="both"/>
        <w:ind w:left="832" w:hanging="275"/>
        <w:spacing w:after="0" w:line="288" w:lineRule="auto"/>
        <w:tabs>
          <w:tab w:leader="none" w:pos="832"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Limitation on Benefits</w:t>
      </w:r>
      <w:r>
        <w:rPr>
          <w:rFonts w:ascii="Arial" w:cs="Arial" w:eastAsia="Arial" w:hAnsi="Arial"/>
          <w:sz w:val="15"/>
          <w:szCs w:val="15"/>
          <w:color w:val="auto"/>
        </w:rPr>
        <w:t>. The amounts paid to you pursuant to Subsection 2(c)(i)(D) or 2(c)(ii)(D)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w:t>
      </w:r>
    </w:p>
    <w:p>
      <w:pPr>
        <w:spacing w:after="0" w:line="5" w:lineRule="exact"/>
        <w:rPr>
          <w:rFonts w:ascii="Arial" w:cs="Arial" w:eastAsia="Arial" w:hAnsi="Arial"/>
          <w:sz w:val="15"/>
          <w:szCs w:val="15"/>
          <w:color w:val="auto"/>
        </w:rPr>
      </w:pPr>
    </w:p>
    <w:p>
      <w:pPr>
        <w:jc w:val="both"/>
        <w:ind w:left="832" w:firstLine="2"/>
        <w:spacing w:after="0" w:line="260" w:lineRule="auto"/>
        <w:tabs>
          <w:tab w:leader="none" w:pos="1138" w:val="left"/>
        </w:tabs>
        <w:numPr>
          <w:ilvl w:val="2"/>
          <w:numId w:val="33"/>
        </w:numPr>
        <w:rPr>
          <w:rFonts w:ascii="Arial" w:cs="Arial" w:eastAsia="Arial" w:hAnsi="Arial"/>
          <w:sz w:val="17"/>
          <w:szCs w:val="17"/>
          <w:color w:val="auto"/>
        </w:rPr>
      </w:pPr>
      <w:r>
        <w:rPr>
          <w:rFonts w:ascii="Arial" w:cs="Arial" w:eastAsia="Arial" w:hAnsi="Arial"/>
          <w:sz w:val="17"/>
          <w:szCs w:val="17"/>
          <w:color w:val="auto"/>
        </w:rPr>
        <w:t>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05" w:lineRule="exact"/>
        <w:rPr>
          <w:rFonts w:ascii="Arial" w:cs="Arial" w:eastAsia="Arial" w:hAnsi="Arial"/>
          <w:sz w:val="17"/>
          <w:szCs w:val="17"/>
          <w:color w:val="auto"/>
        </w:rPr>
      </w:pPr>
    </w:p>
    <w:p>
      <w:pPr>
        <w:jc w:val="both"/>
        <w:ind w:left="832" w:hanging="256"/>
        <w:spacing w:after="0" w:line="292" w:lineRule="auto"/>
        <w:tabs>
          <w:tab w:leader="none" w:pos="832" w:val="left"/>
        </w:tabs>
        <w:numPr>
          <w:ilvl w:val="1"/>
          <w:numId w:val="33"/>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xml:space="preserve">. The bonus payment provided for in Subsection 2(c)(i) or 2(d)(i) will be made pursuant to the terms of the applicable bonus plan. The bonus payment provided for in Subsection 2(c)(ii) will be paid on the thirtieth (30th) day after the Date of Termination. The bonus payment provided for in Subsection 2(d)(ii) will between January 1 and March 15 of the calendar year following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Street Journal</w:t>
      </w:r>
      <w:r>
        <w:rPr>
          <w:rFonts w:ascii="Arial" w:cs="Arial" w:eastAsia="Arial" w:hAnsi="Arial"/>
          <w:sz w:val="15"/>
          <w:szCs w:val="15"/>
          <w:color w:val="auto"/>
        </w:rPr>
        <w:t>, Midwest edition (or, if not so reported, as reported in such other similar source(s) as the Corporation shall select).</w:t>
      </w:r>
    </w:p>
    <w:p>
      <w:pPr>
        <w:spacing w:after="0" w:line="188" w:lineRule="exact"/>
        <w:rPr>
          <w:rFonts w:ascii="Arial" w:cs="Arial" w:eastAsia="Arial" w:hAnsi="Arial"/>
          <w:sz w:val="15"/>
          <w:szCs w:val="15"/>
          <w:color w:val="auto"/>
        </w:rPr>
      </w:pPr>
    </w:p>
    <w:p>
      <w:pPr>
        <w:jc w:val="both"/>
        <w:ind w:left="832" w:hanging="284"/>
        <w:spacing w:after="0" w:line="274" w:lineRule="auto"/>
        <w:tabs>
          <w:tab w:leader="none" w:pos="832" w:val="left"/>
        </w:tabs>
        <w:numPr>
          <w:ilvl w:val="1"/>
          <w:numId w:val="3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shall have no right to receive any payment or benefit described in Subsections 2(c)(ii)-(v) 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200" w:lineRule="exact"/>
        <w:rPr>
          <w:rFonts w:ascii="Arial" w:cs="Arial" w:eastAsia="Arial" w:hAnsi="Arial"/>
          <w:sz w:val="16"/>
          <w:szCs w:val="16"/>
          <w:color w:val="auto"/>
        </w:rPr>
      </w:pPr>
    </w:p>
    <w:p>
      <w:pPr>
        <w:jc w:val="both"/>
        <w:ind w:left="832" w:hanging="284"/>
        <w:spacing w:after="0" w:line="262" w:lineRule="auto"/>
        <w:tabs>
          <w:tab w:leader="none" w:pos="832" w:val="left"/>
        </w:tabs>
        <w:numPr>
          <w:ilvl w:val="1"/>
          <w:numId w:val="33"/>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204" w:lineRule="exact"/>
        <w:rPr>
          <w:rFonts w:ascii="Arial" w:cs="Arial" w:eastAsia="Arial" w:hAnsi="Arial"/>
          <w:sz w:val="17"/>
          <w:szCs w:val="17"/>
          <w:color w:val="auto"/>
        </w:rPr>
      </w:pPr>
    </w:p>
    <w:p>
      <w:pPr>
        <w:jc w:val="both"/>
        <w:ind w:left="212" w:hanging="212"/>
        <w:spacing w:after="0" w:line="266" w:lineRule="auto"/>
        <w:tabs>
          <w:tab w:leader="none" w:pos="21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Restrictions During Employment</w:t>
      </w:r>
      <w:r>
        <w:rPr>
          <w:rFonts w:ascii="Arial" w:cs="Arial" w:eastAsia="Arial" w:hAnsi="Arial"/>
          <w:sz w:val="17"/>
          <w:szCs w:val="17"/>
          <w:color w:val="auto"/>
        </w:rPr>
        <w:t>. During the term of your employment with the Consolidated ManpowerGroup, you will not directly or indirectly compete against the Consolidated ManpowerGroup, or directly or indirectly divert or attempt to divert customers’ business from the Consolidate ManpowerGroup anywhere the Consolidated ManpowerGroup does or is taking steps to do business.</w:t>
      </w:r>
    </w:p>
    <w:p>
      <w:pPr>
        <w:spacing w:after="0" w:line="201" w:lineRule="exact"/>
        <w:rPr>
          <w:rFonts w:ascii="Arial" w:cs="Arial" w:eastAsia="Arial" w:hAnsi="Arial"/>
          <w:sz w:val="17"/>
          <w:szCs w:val="17"/>
          <w:color w:val="auto"/>
        </w:rPr>
      </w:pPr>
    </w:p>
    <w:p>
      <w:pPr>
        <w:ind w:left="212" w:hanging="212"/>
        <w:spacing w:after="0"/>
        <w:tabs>
          <w:tab w:leader="none" w:pos="21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Noncompetition Agreement</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832" w:hanging="275"/>
        <w:spacing w:after="0" w:line="280" w:lineRule="auto"/>
        <w:tabs>
          <w:tab w:leader="none" w:pos="832" w:val="left"/>
        </w:tabs>
        <w:numPr>
          <w:ilvl w:val="1"/>
          <w:numId w:val="34"/>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one-year period which immediately follows the termination, for whatever reason, of your employment with the Consolidated ManpowerGroup:</w:t>
      </w:r>
    </w:p>
    <w:p>
      <w:pPr>
        <w:spacing w:after="0" w:line="189" w:lineRule="exact"/>
        <w:rPr>
          <w:rFonts w:ascii="Arial" w:cs="Arial" w:eastAsia="Arial" w:hAnsi="Arial"/>
          <w:sz w:val="17"/>
          <w:szCs w:val="17"/>
          <w:color w:val="auto"/>
        </w:rPr>
      </w:pPr>
    </w:p>
    <w:p>
      <w:pPr>
        <w:jc w:val="both"/>
        <w:ind w:left="1452" w:hanging="247"/>
        <w:spacing w:after="0" w:line="302" w:lineRule="auto"/>
        <w:tabs>
          <w:tab w:leader="none" w:pos="1452" w:val="left"/>
        </w:tabs>
        <w:numPr>
          <w:ilvl w:val="3"/>
          <w:numId w:val="34"/>
        </w:numPr>
        <w:rPr>
          <w:rFonts w:ascii="Arial" w:cs="Arial" w:eastAsia="Arial" w:hAnsi="Arial"/>
          <w:sz w:val="15"/>
          <w:szCs w:val="15"/>
          <w:color w:val="auto"/>
        </w:rPr>
      </w:pPr>
      <w:r>
        <w:rPr>
          <w:rFonts w:ascii="Arial" w:cs="Arial" w:eastAsia="Arial" w:hAnsi="Arial"/>
          <w:sz w:val="15"/>
          <w:szCs w:val="15"/>
          <w:color w:val="auto"/>
        </w:rPr>
        <w:t>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79" w:lineRule="exact"/>
        <w:rPr>
          <w:rFonts w:ascii="Arial" w:cs="Arial" w:eastAsia="Arial" w:hAnsi="Arial"/>
          <w:sz w:val="15"/>
          <w:szCs w:val="15"/>
          <w:color w:val="auto"/>
        </w:rPr>
      </w:pPr>
    </w:p>
    <w:p>
      <w:pPr>
        <w:ind w:left="1452" w:right="20" w:hanging="618"/>
        <w:spacing w:after="0" w:line="273" w:lineRule="auto"/>
        <w:tabs>
          <w:tab w:leader="none" w:pos="1452" w:val="left"/>
        </w:tabs>
        <w:numPr>
          <w:ilvl w:val="2"/>
          <w:numId w:val="34"/>
        </w:numPr>
        <w:rPr>
          <w:rFonts w:ascii="Arial" w:cs="Arial" w:eastAsia="Arial" w:hAnsi="Arial"/>
          <w:sz w:val="16"/>
          <w:szCs w:val="16"/>
          <w:color w:val="auto"/>
        </w:rPr>
      </w:pPr>
      <w:r>
        <w:rPr>
          <w:rFonts w:ascii="Arial" w:cs="Arial" w:eastAsia="Arial" w:hAnsi="Arial"/>
          <w:sz w:val="16"/>
          <w:szCs w:val="16"/>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$500,000,000 or (ii) engaged in the business of providing permanent placement, professional staffing, outplacement,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98" w:lineRule="exact"/>
        <w:rPr>
          <w:rFonts w:ascii="Arial" w:cs="Arial" w:eastAsia="Arial" w:hAnsi="Arial"/>
          <w:sz w:val="16"/>
          <w:szCs w:val="16"/>
          <w:color w:val="auto"/>
        </w:rPr>
      </w:pPr>
    </w:p>
    <w:p>
      <w:pPr>
        <w:jc w:val="both"/>
        <w:ind w:left="832" w:hanging="284"/>
        <w:spacing w:after="0" w:line="308" w:lineRule="auto"/>
        <w:tabs>
          <w:tab w:leader="none" w:pos="832" w:val="left"/>
        </w:tabs>
        <w:numPr>
          <w:ilvl w:val="1"/>
          <w:numId w:val="34"/>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Consolidated ManpowerGroup and its businesses and properties in the event of your breach of any of the restrictions imposed by Subsection 4(a),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w:t>
      </w:r>
    </w:p>
    <w:p>
      <w:pPr>
        <w:sectPr>
          <w:pgSz w:w="11900" w:h="16958" w:orient="portrait"/>
          <w:cols w:equalWidth="0" w:num="1">
            <w:col w:w="11012"/>
          </w:cols>
          <w:pgMar w:left="648" w:top="127" w:right="239" w:bottom="0" w:gutter="0" w:footer="0" w:header="0"/>
        </w:sectPr>
      </w:pPr>
    </w:p>
    <w:bookmarkStart w:id="36" w:name="page37"/>
    <w:bookmarkEnd w:id="36"/>
    <w:p>
      <w:pPr>
        <w:spacing w:after="0" w:line="58" w:lineRule="exact"/>
        <w:rPr>
          <w:sz w:val="20"/>
          <w:szCs w:val="20"/>
          <w:color w:val="auto"/>
        </w:rPr>
      </w:pPr>
    </w:p>
    <w:p>
      <w:pPr>
        <w:jc w:val="both"/>
        <w:ind w:left="1237"/>
        <w:spacing w:after="0" w:line="266" w:lineRule="auto"/>
        <w:rPr>
          <w:sz w:val="20"/>
          <w:szCs w:val="20"/>
          <w:color w:val="auto"/>
        </w:rPr>
      </w:pPr>
      <w:r>
        <w:rPr>
          <w:rFonts w:ascii="Arial" w:cs="Arial" w:eastAsia="Arial" w:hAnsi="Arial"/>
          <w:sz w:val="17"/>
          <w:szCs w:val="17"/>
          <w:color w:val="auto"/>
        </w:rPr>
        <w:t>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202" w:lineRule="exact"/>
        <w:rPr>
          <w:sz w:val="20"/>
          <w:szCs w:val="20"/>
          <w:color w:val="auto"/>
        </w:rPr>
      </w:pPr>
    </w:p>
    <w:p>
      <w:pPr>
        <w:ind w:left="1237" w:hanging="275"/>
        <w:spacing w:after="0" w:line="280" w:lineRule="auto"/>
        <w:tabs>
          <w:tab w:leader="none" w:pos="1237" w:val="left"/>
        </w:tabs>
        <w:numPr>
          <w:ilvl w:val="3"/>
          <w:numId w:val="35"/>
        </w:numPr>
        <w:rPr>
          <w:rFonts w:ascii="Arial" w:cs="Arial" w:eastAsia="Arial" w:hAnsi="Arial"/>
          <w:sz w:val="17"/>
          <w:szCs w:val="17"/>
          <w:color w:val="auto"/>
        </w:rPr>
      </w:pPr>
      <w:r>
        <w:rPr>
          <w:rFonts w:ascii="Arial" w:cs="Arial" w:eastAsia="Arial" w:hAnsi="Arial"/>
          <w:sz w:val="17"/>
          <w:szCs w:val="17"/>
          <w:u w:val="single" w:color="auto"/>
          <w:color w:val="auto"/>
        </w:rPr>
        <w:t>Equitable Extension</w:t>
      </w:r>
      <w:r>
        <w:rPr>
          <w:rFonts w:ascii="Arial" w:cs="Arial" w:eastAsia="Arial" w:hAnsi="Arial"/>
          <w:sz w:val="17"/>
          <w:szCs w:val="17"/>
          <w:color w:val="auto"/>
        </w:rPr>
        <w:t>. The duration of any restriction in Section 4(a) above will be extended by any period during which such restriction is violated by you.</w:t>
      </w:r>
    </w:p>
    <w:p>
      <w:pPr>
        <w:spacing w:after="0" w:line="189" w:lineRule="exact"/>
        <w:rPr>
          <w:rFonts w:ascii="Arial" w:cs="Arial" w:eastAsia="Arial" w:hAnsi="Arial"/>
          <w:sz w:val="17"/>
          <w:szCs w:val="17"/>
          <w:color w:val="auto"/>
        </w:rPr>
      </w:pPr>
    </w:p>
    <w:p>
      <w:pPr>
        <w:ind w:left="1237" w:hanging="284"/>
        <w:spacing w:after="0" w:line="312" w:lineRule="auto"/>
        <w:tabs>
          <w:tab w:leader="none" w:pos="1237" w:val="left"/>
        </w:tabs>
        <w:numPr>
          <w:ilvl w:val="3"/>
          <w:numId w:val="35"/>
        </w:numPr>
        <w:rPr>
          <w:rFonts w:ascii="Arial" w:cs="Arial" w:eastAsia="Arial" w:hAnsi="Arial"/>
          <w:sz w:val="16"/>
          <w:szCs w:val="16"/>
          <w:color w:val="auto"/>
        </w:rPr>
      </w:pPr>
      <w:r>
        <w:rPr>
          <w:rFonts w:ascii="Arial" w:cs="Arial" w:eastAsia="Arial" w:hAnsi="Arial"/>
          <w:sz w:val="16"/>
          <w:szCs w:val="16"/>
          <w:u w:val="single" w:color="auto"/>
          <w:color w:val="auto"/>
        </w:rPr>
        <w:t>Nonapplication</w:t>
      </w:r>
      <w:r>
        <w:rPr>
          <w:rFonts w:ascii="Arial" w:cs="Arial" w:eastAsia="Arial" w:hAnsi="Arial"/>
          <w:sz w:val="16"/>
          <w:szCs w:val="16"/>
          <w:color w:val="auto"/>
        </w:rPr>
        <w:t>. Notwithstanding the above, this Section 4 will not apply if your employment with the Corporation is terminated by you for Good Reason or by the Corporation without Cause either during a Protected Period or within two years after the occurrence of a Change of Control.</w:t>
      </w:r>
    </w:p>
    <w:p>
      <w:pPr>
        <w:spacing w:after="0" w:line="166" w:lineRule="exact"/>
        <w:rPr>
          <w:rFonts w:ascii="Arial" w:cs="Arial" w:eastAsia="Arial" w:hAnsi="Arial"/>
          <w:sz w:val="16"/>
          <w:szCs w:val="16"/>
          <w:color w:val="auto"/>
        </w:rPr>
      </w:pPr>
    </w:p>
    <w:p>
      <w:pPr>
        <w:jc w:val="both"/>
        <w:ind w:left="617" w:hanging="212"/>
        <w:spacing w:after="0" w:line="262" w:lineRule="auto"/>
        <w:tabs>
          <w:tab w:leader="none" w:pos="61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three-year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7"/>
          <w:szCs w:val="17"/>
          <w:color w:val="auto"/>
        </w:rPr>
      </w:pPr>
    </w:p>
    <w:p>
      <w:pPr>
        <w:jc w:val="both"/>
        <w:ind w:left="617" w:hanging="212"/>
        <w:spacing w:after="0" w:line="275" w:lineRule="auto"/>
        <w:tabs>
          <w:tab w:leader="none" w:pos="617"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7" w:lineRule="exact"/>
        <w:rPr>
          <w:rFonts w:ascii="Arial" w:cs="Arial" w:eastAsia="Arial" w:hAnsi="Arial"/>
          <w:sz w:val="16"/>
          <w:szCs w:val="16"/>
          <w:color w:val="auto"/>
        </w:rPr>
      </w:pPr>
    </w:p>
    <w:p>
      <w:pPr>
        <w:ind w:left="617" w:hanging="212"/>
        <w:spacing w:after="0" w:line="280" w:lineRule="auto"/>
        <w:tabs>
          <w:tab w:leader="none" w:pos="61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jc w:val="both"/>
        <w:ind w:left="617" w:hanging="212"/>
        <w:spacing w:after="0" w:line="266" w:lineRule="auto"/>
        <w:tabs>
          <w:tab w:leader="none" w:pos="61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jc w:val="both"/>
        <w:ind w:left="617" w:hanging="212"/>
        <w:spacing w:after="0" w:line="262" w:lineRule="auto"/>
        <w:tabs>
          <w:tab w:leader="none" w:pos="61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and the Consolidated ManpowerGroup as set forth herein.</w:t>
      </w:r>
    </w:p>
    <w:p>
      <w:pPr>
        <w:spacing w:after="0" w:line="204" w:lineRule="exact"/>
        <w:rPr>
          <w:rFonts w:ascii="Arial" w:cs="Arial" w:eastAsia="Arial" w:hAnsi="Arial"/>
          <w:sz w:val="17"/>
          <w:szCs w:val="17"/>
          <w:color w:val="auto"/>
        </w:rPr>
      </w:pPr>
    </w:p>
    <w:p>
      <w:pPr>
        <w:ind w:left="617" w:hanging="298"/>
        <w:spacing w:after="0" w:line="280" w:lineRule="auto"/>
        <w:tabs>
          <w:tab w:leader="none" w:pos="61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left="617" w:hanging="292"/>
        <w:spacing w:after="0" w:line="280" w:lineRule="auto"/>
        <w:tabs>
          <w:tab w:leader="none" w:pos="617" w:val="left"/>
        </w:tabs>
        <w:numPr>
          <w:ilvl w:val="1"/>
          <w:numId w:val="3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left="617" w:right="320" w:hanging="617"/>
        <w:spacing w:after="0" w:line="280" w:lineRule="auto"/>
        <w:tabs>
          <w:tab w:leader="none" w:pos="61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left="617" w:right="340" w:hanging="617"/>
        <w:spacing w:after="0" w:line="280" w:lineRule="auto"/>
        <w:tabs>
          <w:tab w:leader="none" w:pos="617"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1" w:lineRule="exact"/>
        <w:rPr>
          <w:rFonts w:ascii="Arial" w:cs="Arial" w:eastAsia="Arial" w:hAnsi="Arial"/>
          <w:sz w:val="16"/>
          <w:szCs w:val="16"/>
          <w:color w:val="auto"/>
        </w:rPr>
      </w:pPr>
    </w:p>
    <w:p>
      <w:pPr>
        <w:ind w:left="617" w:right="120" w:hanging="617"/>
        <w:spacing w:after="0" w:line="266" w:lineRule="auto"/>
        <w:tabs>
          <w:tab w:leader="none" w:pos="61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Previous Agreement</w:t>
      </w:r>
      <w:r>
        <w:rPr>
          <w:rFonts w:ascii="Arial" w:cs="Arial" w:eastAsia="Arial" w:hAnsi="Arial"/>
          <w:sz w:val="17"/>
          <w:szCs w:val="17"/>
          <w:color w:val="auto"/>
        </w:rPr>
        <w:t>. This letter, upon acceptance by you, expressly supersedes that certain letter agreement between you and the Corporation dated February 16, 2011, which primarily concerns rights and obligations upon your termination of employment, and such agreement shall, as of the date of your acceptance, have no further force or effect.</w:t>
      </w:r>
    </w:p>
    <w:p>
      <w:pPr>
        <w:spacing w:after="0" w:line="201" w:lineRule="exact"/>
        <w:rPr>
          <w:rFonts w:ascii="Arial" w:cs="Arial" w:eastAsia="Arial" w:hAnsi="Arial"/>
          <w:sz w:val="17"/>
          <w:szCs w:val="17"/>
          <w:color w:val="auto"/>
        </w:rPr>
      </w:pPr>
    </w:p>
    <w:p>
      <w:pPr>
        <w:ind w:left="617" w:right="120" w:hanging="617"/>
        <w:spacing w:after="0" w:line="260" w:lineRule="auto"/>
        <w:tabs>
          <w:tab w:leader="none" w:pos="617"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Subsection 4(b)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15, the party initiating arbitration shall be denominated the “Claimant” and the other party shall be denominated the “Respondent.”</w:t>
      </w:r>
    </w:p>
    <w:p>
      <w:pPr>
        <w:spacing w:after="0" w:line="205" w:lineRule="exact"/>
        <w:rPr>
          <w:rFonts w:ascii="Arial" w:cs="Arial" w:eastAsia="Arial" w:hAnsi="Arial"/>
          <w:sz w:val="17"/>
          <w:szCs w:val="17"/>
          <w:color w:val="auto"/>
        </w:rPr>
      </w:pPr>
    </w:p>
    <w:p>
      <w:pPr>
        <w:ind w:left="1237" w:right="20" w:hanging="617"/>
        <w:spacing w:after="0" w:line="273" w:lineRule="auto"/>
        <w:tabs>
          <w:tab w:leader="none" w:pos="1237" w:val="left"/>
        </w:tabs>
        <w:numPr>
          <w:ilvl w:val="2"/>
          <w:numId w:val="37"/>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6"/>
          <w:szCs w:val="16"/>
          <w:color w:val="auto"/>
        </w:rPr>
      </w:pPr>
    </w:p>
    <w:p>
      <w:pPr>
        <w:spacing w:after="0" w:line="231" w:lineRule="exact"/>
        <w:rPr>
          <w:rFonts w:ascii="Arial" w:cs="Arial" w:eastAsia="Arial" w:hAnsi="Arial"/>
          <w:sz w:val="16"/>
          <w:szCs w:val="16"/>
          <w:color w:val="auto"/>
        </w:rPr>
      </w:pPr>
    </w:p>
    <w:p>
      <w:pPr>
        <w:jc w:val="both"/>
        <w:ind w:left="1237" w:hanging="284"/>
        <w:spacing w:after="0" w:line="291" w:lineRule="auto"/>
        <w:tabs>
          <w:tab w:leader="none" w:pos="1237" w:val="left"/>
        </w:tabs>
        <w:numPr>
          <w:ilvl w:val="3"/>
          <w:numId w:val="37"/>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w:t>
      </w:r>
    </w:p>
    <w:p>
      <w:pPr>
        <w:sectPr>
          <w:pgSz w:w="11900" w:h="16897" w:orient="portrait"/>
          <w:cols w:equalWidth="0" w:num="1">
            <w:col w:w="11417"/>
          </w:cols>
          <w:pgMar w:left="243" w:top="127" w:right="239" w:bottom="0" w:gutter="0" w:footer="0" w:header="0"/>
        </w:sectPr>
      </w:pPr>
    </w:p>
    <w:bookmarkStart w:id="37" w:name="page38"/>
    <w:bookmarkEnd w:id="37"/>
    <w:p>
      <w:pPr>
        <w:jc w:val="both"/>
        <w:ind w:left="1237"/>
        <w:spacing w:after="0" w:line="256" w:lineRule="auto"/>
        <w:rPr>
          <w:sz w:val="20"/>
          <w:szCs w:val="20"/>
          <w:color w:val="auto"/>
        </w:rPr>
      </w:pPr>
      <w:r>
        <w:rPr>
          <w:rFonts w:ascii="Arial" w:cs="Arial" w:eastAsia="Arial" w:hAnsi="Arial"/>
          <w:sz w:val="17"/>
          <w:szCs w:val="17"/>
          <w:color w:val="auto"/>
        </w:rPr>
        <w:t xml:space="preserve">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14" w:lineRule="exact"/>
        <w:rPr>
          <w:sz w:val="20"/>
          <w:szCs w:val="20"/>
          <w:color w:val="auto"/>
        </w:rPr>
      </w:pPr>
    </w:p>
    <w:p>
      <w:pPr>
        <w:ind w:left="617" w:right="460" w:hanging="617"/>
        <w:spacing w:after="0" w:line="280" w:lineRule="auto"/>
        <w:tabs>
          <w:tab w:leader="none" w:pos="617"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Paragraphs 3 and 4(a)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127" w:right="239" w:bottom="1440" w:gutter="0" w:footer="0" w:header="0"/>
        </w:sectPr>
      </w:pPr>
    </w:p>
    <w:bookmarkStart w:id="38" w:name="page39"/>
    <w:bookmarkEnd w:id="38"/>
    <w:p>
      <w:pPr>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Michael J. Van Handel</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Michael J. Van Handel, Executive Vice President and Chief Financial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20th day of February, 2014.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ectPr>
          <w:pgSz w:w="11900" w:h="16838" w:orient="portrait"/>
          <w:cols w:equalWidth="0" w:num="1">
            <w:col w:w="11380"/>
          </w:cols>
          <w:pgMar w:left="240" w:top="734" w:right="279" w:bottom="1440" w:gutter="0" w:footer="0" w:header="0"/>
        </w:sectPr>
      </w:pPr>
    </w:p>
    <w:bookmarkStart w:id="39" w:name="page40"/>
    <w:bookmarkEnd w:id="39"/>
    <w:p>
      <w:pPr>
        <w:jc w:val="right"/>
        <w:spacing w:after="0"/>
        <w:rPr>
          <w:sz w:val="20"/>
          <w:szCs w:val="20"/>
          <w:color w:val="auto"/>
        </w:rPr>
      </w:pPr>
      <w:r>
        <w:rPr>
          <w:rFonts w:ascii="Arial" w:cs="Arial" w:eastAsia="Arial" w:hAnsi="Arial"/>
          <w:sz w:val="21"/>
          <w:szCs w:val="21"/>
          <w:b w:val="1"/>
          <w:bCs w:val="1"/>
          <w:color w:val="auto"/>
        </w:rPr>
        <w:t>Exhibit 10.8(a)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ManpowerGroup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color w:val="auto"/>
        </w:rPr>
        <w:t>Mr. Michael Van Handel:</w:t>
      </w:r>
    </w:p>
    <w:p>
      <w:pPr>
        <w:spacing w:after="0" w:line="243" w:lineRule="exact"/>
        <w:rPr>
          <w:sz w:val="20"/>
          <w:szCs w:val="20"/>
          <w:color w:val="auto"/>
        </w:rPr>
      </w:pPr>
    </w:p>
    <w:p>
      <w:pPr>
        <w:ind w:right="420" w:firstLine="620"/>
        <w:spacing w:after="0" w:line="280" w:lineRule="auto"/>
        <w:rPr>
          <w:sz w:val="20"/>
          <w:szCs w:val="20"/>
          <w:color w:val="auto"/>
        </w:rPr>
      </w:pPr>
      <w:r>
        <w:rPr>
          <w:rFonts w:ascii="Arial" w:cs="Arial" w:eastAsia="Arial" w:hAnsi="Arial"/>
          <w:sz w:val="17"/>
          <w:szCs w:val="17"/>
          <w:color w:val="auto"/>
        </w:rPr>
        <w:t>We have agreed as follows with respect to the compensation to be paid and the other benefits to be provided to you in connection with your continuing employment by ManpowerGroup Inc. (the “Corporation”):</w:t>
      </w:r>
    </w:p>
    <w:p>
      <w:pPr>
        <w:spacing w:after="0" w:line="189" w:lineRule="exact"/>
        <w:rPr>
          <w:sz w:val="20"/>
          <w:szCs w:val="20"/>
          <w:color w:val="auto"/>
        </w:rPr>
      </w:pPr>
    </w:p>
    <w:p>
      <w:pPr>
        <w:ind w:right="80" w:firstLine="623"/>
        <w:spacing w:after="0" w:line="283" w:lineRule="auto"/>
        <w:tabs>
          <w:tab w:leader="none" w:pos="83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“Term” will be a period beginning on the date of this letter indicated above and ending on the first to occur of the following: (a) the date two years after the occurrence of a Change of Control, as defined in the letter to you of even date regarding other rights and obligations on termination of your employment; (b) February 20, 2017, if no Change of Control occurs between the date of this letter indicated above and February 20, 2017; or (c) the Date of Termination, as defined in the letter from the Corporation to you of even date regarding other rights and obligations on termination of your employment.</w:t>
      </w:r>
    </w:p>
    <w:p>
      <w:pPr>
        <w:spacing w:after="0" w:line="190" w:lineRule="exact"/>
        <w:rPr>
          <w:rFonts w:ascii="Arial" w:cs="Arial" w:eastAsia="Arial" w:hAnsi="Arial"/>
          <w:sz w:val="16"/>
          <w:szCs w:val="16"/>
          <w:color w:val="auto"/>
        </w:rPr>
      </w:pPr>
    </w:p>
    <w:p>
      <w:pPr>
        <w:jc w:val="both"/>
        <w:ind w:right="140" w:firstLine="623"/>
        <w:spacing w:after="0" w:line="266" w:lineRule="auto"/>
        <w:tabs>
          <w:tab w:leader="none" w:pos="83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Base Compensation</w:t>
      </w:r>
      <w:r>
        <w:rPr>
          <w:rFonts w:ascii="Arial" w:cs="Arial" w:eastAsia="Arial" w:hAnsi="Arial"/>
          <w:sz w:val="17"/>
          <w:szCs w:val="17"/>
          <w:color w:val="auto"/>
        </w:rPr>
        <w:t>. You will be paid a base salary for your services during the Term at the rate of Six Hundred Thousand Dollars ($660,000) per year, as may be increased from time to time by the Corporation. Your base compensation will be paid in accordance with the Corporation’s regular payroll practices with respect to such compensation as in effect from time to time.</w:t>
      </w:r>
    </w:p>
    <w:p>
      <w:pPr>
        <w:spacing w:after="0" w:line="201" w:lineRule="exact"/>
        <w:rPr>
          <w:rFonts w:ascii="Arial" w:cs="Arial" w:eastAsia="Arial" w:hAnsi="Arial"/>
          <w:sz w:val="17"/>
          <w:szCs w:val="17"/>
          <w:color w:val="auto"/>
        </w:rPr>
      </w:pPr>
    </w:p>
    <w:p>
      <w:pPr>
        <w:ind w:right="20" w:firstLine="623"/>
        <w:spacing w:after="0" w:line="262" w:lineRule="auto"/>
        <w:tabs>
          <w:tab w:leader="none" w:pos="83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Incentive Bonus</w:t>
      </w:r>
      <w:r>
        <w:rPr>
          <w:rFonts w:ascii="Arial" w:cs="Arial" w:eastAsia="Arial" w:hAnsi="Arial"/>
          <w:sz w:val="17"/>
          <w:szCs w:val="17"/>
          <w:color w:val="auto"/>
        </w:rPr>
        <w:t>. You also will be entitled to receive incentive compensation for your services during the Term in accordance with an incentive compensation plan approved and administered by the Executive Compensation and Human Resources Committee of the Board of Directors of the Corporation. Such plan may be amended or replaced from time to time by such Committee, but without your agreement no such action will adversely affect any rights you may have under such plan as of the time of such action.</w:t>
      </w:r>
    </w:p>
    <w:p>
      <w:pPr>
        <w:spacing w:after="0" w:line="204" w:lineRule="exact"/>
        <w:rPr>
          <w:rFonts w:ascii="Arial" w:cs="Arial" w:eastAsia="Arial" w:hAnsi="Arial"/>
          <w:sz w:val="17"/>
          <w:szCs w:val="17"/>
          <w:color w:val="auto"/>
        </w:rPr>
      </w:pPr>
    </w:p>
    <w:p>
      <w:pPr>
        <w:ind w:right="80" w:firstLine="623"/>
        <w:spacing w:after="0" w:line="280" w:lineRule="auto"/>
        <w:tabs>
          <w:tab w:leader="none" w:pos="834"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entire Term, the Corporation will provide you with, and you will be eligible for, all benefits of employment generally made available to the senior executives of the Corporation from time to time (collectively, the “Benefits Plans”), subject to and on a basis consistent with the terms, conditions and overall administration of such Benefit Plans. You will be considered for participation in Benefit Plans which by the terms thereof are discretionary in nature (such as stock option plans) on the same basis as other executive personnel of the Corporation of similar rank. You also will be entitled to vacations and perquisites in accordance with the Corporation’s policies as in effect from time to time for executives of the Corporation.</w:t>
      </w:r>
    </w:p>
    <w:p>
      <w:pPr>
        <w:spacing w:after="0" w:line="191" w:lineRule="exact"/>
        <w:rPr>
          <w:rFonts w:ascii="Arial" w:cs="Arial" w:eastAsia="Arial" w:hAnsi="Arial"/>
          <w:sz w:val="16"/>
          <w:szCs w:val="16"/>
          <w:color w:val="auto"/>
        </w:rPr>
      </w:pPr>
    </w:p>
    <w:p>
      <w:pPr>
        <w:jc w:val="both"/>
        <w:ind w:right="260" w:firstLine="623"/>
        <w:spacing w:after="0" w:line="266" w:lineRule="auto"/>
        <w:tabs>
          <w:tab w:leader="none" w:pos="834"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Expenses</w:t>
      </w:r>
      <w:r>
        <w:rPr>
          <w:rFonts w:ascii="Arial" w:cs="Arial" w:eastAsia="Arial" w:hAnsi="Arial"/>
          <w:sz w:val="17"/>
          <w:szCs w:val="17"/>
          <w:color w:val="auto"/>
        </w:rPr>
        <w:t>. The Corporation will reimburse to you on a monthly basis for all traveling, hotel, entertainment and other expenses reasonably incurred by you in the proper performance of your duties during the Term, subject to your compliance with the guidelines and regulations concerning expense reimbursement issued by the Corporation.</w:t>
      </w:r>
    </w:p>
    <w:p>
      <w:pPr>
        <w:spacing w:after="0" w:line="201" w:lineRule="exact"/>
        <w:rPr>
          <w:rFonts w:ascii="Arial" w:cs="Arial" w:eastAsia="Arial" w:hAnsi="Arial"/>
          <w:sz w:val="17"/>
          <w:szCs w:val="17"/>
          <w:color w:val="auto"/>
        </w:rPr>
      </w:pPr>
    </w:p>
    <w:p>
      <w:pPr>
        <w:ind w:left="840" w:hanging="217"/>
        <w:spacing w:after="0"/>
        <w:tabs>
          <w:tab w:leader="none" w:pos="8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Nondisclosure and Nonsolicitation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480" w:hanging="238"/>
        <w:spacing w:after="0"/>
        <w:tabs>
          <w:tab w:leader="none" w:pos="1480"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Nondisclosure</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240" w:right="20" w:firstLine="622"/>
        <w:spacing w:after="0" w:line="272" w:lineRule="auto"/>
        <w:tabs>
          <w:tab w:leader="none" w:pos="2101" w:val="left"/>
        </w:tabs>
        <w:numPr>
          <w:ilvl w:val="2"/>
          <w:numId w:val="39"/>
        </w:numPr>
        <w:rPr>
          <w:rFonts w:ascii="Arial" w:cs="Arial" w:eastAsia="Arial" w:hAnsi="Arial"/>
          <w:sz w:val="16"/>
          <w:szCs w:val="16"/>
          <w:color w:val="auto"/>
        </w:rPr>
      </w:pPr>
      <w:r>
        <w:rPr>
          <w:rFonts w:ascii="Arial" w:cs="Arial" w:eastAsia="Arial" w:hAnsi="Arial"/>
          <w:sz w:val="16"/>
          <w:szCs w:val="16"/>
          <w:color w:val="auto"/>
        </w:rPr>
        <w:t>You will not, directly or indirectly, at any time during the term of your employment with the Corporation and its direct and indirect subsidiaries (collectively,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(a) you first secure written consent of the Corporation to such disclosure, possession or use, (b) the same shall have lawfully become a matter of public knowledge other than by your act or omission, or (c)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 Notwithstanding the foregoing, the rights of the Consolidated ManpowerGroup to protect business information which constitutes trade secrets under applicable trade secrets law or privileged information shall extend beyond such two-year period, in accordance with applicable law.</w:t>
      </w:r>
    </w:p>
    <w:p>
      <w:pPr>
        <w:spacing w:after="0" w:line="201" w:lineRule="exact"/>
        <w:rPr>
          <w:rFonts w:ascii="Arial" w:cs="Arial" w:eastAsia="Arial" w:hAnsi="Arial"/>
          <w:sz w:val="16"/>
          <w:szCs w:val="16"/>
          <w:color w:val="auto"/>
        </w:rPr>
      </w:pPr>
    </w:p>
    <w:p>
      <w:pPr>
        <w:ind w:left="1240" w:right="180" w:firstLine="622"/>
        <w:spacing w:after="0" w:line="262" w:lineRule="auto"/>
        <w:tabs>
          <w:tab w:leader="none" w:pos="2156" w:val="left"/>
        </w:tabs>
        <w:numPr>
          <w:ilvl w:val="2"/>
          <w:numId w:val="39"/>
        </w:numPr>
        <w:rPr>
          <w:rFonts w:ascii="Arial" w:cs="Arial" w:eastAsia="Arial" w:hAnsi="Arial"/>
          <w:sz w:val="17"/>
          <w:szCs w:val="17"/>
          <w:color w:val="auto"/>
        </w:rPr>
      </w:pPr>
      <w:r>
        <w:rPr>
          <w:rFonts w:ascii="Arial" w:cs="Arial" w:eastAsia="Arial" w:hAnsi="Arial"/>
          <w:sz w:val="17"/>
          <w:szCs w:val="17"/>
          <w:color w:val="auto"/>
        </w:rPr>
        <w:t>Upon your termination of employment, for whatever reason,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which are in your possession or under your control.</w:t>
      </w:r>
    </w:p>
    <w:p>
      <w:pPr>
        <w:spacing w:after="0" w:line="204" w:lineRule="exact"/>
        <w:rPr>
          <w:rFonts w:ascii="Arial" w:cs="Arial" w:eastAsia="Arial" w:hAnsi="Arial"/>
          <w:sz w:val="17"/>
          <w:szCs w:val="17"/>
          <w:color w:val="auto"/>
        </w:rPr>
      </w:pPr>
    </w:p>
    <w:p>
      <w:pPr>
        <w:ind w:left="620" w:right="20" w:firstLine="622"/>
        <w:spacing w:after="0" w:line="257" w:lineRule="auto"/>
        <w:tabs>
          <w:tab w:leader="none" w:pos="1526"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ectPr>
          <w:pgSz w:w="11900" w:h="16838" w:orient="portrait"/>
          <w:cols w:equalWidth="0" w:num="1">
            <w:col w:w="11420"/>
          </w:cols>
          <w:pgMar w:left="240" w:top="114" w:right="239" w:bottom="98" w:gutter="0" w:footer="0" w:header="0"/>
        </w:sectPr>
      </w:pPr>
    </w:p>
    <w:bookmarkStart w:id="40" w:name="page41"/>
    <w:bookmarkEnd w:id="40"/>
    <w:p>
      <w:pPr>
        <w:spacing w:after="0" w:line="49" w:lineRule="exact"/>
        <w:rPr>
          <w:sz w:val="20"/>
          <w:szCs w:val="20"/>
          <w:color w:val="auto"/>
        </w:rPr>
      </w:pPr>
    </w:p>
    <w:p>
      <w:pPr>
        <w:ind w:left="620" w:right="140" w:firstLine="622"/>
        <w:spacing w:after="0" w:line="258" w:lineRule="auto"/>
        <w:tabs>
          <w:tab w:leader="none" w:pos="1516" w:val="left"/>
        </w:tabs>
        <w:numPr>
          <w:ilvl w:val="3"/>
          <w:numId w:val="40"/>
        </w:numPr>
        <w:rPr>
          <w:rFonts w:ascii="Arial" w:cs="Arial" w:eastAsia="Arial" w:hAnsi="Arial"/>
          <w:sz w:val="17"/>
          <w:szCs w:val="17"/>
          <w:color w:val="auto"/>
        </w:rPr>
      </w:pPr>
      <w:r>
        <w:rPr>
          <w:rFonts w:ascii="Arial" w:cs="Arial" w:eastAsia="Arial" w:hAnsi="Arial"/>
          <w:sz w:val="17"/>
          <w:szCs w:val="17"/>
          <w:u w:val="single" w:color="auto"/>
          <w:color w:val="auto"/>
        </w:rPr>
        <w:t>Injunction</w:t>
      </w:r>
      <w:r>
        <w:rPr>
          <w:rFonts w:ascii="Arial" w:cs="Arial" w:eastAsia="Arial" w:hAnsi="Arial"/>
          <w:sz w:val="17"/>
          <w:szCs w:val="17"/>
          <w:color w:val="auto"/>
        </w:rPr>
        <w:t>. You recognize that irreparable and incalculable injury will result to the Consolidated ManpowerGroup and its businesses and properties in the event of your breach of any of the restrictions imposed by Sections 6(a) - (b), above. You therefore agree that, in the event of any such actual, impending or threatened breach, the Corporation will be entitled, in addition to any other remedies and damages available to, including, but not limited to, provisional or interim measures, including temporary and permanent injunctive relief, without the necessity of posting a bond or other security, from a court of competent jurisdiction restraining the violation, or further violation, of such restrictions by you and by any other person or entity for whom you may be acting or who is acting for you or in concert with you..</w:t>
      </w:r>
    </w:p>
    <w:p>
      <w:pPr>
        <w:spacing w:after="0" w:line="210" w:lineRule="exact"/>
        <w:rPr>
          <w:rFonts w:ascii="Arial" w:cs="Arial" w:eastAsia="Arial" w:hAnsi="Arial"/>
          <w:sz w:val="17"/>
          <w:szCs w:val="17"/>
          <w:color w:val="auto"/>
        </w:rPr>
      </w:pPr>
    </w:p>
    <w:p>
      <w:pPr>
        <w:ind w:right="460" w:firstLine="623"/>
        <w:spacing w:after="0" w:line="280" w:lineRule="auto"/>
        <w:tabs>
          <w:tab w:leader="none" w:pos="834"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ind w:right="40" w:firstLine="623"/>
        <w:spacing w:after="0" w:line="266" w:lineRule="auto"/>
        <w:tabs>
          <w:tab w:leader="none" w:pos="834"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ind w:right="140" w:firstLine="623"/>
        <w:spacing w:after="0" w:line="262" w:lineRule="auto"/>
        <w:tabs>
          <w:tab w:leader="none" w:pos="834"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subject to the obligations of the Corporation and the Consolidated ManpowerGroup as set forth herein.</w:t>
      </w:r>
    </w:p>
    <w:p>
      <w:pPr>
        <w:spacing w:after="0" w:line="204" w:lineRule="exact"/>
        <w:rPr>
          <w:rFonts w:ascii="Arial" w:cs="Arial" w:eastAsia="Arial" w:hAnsi="Arial"/>
          <w:sz w:val="17"/>
          <w:szCs w:val="17"/>
          <w:color w:val="auto"/>
        </w:rPr>
      </w:pPr>
    </w:p>
    <w:p>
      <w:pPr>
        <w:ind w:right="200" w:firstLine="623"/>
        <w:spacing w:after="0" w:line="280" w:lineRule="auto"/>
        <w:tabs>
          <w:tab w:leader="none" w:pos="92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right="200" w:firstLine="623"/>
        <w:spacing w:after="0" w:line="280" w:lineRule="auto"/>
        <w:tabs>
          <w:tab w:leader="none" w:pos="914"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right="20" w:firstLine="623"/>
        <w:spacing w:after="0" w:line="280" w:lineRule="auto"/>
        <w:tabs>
          <w:tab w:leader="none" w:pos="92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right="200" w:firstLine="623"/>
        <w:spacing w:after="0" w:line="266" w:lineRule="auto"/>
        <w:tabs>
          <w:tab w:leader="none" w:pos="920" w:val="left"/>
        </w:tabs>
        <w:numPr>
          <w:ilvl w:val="1"/>
          <w:numId w:val="41"/>
        </w:numPr>
        <w:rPr>
          <w:rFonts w:ascii="Arial" w:cs="Arial" w:eastAsia="Arial" w:hAnsi="Arial"/>
          <w:sz w:val="17"/>
          <w:szCs w:val="17"/>
          <w:color w:val="auto"/>
        </w:rPr>
      </w:pPr>
      <w:r>
        <w:rPr>
          <w:rFonts w:ascii="Arial" w:cs="Arial" w:eastAsia="Arial" w:hAnsi="Arial"/>
          <w:sz w:val="17"/>
          <w:szCs w:val="17"/>
          <w:u w:val="single" w:color="auto"/>
          <w:color w:val="auto"/>
        </w:rPr>
        <w:t>Previous Agreement</w:t>
      </w:r>
      <w:r>
        <w:rPr>
          <w:rFonts w:ascii="Arial" w:cs="Arial" w:eastAsia="Arial" w:hAnsi="Arial"/>
          <w:sz w:val="17"/>
          <w:szCs w:val="17"/>
          <w:color w:val="auto"/>
        </w:rPr>
        <w:t>. This letter, upon acceptance by you, expressly supersedes that certain letter agreement between you and the Corporation dated February 16, 2011, which primarily concerns your compensation and benefits, and such agreement shall, as of the date of your acceptance, have no further force or effect.</w:t>
      </w:r>
    </w:p>
    <w:p>
      <w:pPr>
        <w:spacing w:after="0" w:line="201" w:lineRule="exact"/>
        <w:rPr>
          <w:rFonts w:ascii="Arial" w:cs="Arial" w:eastAsia="Arial" w:hAnsi="Arial"/>
          <w:sz w:val="17"/>
          <w:szCs w:val="17"/>
          <w:color w:val="auto"/>
        </w:rPr>
      </w:pPr>
    </w:p>
    <w:p>
      <w:pPr>
        <w:ind w:right="60" w:firstLine="623"/>
        <w:spacing w:after="0" w:line="283" w:lineRule="auto"/>
        <w:tabs>
          <w:tab w:leader="none" w:pos="920"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Dispute Resolution</w:t>
      </w:r>
      <w:r>
        <w:rPr>
          <w:rFonts w:ascii="Arial" w:cs="Arial" w:eastAsia="Arial" w:hAnsi="Arial"/>
          <w:sz w:val="16"/>
          <w:szCs w:val="16"/>
          <w:color w:val="auto"/>
        </w:rPr>
        <w:t>. Subsection 6(c)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14, the party initiating arbitration shall be denominated the “Claimant” and the other party shall be denominated the “Respondent.”</w:t>
      </w:r>
    </w:p>
    <w:p>
      <w:pPr>
        <w:spacing w:after="0" w:line="190" w:lineRule="exact"/>
        <w:rPr>
          <w:rFonts w:ascii="Arial" w:cs="Arial" w:eastAsia="Arial" w:hAnsi="Arial"/>
          <w:sz w:val="16"/>
          <w:szCs w:val="16"/>
          <w:color w:val="auto"/>
        </w:rPr>
      </w:pPr>
    </w:p>
    <w:p>
      <w:pPr>
        <w:ind w:left="820" w:right="20" w:hanging="249"/>
        <w:spacing w:after="0" w:line="271" w:lineRule="auto"/>
        <w:tabs>
          <w:tab w:leader="none" w:pos="8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w:t>
      </w:r>
    </w:p>
    <w:p>
      <w:pPr>
        <w:spacing w:after="0" w:line="1" w:lineRule="exact"/>
        <w:rPr>
          <w:rFonts w:ascii="Arial" w:cs="Arial" w:eastAsia="Arial" w:hAnsi="Arial"/>
          <w:sz w:val="16"/>
          <w:szCs w:val="16"/>
          <w:color w:val="auto"/>
        </w:rPr>
      </w:pPr>
    </w:p>
    <w:p>
      <w:pPr>
        <w:ind w:left="820" w:right="40"/>
        <w:spacing w:after="0" w:line="279" w:lineRule="auto"/>
        <w:rPr>
          <w:rFonts w:ascii="Arial" w:cs="Arial" w:eastAsia="Arial" w:hAnsi="Arial"/>
          <w:sz w:val="16"/>
          <w:szCs w:val="16"/>
          <w:color w:val="auto"/>
        </w:rPr>
      </w:pPr>
      <w:r>
        <w:rPr>
          <w:rFonts w:ascii="Arial" w:cs="Arial" w:eastAsia="Arial" w:hAnsi="Arial"/>
          <w:sz w:val="16"/>
          <w:szCs w:val="16"/>
          <w:color w:val="auto"/>
        </w:rPr>
        <w:t>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1" w:lineRule="exact"/>
        <w:rPr>
          <w:rFonts w:ascii="Arial" w:cs="Arial" w:eastAsia="Arial" w:hAnsi="Arial"/>
          <w:sz w:val="16"/>
          <w:szCs w:val="16"/>
          <w:color w:val="auto"/>
        </w:rPr>
      </w:pPr>
    </w:p>
    <w:p>
      <w:pPr>
        <w:jc w:val="both"/>
        <w:ind w:left="1240" w:hanging="284"/>
        <w:spacing w:after="0" w:line="255" w:lineRule="auto"/>
        <w:tabs>
          <w:tab w:leader="none" w:pos="1240" w:val="left"/>
        </w:tabs>
        <w:numPr>
          <w:ilvl w:val="2"/>
          <w:numId w:val="42"/>
        </w:numPr>
        <w:rPr>
          <w:rFonts w:ascii="Arial" w:cs="Arial" w:eastAsia="Arial" w:hAnsi="Arial"/>
          <w:sz w:val="17"/>
          <w:szCs w:val="17"/>
          <w:color w:val="auto"/>
        </w:rPr>
      </w:pPr>
      <w:r>
        <w:rPr>
          <w:rFonts w:ascii="Arial" w:cs="Arial" w:eastAsia="Arial" w:hAnsi="Arial"/>
          <w:sz w:val="17"/>
          <w:szCs w:val="17"/>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17" w:lineRule="exact"/>
        <w:rPr>
          <w:rFonts w:ascii="Arial" w:cs="Arial" w:eastAsia="Arial" w:hAnsi="Arial"/>
          <w:sz w:val="17"/>
          <w:szCs w:val="17"/>
          <w:color w:val="auto"/>
        </w:rPr>
      </w:pPr>
    </w:p>
    <w:p>
      <w:pPr>
        <w:ind w:right="420" w:firstLine="623"/>
        <w:spacing w:after="0" w:line="280" w:lineRule="auto"/>
        <w:tabs>
          <w:tab w:leader="none" w:pos="1308"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 6, above, of this agreement are severable and should be construed independently of each other. The invalidity of one such provision shall not affect the validity of any other such provision.</w:t>
      </w:r>
    </w:p>
    <w:p>
      <w:pPr>
        <w:spacing w:after="0" w:line="189" w:lineRule="exact"/>
        <w:rPr>
          <w:sz w:val="20"/>
          <w:szCs w:val="20"/>
          <w:color w:val="auto"/>
        </w:rPr>
      </w:pPr>
    </w:p>
    <w:p>
      <w:pPr>
        <w:ind w:right="380" w:firstLine="620"/>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Jeffrey A. Joerres</w:t>
      </w:r>
    </w:p>
    <w:p>
      <w:pPr>
        <w:spacing w:after="0" w:line="2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Jeffrey A. Joerres, Chairman and Chief Executive Officer</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20th day of February, 2014.</w:t>
      </w:r>
    </w:p>
    <w:p>
      <w:pPr>
        <w:sectPr>
          <w:pgSz w:w="11900" w:h="16887" w:orient="portrait"/>
          <w:cols w:equalWidth="0" w:num="1">
            <w:col w:w="11420"/>
          </w:cols>
          <w:pgMar w:left="240" w:top="127" w:right="239" w:bottom="0" w:gutter="0" w:footer="0" w:header="0"/>
        </w:sectPr>
      </w:pPr>
    </w:p>
    <w:bookmarkStart w:id="41" w:name="page42"/>
    <w:bookmarkEnd w:id="41"/>
    <w:p>
      <w:pPr>
        <w:spacing w:after="0"/>
        <w:rPr>
          <w:sz w:val="20"/>
          <w:szCs w:val="20"/>
          <w:color w:val="auto"/>
        </w:rPr>
      </w:pPr>
      <w:r>
        <w:rPr>
          <w:rFonts w:ascii="Arial" w:cs="Arial" w:eastAsia="Arial" w:hAnsi="Arial"/>
          <w:sz w:val="15"/>
          <w:szCs w:val="15"/>
          <w:u w:val="single" w:color="auto"/>
          <w:color w:val="auto"/>
        </w:rPr>
        <w:t>/s/ Michael J. Van Handel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ectPr>
          <w:pgSz w:w="11900" w:h="16838" w:orient="portrait"/>
          <w:cols w:equalWidth="0" w:num="1">
            <w:col w:w="10219"/>
          </w:cols>
          <w:pgMar w:left="240" w:top="824" w:right="1440" w:bottom="1440" w:gutter="0" w:footer="0" w:header="0"/>
        </w:sectPr>
      </w:pPr>
    </w:p>
    <w:bookmarkStart w:id="42" w:name="page43"/>
    <w:bookmarkEnd w:id="42"/>
    <w:p>
      <w:pPr>
        <w:ind w:left="10100"/>
        <w:spacing w:after="0"/>
        <w:rPr>
          <w:sz w:val="20"/>
          <w:szCs w:val="20"/>
          <w:color w:val="auto"/>
        </w:rPr>
      </w:pPr>
      <w:r>
        <w:rPr>
          <w:rFonts w:ascii="Arial" w:cs="Arial" w:eastAsia="Arial" w:hAnsi="Arial"/>
          <w:sz w:val="19"/>
          <w:szCs w:val="19"/>
          <w:b w:val="1"/>
          <w:bCs w:val="1"/>
          <w:color w:val="auto"/>
        </w:rPr>
        <w:t>Exhibit 10.8(b)</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ManpowerGroup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20, 2014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Mr. Michael Van Handel:</w:t>
      </w:r>
    </w:p>
    <w:p>
      <w:pPr>
        <w:spacing w:after="0" w:line="243" w:lineRule="exact"/>
        <w:rPr>
          <w:sz w:val="20"/>
          <w:szCs w:val="20"/>
          <w:color w:val="auto"/>
        </w:rPr>
      </w:pPr>
    </w:p>
    <w:p>
      <w:pPr>
        <w:jc w:val="both"/>
        <w:ind w:right="140" w:firstLine="620"/>
        <w:spacing w:after="0" w:line="291"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83" w:lineRule="exact"/>
        <w:rPr>
          <w:sz w:val="20"/>
          <w:szCs w:val="20"/>
          <w:color w:val="auto"/>
        </w:rPr>
      </w:pPr>
    </w:p>
    <w:p>
      <w:pPr>
        <w:ind w:left="620" w:hanging="212"/>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letter:</w:t>
      </w:r>
    </w:p>
    <w:p>
      <w:pPr>
        <w:spacing w:after="0" w:line="243" w:lineRule="exact"/>
        <w:rPr>
          <w:rFonts w:ascii="Arial" w:cs="Arial" w:eastAsia="Arial" w:hAnsi="Arial"/>
          <w:sz w:val="17"/>
          <w:szCs w:val="17"/>
          <w:color w:val="auto"/>
        </w:rPr>
      </w:pPr>
    </w:p>
    <w:p>
      <w:pPr>
        <w:jc w:val="both"/>
        <w:ind w:left="1240" w:hanging="275"/>
        <w:spacing w:after="0" w:line="272" w:lineRule="auto"/>
        <w:tabs>
          <w:tab w:leader="none" w:pos="124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Cause</w:t>
      </w:r>
      <w:r>
        <w:rPr>
          <w:rFonts w:ascii="Arial" w:cs="Arial" w:eastAsia="Arial" w:hAnsi="Arial"/>
          <w:sz w:val="16"/>
          <w:szCs w:val="16"/>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Policy on Insider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1(a), no act, or failure to act, on your part will be deemed “willful” unless done, or omitted to be done, by you not in good faith.</w:t>
      </w:r>
    </w:p>
    <w:p>
      <w:pPr>
        <w:spacing w:after="0" w:line="203" w:lineRule="exact"/>
        <w:rPr>
          <w:rFonts w:ascii="Arial" w:cs="Arial" w:eastAsia="Arial" w:hAnsi="Arial"/>
          <w:sz w:val="16"/>
          <w:szCs w:val="16"/>
          <w:color w:val="auto"/>
        </w:rPr>
      </w:pPr>
    </w:p>
    <w:p>
      <w:pPr>
        <w:ind w:left="1240" w:hanging="284"/>
        <w:spacing w:after="0"/>
        <w:tabs>
          <w:tab w:leader="none" w:pos="1240"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shall mean the first to occur of any of the following:</w:t>
      </w:r>
    </w:p>
    <w:p>
      <w:pPr>
        <w:spacing w:after="0" w:line="243" w:lineRule="exact"/>
        <w:rPr>
          <w:rFonts w:ascii="Arial" w:cs="Arial" w:eastAsia="Arial" w:hAnsi="Arial"/>
          <w:sz w:val="17"/>
          <w:szCs w:val="17"/>
          <w:color w:val="auto"/>
        </w:rPr>
      </w:pPr>
    </w:p>
    <w:p>
      <w:pPr>
        <w:jc w:val="both"/>
        <w:ind w:left="1860" w:hanging="247"/>
        <w:spacing w:after="0" w:line="292" w:lineRule="auto"/>
        <w:tabs>
          <w:tab w:leader="none" w:pos="1860" w:val="left"/>
        </w:tabs>
        <w:numPr>
          <w:ilvl w:val="2"/>
          <w:numId w:val="43"/>
        </w:numPr>
        <w:rPr>
          <w:rFonts w:ascii="Arial" w:cs="Arial" w:eastAsia="Arial" w:hAnsi="Arial"/>
          <w:sz w:val="15"/>
          <w:szCs w:val="15"/>
          <w:color w:val="auto"/>
        </w:rPr>
      </w:pPr>
      <w:r>
        <w:rPr>
          <w:rFonts w:ascii="Arial" w:cs="Arial" w:eastAsia="Arial" w:hAnsi="Arial"/>
          <w:sz w:val="15"/>
          <w:szCs w:val="15"/>
          <w:color w:val="auto"/>
        </w:rPr>
        <w:t xml:space="preserve">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91" w:lineRule="exact"/>
        <w:rPr>
          <w:rFonts w:ascii="Arial" w:cs="Arial" w:eastAsia="Arial" w:hAnsi="Arial"/>
          <w:sz w:val="15"/>
          <w:szCs w:val="15"/>
          <w:color w:val="auto"/>
        </w:rPr>
      </w:pPr>
    </w:p>
    <w:p>
      <w:pPr>
        <w:jc w:val="both"/>
        <w:ind w:left="1860" w:hanging="294"/>
        <w:spacing w:after="0" w:line="299" w:lineRule="auto"/>
        <w:tabs>
          <w:tab w:leader="none" w:pos="1860" w:val="left"/>
        </w:tabs>
        <w:numPr>
          <w:ilvl w:val="2"/>
          <w:numId w:val="43"/>
        </w:numPr>
        <w:rPr>
          <w:rFonts w:ascii="Arial" w:cs="Arial" w:eastAsia="Arial" w:hAnsi="Arial"/>
          <w:sz w:val="15"/>
          <w:szCs w:val="15"/>
          <w:color w:val="auto"/>
        </w:rPr>
      </w:pPr>
      <w:r>
        <w:rPr>
          <w:rFonts w:ascii="Arial" w:cs="Arial" w:eastAsia="Arial" w:hAnsi="Arial"/>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1" w:lineRule="exact"/>
        <w:rPr>
          <w:rFonts w:ascii="Arial" w:cs="Arial" w:eastAsia="Arial" w:hAnsi="Arial"/>
          <w:sz w:val="15"/>
          <w:szCs w:val="15"/>
          <w:color w:val="auto"/>
        </w:rPr>
      </w:pPr>
    </w:p>
    <w:p>
      <w:pPr>
        <w:ind w:left="1860" w:hanging="342"/>
        <w:spacing w:after="0" w:line="280" w:lineRule="auto"/>
        <w:tabs>
          <w:tab w:leader="none" w:pos="1860" w:val="left"/>
        </w:tabs>
        <w:numPr>
          <w:ilvl w:val="2"/>
          <w:numId w:val="43"/>
        </w:numPr>
        <w:rPr>
          <w:rFonts w:ascii="Arial" w:cs="Arial" w:eastAsia="Arial" w:hAnsi="Arial"/>
          <w:sz w:val="17"/>
          <w:szCs w:val="17"/>
          <w:color w:val="auto"/>
        </w:rPr>
      </w:pPr>
      <w:r>
        <w:rPr>
          <w:rFonts w:ascii="Arial" w:cs="Arial" w:eastAsia="Arial" w:hAnsi="Arial"/>
          <w:sz w:val="17"/>
          <w:szCs w:val="17"/>
          <w:color w:val="auto"/>
        </w:rPr>
        <w:t>the consummation of any liquidation or dissolution of the Corporation or a sale or other disposition of all or substantially all of the assets of the Corporation; or</w:t>
      </w:r>
    </w:p>
    <w:p>
      <w:pPr>
        <w:spacing w:after="0" w:line="189" w:lineRule="exact"/>
        <w:rPr>
          <w:rFonts w:ascii="Arial" w:cs="Arial" w:eastAsia="Arial" w:hAnsi="Arial"/>
          <w:sz w:val="17"/>
          <w:szCs w:val="17"/>
          <w:color w:val="auto"/>
        </w:rPr>
      </w:pPr>
    </w:p>
    <w:p>
      <w:pPr>
        <w:jc w:val="both"/>
        <w:ind w:left="1860" w:hanging="333"/>
        <w:spacing w:after="0" w:line="257" w:lineRule="auto"/>
        <w:tabs>
          <w:tab w:leader="none" w:pos="1860" w:val="left"/>
        </w:tabs>
        <w:numPr>
          <w:ilvl w:val="2"/>
          <w:numId w:val="43"/>
        </w:numPr>
        <w:rPr>
          <w:rFonts w:ascii="Arial" w:cs="Arial" w:eastAsia="Arial" w:hAnsi="Arial"/>
          <w:sz w:val="17"/>
          <w:szCs w:val="17"/>
          <w:color w:val="auto"/>
        </w:rPr>
      </w:pPr>
      <w:r>
        <w:rPr>
          <w:rFonts w:ascii="Arial" w:cs="Arial" w:eastAsia="Arial" w:hAnsi="Arial"/>
          <w:sz w:val="17"/>
          <w:szCs w:val="17"/>
          <w:color w:val="auto"/>
        </w:rPr>
        <w:t xml:space="preserve">individuals who, as of the date of this letter, constitute the Board of Directors of the Corporation (as of such date, the “Incumbent Board”) cease for any reason to constitute at least a majority of such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person becoming a director subsequent to the date of this letter whose election, or nomination for election by the shareholders of the Corporation, was approved by a vote of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212" w:lineRule="exact"/>
        <w:rPr>
          <w:rFonts w:ascii="Arial" w:cs="Arial" w:eastAsia="Arial" w:hAnsi="Arial"/>
          <w:sz w:val="17"/>
          <w:szCs w:val="17"/>
          <w:color w:val="auto"/>
        </w:rPr>
      </w:pPr>
    </w:p>
    <w:p>
      <w:pPr>
        <w:jc w:val="both"/>
        <w:ind w:left="1860" w:hanging="285"/>
        <w:spacing w:after="0" w:line="318" w:lineRule="auto"/>
        <w:tabs>
          <w:tab w:leader="none" w:pos="1860" w:val="left"/>
        </w:tabs>
        <w:numPr>
          <w:ilvl w:val="2"/>
          <w:numId w:val="43"/>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ectPr>
          <w:pgSz w:w="11900" w:h="16838" w:orient="portrait"/>
          <w:cols w:equalWidth="0" w:num="1">
            <w:col w:w="11420"/>
          </w:cols>
          <w:pgMar w:left="240" w:top="114" w:right="239" w:bottom="0" w:gutter="0" w:footer="0" w:header="0"/>
        </w:sectPr>
      </w:pPr>
    </w:p>
    <w:bookmarkStart w:id="43" w:name="page44"/>
    <w:bookmarkEnd w:id="43"/>
    <w:p>
      <w:pPr>
        <w:ind w:left="1452" w:right="480" w:hanging="618"/>
        <w:spacing w:after="0" w:line="280" w:lineRule="auto"/>
        <w:tabs>
          <w:tab w:leader="none" w:pos="14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material breach of any material obligation of any member of the Consolidated ManpowerGroup for the payment or provision of compensation or other benefits to you;</w:t>
      </w:r>
    </w:p>
    <w:p>
      <w:pPr>
        <w:spacing w:after="0" w:line="189" w:lineRule="exact"/>
        <w:rPr>
          <w:rFonts w:ascii="Arial" w:cs="Arial" w:eastAsia="Arial" w:hAnsi="Arial"/>
          <w:sz w:val="17"/>
          <w:szCs w:val="17"/>
          <w:color w:val="auto"/>
        </w:rPr>
      </w:pPr>
    </w:p>
    <w:p>
      <w:pPr>
        <w:ind w:left="1452" w:hanging="618"/>
        <w:spacing w:after="0"/>
        <w:tabs>
          <w:tab w:leader="none" w:pos="14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material diminution in your base salary;</w:t>
      </w:r>
    </w:p>
    <w:p>
      <w:pPr>
        <w:spacing w:after="0" w:line="243" w:lineRule="exact"/>
        <w:rPr>
          <w:rFonts w:ascii="Arial" w:cs="Arial" w:eastAsia="Arial" w:hAnsi="Arial"/>
          <w:sz w:val="17"/>
          <w:szCs w:val="17"/>
          <w:color w:val="auto"/>
        </w:rPr>
      </w:pPr>
    </w:p>
    <w:p>
      <w:pPr>
        <w:ind w:left="1452" w:right="40" w:hanging="618"/>
        <w:spacing w:after="0" w:line="266" w:lineRule="auto"/>
        <w:tabs>
          <w:tab w:leader="none" w:pos="14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01" w:lineRule="exact"/>
        <w:rPr>
          <w:rFonts w:ascii="Arial" w:cs="Arial" w:eastAsia="Arial" w:hAnsi="Arial"/>
          <w:sz w:val="17"/>
          <w:szCs w:val="17"/>
          <w:color w:val="auto"/>
        </w:rPr>
      </w:pPr>
    </w:p>
    <w:p>
      <w:pPr>
        <w:ind w:left="1452" w:right="240" w:hanging="618"/>
        <w:spacing w:after="0" w:line="280" w:lineRule="auto"/>
        <w:tabs>
          <w:tab w:leader="none" w:pos="14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w:t>
      </w:r>
    </w:p>
    <w:p>
      <w:pPr>
        <w:spacing w:after="0" w:line="189" w:lineRule="exact"/>
        <w:rPr>
          <w:rFonts w:ascii="Arial" w:cs="Arial" w:eastAsia="Arial" w:hAnsi="Arial"/>
          <w:sz w:val="17"/>
          <w:szCs w:val="17"/>
          <w:color w:val="auto"/>
        </w:rPr>
      </w:pPr>
    </w:p>
    <w:p>
      <w:pPr>
        <w:ind w:left="1452" w:right="200" w:hanging="618"/>
        <w:spacing w:after="0" w:line="266" w:lineRule="auto"/>
        <w:tabs>
          <w:tab w:leader="none" w:pos="14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01" w:lineRule="exact"/>
        <w:rPr>
          <w:rFonts w:ascii="Arial" w:cs="Arial" w:eastAsia="Arial" w:hAnsi="Arial"/>
          <w:sz w:val="17"/>
          <w:szCs w:val="17"/>
          <w:color w:val="auto"/>
        </w:rPr>
      </w:pPr>
    </w:p>
    <w:p>
      <w:pPr>
        <w:ind w:left="1452" w:right="300" w:hanging="618"/>
        <w:spacing w:after="0" w:line="280" w:lineRule="auto"/>
        <w:tabs>
          <w:tab w:leader="none" w:pos="1452" w:val="left"/>
        </w:tabs>
        <w:numPr>
          <w:ilvl w:val="0"/>
          <w:numId w:val="44"/>
        </w:numPr>
        <w:rPr>
          <w:rFonts w:ascii="Arial" w:cs="Arial" w:eastAsia="Arial" w:hAnsi="Arial"/>
          <w:sz w:val="17"/>
          <w:szCs w:val="17"/>
          <w:color w:val="auto"/>
        </w:rPr>
      </w:pPr>
      <w:r>
        <w:rPr>
          <w:rFonts w:ascii="Arial" w:cs="Arial" w:eastAsia="Arial" w:hAnsi="Arial"/>
          <w:sz w:val="17"/>
          <w:szCs w:val="17"/>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89" w:lineRule="exact"/>
        <w:rPr>
          <w:sz w:val="20"/>
          <w:szCs w:val="20"/>
          <w:color w:val="auto"/>
        </w:rPr>
      </w:pPr>
    </w:p>
    <w:p>
      <w:pPr>
        <w:ind w:left="832" w:right="60"/>
        <w:spacing w:after="0" w:line="262" w:lineRule="auto"/>
        <w:rPr>
          <w:sz w:val="20"/>
          <w:szCs w:val="20"/>
          <w:color w:val="auto"/>
        </w:rPr>
      </w:pPr>
      <w:r>
        <w:rPr>
          <w:rFonts w:ascii="Arial" w:cs="Arial" w:eastAsia="Arial" w:hAnsi="Arial"/>
          <w:sz w:val="17"/>
          <w:szCs w:val="17"/>
          <w:color w:val="auto"/>
        </w:rPr>
        <w:t>Notwithstanding Subsections 1(c)(i)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205" w:lineRule="exact"/>
        <w:rPr>
          <w:sz w:val="20"/>
          <w:szCs w:val="20"/>
          <w:color w:val="auto"/>
        </w:rPr>
      </w:pPr>
    </w:p>
    <w:p>
      <w:pPr>
        <w:jc w:val="both"/>
        <w:ind w:left="832" w:hanging="284"/>
        <w:spacing w:after="0" w:line="260" w:lineRule="auto"/>
        <w:tabs>
          <w:tab w:leader="none" w:pos="83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05" w:lineRule="exact"/>
        <w:rPr>
          <w:rFonts w:ascii="Arial" w:cs="Arial" w:eastAsia="Arial" w:hAnsi="Arial"/>
          <w:sz w:val="17"/>
          <w:szCs w:val="17"/>
          <w:color w:val="auto"/>
        </w:rPr>
      </w:pPr>
    </w:p>
    <w:p>
      <w:pPr>
        <w:ind w:left="832" w:hanging="275"/>
        <w:spacing w:after="0" w:line="312" w:lineRule="auto"/>
        <w:tabs>
          <w:tab w:leader="none" w:pos="83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66" w:lineRule="exact"/>
        <w:rPr>
          <w:rFonts w:ascii="Arial" w:cs="Arial" w:eastAsia="Arial" w:hAnsi="Arial"/>
          <w:sz w:val="16"/>
          <w:szCs w:val="16"/>
          <w:color w:val="auto"/>
        </w:rPr>
      </w:pPr>
    </w:p>
    <w:p>
      <w:pPr>
        <w:jc w:val="both"/>
        <w:ind w:left="832" w:hanging="256"/>
        <w:spacing w:after="0" w:line="266" w:lineRule="auto"/>
        <w:tabs>
          <w:tab w:leader="none" w:pos="83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two years after the occurrence of a Change of Control; (b) February 20, 2017, if no Change of Control occurs between the date of this letter indicated above and February 20, 2017; and (c) the Date of Termination.</w:t>
      </w:r>
    </w:p>
    <w:p>
      <w:pPr>
        <w:spacing w:after="0" w:line="201" w:lineRule="exact"/>
        <w:rPr>
          <w:rFonts w:ascii="Arial" w:cs="Arial" w:eastAsia="Arial" w:hAnsi="Arial"/>
          <w:sz w:val="17"/>
          <w:szCs w:val="17"/>
          <w:color w:val="auto"/>
        </w:rPr>
      </w:pPr>
    </w:p>
    <w:p>
      <w:pPr>
        <w:ind w:left="832" w:hanging="284"/>
        <w:spacing w:after="0"/>
        <w:tabs>
          <w:tab w:leader="none" w:pos="832" w:val="left"/>
        </w:tabs>
        <w:numPr>
          <w:ilvl w:val="1"/>
          <w:numId w:val="45"/>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the executives of the Corporation from time to time.</w:t>
      </w:r>
    </w:p>
    <w:p>
      <w:pPr>
        <w:spacing w:after="0" w:line="254" w:lineRule="exact"/>
        <w:rPr>
          <w:rFonts w:ascii="Arial" w:cs="Arial" w:eastAsia="Arial" w:hAnsi="Arial"/>
          <w:sz w:val="16"/>
          <w:szCs w:val="16"/>
          <w:color w:val="auto"/>
        </w:rPr>
      </w:pPr>
    </w:p>
    <w:p>
      <w:pPr>
        <w:ind w:left="832" w:hanging="284"/>
        <w:spacing w:after="0" w:line="280" w:lineRule="auto"/>
        <w:tabs>
          <w:tab w:leader="none" w:pos="83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Compensation Agreement</w:t>
      </w:r>
      <w:r>
        <w:rPr>
          <w:rFonts w:ascii="Arial" w:cs="Arial" w:eastAsia="Arial" w:hAnsi="Arial"/>
          <w:sz w:val="17"/>
          <w:szCs w:val="17"/>
          <w:color w:val="auto"/>
        </w:rPr>
        <w:t>. The “Compensation Agreement” means the letter of even date from the Corporation to you, as accepted by you, regarding your compensation and benefits.</w:t>
      </w:r>
    </w:p>
    <w:p>
      <w:pPr>
        <w:spacing w:after="0" w:line="189" w:lineRule="exact"/>
        <w:rPr>
          <w:rFonts w:ascii="Arial" w:cs="Arial" w:eastAsia="Arial" w:hAnsi="Arial"/>
          <w:sz w:val="17"/>
          <w:szCs w:val="17"/>
          <w:color w:val="auto"/>
        </w:rPr>
      </w:pPr>
    </w:p>
    <w:p>
      <w:pPr>
        <w:ind w:left="832" w:hanging="246"/>
        <w:spacing w:after="0"/>
        <w:tabs>
          <w:tab w:leader="none" w:pos="832" w:val="left"/>
        </w:tabs>
        <w:numPr>
          <w:ilvl w:val="1"/>
          <w:numId w:val="45"/>
        </w:numPr>
        <w:rPr>
          <w:rFonts w:ascii="Arial" w:cs="Arial" w:eastAsia="Arial" w:hAnsi="Arial"/>
          <w:sz w:val="17"/>
          <w:szCs w:val="17"/>
          <w:color w:val="auto"/>
        </w:rPr>
      </w:pPr>
      <w:r>
        <w:rPr>
          <w:rFonts w:ascii="Arial" w:cs="Arial" w:eastAsia="Arial" w:hAnsi="Arial"/>
          <w:sz w:val="17"/>
          <w:szCs w:val="17"/>
          <w:u w:val="single" w:color="auto"/>
          <w:color w:val="auto"/>
        </w:rPr>
        <w:t>Protected Period</w:t>
      </w:r>
      <w:r>
        <w:rPr>
          <w:rFonts w:ascii="Arial" w:cs="Arial" w:eastAsia="Arial" w:hAnsi="Arial"/>
          <w:sz w:val="17"/>
          <w:szCs w:val="17"/>
          <w:color w:val="auto"/>
        </w:rPr>
        <w:t>. The “Protected Period” shall be a period of time determined in accordance with the following:</w:t>
      </w:r>
    </w:p>
    <w:p>
      <w:pPr>
        <w:spacing w:after="0" w:line="243" w:lineRule="exact"/>
        <w:rPr>
          <w:rFonts w:ascii="Arial" w:cs="Arial" w:eastAsia="Arial" w:hAnsi="Arial"/>
          <w:sz w:val="17"/>
          <w:szCs w:val="17"/>
          <w:color w:val="auto"/>
        </w:rPr>
      </w:pPr>
    </w:p>
    <w:p>
      <w:pPr>
        <w:jc w:val="both"/>
        <w:ind w:left="1452" w:hanging="247"/>
        <w:spacing w:after="0" w:line="318" w:lineRule="auto"/>
        <w:tabs>
          <w:tab w:leader="none" w:pos="1452" w:val="left"/>
        </w:tabs>
        <w:numPr>
          <w:ilvl w:val="2"/>
          <w:numId w:val="45"/>
        </w:numPr>
        <w:rPr>
          <w:rFonts w:ascii="Arial" w:cs="Arial" w:eastAsia="Arial" w:hAnsi="Arial"/>
          <w:sz w:val="15"/>
          <w:szCs w:val="15"/>
          <w:color w:val="auto"/>
        </w:rPr>
      </w:pPr>
      <w:r>
        <w:rPr>
          <w:rFonts w:ascii="Arial" w:cs="Arial" w:eastAsia="Arial" w:hAnsi="Arial"/>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6" w:lineRule="exact"/>
        <w:rPr>
          <w:rFonts w:ascii="Arial" w:cs="Arial" w:eastAsia="Arial" w:hAnsi="Arial"/>
          <w:sz w:val="15"/>
          <w:szCs w:val="15"/>
          <w:color w:val="auto"/>
        </w:rPr>
      </w:pPr>
    </w:p>
    <w:p>
      <w:pPr>
        <w:jc w:val="both"/>
        <w:ind w:left="1452" w:hanging="294"/>
        <w:spacing w:after="0" w:line="262" w:lineRule="auto"/>
        <w:tabs>
          <w:tab w:leader="none" w:pos="1452" w:val="left"/>
        </w:tabs>
        <w:numPr>
          <w:ilvl w:val="2"/>
          <w:numId w:val="45"/>
        </w:numPr>
        <w:rPr>
          <w:rFonts w:ascii="Arial" w:cs="Arial" w:eastAsia="Arial" w:hAnsi="Arial"/>
          <w:sz w:val="17"/>
          <w:szCs w:val="17"/>
          <w:color w:val="auto"/>
        </w:rPr>
      </w:pPr>
      <w:r>
        <w:rPr>
          <w:rFonts w:ascii="Arial" w:cs="Arial" w:eastAsia="Arial" w:hAnsi="Arial"/>
          <w:sz w:val="17"/>
          <w:szCs w:val="17"/>
          <w:color w:val="auto"/>
        </w:rPr>
        <w:t>if a Change of Control is triggered by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4" w:lineRule="exact"/>
        <w:rPr>
          <w:rFonts w:ascii="Arial" w:cs="Arial" w:eastAsia="Arial" w:hAnsi="Arial"/>
          <w:sz w:val="17"/>
          <w:szCs w:val="17"/>
          <w:color w:val="auto"/>
        </w:rPr>
      </w:pPr>
    </w:p>
    <w:p>
      <w:pPr>
        <w:ind w:left="1452" w:hanging="342"/>
        <w:spacing w:after="0" w:line="312" w:lineRule="auto"/>
        <w:tabs>
          <w:tab w:leader="none" w:pos="1452" w:val="left"/>
        </w:tabs>
        <w:numPr>
          <w:ilvl w:val="2"/>
          <w:numId w:val="45"/>
        </w:numPr>
        <w:rPr>
          <w:rFonts w:ascii="Arial" w:cs="Arial" w:eastAsia="Arial" w:hAnsi="Arial"/>
          <w:sz w:val="16"/>
          <w:szCs w:val="16"/>
          <w:color w:val="auto"/>
        </w:rPr>
      </w:pPr>
      <w:r>
        <w:rPr>
          <w:rFonts w:ascii="Arial" w:cs="Arial" w:eastAsia="Arial" w:hAnsi="Arial"/>
          <w:sz w:val="16"/>
          <w:szCs w:val="16"/>
          <w:color w:val="auto"/>
        </w:rPr>
        <w:t xml:space="preserve">in the case of any Change of Control not described in clauses (i) or (ii), </w:t>
      </w:r>
      <w:r>
        <w:rPr>
          <w:rFonts w:ascii="Arial" w:cs="Arial" w:eastAsia="Arial" w:hAnsi="Arial"/>
          <w:sz w:val="16"/>
          <w:szCs w:val="16"/>
          <w:u w:val="single" w:color="auto"/>
          <w:color w:val="auto"/>
        </w:rPr>
        <w:t>above</w:t>
      </w:r>
      <w:r>
        <w:rPr>
          <w:rFonts w:ascii="Arial" w:cs="Arial" w:eastAsia="Arial" w:hAnsi="Arial"/>
          <w:sz w:val="16"/>
          <w:szCs w:val="16"/>
          <w:color w:val="auto"/>
        </w:rPr>
        <w:t>, the Protected Period shall commence on the date that is six months prior to the Change of Control and shall continue through and including the date of the Change of Control.</w:t>
      </w:r>
    </w:p>
    <w:p>
      <w:pPr>
        <w:spacing w:after="0" w:line="166" w:lineRule="exact"/>
        <w:rPr>
          <w:rFonts w:ascii="Arial" w:cs="Arial" w:eastAsia="Arial" w:hAnsi="Arial"/>
          <w:sz w:val="16"/>
          <w:szCs w:val="16"/>
          <w:color w:val="auto"/>
        </w:rPr>
      </w:pPr>
    </w:p>
    <w:p>
      <w:pPr>
        <w:ind w:left="212" w:hanging="212"/>
        <w:spacing w:after="0"/>
        <w:tabs>
          <w:tab w:leader="none" w:pos="212"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 on Termination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80" w:lineRule="auto"/>
        <w:tabs>
          <w:tab w:leader="none" w:pos="83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Termination by the Corporation for Cause or by You Other Than for Good Reason</w:t>
      </w:r>
      <w:r>
        <w:rPr>
          <w:rFonts w:ascii="Arial" w:cs="Arial" w:eastAsia="Arial" w:hAnsi="Arial"/>
          <w:sz w:val="16"/>
          <w:szCs w:val="16"/>
          <w:color w:val="auto"/>
        </w:rPr>
        <w:t>. If your employment with the Consolidated ManpowerGroup is terminated by the Corporation for Cause or by you other than for Good Reason, the Corporation will pay you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91" w:lineRule="exact"/>
        <w:rPr>
          <w:rFonts w:ascii="Arial" w:cs="Arial" w:eastAsia="Arial" w:hAnsi="Arial"/>
          <w:sz w:val="16"/>
          <w:szCs w:val="16"/>
          <w:color w:val="auto"/>
        </w:rPr>
      </w:pPr>
    </w:p>
    <w:p>
      <w:pPr>
        <w:jc w:val="both"/>
        <w:ind w:left="832" w:hanging="284"/>
        <w:spacing w:after="0" w:line="274" w:lineRule="auto"/>
        <w:tabs>
          <w:tab w:leader="none" w:pos="832" w:val="left"/>
        </w:tabs>
        <w:numPr>
          <w:ilvl w:val="1"/>
          <w:numId w:val="46"/>
        </w:numPr>
        <w:rPr>
          <w:rFonts w:ascii="Arial" w:cs="Arial" w:eastAsia="Arial" w:hAnsi="Arial"/>
          <w:sz w:val="16"/>
          <w:szCs w:val="16"/>
          <w:color w:val="auto"/>
        </w:rPr>
      </w:pPr>
      <w:r>
        <w:rPr>
          <w:rFonts w:ascii="Arial" w:cs="Arial" w:eastAsia="Arial" w:hAnsi="Arial"/>
          <w:sz w:val="16"/>
          <w:szCs w:val="16"/>
          <w:u w:val="single" w:color="auto"/>
          <w:color w:val="auto"/>
        </w:rPr>
        <w:t>Termination of Reason of Disability or Death</w:t>
      </w:r>
      <w:r>
        <w:rPr>
          <w:rFonts w:ascii="Arial" w:cs="Arial" w:eastAsia="Arial" w:hAnsi="Arial"/>
          <w:sz w:val="16"/>
          <w:szCs w:val="16"/>
          <w:color w:val="auto"/>
        </w:rPr>
        <w:t>. If your employment with the Consolidated ManpowerGroup terminates during the Term by reason of your disability or death, the Corporation will pay you or provide you with (i) your unpaid bonus, if any, attributable to any complete fiscal year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200" w:lineRule="exact"/>
        <w:rPr>
          <w:rFonts w:ascii="Arial" w:cs="Arial" w:eastAsia="Arial" w:hAnsi="Arial"/>
          <w:sz w:val="16"/>
          <w:szCs w:val="16"/>
          <w:color w:val="auto"/>
        </w:rPr>
      </w:pPr>
    </w:p>
    <w:p>
      <w:pPr>
        <w:jc w:val="both"/>
        <w:ind w:left="832" w:hanging="275"/>
        <w:spacing w:after="0" w:line="266" w:lineRule="auto"/>
        <w:tabs>
          <w:tab w:leader="none" w:pos="832" w:val="left"/>
        </w:tabs>
        <w:numPr>
          <w:ilvl w:val="1"/>
          <w:numId w:val="46"/>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Other than in a Change of Control</w:t>
      </w:r>
      <w:r>
        <w:rPr>
          <w:rFonts w:ascii="Arial" w:cs="Arial" w:eastAsia="Arial" w:hAnsi="Arial"/>
          <w:sz w:val="17"/>
          <w:szCs w:val="17"/>
          <w:color w:val="auto"/>
        </w:rPr>
        <w:t>. If your employment with the Consolidated ManpowerGroup terminates during the Term for any reason not specified in Subsections 2(a) or (b), above, and Subsection 2(d), below, does not apply to the termination, you will be entitled to the following:</w:t>
      </w:r>
    </w:p>
    <w:p>
      <w:pPr>
        <w:sectPr>
          <w:pgSz w:w="11900" w:h="16838" w:orient="portrait"/>
          <w:cols w:equalWidth="0" w:num="1">
            <w:col w:w="11012"/>
          </w:cols>
          <w:pgMar w:left="648" w:top="127" w:right="239" w:bottom="0" w:gutter="0" w:footer="0" w:header="0"/>
        </w:sectPr>
      </w:pPr>
    </w:p>
    <w:bookmarkStart w:id="44" w:name="page45"/>
    <w:bookmarkEnd w:id="44"/>
    <w:p>
      <w:pPr>
        <w:ind w:left="1524" w:right="960" w:hanging="618"/>
        <w:spacing w:after="0" w:line="280" w:lineRule="auto"/>
        <w:tabs>
          <w:tab w:leader="none" w:pos="15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89" w:lineRule="exact"/>
        <w:rPr>
          <w:rFonts w:ascii="Arial" w:cs="Arial" w:eastAsia="Arial" w:hAnsi="Arial"/>
          <w:sz w:val="17"/>
          <w:szCs w:val="17"/>
          <w:color w:val="auto"/>
        </w:rPr>
      </w:pPr>
    </w:p>
    <w:p>
      <w:pPr>
        <w:ind w:left="1524" w:hanging="618"/>
        <w:spacing w:after="0" w:line="260" w:lineRule="auto"/>
        <w:tabs>
          <w:tab w:leader="none" w:pos="1524"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205" w:lineRule="exact"/>
        <w:rPr>
          <w:rFonts w:ascii="Arial" w:cs="Arial" w:eastAsia="Arial" w:hAnsi="Arial"/>
          <w:sz w:val="17"/>
          <w:szCs w:val="17"/>
          <w:color w:val="auto"/>
        </w:rPr>
      </w:pPr>
    </w:p>
    <w:p>
      <w:pPr>
        <w:ind w:left="1524" w:right="60" w:hanging="618"/>
        <w:spacing w:after="0" w:line="318" w:lineRule="auto"/>
        <w:tabs>
          <w:tab w:leader="none" w:pos="1524"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provided, however, that such payment will not exceed two times the amount of your base salary as then in effect; and</w:t>
      </w:r>
    </w:p>
    <w:p>
      <w:pPr>
        <w:spacing w:after="0" w:line="166" w:lineRule="exact"/>
        <w:rPr>
          <w:rFonts w:ascii="Arial" w:cs="Arial" w:eastAsia="Arial" w:hAnsi="Arial"/>
          <w:sz w:val="15"/>
          <w:szCs w:val="15"/>
          <w:color w:val="auto"/>
        </w:rPr>
      </w:pPr>
    </w:p>
    <w:p>
      <w:pPr>
        <w:ind w:left="1524" w:right="40" w:hanging="618"/>
        <w:spacing w:after="0" w:line="276" w:lineRule="auto"/>
        <w:tabs>
          <w:tab w:leader="none" w:pos="1524" w:val="left"/>
        </w:tabs>
        <w:numPr>
          <w:ilvl w:val="0"/>
          <w:numId w:val="47"/>
        </w:numPr>
        <w:rPr>
          <w:rFonts w:ascii="Arial" w:cs="Arial" w:eastAsia="Arial" w:hAnsi="Arial"/>
          <w:sz w:val="16"/>
          <w:szCs w:val="16"/>
          <w:color w:val="auto"/>
        </w:rPr>
      </w:pPr>
      <w:r>
        <w:rPr>
          <w:rFonts w:ascii="Arial" w:cs="Arial" w:eastAsia="Arial" w:hAnsi="Arial"/>
          <w:sz w:val="16"/>
          <w:szCs w:val="16"/>
          <w:color w:val="auto"/>
        </w:rPr>
        <w:t>for up to a twelve-month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 commence on the Date of Termination.</w:t>
      </w:r>
    </w:p>
    <w:p>
      <w:pPr>
        <w:spacing w:after="0" w:line="196" w:lineRule="exact"/>
        <w:rPr>
          <w:rFonts w:ascii="Arial" w:cs="Arial" w:eastAsia="Arial" w:hAnsi="Arial"/>
          <w:sz w:val="16"/>
          <w:szCs w:val="16"/>
          <w:color w:val="auto"/>
        </w:rPr>
      </w:pPr>
    </w:p>
    <w:p>
      <w:pPr>
        <w:ind w:left="1524" w:right="200"/>
        <w:spacing w:after="0" w:line="289" w:lineRule="auto"/>
        <w:rPr>
          <w:rFonts w:ascii="Arial" w:cs="Arial" w:eastAsia="Arial" w:hAnsi="Arial"/>
          <w:sz w:val="16"/>
          <w:szCs w:val="16"/>
          <w:color w:val="auto"/>
        </w:rPr>
      </w:pPr>
      <w:r>
        <w:rPr>
          <w:rFonts w:ascii="Arial" w:cs="Arial" w:eastAsia="Arial" w:hAnsi="Arial"/>
          <w:sz w:val="15"/>
          <w:szCs w:val="15"/>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w:t>
      </w:r>
    </w:p>
    <w:p>
      <w:pPr>
        <w:spacing w:after="0" w:line="2" w:lineRule="exact"/>
        <w:rPr>
          <w:sz w:val="20"/>
          <w:szCs w:val="20"/>
          <w:color w:val="auto"/>
        </w:rPr>
      </w:pPr>
    </w:p>
    <w:p>
      <w:pPr>
        <w:ind w:left="1524"/>
        <w:spacing w:after="0" w:line="273" w:lineRule="auto"/>
        <w:rPr>
          <w:sz w:val="20"/>
          <w:szCs w:val="20"/>
          <w:color w:val="auto"/>
        </w:rPr>
      </w:pPr>
      <w:r>
        <w:rPr>
          <w:rFonts w:ascii="Arial" w:cs="Arial" w:eastAsia="Arial" w:hAnsi="Arial"/>
          <w:sz w:val="16"/>
          <w:szCs w:val="16"/>
          <w:color w:val="auto"/>
        </w:rPr>
        <w:t>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w:t>
      </w:r>
    </w:p>
    <w:p>
      <w:pPr>
        <w:spacing w:after="0" w:line="196" w:lineRule="exact"/>
        <w:rPr>
          <w:sz w:val="20"/>
          <w:szCs w:val="20"/>
          <w:color w:val="auto"/>
        </w:rPr>
      </w:pPr>
    </w:p>
    <w:p>
      <w:pPr>
        <w:jc w:val="both"/>
        <w:ind w:left="284" w:hanging="284"/>
        <w:spacing w:after="0" w:line="266" w:lineRule="auto"/>
        <w:tabs>
          <w:tab w:leader="none" w:pos="284"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Change of Control</w:t>
      </w:r>
      <w:r>
        <w:rPr>
          <w:rFonts w:ascii="Arial" w:cs="Arial" w:eastAsia="Arial" w:hAnsi="Arial"/>
          <w:sz w:val="17"/>
          <w:szCs w:val="17"/>
          <w:color w:val="auto"/>
        </w:rPr>
        <w:t>. If, during the Term and either during a Protected Period or within two years after the occurrence of a Change of Control, your employment with the Consolidated ManpowerGroup terminates for any reason not specified in Subsections 2(a) or (b), above, you will be entitled to the following:</w:t>
      </w:r>
    </w:p>
    <w:p>
      <w:pPr>
        <w:spacing w:after="0" w:line="201" w:lineRule="exact"/>
        <w:rPr>
          <w:rFonts w:ascii="Arial" w:cs="Arial" w:eastAsia="Arial" w:hAnsi="Arial"/>
          <w:sz w:val="17"/>
          <w:szCs w:val="17"/>
          <w:color w:val="auto"/>
        </w:rPr>
      </w:pPr>
    </w:p>
    <w:p>
      <w:pPr>
        <w:ind w:left="1524" w:right="960" w:hanging="618"/>
        <w:spacing w:after="0" w:line="280" w:lineRule="auto"/>
        <w:tabs>
          <w:tab w:leader="none" w:pos="152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89" w:lineRule="exact"/>
        <w:rPr>
          <w:rFonts w:ascii="Arial" w:cs="Arial" w:eastAsia="Arial" w:hAnsi="Arial"/>
          <w:sz w:val="17"/>
          <w:szCs w:val="17"/>
          <w:color w:val="auto"/>
        </w:rPr>
      </w:pPr>
    </w:p>
    <w:p>
      <w:pPr>
        <w:ind w:left="1524" w:right="260" w:hanging="618"/>
        <w:spacing w:after="0" w:line="262" w:lineRule="auto"/>
        <w:tabs>
          <w:tab w:leader="none" w:pos="152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204" w:lineRule="exact"/>
        <w:rPr>
          <w:rFonts w:ascii="Arial" w:cs="Arial" w:eastAsia="Arial" w:hAnsi="Arial"/>
          <w:sz w:val="17"/>
          <w:szCs w:val="17"/>
          <w:color w:val="auto"/>
        </w:rPr>
      </w:pPr>
    </w:p>
    <w:p>
      <w:pPr>
        <w:ind w:left="1524" w:right="40" w:hanging="618"/>
        <w:spacing w:after="0" w:line="266" w:lineRule="auto"/>
        <w:tabs>
          <w:tab w:leader="none" w:pos="1524"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 Corporation will pay, as a severance benefit to you, a lump-sum payment equal to three times the sum of (1) your annual base salary at the highest rate in effect during the Term and (2) your target annual bonus for the fiscal year in which the Change of Control occurs; and</w:t>
      </w:r>
    </w:p>
    <w:p>
      <w:pPr>
        <w:spacing w:after="0" w:line="201" w:lineRule="exact"/>
        <w:rPr>
          <w:rFonts w:ascii="Arial" w:cs="Arial" w:eastAsia="Arial" w:hAnsi="Arial"/>
          <w:sz w:val="17"/>
          <w:szCs w:val="17"/>
          <w:color w:val="auto"/>
        </w:rPr>
      </w:pPr>
    </w:p>
    <w:p>
      <w:pPr>
        <w:ind w:left="1524" w:right="60" w:hanging="618"/>
        <w:spacing w:after="0" w:line="296" w:lineRule="auto"/>
        <w:tabs>
          <w:tab w:leader="none" w:pos="1524" w:val="left"/>
        </w:tabs>
        <w:numPr>
          <w:ilvl w:val="1"/>
          <w:numId w:val="48"/>
        </w:numPr>
        <w:rPr>
          <w:rFonts w:ascii="Arial" w:cs="Arial" w:eastAsia="Arial" w:hAnsi="Arial"/>
          <w:sz w:val="15"/>
          <w:szCs w:val="15"/>
          <w:color w:val="auto"/>
        </w:rPr>
      </w:pPr>
      <w:r>
        <w:rPr>
          <w:rFonts w:ascii="Arial" w:cs="Arial" w:eastAsia="Arial" w:hAnsi="Arial"/>
          <w:sz w:val="15"/>
          <w:szCs w:val="15"/>
          <w:color w:val="auto"/>
        </w:rPr>
        <w:t>for up to an eighteen-month period after the Date of Termination, the Corporation will arrange 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82" w:lineRule="exact"/>
        <w:rPr>
          <w:rFonts w:ascii="Arial" w:cs="Arial" w:eastAsia="Arial" w:hAnsi="Arial"/>
          <w:sz w:val="15"/>
          <w:szCs w:val="15"/>
          <w:color w:val="auto"/>
        </w:rPr>
      </w:pPr>
    </w:p>
    <w:p>
      <w:pPr>
        <w:ind w:left="1524" w:right="180"/>
        <w:spacing w:after="0" w:line="292" w:lineRule="auto"/>
        <w:rPr>
          <w:rFonts w:ascii="Arial" w:cs="Arial" w:eastAsia="Arial" w:hAnsi="Arial"/>
          <w:sz w:val="15"/>
          <w:szCs w:val="15"/>
          <w:color w:val="auto"/>
        </w:rPr>
      </w:pPr>
      <w:r>
        <w:rPr>
          <w:rFonts w:ascii="Arial" w:cs="Arial" w:eastAsia="Arial" w:hAnsi="Arial"/>
          <w:sz w:val="15"/>
          <w:szCs w:val="15"/>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w:t>
      </w:r>
    </w:p>
    <w:p>
      <w:pPr>
        <w:sectPr>
          <w:pgSz w:w="11900" w:h="16838" w:orient="portrait"/>
          <w:cols w:equalWidth="0" w:num="1">
            <w:col w:w="10464"/>
          </w:cols>
          <w:pgMar w:left="1196" w:top="359" w:right="239" w:bottom="0" w:gutter="0" w:footer="0" w:header="0"/>
        </w:sectPr>
      </w:pPr>
    </w:p>
    <w:bookmarkStart w:id="45" w:name="page46"/>
    <w:bookmarkEnd w:id="45"/>
    <w:p>
      <w:pPr>
        <w:spacing w:after="0" w:line="113" w:lineRule="exact"/>
        <w:rPr>
          <w:sz w:val="20"/>
          <w:szCs w:val="20"/>
          <w:color w:val="auto"/>
        </w:rPr>
      </w:pPr>
    </w:p>
    <w:p>
      <w:pPr>
        <w:ind w:left="2072" w:right="280"/>
        <w:spacing w:after="0" w:line="280" w:lineRule="auto"/>
        <w:rPr>
          <w:sz w:val="20"/>
          <w:szCs w:val="20"/>
          <w:color w:val="auto"/>
        </w:rPr>
      </w:pPr>
      <w:r>
        <w:rPr>
          <w:rFonts w:ascii="Arial" w:cs="Arial" w:eastAsia="Arial" w:hAnsi="Arial"/>
          <w:sz w:val="17"/>
          <w:szCs w:val="17"/>
          <w:color w:val="auto"/>
        </w:rPr>
        <w:t>amount received by you, after subtraction of all taxes applicable to the payments plus the gross-up amount, will equal the cost of such COBRA coverage.</w:t>
      </w:r>
    </w:p>
    <w:p>
      <w:pPr>
        <w:spacing w:after="0" w:line="189" w:lineRule="exact"/>
        <w:rPr>
          <w:sz w:val="20"/>
          <w:szCs w:val="20"/>
          <w:color w:val="auto"/>
        </w:rPr>
      </w:pPr>
    </w:p>
    <w:p>
      <w:pPr>
        <w:jc w:val="both"/>
        <w:ind w:left="832" w:hanging="275"/>
        <w:spacing w:after="0" w:line="288" w:lineRule="auto"/>
        <w:tabs>
          <w:tab w:leader="none" w:pos="832" w:val="left"/>
        </w:tabs>
        <w:numPr>
          <w:ilvl w:val="1"/>
          <w:numId w:val="49"/>
        </w:numPr>
        <w:rPr>
          <w:rFonts w:ascii="Arial" w:cs="Arial" w:eastAsia="Arial" w:hAnsi="Arial"/>
          <w:sz w:val="15"/>
          <w:szCs w:val="15"/>
          <w:color w:val="auto"/>
        </w:rPr>
      </w:pPr>
      <w:r>
        <w:rPr>
          <w:rFonts w:ascii="Arial" w:cs="Arial" w:eastAsia="Arial" w:hAnsi="Arial"/>
          <w:sz w:val="15"/>
          <w:szCs w:val="15"/>
          <w:u w:val="single" w:color="auto"/>
          <w:color w:val="auto"/>
        </w:rPr>
        <w:t>Limitation on Benefits</w:t>
      </w:r>
      <w:r>
        <w:rPr>
          <w:rFonts w:ascii="Arial" w:cs="Arial" w:eastAsia="Arial" w:hAnsi="Arial"/>
          <w:sz w:val="15"/>
          <w:szCs w:val="15"/>
          <w:color w:val="auto"/>
        </w:rPr>
        <w:t>. The amounts paid to you pursuant to Subsection 2(c)(i)(D) or 2(c)(ii)(D)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 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w:t>
      </w:r>
    </w:p>
    <w:p>
      <w:pPr>
        <w:spacing w:after="0" w:line="5" w:lineRule="exact"/>
        <w:rPr>
          <w:rFonts w:ascii="Arial" w:cs="Arial" w:eastAsia="Arial" w:hAnsi="Arial"/>
          <w:sz w:val="15"/>
          <w:szCs w:val="15"/>
          <w:color w:val="auto"/>
        </w:rPr>
      </w:pPr>
    </w:p>
    <w:p>
      <w:pPr>
        <w:jc w:val="both"/>
        <w:ind w:left="832" w:firstLine="2"/>
        <w:spacing w:after="0" w:line="260" w:lineRule="auto"/>
        <w:tabs>
          <w:tab w:leader="none" w:pos="1138" w:val="left"/>
        </w:tabs>
        <w:numPr>
          <w:ilvl w:val="2"/>
          <w:numId w:val="49"/>
        </w:numPr>
        <w:rPr>
          <w:rFonts w:ascii="Arial" w:cs="Arial" w:eastAsia="Arial" w:hAnsi="Arial"/>
          <w:sz w:val="17"/>
          <w:szCs w:val="17"/>
          <w:color w:val="auto"/>
        </w:rPr>
      </w:pPr>
      <w:r>
        <w:rPr>
          <w:rFonts w:ascii="Arial" w:cs="Arial" w:eastAsia="Arial" w:hAnsi="Arial"/>
          <w:sz w:val="17"/>
          <w:szCs w:val="17"/>
          <w:color w:val="auto"/>
        </w:rPr>
        <w:t>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205" w:lineRule="exact"/>
        <w:rPr>
          <w:rFonts w:ascii="Arial" w:cs="Arial" w:eastAsia="Arial" w:hAnsi="Arial"/>
          <w:sz w:val="17"/>
          <w:szCs w:val="17"/>
          <w:color w:val="auto"/>
        </w:rPr>
      </w:pPr>
    </w:p>
    <w:p>
      <w:pPr>
        <w:jc w:val="both"/>
        <w:ind w:left="832" w:hanging="256"/>
        <w:spacing w:after="0" w:line="292" w:lineRule="auto"/>
        <w:tabs>
          <w:tab w:leader="none" w:pos="832" w:val="left"/>
        </w:tabs>
        <w:numPr>
          <w:ilvl w:val="1"/>
          <w:numId w:val="49"/>
        </w:numPr>
        <w:rPr>
          <w:rFonts w:ascii="Arial" w:cs="Arial" w:eastAsia="Arial" w:hAnsi="Arial"/>
          <w:sz w:val="15"/>
          <w:szCs w:val="15"/>
          <w:color w:val="auto"/>
        </w:rPr>
      </w:pPr>
      <w:r>
        <w:rPr>
          <w:rFonts w:ascii="Arial" w:cs="Arial" w:eastAsia="Arial" w:hAnsi="Arial"/>
          <w:sz w:val="15"/>
          <w:szCs w:val="15"/>
          <w:u w:val="single" w:color="auto"/>
          <w:color w:val="auto"/>
        </w:rPr>
        <w:t>Payment</w:t>
      </w:r>
      <w:r>
        <w:rPr>
          <w:rFonts w:ascii="Arial" w:cs="Arial" w:eastAsia="Arial" w:hAnsi="Arial"/>
          <w:sz w:val="15"/>
          <w:szCs w:val="15"/>
          <w:color w:val="auto"/>
        </w:rPr>
        <w:t xml:space="preserve">. The bonus payment provided for in Subsection 2(c)(i) or 2(d)(i) will be made pursuant to the terms of the applicable bonus plan. The bonus payment provided for in Subsection 2(c)(ii) will be paid on the thirtieth (30th) day after the Date of Termination. The bonus payment provided for in Subsection 2(d)(ii) will between January 1 and March 15 of the calendar year following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5"/>
          <w:szCs w:val="15"/>
          <w:i w:val="1"/>
          <w:iCs w:val="1"/>
          <w:color w:val="auto"/>
        </w:rPr>
        <w:t>The Wall</w:t>
      </w:r>
      <w:r>
        <w:rPr>
          <w:rFonts w:ascii="Arial" w:cs="Arial" w:eastAsia="Arial" w:hAnsi="Arial"/>
          <w:sz w:val="15"/>
          <w:szCs w:val="15"/>
          <w:color w:val="auto"/>
        </w:rPr>
        <w:t xml:space="preserve"> </w:t>
      </w:r>
      <w:r>
        <w:rPr>
          <w:rFonts w:ascii="Arial" w:cs="Arial" w:eastAsia="Arial" w:hAnsi="Arial"/>
          <w:sz w:val="15"/>
          <w:szCs w:val="15"/>
          <w:i w:val="1"/>
          <w:iCs w:val="1"/>
          <w:color w:val="auto"/>
        </w:rPr>
        <w:t>Street Journal</w:t>
      </w:r>
      <w:r>
        <w:rPr>
          <w:rFonts w:ascii="Arial" w:cs="Arial" w:eastAsia="Arial" w:hAnsi="Arial"/>
          <w:sz w:val="15"/>
          <w:szCs w:val="15"/>
          <w:color w:val="auto"/>
        </w:rPr>
        <w:t>, Midwest edition (or, if not so reported, as reported in such other similar source(s) as the Corporation shall select).</w:t>
      </w:r>
    </w:p>
    <w:p>
      <w:pPr>
        <w:spacing w:after="0" w:line="188" w:lineRule="exact"/>
        <w:rPr>
          <w:rFonts w:ascii="Arial" w:cs="Arial" w:eastAsia="Arial" w:hAnsi="Arial"/>
          <w:sz w:val="15"/>
          <w:szCs w:val="15"/>
          <w:color w:val="auto"/>
        </w:rPr>
      </w:pPr>
    </w:p>
    <w:p>
      <w:pPr>
        <w:jc w:val="both"/>
        <w:ind w:left="832" w:hanging="284"/>
        <w:spacing w:after="0" w:line="274" w:lineRule="auto"/>
        <w:tabs>
          <w:tab w:leader="none" w:pos="832" w:val="left"/>
        </w:tabs>
        <w:numPr>
          <w:ilvl w:val="1"/>
          <w:numId w:val="49"/>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shall have no right to receive any payment or benefit described in Subsections 2(c)(ii)-(v) 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stockholders,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(30th) day after the Date of Termination.</w:t>
      </w:r>
    </w:p>
    <w:p>
      <w:pPr>
        <w:spacing w:after="0" w:line="200" w:lineRule="exact"/>
        <w:rPr>
          <w:rFonts w:ascii="Arial" w:cs="Arial" w:eastAsia="Arial" w:hAnsi="Arial"/>
          <w:sz w:val="16"/>
          <w:szCs w:val="16"/>
          <w:color w:val="auto"/>
        </w:rPr>
      </w:pPr>
    </w:p>
    <w:p>
      <w:pPr>
        <w:jc w:val="both"/>
        <w:ind w:left="832" w:hanging="284"/>
        <w:spacing w:after="0" w:line="262" w:lineRule="auto"/>
        <w:tabs>
          <w:tab w:leader="none" w:pos="832" w:val="left"/>
        </w:tabs>
        <w:numPr>
          <w:ilvl w:val="1"/>
          <w:numId w:val="49"/>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Notwithstanding the foregoing, your right to receive the payments and benefits to be provided to you under this Section 2 beyond those described in Subsection 2(a), above, is conditioned upon your performance of the obligations stated in Section 3, below, and in Section 6 of the Compensation Agreement, and upon your breach of any such obligations, you will immediately return to the Corporation the amount of such payments and benefits and you will no longer have any right to receive any such payments or benefits.</w:t>
      </w:r>
    </w:p>
    <w:p>
      <w:pPr>
        <w:spacing w:after="0" w:line="204" w:lineRule="exact"/>
        <w:rPr>
          <w:rFonts w:ascii="Arial" w:cs="Arial" w:eastAsia="Arial" w:hAnsi="Arial"/>
          <w:sz w:val="17"/>
          <w:szCs w:val="17"/>
          <w:color w:val="auto"/>
        </w:rPr>
      </w:pPr>
    </w:p>
    <w:p>
      <w:pPr>
        <w:jc w:val="both"/>
        <w:ind w:left="212" w:hanging="212"/>
        <w:spacing w:after="0" w:line="266" w:lineRule="auto"/>
        <w:tabs>
          <w:tab w:leader="none" w:pos="21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Restrictions During Employment</w:t>
      </w:r>
      <w:r>
        <w:rPr>
          <w:rFonts w:ascii="Arial" w:cs="Arial" w:eastAsia="Arial" w:hAnsi="Arial"/>
          <w:sz w:val="17"/>
          <w:szCs w:val="17"/>
          <w:color w:val="auto"/>
        </w:rPr>
        <w:t>. During the term of your employment with the Consolidated ManpowerGroup, you will not directly or indirectly compete against the Consolidated ManpowerGroup, or directly or indirectly divert or attempt to divert customers’ business from the Consolidate ManpowerGroup anywhere the Consolidated ManpowerGroup does or is taking steps to do business.</w:t>
      </w:r>
    </w:p>
    <w:p>
      <w:pPr>
        <w:spacing w:after="0" w:line="201" w:lineRule="exact"/>
        <w:rPr>
          <w:rFonts w:ascii="Arial" w:cs="Arial" w:eastAsia="Arial" w:hAnsi="Arial"/>
          <w:sz w:val="17"/>
          <w:szCs w:val="17"/>
          <w:color w:val="auto"/>
        </w:rPr>
      </w:pPr>
    </w:p>
    <w:p>
      <w:pPr>
        <w:ind w:left="212" w:hanging="212"/>
        <w:spacing w:after="0"/>
        <w:tabs>
          <w:tab w:leader="none" w:pos="212"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Noncompetition Agreement</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832" w:hanging="275"/>
        <w:spacing w:after="0" w:line="280" w:lineRule="auto"/>
        <w:tabs>
          <w:tab w:leader="none" w:pos="832"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During the one-year period which immediately follows the termination, for whatever reason, of your employment with the Consolidated ManpowerGroup:</w:t>
      </w:r>
    </w:p>
    <w:p>
      <w:pPr>
        <w:spacing w:after="0" w:line="189" w:lineRule="exact"/>
        <w:rPr>
          <w:rFonts w:ascii="Arial" w:cs="Arial" w:eastAsia="Arial" w:hAnsi="Arial"/>
          <w:sz w:val="17"/>
          <w:szCs w:val="17"/>
          <w:color w:val="auto"/>
        </w:rPr>
      </w:pPr>
    </w:p>
    <w:p>
      <w:pPr>
        <w:jc w:val="both"/>
        <w:ind w:left="1452" w:hanging="247"/>
        <w:spacing w:after="0" w:line="302" w:lineRule="auto"/>
        <w:tabs>
          <w:tab w:leader="none" w:pos="1452" w:val="left"/>
        </w:tabs>
        <w:numPr>
          <w:ilvl w:val="3"/>
          <w:numId w:val="50"/>
        </w:numPr>
        <w:rPr>
          <w:rFonts w:ascii="Arial" w:cs="Arial" w:eastAsia="Arial" w:hAnsi="Arial"/>
          <w:sz w:val="15"/>
          <w:szCs w:val="15"/>
          <w:color w:val="auto"/>
        </w:rPr>
      </w:pPr>
      <w:r>
        <w:rPr>
          <w:rFonts w:ascii="Arial" w:cs="Arial" w:eastAsia="Arial" w:hAnsi="Arial"/>
          <w:sz w:val="15"/>
          <w:szCs w:val="15"/>
          <w:color w:val="auto"/>
        </w:rPr>
        <w:t>You will not, directly or indirectly, contact any customer of the Consolidated ManpowerGroup with whom you have had contact on behalf of the Consolidated ManpowerGroup during the two-year period preceding the Date of Termination or any customer about whom you obtained confidential information in connection with your employment by the Consolidated ManpowerGroup during such two-year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79" w:lineRule="exact"/>
        <w:rPr>
          <w:rFonts w:ascii="Arial" w:cs="Arial" w:eastAsia="Arial" w:hAnsi="Arial"/>
          <w:sz w:val="15"/>
          <w:szCs w:val="15"/>
          <w:color w:val="auto"/>
        </w:rPr>
      </w:pPr>
    </w:p>
    <w:p>
      <w:pPr>
        <w:ind w:left="1452" w:right="20" w:hanging="618"/>
        <w:spacing w:after="0" w:line="273" w:lineRule="auto"/>
        <w:tabs>
          <w:tab w:leader="none" w:pos="1452" w:val="left"/>
        </w:tabs>
        <w:numPr>
          <w:ilvl w:val="2"/>
          <w:numId w:val="50"/>
        </w:numPr>
        <w:rPr>
          <w:rFonts w:ascii="Arial" w:cs="Arial" w:eastAsia="Arial" w:hAnsi="Arial"/>
          <w:sz w:val="16"/>
          <w:szCs w:val="16"/>
          <w:color w:val="auto"/>
        </w:rPr>
      </w:pPr>
      <w:r>
        <w:rPr>
          <w:rFonts w:ascii="Arial" w:cs="Arial" w:eastAsia="Arial" w:hAnsi="Arial"/>
          <w:sz w:val="16"/>
          <w:szCs w:val="16"/>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$500,000,000 or (ii) engaged in the business of providing permanent placement, professional staffing, outplacement,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98" w:lineRule="exact"/>
        <w:rPr>
          <w:rFonts w:ascii="Arial" w:cs="Arial" w:eastAsia="Arial" w:hAnsi="Arial"/>
          <w:sz w:val="16"/>
          <w:szCs w:val="16"/>
          <w:color w:val="auto"/>
        </w:rPr>
      </w:pPr>
    </w:p>
    <w:p>
      <w:pPr>
        <w:jc w:val="both"/>
        <w:ind w:left="832" w:hanging="284"/>
        <w:spacing w:after="0" w:line="302" w:lineRule="auto"/>
        <w:tabs>
          <w:tab w:leader="none" w:pos="832" w:val="left"/>
        </w:tabs>
        <w:numPr>
          <w:ilvl w:val="1"/>
          <w:numId w:val="50"/>
        </w:numPr>
        <w:rPr>
          <w:rFonts w:ascii="Arial" w:cs="Arial" w:eastAsia="Arial" w:hAnsi="Arial"/>
          <w:sz w:val="15"/>
          <w:szCs w:val="15"/>
          <w:color w:val="auto"/>
        </w:rPr>
      </w:pPr>
      <w:r>
        <w:rPr>
          <w:rFonts w:ascii="Arial" w:cs="Arial" w:eastAsia="Arial" w:hAnsi="Arial"/>
          <w:sz w:val="15"/>
          <w:szCs w:val="15"/>
          <w:u w:val="single" w:color="auto"/>
          <w:color w:val="auto"/>
        </w:rPr>
        <w:t>Injunction</w:t>
      </w:r>
      <w:r>
        <w:rPr>
          <w:rFonts w:ascii="Arial" w:cs="Arial" w:eastAsia="Arial" w:hAnsi="Arial"/>
          <w:sz w:val="15"/>
          <w:szCs w:val="15"/>
          <w:color w:val="auto"/>
        </w:rPr>
        <w:t>. You recognize that irreparable and incalculable injury will result to the Consolidated ManpowerGroup and its businesses and properties in the event of your breach of any of the restrictions imposed by Subsection 4(a),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w:t>
      </w:r>
    </w:p>
    <w:p>
      <w:pPr>
        <w:sectPr>
          <w:pgSz w:w="11900" w:h="16951" w:orient="portrait"/>
          <w:cols w:equalWidth="0" w:num="1">
            <w:col w:w="11012"/>
          </w:cols>
          <w:pgMar w:left="648" w:top="127" w:right="239" w:bottom="0" w:gutter="0" w:footer="0" w:header="0"/>
        </w:sectPr>
      </w:pPr>
    </w:p>
    <w:bookmarkStart w:id="46" w:name="page47"/>
    <w:bookmarkEnd w:id="46"/>
    <w:p>
      <w:pPr>
        <w:spacing w:after="0" w:line="61" w:lineRule="exact"/>
        <w:rPr>
          <w:sz w:val="20"/>
          <w:szCs w:val="20"/>
          <w:color w:val="auto"/>
        </w:rPr>
      </w:pPr>
    </w:p>
    <w:p>
      <w:pPr>
        <w:ind w:left="1237"/>
        <w:spacing w:after="0" w:line="280" w:lineRule="auto"/>
        <w:rPr>
          <w:sz w:val="20"/>
          <w:szCs w:val="20"/>
          <w:color w:val="auto"/>
        </w:rPr>
      </w:pPr>
      <w:r>
        <w:rPr>
          <w:rFonts w:ascii="Arial" w:cs="Arial" w:eastAsia="Arial" w:hAnsi="Arial"/>
          <w:sz w:val="17"/>
          <w:szCs w:val="17"/>
          <w:color w:val="auto"/>
        </w:rPr>
        <w:t>jurisdiction restraining the actual, impending or threatened violation, or further violation, of such restrictions by you and by any other person or entity for whom you may be acting or who is acting for you or in concert with you.</w:t>
      </w:r>
    </w:p>
    <w:p>
      <w:pPr>
        <w:spacing w:after="0" w:line="189" w:lineRule="exact"/>
        <w:rPr>
          <w:sz w:val="20"/>
          <w:szCs w:val="20"/>
          <w:color w:val="auto"/>
        </w:rPr>
      </w:pPr>
    </w:p>
    <w:p>
      <w:pPr>
        <w:ind w:left="1237" w:hanging="275"/>
        <w:spacing w:after="0" w:line="280" w:lineRule="auto"/>
        <w:tabs>
          <w:tab w:leader="none" w:pos="1237" w:val="left"/>
        </w:tabs>
        <w:numPr>
          <w:ilvl w:val="3"/>
          <w:numId w:val="51"/>
        </w:numPr>
        <w:rPr>
          <w:rFonts w:ascii="Arial" w:cs="Arial" w:eastAsia="Arial" w:hAnsi="Arial"/>
          <w:sz w:val="17"/>
          <w:szCs w:val="17"/>
          <w:color w:val="auto"/>
        </w:rPr>
      </w:pPr>
      <w:r>
        <w:rPr>
          <w:rFonts w:ascii="Arial" w:cs="Arial" w:eastAsia="Arial" w:hAnsi="Arial"/>
          <w:sz w:val="17"/>
          <w:szCs w:val="17"/>
          <w:u w:val="single" w:color="auto"/>
          <w:color w:val="auto"/>
        </w:rPr>
        <w:t>Equitable Extension</w:t>
      </w:r>
      <w:r>
        <w:rPr>
          <w:rFonts w:ascii="Arial" w:cs="Arial" w:eastAsia="Arial" w:hAnsi="Arial"/>
          <w:sz w:val="17"/>
          <w:szCs w:val="17"/>
          <w:color w:val="auto"/>
        </w:rPr>
        <w:t>. The duration of any restriction in Section 4(a) above will be extended by any period during which such restriction is violated by you.</w:t>
      </w:r>
    </w:p>
    <w:p>
      <w:pPr>
        <w:spacing w:after="0" w:line="189" w:lineRule="exact"/>
        <w:rPr>
          <w:rFonts w:ascii="Arial" w:cs="Arial" w:eastAsia="Arial" w:hAnsi="Arial"/>
          <w:sz w:val="17"/>
          <w:szCs w:val="17"/>
          <w:color w:val="auto"/>
        </w:rPr>
      </w:pPr>
    </w:p>
    <w:p>
      <w:pPr>
        <w:ind w:left="1237" w:hanging="284"/>
        <w:spacing w:after="0" w:line="312" w:lineRule="auto"/>
        <w:tabs>
          <w:tab w:leader="none" w:pos="1237" w:val="left"/>
        </w:tabs>
        <w:numPr>
          <w:ilvl w:val="3"/>
          <w:numId w:val="51"/>
        </w:numPr>
        <w:rPr>
          <w:rFonts w:ascii="Arial" w:cs="Arial" w:eastAsia="Arial" w:hAnsi="Arial"/>
          <w:sz w:val="16"/>
          <w:szCs w:val="16"/>
          <w:color w:val="auto"/>
        </w:rPr>
      </w:pPr>
      <w:r>
        <w:rPr>
          <w:rFonts w:ascii="Arial" w:cs="Arial" w:eastAsia="Arial" w:hAnsi="Arial"/>
          <w:sz w:val="16"/>
          <w:szCs w:val="16"/>
          <w:u w:val="single" w:color="auto"/>
          <w:color w:val="auto"/>
        </w:rPr>
        <w:t>Nonapplication</w:t>
      </w:r>
      <w:r>
        <w:rPr>
          <w:rFonts w:ascii="Arial" w:cs="Arial" w:eastAsia="Arial" w:hAnsi="Arial"/>
          <w:sz w:val="16"/>
          <w:szCs w:val="16"/>
          <w:color w:val="auto"/>
        </w:rPr>
        <w:t>. Notwithstanding the above, this Section 4 will not apply if your employment with the Corporation is terminated by you for Good Reason or by the Corporation without Cause either during a Protected Period or within two years after the occurrence of a Change of Control.</w:t>
      </w:r>
    </w:p>
    <w:p>
      <w:pPr>
        <w:spacing w:after="0" w:line="166" w:lineRule="exact"/>
        <w:rPr>
          <w:rFonts w:ascii="Arial" w:cs="Arial" w:eastAsia="Arial" w:hAnsi="Arial"/>
          <w:sz w:val="16"/>
          <w:szCs w:val="16"/>
          <w:color w:val="auto"/>
        </w:rPr>
      </w:pPr>
    </w:p>
    <w:p>
      <w:pPr>
        <w:jc w:val="both"/>
        <w:ind w:left="617" w:hanging="212"/>
        <w:spacing w:after="0" w:line="262" w:lineRule="auto"/>
        <w:tabs>
          <w:tab w:leader="none" w:pos="61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three-year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7"/>
          <w:szCs w:val="17"/>
          <w:color w:val="auto"/>
        </w:rPr>
      </w:pPr>
    </w:p>
    <w:p>
      <w:pPr>
        <w:jc w:val="both"/>
        <w:ind w:left="617" w:hanging="212"/>
        <w:spacing w:after="0" w:line="275" w:lineRule="auto"/>
        <w:tabs>
          <w:tab w:leader="none" w:pos="617"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7" w:lineRule="exact"/>
        <w:rPr>
          <w:rFonts w:ascii="Arial" w:cs="Arial" w:eastAsia="Arial" w:hAnsi="Arial"/>
          <w:sz w:val="16"/>
          <w:szCs w:val="16"/>
          <w:color w:val="auto"/>
        </w:rPr>
      </w:pPr>
    </w:p>
    <w:p>
      <w:pPr>
        <w:ind w:left="617" w:hanging="212"/>
        <w:spacing w:after="0" w:line="280" w:lineRule="auto"/>
        <w:tabs>
          <w:tab w:leader="none" w:pos="61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jc w:val="both"/>
        <w:ind w:left="617" w:hanging="212"/>
        <w:spacing w:after="0" w:line="266" w:lineRule="auto"/>
        <w:tabs>
          <w:tab w:leader="none" w:pos="61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jc w:val="both"/>
        <w:ind w:left="617" w:hanging="212"/>
        <w:spacing w:after="0" w:line="262" w:lineRule="auto"/>
        <w:tabs>
          <w:tab w:leader="none" w:pos="61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No Right to Remain Employed</w:t>
      </w:r>
      <w:r>
        <w:rPr>
          <w:rFonts w:ascii="Arial" w:cs="Arial" w:eastAsia="Arial" w:hAnsi="Arial"/>
          <w:sz w:val="17"/>
          <w:szCs w:val="17"/>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and the Consolidated ManpowerGroup as set forth herein.</w:t>
      </w:r>
    </w:p>
    <w:p>
      <w:pPr>
        <w:spacing w:after="0" w:line="204" w:lineRule="exact"/>
        <w:rPr>
          <w:rFonts w:ascii="Arial" w:cs="Arial" w:eastAsia="Arial" w:hAnsi="Arial"/>
          <w:sz w:val="17"/>
          <w:szCs w:val="17"/>
          <w:color w:val="auto"/>
        </w:rPr>
      </w:pPr>
    </w:p>
    <w:p>
      <w:pPr>
        <w:ind w:left="617" w:hanging="298"/>
        <w:spacing w:after="0" w:line="280" w:lineRule="auto"/>
        <w:tabs>
          <w:tab w:leader="none" w:pos="61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left="617" w:hanging="292"/>
        <w:spacing w:after="0" w:line="280" w:lineRule="auto"/>
        <w:tabs>
          <w:tab w:leader="none" w:pos="617"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left="617" w:right="320" w:hanging="617"/>
        <w:spacing w:after="0" w:line="280" w:lineRule="auto"/>
        <w:tabs>
          <w:tab w:leader="none" w:pos="61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left="617" w:right="340" w:hanging="617"/>
        <w:spacing w:after="0" w:line="280" w:lineRule="auto"/>
        <w:tabs>
          <w:tab w:leader="none" w:pos="617"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Reduction of Amounts Due Under Law</w:t>
      </w:r>
      <w:r>
        <w:rPr>
          <w:rFonts w:ascii="Arial" w:cs="Arial" w:eastAsia="Arial" w:hAnsi="Arial"/>
          <w:sz w:val="16"/>
          <w:szCs w:val="16"/>
          <w:color w:val="auto"/>
        </w:rPr>
        <w:t>. You agree that any severance payment (</w:t>
      </w:r>
      <w:r>
        <w:rPr>
          <w:rFonts w:ascii="Arial" w:cs="Arial" w:eastAsia="Arial" w:hAnsi="Arial"/>
          <w:sz w:val="16"/>
          <w:szCs w:val="16"/>
          <w:i w:val="1"/>
          <w:iCs w:val="1"/>
          <w:color w:val="auto"/>
        </w:rPr>
        <w:t>i.e</w:t>
      </w:r>
      <w:r>
        <w:rPr>
          <w:rFonts w:ascii="Arial" w:cs="Arial" w:eastAsia="Arial" w:hAnsi="Arial"/>
          <w:sz w:val="16"/>
          <w:szCs w:val="16"/>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91" w:lineRule="exact"/>
        <w:rPr>
          <w:rFonts w:ascii="Arial" w:cs="Arial" w:eastAsia="Arial" w:hAnsi="Arial"/>
          <w:sz w:val="16"/>
          <w:szCs w:val="16"/>
          <w:color w:val="auto"/>
        </w:rPr>
      </w:pPr>
    </w:p>
    <w:p>
      <w:pPr>
        <w:ind w:left="617" w:right="120" w:hanging="617"/>
        <w:spacing w:after="0" w:line="266" w:lineRule="auto"/>
        <w:tabs>
          <w:tab w:leader="none" w:pos="61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Previous Agreement</w:t>
      </w:r>
      <w:r>
        <w:rPr>
          <w:rFonts w:ascii="Arial" w:cs="Arial" w:eastAsia="Arial" w:hAnsi="Arial"/>
          <w:sz w:val="17"/>
          <w:szCs w:val="17"/>
          <w:color w:val="auto"/>
        </w:rPr>
        <w:t>. This letter, upon acceptance by you, expressly supersedes that certain letter agreement between you and the Corporation dated February 16, 2011, which primarily concerns rights and obligations upon your termination of employment, and such agreement shall, as of the date of your acceptance, have no further force or effect.</w:t>
      </w:r>
    </w:p>
    <w:p>
      <w:pPr>
        <w:spacing w:after="0" w:line="201" w:lineRule="exact"/>
        <w:rPr>
          <w:rFonts w:ascii="Arial" w:cs="Arial" w:eastAsia="Arial" w:hAnsi="Arial"/>
          <w:sz w:val="17"/>
          <w:szCs w:val="17"/>
          <w:color w:val="auto"/>
        </w:rPr>
      </w:pPr>
    </w:p>
    <w:p>
      <w:pPr>
        <w:ind w:left="617" w:right="120" w:hanging="617"/>
        <w:spacing w:after="0" w:line="260" w:lineRule="auto"/>
        <w:tabs>
          <w:tab w:leader="none" w:pos="617"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Subsection 4(b)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15, the party initiating arbitration shall be denominated the “Claimant” and the other party shall be denominated the “Respondent.”</w:t>
      </w:r>
    </w:p>
    <w:p>
      <w:pPr>
        <w:spacing w:after="0" w:line="205" w:lineRule="exact"/>
        <w:rPr>
          <w:rFonts w:ascii="Arial" w:cs="Arial" w:eastAsia="Arial" w:hAnsi="Arial"/>
          <w:sz w:val="17"/>
          <w:szCs w:val="17"/>
          <w:color w:val="auto"/>
        </w:rPr>
      </w:pPr>
    </w:p>
    <w:p>
      <w:pPr>
        <w:ind w:left="817" w:right="20" w:hanging="249"/>
        <w:spacing w:after="0" w:line="271" w:lineRule="auto"/>
        <w:tabs>
          <w:tab w:leader="none" w:pos="817" w:val="left"/>
        </w:tabs>
        <w:numPr>
          <w:ilvl w:val="2"/>
          <w:numId w:val="53"/>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w:t>
      </w:r>
    </w:p>
    <w:p>
      <w:pPr>
        <w:spacing w:after="0" w:line="1" w:lineRule="exact"/>
        <w:rPr>
          <w:rFonts w:ascii="Arial" w:cs="Arial" w:eastAsia="Arial" w:hAnsi="Arial"/>
          <w:sz w:val="16"/>
          <w:szCs w:val="16"/>
          <w:color w:val="auto"/>
        </w:rPr>
      </w:pPr>
    </w:p>
    <w:p>
      <w:pPr>
        <w:ind w:left="817" w:right="40"/>
        <w:spacing w:after="0" w:line="279" w:lineRule="auto"/>
        <w:rPr>
          <w:rFonts w:ascii="Arial" w:cs="Arial" w:eastAsia="Arial" w:hAnsi="Arial"/>
          <w:sz w:val="16"/>
          <w:szCs w:val="16"/>
          <w:color w:val="auto"/>
        </w:rPr>
      </w:pPr>
      <w:r>
        <w:rPr>
          <w:rFonts w:ascii="Arial" w:cs="Arial" w:eastAsia="Arial" w:hAnsi="Arial"/>
          <w:sz w:val="16"/>
          <w:szCs w:val="16"/>
          <w:color w:val="auto"/>
        </w:rPr>
        <w:t>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00" w:lineRule="exact"/>
        <w:rPr>
          <w:rFonts w:ascii="Arial" w:cs="Arial" w:eastAsia="Arial" w:hAnsi="Arial"/>
          <w:sz w:val="16"/>
          <w:szCs w:val="16"/>
          <w:color w:val="auto"/>
        </w:rPr>
      </w:pPr>
    </w:p>
    <w:p>
      <w:pPr>
        <w:spacing w:after="0" w:line="224" w:lineRule="exact"/>
        <w:rPr>
          <w:rFonts w:ascii="Arial" w:cs="Arial" w:eastAsia="Arial" w:hAnsi="Arial"/>
          <w:sz w:val="16"/>
          <w:szCs w:val="16"/>
          <w:color w:val="auto"/>
        </w:rPr>
      </w:pPr>
    </w:p>
    <w:p>
      <w:pPr>
        <w:jc w:val="both"/>
        <w:ind w:left="857" w:hanging="292"/>
        <w:spacing w:after="0" w:line="302" w:lineRule="auto"/>
        <w:tabs>
          <w:tab w:leader="none" w:pos="857" w:val="left"/>
        </w:tabs>
        <w:numPr>
          <w:ilvl w:val="2"/>
          <w:numId w:val="53"/>
        </w:numPr>
        <w:rPr>
          <w:rFonts w:ascii="Arial" w:cs="Arial" w:eastAsia="Arial" w:hAnsi="Arial"/>
          <w:sz w:val="15"/>
          <w:szCs w:val="15"/>
          <w:color w:val="auto"/>
        </w:rPr>
      </w:pPr>
      <w:r>
        <w:rPr>
          <w:rFonts w:ascii="Arial" w:cs="Arial" w:eastAsia="Arial" w:hAnsi="Arial"/>
          <w:sz w:val="15"/>
          <w:szCs w:val="15"/>
          <w:color w:val="auto"/>
        </w:rPr>
        <w:t>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w:t>
      </w:r>
    </w:p>
    <w:p>
      <w:pPr>
        <w:sectPr>
          <w:pgSz w:w="11900" w:h="16900" w:orient="portrait"/>
          <w:cols w:equalWidth="0" w:num="1">
            <w:col w:w="11417"/>
          </w:cols>
          <w:pgMar w:left="243" w:top="127" w:right="239" w:bottom="0" w:gutter="0" w:footer="0" w:header="0"/>
        </w:sectPr>
      </w:pPr>
    </w:p>
    <w:bookmarkStart w:id="47" w:name="page48"/>
    <w:bookmarkEnd w:id="47"/>
    <w:p>
      <w:pPr>
        <w:jc w:val="both"/>
        <w:ind w:left="857"/>
        <w:spacing w:after="0" w:line="258" w:lineRule="auto"/>
        <w:rPr>
          <w:sz w:val="20"/>
          <w:szCs w:val="20"/>
          <w:color w:val="auto"/>
        </w:rPr>
      </w:pPr>
      <w:r>
        <w:rPr>
          <w:rFonts w:ascii="Arial" w:cs="Arial" w:eastAsia="Arial" w:hAnsi="Arial"/>
          <w:sz w:val="17"/>
          <w:szCs w:val="17"/>
          <w:color w:val="auto"/>
        </w:rPr>
        <w:t xml:space="preserve">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10" w:lineRule="exact"/>
        <w:rPr>
          <w:sz w:val="20"/>
          <w:szCs w:val="20"/>
          <w:color w:val="auto"/>
        </w:rPr>
      </w:pPr>
    </w:p>
    <w:p>
      <w:pPr>
        <w:ind w:left="617" w:right="460" w:hanging="617"/>
        <w:spacing w:after="0" w:line="280" w:lineRule="auto"/>
        <w:tabs>
          <w:tab w:leader="none" w:pos="617"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Paragraphs 3 and 4(a)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127" w:right="239" w:bottom="1440" w:gutter="0" w:footer="0" w:header="0"/>
        </w:sectPr>
      </w:pPr>
    </w:p>
    <w:bookmarkStart w:id="48" w:name="page49"/>
    <w:bookmarkEnd w:id="48"/>
    <w:p>
      <w:pPr>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By: /s/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-8890</wp:posOffset>
            </wp:positionV>
            <wp:extent cx="9290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29005" cy="8255"/>
                    </a:xfrm>
                    <a:prstGeom prst="rect">
                      <a:avLst/>
                    </a:prstGeom>
                    <a:noFill/>
                  </pic:spPr>
                </pic:pic>
              </a:graphicData>
            </a:graphic>
          </wp:anchor>
        </w:drawing>
      </w:r>
    </w:p>
    <w:p>
      <w:pPr>
        <w:spacing w:after="0" w:line="2"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Jeffrey A. Joerres, Chairman and Chief Executive Officer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20th day of February, 2014.</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Van Handel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ectPr>
          <w:pgSz w:w="11900" w:h="16838" w:orient="portrait"/>
          <w:cols w:equalWidth="0" w:num="1">
            <w:col w:w="11380"/>
          </w:cols>
          <w:pgMar w:left="240" w:top="734" w:right="279" w:bottom="1440" w:gutter="0" w:footer="0" w:header="0"/>
        </w:sectPr>
      </w:pPr>
    </w:p>
    <w:bookmarkStart w:id="49" w:name="page50"/>
    <w:bookmarkEnd w:id="49"/>
    <w:p>
      <w:pPr>
        <w:spacing w:after="0" w:line="78"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10.10(b)</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ManpowerGroup Inc.</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Terms and Conditions Regarding the Grant of Awards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Non-Employee Directors under the 2011 Equity Incentive Plan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Effective October 29, 2013)</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1. Definitions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Unless the context otherwise requires, the following terms shall have the meanings set forth below:</w:t>
      </w:r>
    </w:p>
    <w:p>
      <w:pPr>
        <w:spacing w:after="0" w:line="243" w:lineRule="exact"/>
        <w:rPr>
          <w:sz w:val="20"/>
          <w:szCs w:val="20"/>
          <w:color w:val="auto"/>
        </w:rPr>
      </w:pPr>
    </w:p>
    <w:p>
      <w:pPr>
        <w:ind w:left="1240" w:hanging="275"/>
        <w:spacing w:after="0" w:line="280" w:lineRule="auto"/>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“Average Trading Price” shall mean, with respect to any period, the average of the Market Prices on the last trading day of each full or partial calendar quarter included within such period.</w:t>
      </w:r>
    </w:p>
    <w:p>
      <w:pPr>
        <w:spacing w:after="0" w:line="189" w:lineRule="exact"/>
        <w:rPr>
          <w:rFonts w:ascii="Arial" w:cs="Arial" w:eastAsia="Arial" w:hAnsi="Arial"/>
          <w:sz w:val="17"/>
          <w:szCs w:val="17"/>
          <w:color w:val="auto"/>
        </w:rPr>
      </w:pPr>
    </w:p>
    <w:p>
      <w:pPr>
        <w:jc w:val="both"/>
        <w:ind w:left="1240" w:hanging="284"/>
        <w:spacing w:after="0" w:line="262" w:lineRule="auto"/>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“Election Period” shall mean a period of time (i) beginning on January 1 of any year with respect to an individual serving as a Director as of that date and, with respect to an individual becoming a Director after January 1 of any year, the date the Director first becomes a Director and thereafter January 1 of any year and (ii) ending on (but including) the earlier of the date of termination of a Director’s tenure as a Director or the next succeeding December 31.</w:t>
      </w:r>
    </w:p>
    <w:p>
      <w:pPr>
        <w:spacing w:after="0" w:line="204" w:lineRule="exact"/>
        <w:rPr>
          <w:rFonts w:ascii="Arial" w:cs="Arial" w:eastAsia="Arial" w:hAnsi="Arial"/>
          <w:sz w:val="17"/>
          <w:szCs w:val="17"/>
          <w:color w:val="auto"/>
        </w:rPr>
      </w:pPr>
    </w:p>
    <w:p>
      <w:pPr>
        <w:ind w:left="1240" w:hanging="275"/>
        <w:spacing w:after="0"/>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“Equity Plan” shall mean the 2011 Equity Incentive Plan of Manpower Inc.</w:t>
      </w:r>
    </w:p>
    <w:p>
      <w:pPr>
        <w:spacing w:after="0" w:line="243" w:lineRule="exact"/>
        <w:rPr>
          <w:rFonts w:ascii="Arial" w:cs="Arial" w:eastAsia="Arial" w:hAnsi="Arial"/>
          <w:sz w:val="17"/>
          <w:szCs w:val="17"/>
          <w:color w:val="auto"/>
        </w:rPr>
      </w:pPr>
    </w:p>
    <w:p>
      <w:pPr>
        <w:jc w:val="both"/>
        <w:ind w:left="1240" w:hanging="284"/>
        <w:spacing w:after="0" w:line="258" w:lineRule="auto"/>
        <w:tabs>
          <w:tab w:leader="none" w:pos="12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“Retainer” shall mean the annual cash retainer and the additional cash retainer for committee chairs payable to a Director as established from time to time by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“Retainer” shall not include that portion of the annual cash retainer as to which a right exists to make an election under, or for which a prior election is in effect under, the Terms and Conditions Regarding the Grant of Options in Lieu of Cash Directors Fees to Non-Employee Directors Under 2011 Equity Incentive Plan of Manpower Inc. (the “Option Terms”) or the Procedures Governing the Grant of Options to Non-Employee Directors Under the 1994 Executive Stock Option and Restricted Stock Plan of Manpower Inc. (the “Option Procedures”).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Any capitalized terms used below which are not otherwise defined above will have the meanings assigned to them in the Equity Plan.</w:t>
      </w:r>
    </w:p>
    <w:p>
      <w:pPr>
        <w:spacing w:after="0" w:line="23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2. Right to Elect Deferred Stock in Lieu of Retainer.</w:t>
      </w:r>
    </w:p>
    <w:p>
      <w:pPr>
        <w:spacing w:after="0" w:line="24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At the beginning of each Election Period, a Director may elect to receive, in lieu of the Retainer to which he or she would otherwise be entitled for that Election Period, Deferred Stock granted in accordance with the following. The election shall cover 50 percent, 75 percent or 100 percent of the Retainer payable to the Director for the Election Period. To be effective, the election must be made by notice in writing received by the Secretary of the Company (i) on or before the December 31 immediately preceding the beginning of the Election Period for an individual serving as a on such date, and (ii) on or before the tenth business day after the date the Director becomes a Director for an individual becoming a Director during a calendar year. Any such election made by a Director within 10 business days after becoming a Director shall only apply to that portion of the Retainer that is attributable to services performed by the Director subsequent to the date of the election. The number of shares of Deferred Stock granted shall equal (i) the elected percentage of the amount of the Retainer payable to the Director for the Election Period to which the election relates (not including any portion of the Retainer attributable to services performed prior to the date of election for an electing Director who becomes a Director during the year), divided by (ii) the Average Trading Price for that Election Period (rounded to the nearest whole share). Such Deferred Stock shall be granted, automatically and specifically without further action of the Board of Directors, on the first day immediately following the last day of such Election Period and will be fully vested on that date.</w:t>
      </w:r>
    </w:p>
    <w:p>
      <w:pPr>
        <w:spacing w:after="0" w:line="196" w:lineRule="exact"/>
        <w:rPr>
          <w:sz w:val="20"/>
          <w:szCs w:val="20"/>
          <w:color w:val="auto"/>
        </w:rPr>
      </w:pPr>
    </w:p>
    <w:p>
      <w:pPr>
        <w:ind w:left="620" w:hanging="212"/>
        <w:spacing w:after="0"/>
        <w:tabs>
          <w:tab w:leader="none" w:pos="62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Annual Grant of Deferred Stock or Restricted Stock.</w:t>
      </w:r>
    </w:p>
    <w:p>
      <w:pPr>
        <w:spacing w:after="0" w:line="249" w:lineRule="exact"/>
        <w:rPr>
          <w:rFonts w:ascii="Arial" w:cs="Arial" w:eastAsia="Arial" w:hAnsi="Arial"/>
          <w:sz w:val="17"/>
          <w:szCs w:val="17"/>
          <w:b w:val="1"/>
          <w:bCs w:val="1"/>
          <w:color w:val="auto"/>
        </w:rPr>
      </w:pPr>
    </w:p>
    <w:p>
      <w:pPr>
        <w:jc w:val="both"/>
        <w:ind w:left="1240" w:hanging="284"/>
        <w:spacing w:after="0" w:line="290" w:lineRule="auto"/>
        <w:tabs>
          <w:tab w:leader="none" w:pos="1240" w:val="left"/>
        </w:tabs>
        <w:numPr>
          <w:ilvl w:val="1"/>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Grant of Deferred Stock. </w:t>
      </w:r>
      <w:r>
        <w:rPr>
          <w:rFonts w:ascii="Arial" w:cs="Arial" w:eastAsia="Arial" w:hAnsi="Arial"/>
          <w:sz w:val="15"/>
          <w:szCs w:val="15"/>
          <w:color w:val="auto"/>
        </w:rPr>
        <w:t>Each individual serving as a Director on the first day of each calendar year shall be granted on that day, automatically and</w:t>
      </w:r>
      <w:r>
        <w:rPr>
          <w:rFonts w:ascii="Arial" w:cs="Arial" w:eastAsia="Arial" w:hAnsi="Arial"/>
          <w:sz w:val="15"/>
          <w:szCs w:val="15"/>
          <w:i w:val="1"/>
          <w:iCs w:val="1"/>
          <w:color w:val="auto"/>
        </w:rPr>
        <w:t xml:space="preserve"> </w:t>
      </w:r>
      <w:r>
        <w:rPr>
          <w:rFonts w:ascii="Arial" w:cs="Arial" w:eastAsia="Arial" w:hAnsi="Arial"/>
          <w:sz w:val="15"/>
          <w:szCs w:val="15"/>
          <w:color w:val="auto"/>
        </w:rPr>
        <w:t>specifically without further action of the Board of Directors, a number of shares of Deferred Stock equal to $110,000 divided by the Market Price on the last trading day of the immediately preceding year (rounded to the nearest whole share). Such Deferred Stock shall vest in equal installments on the last day of each calendar quarter during the year in which granted. Each individual becoming a Director during a calendar year shall be granted, automatically and specifically without further action of the Board of Directors, a number of shares of Deferred Stock equal to</w:t>
      </w:r>
    </w:p>
    <w:p>
      <w:pPr>
        <w:spacing w:after="0" w:line="1" w:lineRule="exact"/>
        <w:rPr>
          <w:rFonts w:ascii="Arial" w:cs="Arial" w:eastAsia="Arial" w:hAnsi="Arial"/>
          <w:sz w:val="15"/>
          <w:szCs w:val="15"/>
          <w:i w:val="1"/>
          <w:iCs w:val="1"/>
          <w:color w:val="auto"/>
        </w:rPr>
      </w:pPr>
    </w:p>
    <w:p>
      <w:pPr>
        <w:jc w:val="both"/>
        <w:ind w:left="1240"/>
        <w:spacing w:after="0" w:line="292" w:lineRule="auto"/>
        <w:rPr>
          <w:rFonts w:ascii="Arial" w:cs="Arial" w:eastAsia="Arial" w:hAnsi="Arial"/>
          <w:sz w:val="15"/>
          <w:szCs w:val="15"/>
          <w:i w:val="1"/>
          <w:iCs w:val="1"/>
          <w:color w:val="auto"/>
        </w:rPr>
      </w:pPr>
      <w:r>
        <w:rPr>
          <w:rFonts w:ascii="Arial" w:cs="Arial" w:eastAsia="Arial" w:hAnsi="Arial"/>
          <w:sz w:val="15"/>
          <w:szCs w:val="15"/>
          <w:color w:val="auto"/>
        </w:rPr>
        <w:t>(i) $110,000 multiplied by a fraction, the numerator of which is the number of days after the date the Director becomes a Director through the next December 31, and the denominator of which is 365, (ii) divided by the Market Price on the last trading day prior to the date of grant (rounded to the nearest whole share). The date of grant of such Deferred Stock shall be the date the Director becomes a Director. Such Deferred Stock shall vest as follows: on the last day of the calendar quarter during which the Director becomes a Director, a number of shares of such Deferred Stock shall vest equal to the total number of shares granted multiplied by a fraction, the numerator of which is the number of days after the date the Director becomes a Director through the last day of the quarter during which the Director becomes a Director, and the denominator of which is the number of days after the date the Director becomes a Director through the next December 31, and thereafter the balance of the shares of such Deferred Stock (if any) shall vest in equal installments on the last day of each remaining calendar quarter during the year. Shares of Deferred Stock granted under this paragraph will not vest if the Director is no longer a member of the Board of Directors on the vesting date, and any shares of Deferred Stock held by a Director which remain unvested at the time the Director ceases to be a member of the Board of Directors shall be forfeited.</w:t>
      </w:r>
    </w:p>
    <w:p>
      <w:pPr>
        <w:spacing w:after="0" w:line="187" w:lineRule="exact"/>
        <w:rPr>
          <w:rFonts w:ascii="Arial" w:cs="Arial" w:eastAsia="Arial" w:hAnsi="Arial"/>
          <w:sz w:val="15"/>
          <w:szCs w:val="15"/>
          <w:i w:val="1"/>
          <w:iCs w:val="1"/>
          <w:color w:val="auto"/>
        </w:rPr>
      </w:pPr>
    </w:p>
    <w:p>
      <w:pPr>
        <w:jc w:val="both"/>
        <w:ind w:left="1240" w:hanging="284"/>
        <w:spacing w:after="0" w:line="292" w:lineRule="auto"/>
        <w:tabs>
          <w:tab w:leader="none" w:pos="1240" w:val="left"/>
        </w:tabs>
        <w:numPr>
          <w:ilvl w:val="1"/>
          <w:numId w:val="56"/>
        </w:numPr>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Alternative Grant of Restricted Stock. </w:t>
      </w:r>
      <w:r>
        <w:rPr>
          <w:rFonts w:ascii="Arial" w:cs="Arial" w:eastAsia="Arial" w:hAnsi="Arial"/>
          <w:sz w:val="15"/>
          <w:szCs w:val="15"/>
          <w:color w:val="auto"/>
        </w:rPr>
        <w:t>Instead of receiving a grant of Deferred Stock under this paragraph 3, a Director shall have the right to elect</w:t>
      </w:r>
      <w:r>
        <w:rPr>
          <w:rFonts w:ascii="Arial" w:cs="Arial" w:eastAsia="Arial" w:hAnsi="Arial"/>
          <w:sz w:val="15"/>
          <w:szCs w:val="15"/>
          <w:i w:val="1"/>
          <w:iCs w:val="1"/>
          <w:color w:val="auto"/>
        </w:rPr>
        <w:t xml:space="preserve"> </w:t>
      </w:r>
      <w:r>
        <w:rPr>
          <w:rFonts w:ascii="Arial" w:cs="Arial" w:eastAsia="Arial" w:hAnsi="Arial"/>
          <w:sz w:val="15"/>
          <w:szCs w:val="15"/>
          <w:color w:val="auto"/>
        </w:rPr>
        <w:t>to receive a number of shares of Restricted Stock equal to the number of shares of Deferred Stock the Director would otherwise have been granted. To be effective, such election must be made by notice in writing received by the Secretary of the Company (i) on or before December 31 of the immediately preceding year for an individual serving as a Director on the first day of any calendar year, and (ii) on or before the tenth business day after the date the Director becomes a Director for an individual becoming a Director during a calendar year. Any such election to receive Restricted Stock made by a Director within 10 business days after becoming a Director during a calendar year shall only apply to that portion of the Deferred Stock the Director would otherwise have received that is attributable to services performed by the Director in and after the first full calendar quarter subsequent to the date of the election and subsequent calendar quarters during the same calendar year. The date of grant of such Restricted Stock shall be the first day of the full calendar quarter beginning subsequent to the date of the election, and such Restricted Stock shall vest on the same basis as such Deferred Stock would have vested. Where an election to receive Restricted Stock is made by a Director within 10 business days after becoming a Director during a calendar year, the Director shall receive a grant of Deferred Stock equal to that number of shares of Deferred Stock the Director would otherwise have received attributable to services performed by the Director between the date the Director becomes a Director and the last day of the calendar quarter in which the election is made.</w:t>
      </w:r>
    </w:p>
    <w:p>
      <w:pPr>
        <w:sectPr>
          <w:pgSz w:w="11900" w:h="16916" w:orient="portrait"/>
          <w:cols w:equalWidth="0" w:num="1">
            <w:col w:w="11420"/>
          </w:cols>
          <w:pgMar w:left="240" w:top="121" w:right="239" w:bottom="0" w:gutter="0" w:footer="0" w:header="0"/>
        </w:sectPr>
      </w:pPr>
    </w:p>
    <w:bookmarkStart w:id="50" w:name="page51"/>
    <w:bookmarkEnd w:id="50"/>
    <w:p>
      <w:pPr>
        <w:ind w:left="620" w:hanging="212"/>
        <w:spacing w:after="0"/>
        <w:tabs>
          <w:tab w:leader="none" w:pos="6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Deferred Stock: General Provisions</w:t>
      </w:r>
    </w:p>
    <w:p>
      <w:pPr>
        <w:spacing w:after="0" w:line="249" w:lineRule="exact"/>
        <w:rPr>
          <w:rFonts w:ascii="Arial" w:cs="Arial" w:eastAsia="Arial" w:hAnsi="Arial"/>
          <w:sz w:val="17"/>
          <w:szCs w:val="17"/>
          <w:b w:val="1"/>
          <w:bCs w:val="1"/>
          <w:color w:val="auto"/>
        </w:rPr>
      </w:pPr>
    </w:p>
    <w:p>
      <w:pPr>
        <w:jc w:val="both"/>
        <w:ind w:left="1240" w:hanging="284"/>
        <w:spacing w:after="0" w:line="256" w:lineRule="auto"/>
        <w:tabs>
          <w:tab w:leader="none" w:pos="1240" w:val="left"/>
        </w:tabs>
        <w:numPr>
          <w:ilvl w:val="1"/>
          <w:numId w:val="5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Distribution of Shares. </w:t>
      </w:r>
      <w:r>
        <w:rPr>
          <w:rFonts w:ascii="Arial" w:cs="Arial" w:eastAsia="Arial" w:hAnsi="Arial"/>
          <w:sz w:val="17"/>
          <w:szCs w:val="17"/>
          <w:color w:val="auto"/>
        </w:rPr>
        <w:t>The Company shall settle Deferred Stock granted under these Terms and Conditions in Shares. Shares shall be distributed</w:t>
      </w:r>
      <w:r>
        <w:rPr>
          <w:rFonts w:ascii="Arial" w:cs="Arial" w:eastAsia="Arial" w:hAnsi="Arial"/>
          <w:sz w:val="17"/>
          <w:szCs w:val="17"/>
          <w:i w:val="1"/>
          <w:iCs w:val="1"/>
          <w:color w:val="auto"/>
        </w:rPr>
        <w:t xml:space="preserve"> </w:t>
      </w:r>
      <w:r>
        <w:rPr>
          <w:rFonts w:ascii="Arial" w:cs="Arial" w:eastAsia="Arial" w:hAnsi="Arial"/>
          <w:sz w:val="17"/>
          <w:szCs w:val="17"/>
          <w:color w:val="auto"/>
        </w:rPr>
        <w:t>in respect of such Deferred Stock (but only to the extent vested, as rounded to the nearest whole Share) on the earlier of the third anniversary of the date of grant (the “Fixed Distribution Date”) or, upon a Director ceasing to be a member of the Board of Directors, within 30 days after the date of such cessation. However, a Director holding Deferred Stock granted under these Terms and Conditions shall have the right to extend the Fixed Distribution Date (any such extended date or further extended date as provided below is also referred to below as the “Fixed Distribution Date”) by a period of five years or more for each such extension provided in each case the election to extend the Fixed Distribution Date is made by notice in writing delivered to the Secretary of the Company more than 12 months before the then existing Fixed Distribution Date. Notwithstanding the foregoing, if a distribution of Shares under this paragraph would otherwise occur outside of a “Trading Window” (as defined in the Manpower Inc. Statement of Policy on Securities Trading), then the Company may delay the distribution of such Shares until the beginning of the next Trading Window.</w:t>
      </w:r>
    </w:p>
    <w:p>
      <w:pPr>
        <w:spacing w:after="0" w:line="212" w:lineRule="exact"/>
        <w:rPr>
          <w:rFonts w:ascii="Arial" w:cs="Arial" w:eastAsia="Arial" w:hAnsi="Arial"/>
          <w:sz w:val="17"/>
          <w:szCs w:val="17"/>
          <w:i w:val="1"/>
          <w:iCs w:val="1"/>
          <w:color w:val="auto"/>
        </w:rPr>
      </w:pPr>
    </w:p>
    <w:p>
      <w:pPr>
        <w:jc w:val="both"/>
        <w:ind w:left="1240" w:hanging="284"/>
        <w:spacing w:after="0" w:line="272" w:lineRule="auto"/>
        <w:tabs>
          <w:tab w:leader="none" w:pos="1240" w:val="left"/>
        </w:tabs>
        <w:numPr>
          <w:ilvl w:val="1"/>
          <w:numId w:val="57"/>
        </w:numPr>
        <w:rPr>
          <w:rFonts w:ascii="Arial" w:cs="Arial" w:eastAsia="Arial" w:hAnsi="Arial"/>
          <w:sz w:val="16"/>
          <w:szCs w:val="16"/>
          <w:i w:val="1"/>
          <w:iCs w:val="1"/>
          <w:color w:val="auto"/>
        </w:rPr>
      </w:pPr>
      <w:r>
        <w:rPr>
          <w:rFonts w:ascii="Arial" w:cs="Arial" w:eastAsia="Arial" w:hAnsi="Arial"/>
          <w:sz w:val="16"/>
          <w:szCs w:val="16"/>
          <w:i w:val="1"/>
          <w:iCs w:val="1"/>
          <w:color w:val="auto"/>
        </w:rPr>
        <w:t>Dividends and Distributions</w:t>
      </w:r>
      <w:r>
        <w:rPr>
          <w:rFonts w:ascii="Arial" w:cs="Arial" w:eastAsia="Arial" w:hAnsi="Arial"/>
          <w:sz w:val="16"/>
          <w:szCs w:val="16"/>
          <w:color w:val="auto"/>
        </w:rPr>
        <w:t>. On the first day of each calendar year, each Director shall be granted, automatically and specifically without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action of the Board of Directors, a number of shares of Deferred Stock equal to (i) the aggregate amount of dividends (or other distributions) which would have been received by the Director during the immediately preceding year if the Deferred Stock held by the Director (whether or not vested) on the record date of any such dividend or distribution had been outstanding common stock of the Company on such date, (ii) divided by the Average Trading Price for the preceding calendar year (rounded to the nearest whole share). Notwithstanding the foregoing, a Director who ceases to be a member of the Board of Directors shall be granted, automatically and specifically without further action of the Board of Directors, on the day following the date of such cessation, a number of shares of Deferred Stock equal to (i) the total amount of dividends which would have been received by the Director during the year in which termination occurs if the Deferred Stock held by the Director (whether or not vested) on the record date of any such dividend had been outstanding common stock of the Company on such date, (ii) divided by the Average Trading Price for the period from January 1 of such year through the date of such cessation (rounded to the nearest whole share). In the event of any distribution other than cash, the foregoing shall be applied based on the fair market value of the property distributed. Additional shares of Deferred Stock granted under this subparagraph 4(b) shall be settled and Shares distributed in respect of such Deferred Stock at the same time as the Deferred Stock to which the dividends and distributions relate.</w:t>
      </w:r>
    </w:p>
    <w:p>
      <w:pPr>
        <w:spacing w:after="0" w:line="199" w:lineRule="exact"/>
        <w:rPr>
          <w:rFonts w:ascii="Arial" w:cs="Arial" w:eastAsia="Arial" w:hAnsi="Arial"/>
          <w:sz w:val="16"/>
          <w:szCs w:val="16"/>
          <w:i w:val="1"/>
          <w:iCs w:val="1"/>
          <w:color w:val="auto"/>
        </w:rPr>
      </w:pPr>
    </w:p>
    <w:p>
      <w:pPr>
        <w:ind w:left="620" w:hanging="212"/>
        <w:spacing w:after="0"/>
        <w:tabs>
          <w:tab w:leader="none" w:pos="62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Other Provisions</w:t>
      </w:r>
    </w:p>
    <w:p>
      <w:pPr>
        <w:spacing w:after="0" w:line="249" w:lineRule="exact"/>
        <w:rPr>
          <w:sz w:val="20"/>
          <w:szCs w:val="20"/>
          <w:color w:val="auto"/>
        </w:rPr>
      </w:pPr>
    </w:p>
    <w:p>
      <w:pPr>
        <w:jc w:val="both"/>
        <w:ind w:left="620" w:hanging="203"/>
        <w:spacing w:after="0" w:line="266" w:lineRule="auto"/>
        <w:tabs>
          <w:tab w:leader="none" w:pos="6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These amended and restated Terms and Conditions shall become effective on October 29, 2013, and effective on that date shall supersede and replace the amended and restated Terms and Conditions Regarding the Grant of Awards to Non-Employee Directors under the 2011 Equity Incentive Plan in effect immediately prior thereto..</w:t>
      </w:r>
    </w:p>
    <w:p>
      <w:pPr>
        <w:spacing w:after="0" w:line="196"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6. Application of Plan.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Except as otherwise provided in these Terms and Conditions, the Equity Plan shall apply to any Deferred Stock granted pursuant to these Terms and Conditions.</w:t>
      </w:r>
    </w:p>
    <w:p>
      <w:pPr>
        <w:sectPr>
          <w:pgSz w:w="11900" w:h="16838" w:orient="portrait"/>
          <w:cols w:equalWidth="0" w:num="1">
            <w:col w:w="11420"/>
          </w:cols>
          <w:pgMar w:left="240" w:top="353" w:right="239" w:bottom="1440" w:gutter="0" w:footer="0" w:header="0"/>
        </w:sectPr>
      </w:pPr>
    </w:p>
    <w:bookmarkStart w:id="51" w:name="page52"/>
    <w:bookmarkEnd w:id="51"/>
    <w:p>
      <w:pPr>
        <w:spacing w:after="0" w:line="84"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10.10(c)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MANPOWER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Compensation for Non-Employee Directors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 October 29,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compensation</w:t>
      </w:r>
    </w:p>
    <w:p>
      <w:pPr>
        <w:spacing w:after="0" w:line="249" w:lineRule="exact"/>
        <w:rPr>
          <w:sz w:val="20"/>
          <w:szCs w:val="20"/>
          <w:color w:val="auto"/>
        </w:rPr>
      </w:pPr>
    </w:p>
    <w:p>
      <w:pPr>
        <w:ind w:left="620" w:hanging="126"/>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Annual cash retainer: $85,000 per year</w:t>
      </w:r>
    </w:p>
    <w:p>
      <w:pPr>
        <w:spacing w:after="0" w:line="243" w:lineRule="exact"/>
        <w:rPr>
          <w:rFonts w:ascii="Arial" w:cs="Arial" w:eastAsia="Arial" w:hAnsi="Arial"/>
          <w:sz w:val="17"/>
          <w:szCs w:val="17"/>
          <w:color w:val="auto"/>
        </w:rPr>
      </w:pPr>
    </w:p>
    <w:p>
      <w:pPr>
        <w:ind w:left="620" w:hanging="126"/>
        <w:spacing w:after="0"/>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Fee structure for annual retainer for committee chairs and lead director:</w:t>
      </w:r>
    </w:p>
    <w:p>
      <w:pPr>
        <w:spacing w:after="0" w:line="243" w:lineRule="exact"/>
        <w:rPr>
          <w:rFonts w:ascii="Arial" w:cs="Arial" w:eastAsia="Arial" w:hAnsi="Arial"/>
          <w:sz w:val="17"/>
          <w:szCs w:val="17"/>
          <w:color w:val="auto"/>
        </w:rPr>
      </w:pPr>
    </w:p>
    <w:p>
      <w:pPr>
        <w:ind w:left="1400" w:hanging="146"/>
        <w:spacing w:after="0"/>
        <w:tabs>
          <w:tab w:leader="none" w:pos="14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$12,500 Annual retainer for services as chair of the nominating and governance committee</w:t>
      </w:r>
    </w:p>
    <w:p>
      <w:pPr>
        <w:spacing w:after="0" w:line="243" w:lineRule="exact"/>
        <w:rPr>
          <w:rFonts w:ascii="Arial" w:cs="Arial" w:eastAsia="Arial" w:hAnsi="Arial"/>
          <w:sz w:val="17"/>
          <w:szCs w:val="17"/>
          <w:color w:val="auto"/>
        </w:rPr>
      </w:pPr>
    </w:p>
    <w:p>
      <w:pPr>
        <w:ind w:left="1400" w:hanging="146"/>
        <w:spacing w:after="0"/>
        <w:tabs>
          <w:tab w:leader="none" w:pos="14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$15,000 per year for services as chair of the audit or executive compensation and human resources committee</w:t>
      </w:r>
    </w:p>
    <w:p>
      <w:pPr>
        <w:spacing w:after="0" w:line="243" w:lineRule="exact"/>
        <w:rPr>
          <w:rFonts w:ascii="Arial" w:cs="Arial" w:eastAsia="Arial" w:hAnsi="Arial"/>
          <w:sz w:val="17"/>
          <w:szCs w:val="17"/>
          <w:color w:val="auto"/>
        </w:rPr>
      </w:pPr>
    </w:p>
    <w:p>
      <w:pPr>
        <w:ind w:left="1400" w:hanging="146"/>
        <w:spacing w:after="0"/>
        <w:tabs>
          <w:tab w:leader="none" w:pos="14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$20,000 annual retainer for service as lead director</w:t>
      </w:r>
    </w:p>
    <w:p>
      <w:pPr>
        <w:spacing w:after="0" w:line="243" w:lineRule="exact"/>
        <w:rPr>
          <w:rFonts w:ascii="Arial" w:cs="Arial" w:eastAsia="Arial" w:hAnsi="Arial"/>
          <w:sz w:val="17"/>
          <w:szCs w:val="17"/>
          <w:color w:val="auto"/>
        </w:rPr>
      </w:pPr>
    </w:p>
    <w:p>
      <w:pPr>
        <w:ind w:left="1400" w:hanging="146"/>
        <w:spacing w:after="0"/>
        <w:tabs>
          <w:tab w:leader="none" w:pos="1400" w:val="left"/>
        </w:tabs>
        <w:numPr>
          <w:ilvl w:val="1"/>
          <w:numId w:val="59"/>
        </w:numPr>
        <w:rPr>
          <w:rFonts w:ascii="Arial" w:cs="Arial" w:eastAsia="Arial" w:hAnsi="Arial"/>
          <w:sz w:val="17"/>
          <w:szCs w:val="17"/>
          <w:color w:val="auto"/>
        </w:rPr>
      </w:pPr>
      <w:r>
        <w:rPr>
          <w:rFonts w:ascii="Arial" w:cs="Arial" w:eastAsia="Arial" w:hAnsi="Arial"/>
          <w:sz w:val="17"/>
          <w:szCs w:val="17"/>
          <w:color w:val="auto"/>
        </w:rPr>
        <w:t>$25,000 annual retainer in the case where the lead director also serves as chair of one of the committees</w:t>
      </w:r>
    </w:p>
    <w:p>
      <w:pPr>
        <w:spacing w:after="0" w:line="243" w:lineRule="exact"/>
        <w:rPr>
          <w:rFonts w:ascii="Arial" w:cs="Arial" w:eastAsia="Arial" w:hAnsi="Arial"/>
          <w:sz w:val="17"/>
          <w:szCs w:val="17"/>
          <w:color w:val="auto"/>
        </w:rPr>
      </w:pPr>
    </w:p>
    <w:p>
      <w:pPr>
        <w:ind w:left="620" w:hanging="126"/>
        <w:spacing w:after="0" w:line="280" w:lineRule="auto"/>
        <w:tabs>
          <w:tab w:leader="none" w:pos="6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annual cash retainer and additional cash retainer for committee chairs and lead director will be paid quarterly in arrears within two weeks following the last day of each calendar quarter.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Election to Receive Deferred Stock in Lieu of Cash Retainer</w:t>
      </w:r>
    </w:p>
    <w:p>
      <w:pPr>
        <w:spacing w:after="0" w:line="249" w:lineRule="exact"/>
        <w:rPr>
          <w:sz w:val="20"/>
          <w:szCs w:val="20"/>
          <w:color w:val="auto"/>
        </w:rPr>
      </w:pPr>
    </w:p>
    <w:p>
      <w:pPr>
        <w:jc w:val="both"/>
        <w:ind w:left="620" w:hanging="126"/>
        <w:spacing w:after="0" w:line="266"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 lieu of the annual cash retainer and additional cash retainer for committee chairs and lead director, outside directors may elect to receive Deferred Stock under the Company’s 2011 Equity Incentive Plan (the “Plan”). The election may cover 50%, 75% or 100% of the annual cash retainer payable to the director for the period covered by the election.</w:t>
      </w:r>
    </w:p>
    <w:p>
      <w:pPr>
        <w:spacing w:after="0" w:line="201" w:lineRule="exact"/>
        <w:rPr>
          <w:rFonts w:ascii="Arial" w:cs="Arial" w:eastAsia="Arial" w:hAnsi="Arial"/>
          <w:sz w:val="17"/>
          <w:szCs w:val="17"/>
          <w:color w:val="auto"/>
        </w:rPr>
      </w:pPr>
    </w:p>
    <w:p>
      <w:pPr>
        <w:jc w:val="both"/>
        <w:ind w:left="620" w:hanging="126"/>
        <w:spacing w:after="0" w:line="258"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election must be made prior to the beginning of the election period to which the annual cash retainer relates. The election period begins on January 1 of each year and ends on December 31 of that year or, if a director ceases to be a member of the Board of Directors during the year, the date of such cessation. For new non-employee directors, the election period begins on the date of the director’s appointment to the Board of Directors and the election must be made within ten business days after the date of such appointment. Any such election by a new director will only apply to the portion of the retainer earned after the election is made. The grant of Deferred Stock pursuant to any such election will be effective on the first day following the end of the election period to which the election applies.</w:t>
      </w:r>
    </w:p>
    <w:p>
      <w:pPr>
        <w:spacing w:after="0" w:line="210" w:lineRule="exact"/>
        <w:rPr>
          <w:rFonts w:ascii="Arial" w:cs="Arial" w:eastAsia="Arial" w:hAnsi="Arial"/>
          <w:sz w:val="17"/>
          <w:szCs w:val="17"/>
          <w:color w:val="auto"/>
        </w:rPr>
      </w:pPr>
    </w:p>
    <w:p>
      <w:pPr>
        <w:ind w:left="620" w:hanging="126"/>
        <w:spacing w:after="0" w:line="312" w:lineRule="auto"/>
        <w:tabs>
          <w:tab w:leader="none" w:pos="6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number of shares of Deferred Stock granted to the director will be equal to the amount of the annual cash retainer to which the election applies, divided by the average of the closing prices of the stock on the last trading day of each full or partial calendar quarter included within the election period.</w:t>
      </w:r>
    </w:p>
    <w:p>
      <w:pPr>
        <w:spacing w:after="0" w:line="166" w:lineRule="exact"/>
        <w:rPr>
          <w:rFonts w:ascii="Arial" w:cs="Arial" w:eastAsia="Arial" w:hAnsi="Arial"/>
          <w:sz w:val="16"/>
          <w:szCs w:val="16"/>
          <w:color w:val="auto"/>
        </w:rPr>
      </w:pPr>
    </w:p>
    <w:p>
      <w:pPr>
        <w:jc w:val="both"/>
        <w:ind w:left="620" w:hanging="126"/>
        <w:spacing w:after="0" w:line="258" w:lineRule="auto"/>
        <w:tabs>
          <w:tab w:leader="none" w:pos="6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Shares of common stock represented by such Deferred Stock held by a director will be distributed to the director on the earlier of the third anniversary of the date of grant or within 30 days after the date the director ceases to be a member of the Board of Directors. However, the director will have the right to extend the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Grant of Deferred Stock or Restricted Stock</w:t>
      </w:r>
    </w:p>
    <w:p>
      <w:pPr>
        <w:spacing w:after="0" w:line="249" w:lineRule="exact"/>
        <w:rPr>
          <w:sz w:val="20"/>
          <w:szCs w:val="20"/>
          <w:color w:val="auto"/>
        </w:rPr>
      </w:pPr>
    </w:p>
    <w:p>
      <w:pPr>
        <w:jc w:val="both"/>
        <w:ind w:left="620" w:hanging="126"/>
        <w:spacing w:after="0" w:line="262" w:lineRule="auto"/>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 addition to the cash compensation (or elective Deferred Stock), non-employee directors each will receive an annual grant of Deferred Stock under the Plan. The grant will be effective on the first day of each year, and the number of shares granted will equal $110,000 divided by the closing sale price of a share of the Company’s common stock on the last business day of the preceding year. Such Deferred Stock will vest in equal quarterly installments on the last day of each calendar quarter during the year.</w:t>
      </w:r>
    </w:p>
    <w:p>
      <w:pPr>
        <w:spacing w:after="0" w:line="204" w:lineRule="exact"/>
        <w:rPr>
          <w:rFonts w:ascii="Arial" w:cs="Arial" w:eastAsia="Arial" w:hAnsi="Arial"/>
          <w:sz w:val="17"/>
          <w:szCs w:val="17"/>
          <w:color w:val="auto"/>
        </w:rPr>
      </w:pPr>
    </w:p>
    <w:p>
      <w:pPr>
        <w:jc w:val="both"/>
        <w:ind w:left="620" w:hanging="126"/>
        <w:spacing w:after="0" w:line="258" w:lineRule="auto"/>
        <w:tabs>
          <w:tab w:leader="none" w:pos="6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Shares of common stock represented by vested Deferred Stock held by a director will be distributed to the director on the earlier of the third anniversary of the effective date of grant or within 30 days after the date the director ceases to be a member of the Board of Directors. However, the director will have the right to extend the year deferral period by at least five years, and thereafter to extend any previously extended deferral period by at least five more years, provided in each case this election to extend is made at least twelve months before the last day of the then current deferral period. Furthermore, in the event the shares would be distributed outside of a trading window under the Company’s securities trading policy, the Company may defer distribution of the shares until the beginning of the next trading window.</w:t>
      </w:r>
    </w:p>
    <w:p>
      <w:pPr>
        <w:spacing w:after="0" w:line="210" w:lineRule="exact"/>
        <w:rPr>
          <w:rFonts w:ascii="Arial" w:cs="Arial" w:eastAsia="Arial" w:hAnsi="Arial"/>
          <w:sz w:val="17"/>
          <w:szCs w:val="17"/>
          <w:color w:val="auto"/>
        </w:rPr>
      </w:pPr>
    </w:p>
    <w:p>
      <w:pPr>
        <w:jc w:val="both"/>
        <w:ind w:left="620" w:hanging="126"/>
        <w:spacing w:after="0" w:line="291" w:lineRule="auto"/>
        <w:tabs>
          <w:tab w:leader="none" w:pos="6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Instead of receiving this grant of Deferred Stock, non-employee directors will have the right to elect to receive the same number of shares of Restricted Stock under the Plan. Like the Deferred Stock, any such grant will be effective on the first day of the year and will vest in equal quarterly installments on the last day of each calendar quarter during the year. Any such election will be effective only if made on or before December 31 of the preceding year.</w:t>
      </w:r>
    </w:p>
    <w:p>
      <w:pPr>
        <w:spacing w:after="0" w:line="182" w:lineRule="exact"/>
        <w:rPr>
          <w:rFonts w:ascii="Arial" w:cs="Arial" w:eastAsia="Arial" w:hAnsi="Arial"/>
          <w:sz w:val="16"/>
          <w:szCs w:val="16"/>
          <w:color w:val="auto"/>
        </w:rPr>
      </w:pPr>
    </w:p>
    <w:p>
      <w:pPr>
        <w:jc w:val="both"/>
        <w:ind w:left="620" w:hanging="126"/>
        <w:spacing w:after="0" w:line="296" w:lineRule="auto"/>
        <w:tabs>
          <w:tab w:leader="none" w:pos="620" w:val="left"/>
        </w:tabs>
        <w:numPr>
          <w:ilvl w:val="0"/>
          <w:numId w:val="61"/>
        </w:numPr>
        <w:rPr>
          <w:rFonts w:ascii="Arial" w:cs="Arial" w:eastAsia="Arial" w:hAnsi="Arial"/>
          <w:sz w:val="15"/>
          <w:szCs w:val="15"/>
          <w:color w:val="auto"/>
        </w:rPr>
      </w:pPr>
      <w:r>
        <w:rPr>
          <w:rFonts w:ascii="Arial" w:cs="Arial" w:eastAsia="Arial" w:hAnsi="Arial"/>
          <w:sz w:val="15"/>
          <w:szCs w:val="15"/>
          <w:color w:val="auto"/>
        </w:rPr>
        <w:t>A new non-employee director will receive a grant of Deferred Stock effective the date the director is appointed to the Board. The grant will be for a number of shares of Deferred Stock equal to $110,000 prorated for the period beginning on the date of the director’s appointment and ending on December 31 of that year, divided by the closing sale price of a share of the Company’s common stock on the last trading day immediately prior to the effective date of grant. Such Deferred Stock will vest in prorated installments on the last day of each calendar quarter occurring after the date of grant. Instead of receiving this grant of Deferred Stock, the new non-employee director will have the right to elect to receive the same number of shares of Restricted Stock under the Plan, with a vesting schedule the same as the Deferred Stock the director would otherwise have received. Any such election will be effective only if made within ten business days after the date of such appointment and will only apply to that portion of the shares earned in the first full calendar quarter after the election is made by the director and subsequent calendar quarters during the same year. If such an election is made by a director, he or she will receive a</w:t>
      </w:r>
    </w:p>
    <w:p>
      <w:pPr>
        <w:sectPr>
          <w:pgSz w:w="11900" w:h="16923" w:orient="portrait"/>
          <w:cols w:equalWidth="0" w:num="1">
            <w:col w:w="11420"/>
          </w:cols>
          <w:pgMar w:left="240" w:top="121" w:right="239" w:bottom="0" w:gutter="0" w:footer="0" w:header="0"/>
        </w:sectPr>
      </w:pPr>
    </w:p>
    <w:bookmarkStart w:id="52" w:name="page53"/>
    <w:bookmarkEnd w:id="52"/>
    <w:p>
      <w:pPr>
        <w:ind w:left="620"/>
        <w:spacing w:after="0" w:line="280" w:lineRule="auto"/>
        <w:rPr>
          <w:sz w:val="20"/>
          <w:szCs w:val="20"/>
          <w:color w:val="auto"/>
        </w:rPr>
      </w:pPr>
      <w:r>
        <w:rPr>
          <w:rFonts w:ascii="Arial" w:cs="Arial" w:eastAsia="Arial" w:hAnsi="Arial"/>
          <w:sz w:val="17"/>
          <w:szCs w:val="17"/>
          <w:color w:val="auto"/>
        </w:rPr>
        <w:t>grant of Deferred Stock for that portion of the shares earned between the date the director is appointed to the Board and the last day of the calendar quarter in which the election is made.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on Deferred Stock</w:t>
      </w:r>
    </w:p>
    <w:p>
      <w:pPr>
        <w:spacing w:after="0" w:line="249" w:lineRule="exact"/>
        <w:rPr>
          <w:sz w:val="20"/>
          <w:szCs w:val="20"/>
          <w:color w:val="auto"/>
        </w:rPr>
      </w:pPr>
    </w:p>
    <w:p>
      <w:pPr>
        <w:jc w:val="both"/>
        <w:ind w:left="620" w:hanging="126"/>
        <w:spacing w:after="0" w:line="260" w:lineRule="auto"/>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Directors holding Deferred Stock will be granted an additional number of shares of Deferred Stock on the first day of each calendar year attributable to dividends paid by the Company during the prior year. The number of shares of Deferred Stock granted will equal (i) the amount of dividends the director would have received during the prior calendar year if Deferred Stock held by the director had been outstanding common stock, (ii) divided by the average closing prices of the stock on the last trading day of each calendar quarter during the year (or shorter period for a director whose membership on the Board ceases during the year).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Ownership Guidelines</w:t>
      </w:r>
    </w:p>
    <w:p>
      <w:pPr>
        <w:spacing w:after="0" w:line="249" w:lineRule="exact"/>
        <w:rPr>
          <w:sz w:val="20"/>
          <w:szCs w:val="20"/>
          <w:color w:val="auto"/>
        </w:rPr>
      </w:pPr>
    </w:p>
    <w:p>
      <w:pPr>
        <w:jc w:val="both"/>
        <w:ind w:left="620" w:hanging="126"/>
        <w:spacing w:after="0" w:line="275" w:lineRule="auto"/>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Non-employee directors are expected to own shares equal in value to five times the annual cash retainer ($60,000 at January 1, 2006, for a total guideline of $300,000) divided by the closing price of the Company’s common stock on December 30, 2005, for directors in office as of January 1, 2006, and by the third anniversary of the date of appointment for directors appointed after January 1, 2006. On February 16, 2011, the stock ownership guidelines were amended to reflect the increase in the annual cash retainer that became effective on that date, increasing the total stock ownership guideline to $375,000 ($75,000 x 5). This resulted in an increase in the number of shares required to be owned by each non-employee director that was a director as of February 16, 2011 of 1,181 shares. For any non-employee director appointed after February 16, 2011 the total guideline is five times the annual cash retainer prior to the increase of $85,000 ($75,000, for a total of $375,000) divided the closing price of the Company’s common stock on the last business of day of the month during which the director was or is first appointed to the Board of Directors.</w:t>
      </w:r>
    </w:p>
    <w:p>
      <w:pPr>
        <w:spacing w:after="0" w:line="197" w:lineRule="exact"/>
        <w:rPr>
          <w:rFonts w:ascii="Arial" w:cs="Arial" w:eastAsia="Arial" w:hAnsi="Arial"/>
          <w:sz w:val="16"/>
          <w:szCs w:val="16"/>
          <w:color w:val="auto"/>
        </w:rPr>
      </w:pPr>
    </w:p>
    <w:p>
      <w:pPr>
        <w:ind w:left="620" w:hanging="126"/>
        <w:spacing w:after="0" w:line="280" w:lineRule="auto"/>
        <w:tabs>
          <w:tab w:leader="none" w:pos="6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Non-employee directors have four years to attain this guideline from January 1, 2006, or for new non-employee directors from the date of the director’s appointment to the Board.</w:t>
      </w:r>
    </w:p>
    <w:p>
      <w:pPr>
        <w:spacing w:after="0" w:line="189" w:lineRule="exact"/>
        <w:rPr>
          <w:rFonts w:ascii="Arial" w:cs="Arial" w:eastAsia="Arial" w:hAnsi="Arial"/>
          <w:sz w:val="17"/>
          <w:szCs w:val="17"/>
          <w:color w:val="auto"/>
        </w:rPr>
      </w:pPr>
    </w:p>
    <w:p>
      <w:pPr>
        <w:ind w:left="620" w:hanging="126"/>
        <w:spacing w:after="0"/>
        <w:tabs>
          <w:tab w:leader="none" w:pos="6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For this purpose, ownership includes Deferred Stock and Restricted Stock but only to the extent vested, and does not include unexercised stock options.</w:t>
      </w:r>
    </w:p>
    <w:p>
      <w:pPr>
        <w:sectPr>
          <w:pgSz w:w="11900" w:h="16838" w:orient="portrait"/>
          <w:cols w:equalWidth="0" w:num="1">
            <w:col w:w="11420"/>
          </w:cols>
          <w:pgMar w:left="240" w:top="127" w:right="239" w:bottom="1440" w:gutter="0" w:footer="0" w:header="0"/>
        </w:sectPr>
      </w:pPr>
    </w:p>
    <w:bookmarkStart w:id="53" w:name="page54"/>
    <w:bookmarkEnd w:id="53"/>
    <w:p>
      <w:pPr>
        <w:spacing w:after="0" w:line="3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10.11(d)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ManpowerGroup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 Manpower Place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Milwaukee, Wisconsin 53212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February 17, 2014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Hans Leentjes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 Northern Europe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Anne Frankstraat 85</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1018 BZ Amsterdam</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Dear Hans:</w:t>
      </w:r>
    </w:p>
    <w:p>
      <w:pPr>
        <w:spacing w:after="0" w:line="243" w:lineRule="exact"/>
        <w:rPr>
          <w:sz w:val="20"/>
          <w:szCs w:val="20"/>
          <w:color w:val="auto"/>
        </w:rPr>
      </w:pPr>
    </w:p>
    <w:p>
      <w:pPr>
        <w:jc w:val="both"/>
        <w:ind w:right="140" w:firstLine="620"/>
        <w:spacing w:after="0" w:line="291" w:lineRule="auto"/>
        <w:rPr>
          <w:sz w:val="20"/>
          <w:szCs w:val="20"/>
          <w:color w:val="auto"/>
        </w:rPr>
      </w:pPr>
      <w:r>
        <w:rPr>
          <w:rFonts w:ascii="Arial" w:cs="Arial" w:eastAsia="Arial" w:hAnsi="Arial"/>
          <w:sz w:val="16"/>
          <w:szCs w:val="16"/>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83" w:lineRule="exact"/>
        <w:rPr>
          <w:sz w:val="20"/>
          <w:szCs w:val="20"/>
          <w:color w:val="auto"/>
        </w:rPr>
      </w:pPr>
    </w:p>
    <w:p>
      <w:pPr>
        <w:ind w:left="620" w:hanging="212"/>
        <w:spacing w:after="0"/>
        <w:tabs>
          <w:tab w:leader="none" w:pos="62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For purposes of this letter:</w:t>
      </w:r>
    </w:p>
    <w:p>
      <w:pPr>
        <w:spacing w:after="0" w:line="243" w:lineRule="exact"/>
        <w:rPr>
          <w:rFonts w:ascii="Arial" w:cs="Arial" w:eastAsia="Arial" w:hAnsi="Arial"/>
          <w:sz w:val="17"/>
          <w:szCs w:val="17"/>
          <w:color w:val="auto"/>
        </w:rPr>
      </w:pPr>
    </w:p>
    <w:p>
      <w:pPr>
        <w:ind w:left="1240" w:hanging="275"/>
        <w:spacing w:after="0"/>
        <w:tabs>
          <w:tab w:leader="none" w:pos="1240"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Benefit Plans</w:t>
      </w:r>
      <w:r>
        <w:rPr>
          <w:rFonts w:ascii="Arial" w:cs="Arial" w:eastAsia="Arial" w:hAnsi="Arial"/>
          <w:sz w:val="16"/>
          <w:szCs w:val="16"/>
          <w:color w:val="auto"/>
        </w:rPr>
        <w:t>. “Benefit Plans” means all benefits of employment generally made available to executives of the Corporation from time to time.</w:t>
      </w:r>
    </w:p>
    <w:p>
      <w:pPr>
        <w:spacing w:after="0" w:line="254" w:lineRule="exact"/>
        <w:rPr>
          <w:rFonts w:ascii="Arial" w:cs="Arial" w:eastAsia="Arial" w:hAnsi="Arial"/>
          <w:sz w:val="16"/>
          <w:szCs w:val="16"/>
          <w:color w:val="auto"/>
        </w:rPr>
      </w:pPr>
    </w:p>
    <w:p>
      <w:pPr>
        <w:jc w:val="both"/>
        <w:ind w:left="1240" w:hanging="284"/>
        <w:spacing w:after="0" w:line="289" w:lineRule="auto"/>
        <w:tabs>
          <w:tab w:leader="none" w:pos="1240" w:val="left"/>
        </w:tabs>
        <w:numPr>
          <w:ilvl w:val="1"/>
          <w:numId w:val="64"/>
        </w:numPr>
        <w:rPr>
          <w:rFonts w:ascii="Arial" w:cs="Arial" w:eastAsia="Arial" w:hAnsi="Arial"/>
          <w:sz w:val="15"/>
          <w:szCs w:val="15"/>
          <w:color w:val="auto"/>
        </w:rPr>
      </w:pPr>
      <w:r>
        <w:rPr>
          <w:rFonts w:ascii="Arial" w:cs="Arial" w:eastAsia="Arial" w:hAnsi="Arial"/>
          <w:sz w:val="15"/>
          <w:szCs w:val="15"/>
          <w:u w:val="single" w:color="auto"/>
          <w:color w:val="auto"/>
        </w:rPr>
        <w:t>Cause</w:t>
      </w:r>
      <w:r>
        <w:rPr>
          <w:rFonts w:ascii="Arial" w:cs="Arial" w:eastAsia="Arial" w:hAnsi="Arial"/>
          <w:sz w:val="15"/>
          <w:szCs w:val="15"/>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w:t>
      </w:r>
    </w:p>
    <w:p>
      <w:pPr>
        <w:spacing w:after="0" w:line="3" w:lineRule="exact"/>
        <w:rPr>
          <w:rFonts w:ascii="Arial" w:cs="Arial" w:eastAsia="Arial" w:hAnsi="Arial"/>
          <w:sz w:val="15"/>
          <w:szCs w:val="15"/>
          <w:color w:val="auto"/>
        </w:rPr>
      </w:pPr>
    </w:p>
    <w:p>
      <w:pPr>
        <w:jc w:val="both"/>
        <w:ind w:left="1240" w:firstLine="2"/>
        <w:spacing w:after="0" w:line="273" w:lineRule="auto"/>
        <w:tabs>
          <w:tab w:leader="none" w:pos="1546" w:val="left"/>
        </w:tabs>
        <w:numPr>
          <w:ilvl w:val="2"/>
          <w:numId w:val="64"/>
        </w:numPr>
        <w:rPr>
          <w:rFonts w:ascii="Arial" w:cs="Arial" w:eastAsia="Arial" w:hAnsi="Arial"/>
          <w:sz w:val="16"/>
          <w:szCs w:val="16"/>
          <w:color w:val="auto"/>
        </w:rPr>
      </w:pPr>
      <w:r>
        <w:rPr>
          <w:rFonts w:ascii="Arial" w:cs="Arial" w:eastAsia="Arial" w:hAnsi="Arial"/>
          <w:sz w:val="16"/>
          <w:szCs w:val="16"/>
          <w:color w:val="auto"/>
        </w:rPr>
        <w:t>any act by you of fraud, material dishonesty or material disloyalty involving the Consolidated ManpowerGroup, (iv) any violation by you of a Consolidated ManpowerGroup policy of material import (including, but not limited to, the Code of Business Conduct and Ethics, the Policy on Insider Trading, the Foreign Corrupt Practices Act Compliance Policy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 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99" w:lineRule="exact"/>
        <w:rPr>
          <w:rFonts w:ascii="Arial" w:cs="Arial" w:eastAsia="Arial" w:hAnsi="Arial"/>
          <w:sz w:val="16"/>
          <w:szCs w:val="16"/>
          <w:color w:val="auto"/>
        </w:rPr>
      </w:pPr>
    </w:p>
    <w:p>
      <w:pPr>
        <w:ind w:left="1240" w:hanging="275"/>
        <w:spacing w:after="0"/>
        <w:tabs>
          <w:tab w:leader="none" w:pos="1240" w:val="left"/>
        </w:tabs>
        <w:numPr>
          <w:ilvl w:val="1"/>
          <w:numId w:val="6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A “Change of Control” will mean the first to occur of the following:</w:t>
      </w:r>
    </w:p>
    <w:p>
      <w:pPr>
        <w:spacing w:after="0" w:line="243" w:lineRule="exact"/>
        <w:rPr>
          <w:rFonts w:ascii="Arial" w:cs="Arial" w:eastAsia="Arial" w:hAnsi="Arial"/>
          <w:sz w:val="17"/>
          <w:szCs w:val="17"/>
          <w:color w:val="auto"/>
        </w:rPr>
      </w:pPr>
    </w:p>
    <w:p>
      <w:pPr>
        <w:jc w:val="both"/>
        <w:ind w:left="1860" w:hanging="247"/>
        <w:spacing w:after="0" w:line="292" w:lineRule="auto"/>
        <w:tabs>
          <w:tab w:leader="none" w:pos="1860" w:val="left"/>
        </w:tabs>
        <w:numPr>
          <w:ilvl w:val="3"/>
          <w:numId w:val="64"/>
        </w:numPr>
        <w:rPr>
          <w:rFonts w:ascii="Arial" w:cs="Arial" w:eastAsia="Arial" w:hAnsi="Arial"/>
          <w:sz w:val="15"/>
          <w:szCs w:val="15"/>
          <w:color w:val="auto"/>
        </w:rPr>
      </w:pPr>
      <w:r>
        <w:rPr>
          <w:rFonts w:ascii="Arial" w:cs="Arial" w:eastAsia="Arial" w:hAnsi="Arial"/>
          <w:sz w:val="15"/>
          <w:szCs w:val="15"/>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91" w:lineRule="exact"/>
        <w:rPr>
          <w:rFonts w:ascii="Arial" w:cs="Arial" w:eastAsia="Arial" w:hAnsi="Arial"/>
          <w:sz w:val="15"/>
          <w:szCs w:val="15"/>
          <w:color w:val="auto"/>
        </w:rPr>
      </w:pPr>
    </w:p>
    <w:p>
      <w:pPr>
        <w:jc w:val="both"/>
        <w:ind w:left="1860" w:hanging="294"/>
        <w:spacing w:after="0" w:line="299" w:lineRule="auto"/>
        <w:tabs>
          <w:tab w:leader="none" w:pos="1860" w:val="left"/>
        </w:tabs>
        <w:numPr>
          <w:ilvl w:val="3"/>
          <w:numId w:val="64"/>
        </w:numPr>
        <w:rPr>
          <w:rFonts w:ascii="Arial" w:cs="Arial" w:eastAsia="Arial" w:hAnsi="Arial"/>
          <w:sz w:val="15"/>
          <w:szCs w:val="15"/>
          <w:color w:val="auto"/>
        </w:rPr>
      </w:pPr>
      <w:r>
        <w:rPr>
          <w:rFonts w:ascii="Arial" w:cs="Arial" w:eastAsia="Arial" w:hAnsi="Arial"/>
          <w:sz w:val="15"/>
          <w:szCs w:val="15"/>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 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181" w:lineRule="exact"/>
        <w:rPr>
          <w:rFonts w:ascii="Arial" w:cs="Arial" w:eastAsia="Arial" w:hAnsi="Arial"/>
          <w:sz w:val="15"/>
          <w:szCs w:val="15"/>
          <w:color w:val="auto"/>
        </w:rPr>
      </w:pPr>
    </w:p>
    <w:p>
      <w:pPr>
        <w:ind w:left="1860" w:hanging="342"/>
        <w:spacing w:after="0" w:line="280" w:lineRule="auto"/>
        <w:tabs>
          <w:tab w:leader="none" w:pos="1860" w:val="left"/>
        </w:tabs>
        <w:numPr>
          <w:ilvl w:val="3"/>
          <w:numId w:val="64"/>
        </w:numPr>
        <w:rPr>
          <w:rFonts w:ascii="Arial" w:cs="Arial" w:eastAsia="Arial" w:hAnsi="Arial"/>
          <w:sz w:val="17"/>
          <w:szCs w:val="17"/>
          <w:color w:val="auto"/>
        </w:rPr>
      </w:pPr>
      <w:r>
        <w:rPr>
          <w:rFonts w:ascii="Arial" w:cs="Arial" w:eastAsia="Arial" w:hAnsi="Arial"/>
          <w:sz w:val="17"/>
          <w:szCs w:val="17"/>
          <w:color w:val="auto"/>
        </w:rPr>
        <w:t>the consummation of any liquidation or dissolution of the Corporation or a sale or other disposition of all or substantially all of the assets of the Corporation; or</w:t>
      </w:r>
    </w:p>
    <w:p>
      <w:pPr>
        <w:spacing w:after="0" w:line="189" w:lineRule="exact"/>
        <w:rPr>
          <w:rFonts w:ascii="Arial" w:cs="Arial" w:eastAsia="Arial" w:hAnsi="Arial"/>
          <w:sz w:val="17"/>
          <w:szCs w:val="17"/>
          <w:color w:val="auto"/>
        </w:rPr>
      </w:pPr>
    </w:p>
    <w:p>
      <w:pPr>
        <w:jc w:val="both"/>
        <w:ind w:left="1860" w:hanging="333"/>
        <w:spacing w:after="0" w:line="299" w:lineRule="auto"/>
        <w:tabs>
          <w:tab w:leader="none" w:pos="1860" w:val="left"/>
        </w:tabs>
        <w:numPr>
          <w:ilvl w:val="3"/>
          <w:numId w:val="64"/>
        </w:numPr>
        <w:rPr>
          <w:rFonts w:ascii="Arial" w:cs="Arial" w:eastAsia="Arial" w:hAnsi="Arial"/>
          <w:sz w:val="15"/>
          <w:szCs w:val="15"/>
          <w:color w:val="auto"/>
        </w:rPr>
      </w:pPr>
      <w:r>
        <w:rPr>
          <w:rFonts w:ascii="Arial" w:cs="Arial" w:eastAsia="Arial" w:hAnsi="Arial"/>
          <w:sz w:val="15"/>
          <w:szCs w:val="15"/>
          <w:color w:val="auto"/>
        </w:rPr>
        <w:t>individuals who, as of the date of this letter, constitute the Board of Directors of the Corporation (as of such date, the “Incumbent Board”) cease for any reason to constitute at least a majority of such Board; provided, however, that any person becoming a director subsequent to the date of this letter whose election, or nomination for election by the shareholders of the Corporation, was approved by at least a majority of the directors then comprising the Incumbent Board shall be, for purposes of this letter,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14a-12(c); or</w:t>
      </w:r>
    </w:p>
    <w:p>
      <w:pPr>
        <w:spacing w:after="0" w:line="181" w:lineRule="exact"/>
        <w:rPr>
          <w:rFonts w:ascii="Arial" w:cs="Arial" w:eastAsia="Arial" w:hAnsi="Arial"/>
          <w:sz w:val="15"/>
          <w:szCs w:val="15"/>
          <w:color w:val="auto"/>
        </w:rPr>
      </w:pPr>
    </w:p>
    <w:p>
      <w:pPr>
        <w:jc w:val="both"/>
        <w:ind w:left="1860" w:hanging="285"/>
        <w:spacing w:after="0" w:line="318" w:lineRule="auto"/>
        <w:tabs>
          <w:tab w:leader="none" w:pos="1860" w:val="left"/>
        </w:tabs>
        <w:numPr>
          <w:ilvl w:val="3"/>
          <w:numId w:val="64"/>
        </w:numPr>
        <w:rPr>
          <w:rFonts w:ascii="Arial" w:cs="Arial" w:eastAsia="Arial" w:hAnsi="Arial"/>
          <w:sz w:val="15"/>
          <w:szCs w:val="15"/>
          <w:color w:val="auto"/>
        </w:rPr>
      </w:pPr>
      <w:r>
        <w:rPr>
          <w:rFonts w:ascii="Arial" w:cs="Arial" w:eastAsia="Arial" w:hAnsi="Arial"/>
          <w:sz w:val="15"/>
          <w:szCs w:val="15"/>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66" w:lineRule="exact"/>
        <w:rPr>
          <w:sz w:val="20"/>
          <w:szCs w:val="20"/>
          <w:color w:val="auto"/>
        </w:rPr>
      </w:pPr>
    </w:p>
    <w:p>
      <w:pPr>
        <w:jc w:val="both"/>
        <w:ind w:right="180" w:firstLine="620"/>
        <w:spacing w:after="0" w:line="291"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shall thereafter be referred to within this letter agreement as the Corporation.</w:t>
      </w:r>
    </w:p>
    <w:p>
      <w:pPr>
        <w:sectPr>
          <w:pgSz w:w="11900" w:h="16871" w:orient="portrait"/>
          <w:cols w:equalWidth="0" w:num="1">
            <w:col w:w="11420"/>
          </w:cols>
          <w:pgMar w:left="240" w:top="121" w:right="239" w:bottom="0" w:gutter="0" w:footer="0" w:header="0"/>
        </w:sectPr>
      </w:pPr>
    </w:p>
    <w:bookmarkStart w:id="54" w:name="page55"/>
    <w:bookmarkEnd w:id="54"/>
    <w:p>
      <w:pPr>
        <w:ind w:left="832" w:hanging="617"/>
        <w:spacing w:after="0"/>
        <w:tabs>
          <w:tab w:leader="none" w:pos="832"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“Good Reason” will mean, without your consent, the occurrence of any one or more of the following during the Term:</w:t>
      </w:r>
    </w:p>
    <w:p>
      <w:pPr>
        <w:spacing w:after="0" w:line="243" w:lineRule="exact"/>
        <w:rPr>
          <w:rFonts w:ascii="Arial" w:cs="Arial" w:eastAsia="Arial" w:hAnsi="Arial"/>
          <w:sz w:val="17"/>
          <w:szCs w:val="17"/>
          <w:color w:val="auto"/>
        </w:rPr>
      </w:pPr>
    </w:p>
    <w:p>
      <w:pPr>
        <w:ind w:left="1452" w:right="480" w:hanging="618"/>
        <w:spacing w:after="0" w:line="280" w:lineRule="auto"/>
        <w:tabs>
          <w:tab w:leader="none" w:pos="1452" w:val="left"/>
        </w:tabs>
        <w:numPr>
          <w:ilvl w:val="1"/>
          <w:numId w:val="65"/>
        </w:numPr>
        <w:rPr>
          <w:rFonts w:ascii="Arial" w:cs="Arial" w:eastAsia="Arial" w:hAnsi="Arial"/>
          <w:sz w:val="17"/>
          <w:szCs w:val="17"/>
          <w:color w:val="auto"/>
        </w:rPr>
      </w:pPr>
      <w:r>
        <w:rPr>
          <w:rFonts w:ascii="Arial" w:cs="Arial" w:eastAsia="Arial" w:hAnsi="Arial"/>
          <w:sz w:val="17"/>
          <w:szCs w:val="17"/>
          <w:color w:val="auto"/>
        </w:rPr>
        <w:t>any material breach of any material obligation of any member of the Consolidated ManpowerGroup for the payment or provision of compensation or other benefits to you;</w:t>
      </w:r>
    </w:p>
    <w:p>
      <w:pPr>
        <w:spacing w:after="0" w:line="189" w:lineRule="exact"/>
        <w:rPr>
          <w:rFonts w:ascii="Arial" w:cs="Arial" w:eastAsia="Arial" w:hAnsi="Arial"/>
          <w:sz w:val="17"/>
          <w:szCs w:val="17"/>
          <w:color w:val="auto"/>
        </w:rPr>
      </w:pPr>
    </w:p>
    <w:p>
      <w:pPr>
        <w:ind w:left="1452" w:hanging="618"/>
        <w:spacing w:after="0"/>
        <w:tabs>
          <w:tab w:leader="none" w:pos="1452"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material diminution in your base salary;</w:t>
      </w:r>
    </w:p>
    <w:p>
      <w:pPr>
        <w:spacing w:after="0" w:line="243" w:lineRule="exact"/>
        <w:rPr>
          <w:rFonts w:ascii="Arial" w:cs="Arial" w:eastAsia="Arial" w:hAnsi="Arial"/>
          <w:sz w:val="17"/>
          <w:szCs w:val="17"/>
          <w:color w:val="auto"/>
        </w:rPr>
      </w:pPr>
    </w:p>
    <w:p>
      <w:pPr>
        <w:ind w:left="1452" w:right="220" w:hanging="618"/>
        <w:spacing w:after="0" w:line="266" w:lineRule="auto"/>
        <w:tabs>
          <w:tab w:leader="none" w:pos="1452"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accompanied by a material reduction in your target bonus opportunity for a given fiscal year (as comparied to the prior fiscal year), except where all senior level executives have similar proportionate reductions in their target bonus percentages;</w:t>
      </w:r>
    </w:p>
    <w:p>
      <w:pPr>
        <w:spacing w:after="0" w:line="201" w:lineRule="exact"/>
        <w:rPr>
          <w:rFonts w:ascii="Arial" w:cs="Arial" w:eastAsia="Arial" w:hAnsi="Arial"/>
          <w:sz w:val="17"/>
          <w:szCs w:val="17"/>
          <w:color w:val="auto"/>
        </w:rPr>
      </w:pPr>
    </w:p>
    <w:p>
      <w:pPr>
        <w:ind w:left="1452" w:right="240" w:hanging="618"/>
        <w:spacing w:after="0" w:line="280" w:lineRule="auto"/>
        <w:tabs>
          <w:tab w:leader="none" w:pos="1452"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material diminution in your authority, duties or responsibilities which is not accompanied by a material reduction in your target bonus opportunity but which diminution occurs within two years after the occurrence of a Change of Control; or</w:t>
      </w:r>
    </w:p>
    <w:p>
      <w:pPr>
        <w:spacing w:after="0" w:line="189" w:lineRule="exact"/>
        <w:rPr>
          <w:rFonts w:ascii="Arial" w:cs="Arial" w:eastAsia="Arial" w:hAnsi="Arial"/>
          <w:sz w:val="17"/>
          <w:szCs w:val="17"/>
          <w:color w:val="auto"/>
        </w:rPr>
      </w:pPr>
    </w:p>
    <w:p>
      <w:pPr>
        <w:ind w:left="1452" w:right="200" w:hanging="618"/>
        <w:spacing w:after="0" w:line="266" w:lineRule="auto"/>
        <w:tabs>
          <w:tab w:leader="none" w:pos="1452" w:val="left"/>
        </w:tabs>
        <w:numPr>
          <w:ilvl w:val="1"/>
          <w:numId w:val="65"/>
        </w:numPr>
        <w:rPr>
          <w:rFonts w:ascii="Arial" w:cs="Arial" w:eastAsia="Arial" w:hAnsi="Arial"/>
          <w:sz w:val="17"/>
          <w:szCs w:val="17"/>
          <w:color w:val="auto"/>
        </w:rPr>
      </w:pPr>
      <w:r>
        <w:rPr>
          <w:rFonts w:ascii="Arial" w:cs="Arial" w:eastAsia="Arial" w:hAnsi="Arial"/>
          <w:sz w:val="17"/>
          <w:szCs w:val="17"/>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w:t>
      </w:r>
    </w:p>
    <w:p>
      <w:pPr>
        <w:spacing w:after="0" w:line="202" w:lineRule="exact"/>
        <w:rPr>
          <w:sz w:val="20"/>
          <w:szCs w:val="20"/>
          <w:color w:val="auto"/>
        </w:rPr>
      </w:pPr>
    </w:p>
    <w:p>
      <w:pPr>
        <w:ind w:left="212" w:right="80"/>
        <w:spacing w:after="0" w:line="262" w:lineRule="auto"/>
        <w:rPr>
          <w:sz w:val="20"/>
          <w:szCs w:val="20"/>
          <w:color w:val="auto"/>
        </w:rPr>
      </w:pPr>
      <w:r>
        <w:rPr>
          <w:rFonts w:ascii="Arial" w:cs="Arial" w:eastAsia="Arial" w:hAnsi="Arial"/>
          <w:sz w:val="17"/>
          <w:szCs w:val="17"/>
          <w:color w:val="auto"/>
        </w:rPr>
        <w:t>Notwithstanding Subsections 1(d)(i) – (v)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 (iii) your employment with the Consolidated ManpowerGroup is terminated by you within ninety (90) days after such diminution or breach occurs.</w:t>
      </w:r>
    </w:p>
    <w:p>
      <w:pPr>
        <w:spacing w:after="0" w:line="205" w:lineRule="exact"/>
        <w:rPr>
          <w:sz w:val="20"/>
          <w:szCs w:val="20"/>
          <w:color w:val="auto"/>
        </w:rPr>
      </w:pPr>
    </w:p>
    <w:p>
      <w:pPr>
        <w:ind w:left="832" w:right="220" w:hanging="617"/>
        <w:spacing w:after="0" w:line="260" w:lineRule="auto"/>
        <w:tabs>
          <w:tab w:leader="none" w:pos="832"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Any termination of your employment by the Consolidated ManpowerGroup,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applying to the termination and sets forth in reasonable detail the facts and circumstances claimed to provide a basis for termination of your employment under the provision so indicated.</w:t>
      </w:r>
    </w:p>
    <w:p>
      <w:pPr>
        <w:spacing w:after="0" w:line="205" w:lineRule="exact"/>
        <w:rPr>
          <w:rFonts w:ascii="Arial" w:cs="Arial" w:eastAsia="Arial" w:hAnsi="Arial"/>
          <w:sz w:val="17"/>
          <w:szCs w:val="17"/>
          <w:color w:val="auto"/>
        </w:rPr>
      </w:pPr>
    </w:p>
    <w:p>
      <w:pPr>
        <w:ind w:left="832" w:right="240" w:hanging="617"/>
        <w:spacing w:after="0" w:line="349" w:lineRule="auto"/>
        <w:tabs>
          <w:tab w:leader="none" w:pos="832" w:val="left"/>
        </w:tabs>
        <w:numPr>
          <w:ilvl w:val="1"/>
          <w:numId w:val="66"/>
        </w:numPr>
        <w:rPr>
          <w:rFonts w:ascii="Arial" w:cs="Arial" w:eastAsia="Arial" w:hAnsi="Arial"/>
          <w:sz w:val="15"/>
          <w:szCs w:val="15"/>
          <w:color w:val="auto"/>
        </w:rPr>
      </w:pPr>
      <w:r>
        <w:rPr>
          <w:rFonts w:ascii="Arial" w:cs="Arial" w:eastAsia="Arial" w:hAnsi="Arial"/>
          <w:sz w:val="15"/>
          <w:szCs w:val="15"/>
          <w:u w:val="single" w:color="auto"/>
          <w:color w:val="auto"/>
        </w:rPr>
        <w:t>Date of Termination</w:t>
      </w:r>
      <w:r>
        <w:rPr>
          <w:rFonts w:ascii="Arial" w:cs="Arial" w:eastAsia="Arial" w:hAnsi="Arial"/>
          <w:sz w:val="15"/>
          <w:szCs w:val="15"/>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43" w:lineRule="exact"/>
        <w:rPr>
          <w:rFonts w:ascii="Arial" w:cs="Arial" w:eastAsia="Arial" w:hAnsi="Arial"/>
          <w:sz w:val="15"/>
          <w:szCs w:val="15"/>
          <w:color w:val="auto"/>
        </w:rPr>
      </w:pPr>
    </w:p>
    <w:p>
      <w:pPr>
        <w:ind w:left="832" w:hanging="617"/>
        <w:spacing w:after="0"/>
        <w:tabs>
          <w:tab w:leader="none" w:pos="832"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Protected Period</w:t>
      </w:r>
      <w:r>
        <w:rPr>
          <w:rFonts w:ascii="Arial" w:cs="Arial" w:eastAsia="Arial" w:hAnsi="Arial"/>
          <w:sz w:val="17"/>
          <w:szCs w:val="17"/>
          <w:color w:val="auto"/>
        </w:rPr>
        <w:t>. The “Protected Period” shall be a period of time determined in accordance with the following:</w:t>
      </w:r>
    </w:p>
    <w:p>
      <w:pPr>
        <w:spacing w:after="0" w:line="243" w:lineRule="exact"/>
        <w:rPr>
          <w:rFonts w:ascii="Arial" w:cs="Arial" w:eastAsia="Arial" w:hAnsi="Arial"/>
          <w:sz w:val="17"/>
          <w:szCs w:val="17"/>
          <w:color w:val="auto"/>
        </w:rPr>
      </w:pPr>
    </w:p>
    <w:p>
      <w:pPr>
        <w:ind w:left="1452" w:hanging="618"/>
        <w:spacing w:after="0" w:line="318" w:lineRule="auto"/>
        <w:tabs>
          <w:tab w:leader="none" w:pos="1452" w:val="left"/>
        </w:tabs>
        <w:numPr>
          <w:ilvl w:val="3"/>
          <w:numId w:val="66"/>
        </w:numPr>
        <w:rPr>
          <w:rFonts w:ascii="Arial" w:cs="Arial" w:eastAsia="Arial" w:hAnsi="Arial"/>
          <w:sz w:val="15"/>
          <w:szCs w:val="15"/>
          <w:color w:val="auto"/>
        </w:rPr>
      </w:pPr>
      <w:r>
        <w:rPr>
          <w:rFonts w:ascii="Arial" w:cs="Arial" w:eastAsia="Arial" w:hAnsi="Arial"/>
          <w:sz w:val="15"/>
          <w:szCs w:val="15"/>
          <w:color w:val="auto"/>
        </w:rPr>
        <w:t>if a Change of Control is triggered by an acquisition of shares of common stock of the Corporation pursuant to a tender offer, the Protected Period shall commence on the date of the initial tender offer and shall continue through and including the date of the Change of Control, provided that in no case will the Protected Period commence earlier than the date that is six months prior to the Change of Control;</w:t>
      </w:r>
    </w:p>
    <w:p>
      <w:pPr>
        <w:spacing w:after="0" w:line="166" w:lineRule="exact"/>
        <w:rPr>
          <w:rFonts w:ascii="Arial" w:cs="Arial" w:eastAsia="Arial" w:hAnsi="Arial"/>
          <w:sz w:val="15"/>
          <w:szCs w:val="15"/>
          <w:color w:val="auto"/>
        </w:rPr>
      </w:pPr>
    </w:p>
    <w:p>
      <w:pPr>
        <w:ind w:left="1452" w:right="20" w:hanging="618"/>
        <w:spacing w:after="0" w:line="262" w:lineRule="auto"/>
        <w:tabs>
          <w:tab w:leader="none" w:pos="1452" w:val="left"/>
        </w:tabs>
        <w:numPr>
          <w:ilvl w:val="3"/>
          <w:numId w:val="66"/>
        </w:numPr>
        <w:rPr>
          <w:rFonts w:ascii="Arial" w:cs="Arial" w:eastAsia="Arial" w:hAnsi="Arial"/>
          <w:sz w:val="17"/>
          <w:szCs w:val="17"/>
          <w:color w:val="auto"/>
        </w:rPr>
      </w:pPr>
      <w:r>
        <w:rPr>
          <w:rFonts w:ascii="Arial" w:cs="Arial" w:eastAsia="Arial" w:hAnsi="Arial"/>
          <w:sz w:val="17"/>
          <w:szCs w:val="17"/>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204" w:lineRule="exact"/>
        <w:rPr>
          <w:rFonts w:ascii="Arial" w:cs="Arial" w:eastAsia="Arial" w:hAnsi="Arial"/>
          <w:sz w:val="17"/>
          <w:szCs w:val="17"/>
          <w:color w:val="auto"/>
        </w:rPr>
      </w:pPr>
    </w:p>
    <w:p>
      <w:pPr>
        <w:ind w:left="1452" w:right="160" w:hanging="618"/>
        <w:spacing w:after="0" w:line="312" w:lineRule="auto"/>
        <w:tabs>
          <w:tab w:leader="none" w:pos="1452" w:val="left"/>
        </w:tabs>
        <w:numPr>
          <w:ilvl w:val="3"/>
          <w:numId w:val="66"/>
        </w:numPr>
        <w:rPr>
          <w:rFonts w:ascii="Arial" w:cs="Arial" w:eastAsia="Arial" w:hAnsi="Arial"/>
          <w:sz w:val="16"/>
          <w:szCs w:val="16"/>
          <w:color w:val="auto"/>
        </w:rPr>
      </w:pPr>
      <w:r>
        <w:rPr>
          <w:rFonts w:ascii="Arial" w:cs="Arial" w:eastAsia="Arial" w:hAnsi="Arial"/>
          <w:sz w:val="16"/>
          <w:szCs w:val="16"/>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66" w:lineRule="exact"/>
        <w:rPr>
          <w:rFonts w:ascii="Arial" w:cs="Arial" w:eastAsia="Arial" w:hAnsi="Arial"/>
          <w:sz w:val="16"/>
          <w:szCs w:val="16"/>
          <w:color w:val="auto"/>
        </w:rPr>
      </w:pPr>
    </w:p>
    <w:p>
      <w:pPr>
        <w:ind w:left="832" w:hanging="617"/>
        <w:spacing w:after="0" w:line="262" w:lineRule="auto"/>
        <w:tabs>
          <w:tab w:leader="none" w:pos="832" w:val="left"/>
        </w:tabs>
        <w:numPr>
          <w:ilvl w:val="1"/>
          <w:numId w:val="66"/>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will be a period beginning on the date of this letter indicated above and ending on the first to occur of the following: (a) the date which is the two-year anniversary of the occurrence of a Change of Control; (b) the date which is the three-year anniversary of the date of this letter indicated above if no Change of Control occurs between the date of this letter indicated above and such three-year anniversary; or (c) the Date of Termination.</w:t>
      </w:r>
    </w:p>
    <w:p>
      <w:pPr>
        <w:spacing w:after="0" w:line="204" w:lineRule="exact"/>
        <w:rPr>
          <w:rFonts w:ascii="Arial" w:cs="Arial" w:eastAsia="Arial" w:hAnsi="Arial"/>
          <w:sz w:val="17"/>
          <w:szCs w:val="17"/>
          <w:color w:val="auto"/>
        </w:rPr>
      </w:pPr>
    </w:p>
    <w:p>
      <w:pPr>
        <w:ind w:left="212" w:hanging="212"/>
        <w:spacing w:after="0"/>
        <w:tabs>
          <w:tab w:leader="none" w:pos="212"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Compensation and Benefits on Termination</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jc w:val="both"/>
        <w:ind w:left="832" w:hanging="275"/>
        <w:spacing w:after="0" w:line="258" w:lineRule="auto"/>
        <w:tabs>
          <w:tab w:leader="none" w:pos="832" w:val="left"/>
        </w:tabs>
        <w:numPr>
          <w:ilvl w:val="2"/>
          <w:numId w:val="67"/>
        </w:numPr>
        <w:rPr>
          <w:rFonts w:ascii="Arial" w:cs="Arial" w:eastAsia="Arial" w:hAnsi="Arial"/>
          <w:sz w:val="17"/>
          <w:szCs w:val="17"/>
          <w:color w:val="auto"/>
        </w:rPr>
      </w:pPr>
      <w:r>
        <w:rPr>
          <w:rFonts w:ascii="Arial" w:cs="Arial" w:eastAsia="Arial" w:hAnsi="Arial"/>
          <w:sz w:val="17"/>
          <w:szCs w:val="17"/>
          <w:u w:val="single" w:color="auto"/>
          <w:color w:val="auto"/>
        </w:rPr>
        <w:t>Termination by the Consolidated ManpowerGroup for Cause or by You Other Than for Good Reason</w:t>
      </w:r>
      <w:r>
        <w:rPr>
          <w:rFonts w:ascii="Arial" w:cs="Arial" w:eastAsia="Arial" w:hAnsi="Arial"/>
          <w:sz w:val="17"/>
          <w:szCs w:val="17"/>
          <w:color w:val="auto"/>
        </w:rPr>
        <w:t>. If your employment with the Consolidated ManpowerGroup is terminated by the Consolidated ManpowerGroup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210" w:lineRule="exact"/>
        <w:rPr>
          <w:rFonts w:ascii="Arial" w:cs="Arial" w:eastAsia="Arial" w:hAnsi="Arial"/>
          <w:sz w:val="17"/>
          <w:szCs w:val="17"/>
          <w:color w:val="auto"/>
        </w:rPr>
      </w:pPr>
    </w:p>
    <w:p>
      <w:pPr>
        <w:jc w:val="both"/>
        <w:ind w:left="832" w:hanging="284"/>
        <w:spacing w:after="0" w:line="295" w:lineRule="auto"/>
        <w:tabs>
          <w:tab w:leader="none" w:pos="832" w:val="left"/>
        </w:tabs>
        <w:numPr>
          <w:ilvl w:val="2"/>
          <w:numId w:val="67"/>
        </w:numPr>
        <w:rPr>
          <w:rFonts w:ascii="Arial" w:cs="Arial" w:eastAsia="Arial" w:hAnsi="Arial"/>
          <w:sz w:val="15"/>
          <w:szCs w:val="15"/>
          <w:color w:val="auto"/>
        </w:rPr>
      </w:pPr>
      <w:r>
        <w:rPr>
          <w:rFonts w:ascii="Arial" w:cs="Arial" w:eastAsia="Arial" w:hAnsi="Arial"/>
          <w:sz w:val="15"/>
          <w:szCs w:val="15"/>
          <w:u w:val="single" w:color="auto"/>
          <w:color w:val="auto"/>
        </w:rPr>
        <w:t>Termination by Reason of Disability or Death</w:t>
      </w:r>
      <w:r>
        <w:rPr>
          <w:rFonts w:ascii="Arial" w:cs="Arial" w:eastAsia="Arial" w:hAnsi="Arial"/>
          <w:sz w:val="15"/>
          <w:szCs w:val="15"/>
          <w:color w:val="auto"/>
        </w:rPr>
        <w:t>. If your employment with the Consolidated ManpowerGroup terminates during the Term by reason of your disability or death, the Corporation will pay or provide you with (i) 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 prorated for the actual number of days you were employed during such fiscal year, payable within sixty days after the Date of Termination, and (iii) all benefits to which you are entitled under any Benefit Plans in accordance with the terms of such plans. For purposes of this letter, “disability” means that you are, by reason 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82" w:lineRule="exact"/>
        <w:rPr>
          <w:rFonts w:ascii="Arial" w:cs="Arial" w:eastAsia="Arial" w:hAnsi="Arial"/>
          <w:sz w:val="15"/>
          <w:szCs w:val="15"/>
          <w:color w:val="auto"/>
        </w:rPr>
      </w:pPr>
    </w:p>
    <w:p>
      <w:pPr>
        <w:jc w:val="both"/>
        <w:ind w:left="832" w:hanging="275"/>
        <w:spacing w:after="0" w:line="266" w:lineRule="auto"/>
        <w:tabs>
          <w:tab w:leader="none" w:pos="832" w:val="left"/>
        </w:tabs>
        <w:numPr>
          <w:ilvl w:val="2"/>
          <w:numId w:val="67"/>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Other than in a Change of Control</w:t>
      </w:r>
      <w:r>
        <w:rPr>
          <w:rFonts w:ascii="Arial" w:cs="Arial" w:eastAsia="Arial" w:hAnsi="Arial"/>
          <w:sz w:val="17"/>
          <w:szCs w:val="17"/>
          <w:color w:val="auto"/>
        </w:rPr>
        <w:t>. If your employment with the Consolidated ManpowerGroup terminates during the Term for any reason not specified in Subsections 2(a) or (b), above, and Subsection 2(d), below, does not apply to the termination, you will be entitled to the following:</w:t>
      </w:r>
    </w:p>
    <w:p>
      <w:pPr>
        <w:spacing w:after="0" w:line="201" w:lineRule="exact"/>
        <w:rPr>
          <w:rFonts w:ascii="Arial" w:cs="Arial" w:eastAsia="Arial" w:hAnsi="Arial"/>
          <w:sz w:val="17"/>
          <w:szCs w:val="17"/>
          <w:color w:val="auto"/>
        </w:rPr>
      </w:pPr>
    </w:p>
    <w:p>
      <w:pPr>
        <w:ind w:left="2072" w:right="960" w:hanging="618"/>
        <w:spacing w:after="0" w:line="280" w:lineRule="auto"/>
        <w:tabs>
          <w:tab w:leader="none" w:pos="2072" w:val="left"/>
        </w:tabs>
        <w:numPr>
          <w:ilvl w:val="4"/>
          <w:numId w:val="67"/>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ectPr>
          <w:pgSz w:w="11900" w:h="16838" w:orient="portrait"/>
          <w:cols w:equalWidth="0" w:num="1">
            <w:col w:w="11012"/>
          </w:cols>
          <w:pgMar w:left="648" w:top="359" w:right="239" w:bottom="0" w:gutter="0" w:footer="0" w:header="0"/>
        </w:sectPr>
      </w:pPr>
    </w:p>
    <w:bookmarkStart w:id="55" w:name="page56"/>
    <w:bookmarkEnd w:id="55"/>
    <w:p>
      <w:pPr>
        <w:ind w:left="2480" w:hanging="618"/>
        <w:spacing w:after="0" w:line="260" w:lineRule="auto"/>
        <w:tabs>
          <w:tab w:leader="none" w:pos="24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205" w:lineRule="exact"/>
        <w:rPr>
          <w:rFonts w:ascii="Arial" w:cs="Arial" w:eastAsia="Arial" w:hAnsi="Arial"/>
          <w:sz w:val="17"/>
          <w:szCs w:val="17"/>
          <w:color w:val="auto"/>
        </w:rPr>
      </w:pPr>
    </w:p>
    <w:p>
      <w:pPr>
        <w:ind w:left="2480" w:hanging="618"/>
        <w:spacing w:after="0" w:line="266" w:lineRule="auto"/>
        <w:tabs>
          <w:tab w:leader="none" w:pos="2480" w:val="left"/>
        </w:tabs>
        <w:numPr>
          <w:ilvl w:val="1"/>
          <w:numId w:val="68"/>
        </w:numPr>
        <w:rPr>
          <w:rFonts w:ascii="Arial" w:cs="Arial" w:eastAsia="Arial" w:hAnsi="Arial"/>
          <w:sz w:val="17"/>
          <w:szCs w:val="17"/>
          <w:color w:val="auto"/>
        </w:rPr>
      </w:pPr>
      <w:r>
        <w:rPr>
          <w:rFonts w:ascii="Arial" w:cs="Arial" w:eastAsia="Arial" w:hAnsi="Arial"/>
          <w:sz w:val="17"/>
          <w:szCs w:val="17"/>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 and</w:t>
      </w:r>
    </w:p>
    <w:p>
      <w:pPr>
        <w:spacing w:after="0" w:line="201" w:lineRule="exact"/>
        <w:rPr>
          <w:rFonts w:ascii="Arial" w:cs="Arial" w:eastAsia="Arial" w:hAnsi="Arial"/>
          <w:sz w:val="17"/>
          <w:szCs w:val="17"/>
          <w:color w:val="auto"/>
        </w:rPr>
      </w:pPr>
    </w:p>
    <w:p>
      <w:pPr>
        <w:ind w:left="2480" w:right="140" w:hanging="618"/>
        <w:spacing w:after="0" w:line="299" w:lineRule="auto"/>
        <w:tabs>
          <w:tab w:leader="none" w:pos="2480" w:val="left"/>
        </w:tabs>
        <w:numPr>
          <w:ilvl w:val="1"/>
          <w:numId w:val="68"/>
        </w:numPr>
        <w:rPr>
          <w:rFonts w:ascii="Arial" w:cs="Arial" w:eastAsia="Arial" w:hAnsi="Arial"/>
          <w:sz w:val="15"/>
          <w:szCs w:val="15"/>
          <w:color w:val="auto"/>
        </w:rPr>
      </w:pPr>
      <w:r>
        <w:rPr>
          <w:rFonts w:ascii="Arial" w:cs="Arial" w:eastAsia="Arial" w:hAnsi="Arial"/>
          <w:sz w:val="15"/>
          <w:szCs w:val="15"/>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2(c)(iv), you will be solely responsible for payment of any additional costs incurred as a result of your use of such outplacement services. The Corporation will not substitute cash or other compensation in lieu of the outplacement service program specified in this Subsection 2(c)(iv).</w:t>
      </w:r>
    </w:p>
    <w:p>
      <w:pPr>
        <w:spacing w:after="0" w:line="181" w:lineRule="exact"/>
        <w:rPr>
          <w:rFonts w:ascii="Arial" w:cs="Arial" w:eastAsia="Arial" w:hAnsi="Arial"/>
          <w:sz w:val="15"/>
          <w:szCs w:val="15"/>
          <w:color w:val="auto"/>
        </w:rPr>
      </w:pPr>
    </w:p>
    <w:p>
      <w:pPr>
        <w:jc w:val="both"/>
        <w:ind w:left="1240" w:hanging="284"/>
        <w:spacing w:after="0" w:line="266" w:lineRule="auto"/>
        <w:tabs>
          <w:tab w:leader="none" w:pos="1240" w:val="left"/>
        </w:tabs>
        <w:numPr>
          <w:ilvl w:val="0"/>
          <w:numId w:val="69"/>
        </w:numPr>
        <w:rPr>
          <w:rFonts w:ascii="Arial" w:cs="Arial" w:eastAsia="Arial" w:hAnsi="Arial"/>
          <w:sz w:val="17"/>
          <w:szCs w:val="17"/>
          <w:color w:val="auto"/>
        </w:rPr>
      </w:pPr>
      <w:r>
        <w:rPr>
          <w:rFonts w:ascii="Arial" w:cs="Arial" w:eastAsia="Arial" w:hAnsi="Arial"/>
          <w:sz w:val="17"/>
          <w:szCs w:val="17"/>
          <w:u w:val="single" w:color="auto"/>
          <w:color w:val="auto"/>
        </w:rPr>
        <w:t>Termination for Any Other Reason – Change of Control</w:t>
      </w:r>
      <w:r>
        <w:rPr>
          <w:rFonts w:ascii="Arial" w:cs="Arial" w:eastAsia="Arial" w:hAnsi="Arial"/>
          <w:sz w:val="17"/>
          <w:szCs w:val="17"/>
          <w:color w:val="auto"/>
        </w:rPr>
        <w:t>. If, during the Term and either during a Protected Period or within two years after the occurrence of a Change of Control, your employment with the Consolidated ManpowerGroup terminates for any reason not specified in Subsections 2(a) or (b), above, you will be entitled to the following:</w:t>
      </w:r>
    </w:p>
    <w:p>
      <w:pPr>
        <w:spacing w:after="0" w:line="201" w:lineRule="exact"/>
        <w:rPr>
          <w:rFonts w:ascii="Arial" w:cs="Arial" w:eastAsia="Arial" w:hAnsi="Arial"/>
          <w:sz w:val="17"/>
          <w:szCs w:val="17"/>
          <w:color w:val="auto"/>
        </w:rPr>
      </w:pPr>
    </w:p>
    <w:p>
      <w:pPr>
        <w:ind w:left="2480" w:right="960" w:hanging="618"/>
        <w:spacing w:after="0" w:line="280" w:lineRule="auto"/>
        <w:tabs>
          <w:tab w:leader="none" w:pos="24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Corporation will pay you, your unpaid bonus, if any, attributable to any complete fiscal year of the Consolidated ManpowerGroup ended before the Date of Termination;</w:t>
      </w:r>
    </w:p>
    <w:p>
      <w:pPr>
        <w:spacing w:after="0" w:line="189" w:lineRule="exact"/>
        <w:rPr>
          <w:rFonts w:ascii="Arial" w:cs="Arial" w:eastAsia="Arial" w:hAnsi="Arial"/>
          <w:sz w:val="17"/>
          <w:szCs w:val="17"/>
          <w:color w:val="auto"/>
        </w:rPr>
      </w:pPr>
    </w:p>
    <w:p>
      <w:pPr>
        <w:ind w:left="2480" w:right="260" w:hanging="618"/>
        <w:spacing w:after="0" w:line="262" w:lineRule="auto"/>
        <w:tabs>
          <w:tab w:leader="none" w:pos="24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204" w:lineRule="exact"/>
        <w:rPr>
          <w:rFonts w:ascii="Arial" w:cs="Arial" w:eastAsia="Arial" w:hAnsi="Arial"/>
          <w:sz w:val="17"/>
          <w:szCs w:val="17"/>
          <w:color w:val="auto"/>
        </w:rPr>
      </w:pPr>
    </w:p>
    <w:p>
      <w:pPr>
        <w:ind w:left="2480" w:right="120" w:hanging="618"/>
        <w:spacing w:after="0" w:line="266" w:lineRule="auto"/>
        <w:tabs>
          <w:tab w:leader="none" w:pos="2480"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 and</w:t>
      </w:r>
    </w:p>
    <w:p>
      <w:pPr>
        <w:spacing w:after="0" w:line="201" w:lineRule="exact"/>
        <w:rPr>
          <w:rFonts w:ascii="Arial" w:cs="Arial" w:eastAsia="Arial" w:hAnsi="Arial"/>
          <w:sz w:val="17"/>
          <w:szCs w:val="17"/>
          <w:color w:val="auto"/>
        </w:rPr>
      </w:pPr>
    </w:p>
    <w:p>
      <w:pPr>
        <w:ind w:left="2480" w:right="140" w:hanging="618"/>
        <w:spacing w:after="0" w:line="299" w:lineRule="auto"/>
        <w:tabs>
          <w:tab w:leader="none" w:pos="2480" w:val="left"/>
        </w:tabs>
        <w:numPr>
          <w:ilvl w:val="1"/>
          <w:numId w:val="69"/>
        </w:numPr>
        <w:rPr>
          <w:rFonts w:ascii="Arial" w:cs="Arial" w:eastAsia="Arial" w:hAnsi="Arial"/>
          <w:sz w:val="15"/>
          <w:szCs w:val="15"/>
          <w:color w:val="auto"/>
        </w:rPr>
      </w:pPr>
      <w:r>
        <w:rPr>
          <w:rFonts w:ascii="Arial" w:cs="Arial" w:eastAsia="Arial" w:hAnsi="Arial"/>
          <w:sz w:val="15"/>
          <w:szCs w:val="15"/>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2(d)(iv), you will be solely responsible for payment of any additional costs incurred as a result of your use of such outplacement services. The Corporation will not substitute cash or other compensation in lieu of the outplacement service program specified in this Subsection 2(d)(iv).</w:t>
      </w:r>
    </w:p>
    <w:p>
      <w:pPr>
        <w:spacing w:after="0" w:line="182" w:lineRule="exact"/>
        <w:rPr>
          <w:sz w:val="20"/>
          <w:szCs w:val="20"/>
          <w:color w:val="auto"/>
        </w:rPr>
      </w:pPr>
    </w:p>
    <w:p>
      <w:pPr>
        <w:ind w:right="700"/>
        <w:spacing w:after="0" w:line="280" w:lineRule="auto"/>
        <w:rPr>
          <w:sz w:val="20"/>
          <w:szCs w:val="20"/>
          <w:color w:val="auto"/>
        </w:rPr>
      </w:pPr>
      <w:r>
        <w:rPr>
          <w:rFonts w:ascii="Arial" w:cs="Arial" w:eastAsia="Arial" w:hAnsi="Arial"/>
          <w:sz w:val="17"/>
          <w:szCs w:val="17"/>
          <w:color w:val="auto"/>
        </w:rPr>
        <w:t>The amounts paid to you pursuant to Subsection 2(c)(i)(D) or 2(c)(ii)(D) will not be included as compensation for purposes of any qualified or nonqualified pension or welfare benefit plan of the Consolidated ManpowerGroup.</w:t>
      </w:r>
    </w:p>
    <w:p>
      <w:pPr>
        <w:spacing w:after="0" w:line="189" w:lineRule="exact"/>
        <w:rPr>
          <w:sz w:val="20"/>
          <w:szCs w:val="20"/>
          <w:color w:val="auto"/>
        </w:rPr>
      </w:pPr>
    </w:p>
    <w:p>
      <w:pPr>
        <w:jc w:val="both"/>
        <w:ind w:left="1240" w:hanging="275"/>
        <w:spacing w:after="0" w:line="244" w:lineRule="auto"/>
        <w:tabs>
          <w:tab w:leader="none" w:pos="124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after the Date of Termination. The severance benefit provided for in Subsection 2(c)(iii) or 2(d)(iii) will be paid in one lump sum on the thirtieth (30th) day after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Midwest edition (or, if not so reported, as reported in such other similar source(s) as the Corporation shall select).</w:t>
      </w:r>
    </w:p>
    <w:p>
      <w:pPr>
        <w:spacing w:after="0" w:line="220" w:lineRule="exact"/>
        <w:rPr>
          <w:rFonts w:ascii="Arial" w:cs="Arial" w:eastAsia="Arial" w:hAnsi="Arial"/>
          <w:sz w:val="17"/>
          <w:szCs w:val="17"/>
          <w:color w:val="auto"/>
        </w:rPr>
      </w:pPr>
    </w:p>
    <w:p>
      <w:pPr>
        <w:jc w:val="both"/>
        <w:ind w:left="1240" w:hanging="256"/>
        <w:spacing w:after="0" w:line="278" w:lineRule="auto"/>
        <w:tabs>
          <w:tab w:leader="none" w:pos="1240" w:val="left"/>
        </w:tabs>
        <w:numPr>
          <w:ilvl w:val="1"/>
          <w:numId w:val="70"/>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Notwithstanding the foregoing, you will have no right to receive any payment or benefit described in Subsections 2(c)(ii)-(v)or 2(d)(ii) -(v), above, unless and until you execute, and there shall be effective following any 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w:t>
      </w:r>
    </w:p>
    <w:p>
      <w:pPr>
        <w:spacing w:after="0" w:line="192" w:lineRule="exact"/>
        <w:rPr>
          <w:rFonts w:ascii="Arial" w:cs="Arial" w:eastAsia="Arial" w:hAnsi="Arial"/>
          <w:sz w:val="16"/>
          <w:szCs w:val="16"/>
          <w:color w:val="auto"/>
        </w:rPr>
      </w:pPr>
    </w:p>
    <w:p>
      <w:pPr>
        <w:jc w:val="both"/>
        <w:ind w:left="1240" w:hanging="284"/>
        <w:spacing w:after="0" w:line="262" w:lineRule="auto"/>
        <w:tabs>
          <w:tab w:leader="none" w:pos="1240" w:val="left"/>
        </w:tabs>
        <w:numPr>
          <w:ilvl w:val="1"/>
          <w:numId w:val="70"/>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204" w:lineRule="exact"/>
        <w:rPr>
          <w:rFonts w:ascii="Arial" w:cs="Arial" w:eastAsia="Arial" w:hAnsi="Arial"/>
          <w:sz w:val="17"/>
          <w:szCs w:val="17"/>
          <w:color w:val="auto"/>
        </w:rPr>
      </w:pPr>
    </w:p>
    <w:p>
      <w:pPr>
        <w:jc w:val="both"/>
        <w:ind w:left="620" w:hanging="212"/>
        <w:spacing w:after="0" w:line="266"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Restrictions During Employment</w:t>
      </w:r>
      <w:r>
        <w:rPr>
          <w:rFonts w:ascii="Arial" w:cs="Arial" w:eastAsia="Arial" w:hAnsi="Arial"/>
          <w:sz w:val="17"/>
          <w:szCs w:val="17"/>
          <w:color w:val="auto"/>
        </w:rPr>
        <w:t>. During the term of your employment with the Consolidated ManpowerGroup, you will not directly or indirectly compete against the Consolidated ManpowerGroup, or directly or indirectly divert or attempt to divert customers’ business from the Consolidate ManpowerGroup anywhere the Consolidated ManpowerGroup does or is taking steps to do business.</w:t>
      </w:r>
    </w:p>
    <w:p>
      <w:pPr>
        <w:spacing w:after="0" w:line="201" w:lineRule="exact"/>
        <w:rPr>
          <w:rFonts w:ascii="Arial" w:cs="Arial" w:eastAsia="Arial" w:hAnsi="Arial"/>
          <w:sz w:val="17"/>
          <w:szCs w:val="17"/>
          <w:color w:val="auto"/>
        </w:rPr>
      </w:pPr>
    </w:p>
    <w:p>
      <w:pPr>
        <w:jc w:val="both"/>
        <w:ind w:left="620" w:hanging="212"/>
        <w:spacing w:after="0" w:line="257" w:lineRule="auto"/>
        <w:tabs>
          <w:tab w:leader="none" w:pos="620"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Nonsolicitation of Employees</w:t>
      </w:r>
      <w:r>
        <w:rPr>
          <w:rFonts w:ascii="Arial" w:cs="Arial" w:eastAsia="Arial" w:hAnsi="Arial"/>
          <w:sz w:val="17"/>
          <w:szCs w:val="17"/>
          <w:color w:val="auto"/>
        </w:rPr>
        <w:t>. You agree that you will not, at any time during the term of your employment with the Consolidated ManpowerGroup or during the one-year period following your termination, for whatever reason, of employment with the Consolidated ManpowerGroup, either on your own account or in conjunction with or on behalf of any other person, company, business entity, or other organization whatsoever, directly or indirectly induce, solicit, entice or procure any person who is a managerial employee of any company in the Consolidated ManpowerGroup (but in the event of your termination, any such managerial employee that you have had contact with in the two years prior to your termination) to terminate his or her employment with the Consolidated ManpowerGroup so as to accept employment elsewhere or to diminish or curtail the services such person provides to the Consolidated ManpowerGroup.</w:t>
      </w:r>
    </w:p>
    <w:p>
      <w:pPr>
        <w:sectPr>
          <w:pgSz w:w="11900" w:h="16838" w:orient="portrait"/>
          <w:cols w:equalWidth="0" w:num="1">
            <w:col w:w="11420"/>
          </w:cols>
          <w:pgMar w:left="240" w:top="359" w:right="239" w:bottom="0" w:gutter="0" w:footer="0" w:header="0"/>
        </w:sectPr>
      </w:pPr>
    </w:p>
    <w:bookmarkStart w:id="56" w:name="page57"/>
    <w:bookmarkEnd w:id="56"/>
    <w:p>
      <w:pPr>
        <w:spacing w:after="0" w:line="71" w:lineRule="exact"/>
        <w:rPr>
          <w:sz w:val="20"/>
          <w:szCs w:val="20"/>
          <w:color w:val="auto"/>
        </w:rPr>
      </w:pPr>
    </w:p>
    <w:p>
      <w:pPr>
        <w:ind w:left="617" w:right="140" w:hanging="617"/>
        <w:spacing w:after="0" w:line="258"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Customer Nonsolicitation</w:t>
      </w:r>
      <w:r>
        <w:rPr>
          <w:rFonts w:ascii="Arial" w:cs="Arial" w:eastAsia="Arial" w:hAnsi="Arial"/>
          <w:sz w:val="17"/>
          <w:szCs w:val="17"/>
          <w:color w:val="auto"/>
        </w:rPr>
        <w:t>. During the one-year period which immediately follows the termination, for whatever reason, of your employment with the Consolidated ManpowerGroup, you will not, directly or indirectly, contact any customer of the Consolidated ManpowerGroup with whom/which you have had contact on behalf of the Consolidated ManpowerGroup during the two-year period preceding the Date of Termination or about whom/which you obtained confidential information in connection with your employment with the Consolidated ManpowerGroup during such two-year period so as to cause or attempt to cause such customer not to do business or to reduce such customer’s business with the Consolidated ManpowerGroup or divert any business from any company in the Consolidated ManpowerGroup.</w:t>
      </w:r>
    </w:p>
    <w:p>
      <w:pPr>
        <w:spacing w:after="0" w:line="210" w:lineRule="exact"/>
        <w:rPr>
          <w:rFonts w:ascii="Arial" w:cs="Arial" w:eastAsia="Arial" w:hAnsi="Arial"/>
          <w:sz w:val="17"/>
          <w:szCs w:val="17"/>
          <w:color w:val="auto"/>
        </w:rPr>
      </w:pPr>
    </w:p>
    <w:p>
      <w:pPr>
        <w:ind w:left="617" w:right="100" w:hanging="617"/>
        <w:spacing w:after="0" w:line="273" w:lineRule="auto"/>
        <w:tabs>
          <w:tab w:leader="none" w:pos="61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one-year period which immediately follows the termination, for whatever reason, of your employment with the Consolidated ManpowerGroup, 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for which you have responsibility during the Term and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or human resource services (including consulting, task-based services, recruitment or other talent solutions) anywhere in the United States or any other country for which you have responsibility during the Term and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98" w:lineRule="exact"/>
        <w:rPr>
          <w:rFonts w:ascii="Arial" w:cs="Arial" w:eastAsia="Arial" w:hAnsi="Arial"/>
          <w:sz w:val="16"/>
          <w:szCs w:val="16"/>
          <w:color w:val="auto"/>
        </w:rPr>
      </w:pPr>
    </w:p>
    <w:p>
      <w:pPr>
        <w:ind w:left="597" w:hanging="597"/>
        <w:spacing w:after="0"/>
        <w:tabs>
          <w:tab w:leader="none" w:pos="59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Injunctive and Other Interim Measures</w:t>
      </w:r>
      <w:r>
        <w:rPr>
          <w:rFonts w:ascii="Arial" w:cs="Arial" w:eastAsia="Arial" w:hAnsi="Arial"/>
          <w:sz w:val="17"/>
          <w:szCs w:val="17"/>
          <w:color w:val="auto"/>
        </w:rPr>
        <w:t>.</w:t>
      </w:r>
    </w:p>
    <w:p>
      <w:pPr>
        <w:spacing w:after="0" w:line="243" w:lineRule="exact"/>
        <w:rPr>
          <w:rFonts w:ascii="Arial" w:cs="Arial" w:eastAsia="Arial" w:hAnsi="Arial"/>
          <w:sz w:val="17"/>
          <w:szCs w:val="17"/>
          <w:color w:val="auto"/>
        </w:rPr>
      </w:pPr>
    </w:p>
    <w:p>
      <w:pPr>
        <w:ind w:left="1237" w:right="20" w:hanging="617"/>
        <w:spacing w:after="0" w:line="276" w:lineRule="auto"/>
        <w:tabs>
          <w:tab w:leader="none" w:pos="1237" w:val="left"/>
        </w:tabs>
        <w:numPr>
          <w:ilvl w:val="1"/>
          <w:numId w:val="72"/>
        </w:numPr>
        <w:rPr>
          <w:rFonts w:ascii="Arial" w:cs="Arial" w:eastAsia="Arial" w:hAnsi="Arial"/>
          <w:sz w:val="16"/>
          <w:szCs w:val="16"/>
          <w:color w:val="auto"/>
        </w:rPr>
      </w:pPr>
      <w:r>
        <w:rPr>
          <w:rFonts w:ascii="Arial" w:cs="Arial" w:eastAsia="Arial" w:hAnsi="Arial"/>
          <w:sz w:val="16"/>
          <w:szCs w:val="16"/>
          <w:u w:val="single" w:color="auto"/>
          <w:color w:val="auto"/>
        </w:rPr>
        <w:t>Injunction</w:t>
      </w:r>
      <w:r>
        <w:rPr>
          <w:rFonts w:ascii="Arial" w:cs="Arial" w:eastAsia="Arial" w:hAnsi="Arial"/>
          <w:sz w:val="16"/>
          <w:szCs w:val="16"/>
          <w:color w:val="auto"/>
        </w:rPr>
        <w:t>. You recognize that irreparable and incalculable injury will result to the Consolidated ManpowerGroup and its businesses and properties in the event of your breach of any of the restrictions imposed by Sections 3-5, above. You 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96" w:lineRule="exact"/>
        <w:rPr>
          <w:rFonts w:ascii="Arial" w:cs="Arial" w:eastAsia="Arial" w:hAnsi="Arial"/>
          <w:sz w:val="16"/>
          <w:szCs w:val="16"/>
          <w:color w:val="auto"/>
        </w:rPr>
      </w:pPr>
    </w:p>
    <w:p>
      <w:pPr>
        <w:ind w:left="1237" w:right="80" w:hanging="617"/>
        <w:spacing w:after="0" w:line="280" w:lineRule="auto"/>
        <w:tabs>
          <w:tab w:leader="none" w:pos="1237"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Equitable Extension</w:t>
      </w:r>
      <w:r>
        <w:rPr>
          <w:rFonts w:ascii="Arial" w:cs="Arial" w:eastAsia="Arial" w:hAnsi="Arial"/>
          <w:sz w:val="17"/>
          <w:szCs w:val="17"/>
          <w:color w:val="auto"/>
        </w:rPr>
        <w:t>. The duration of any restriction in Section 3-6 above, will be extended by any period during which such restriction is violated by you.</w:t>
      </w:r>
    </w:p>
    <w:p>
      <w:pPr>
        <w:spacing w:after="0" w:line="189" w:lineRule="exact"/>
        <w:rPr>
          <w:rFonts w:ascii="Arial" w:cs="Arial" w:eastAsia="Arial" w:hAnsi="Arial"/>
          <w:sz w:val="17"/>
          <w:szCs w:val="17"/>
          <w:color w:val="auto"/>
        </w:rPr>
      </w:pPr>
    </w:p>
    <w:p>
      <w:pPr>
        <w:ind w:left="1237" w:right="40" w:hanging="617"/>
        <w:spacing w:after="0" w:line="266" w:lineRule="auto"/>
        <w:tabs>
          <w:tab w:leader="none" w:pos="1237" w:val="left"/>
        </w:tabs>
        <w:numPr>
          <w:ilvl w:val="1"/>
          <w:numId w:val="72"/>
        </w:numPr>
        <w:rPr>
          <w:rFonts w:ascii="Arial" w:cs="Arial" w:eastAsia="Arial" w:hAnsi="Arial"/>
          <w:sz w:val="17"/>
          <w:szCs w:val="17"/>
          <w:color w:val="auto"/>
        </w:rPr>
      </w:pPr>
      <w:r>
        <w:rPr>
          <w:rFonts w:ascii="Arial" w:cs="Arial" w:eastAsia="Arial" w:hAnsi="Arial"/>
          <w:sz w:val="17"/>
          <w:szCs w:val="17"/>
          <w:u w:val="single" w:color="auto"/>
          <w:color w:val="auto"/>
        </w:rPr>
        <w:t>Nonapplication</w:t>
      </w:r>
      <w:r>
        <w:rPr>
          <w:rFonts w:ascii="Arial" w:cs="Arial" w:eastAsia="Arial" w:hAnsi="Arial"/>
          <w:sz w:val="17"/>
          <w:szCs w:val="17"/>
          <w:color w:val="auto"/>
        </w:rPr>
        <w:t>. Notwithstanding the above, Sections 5 and 6, above, will not apply if your employment with the Consolidated ManpowerGroup is terminated by you for Good Reason or by the Corporation without Cause either during a Protected Period or within two years after the occurrence of a Change of Control.</w:t>
      </w:r>
    </w:p>
    <w:p>
      <w:pPr>
        <w:spacing w:after="0" w:line="201" w:lineRule="exact"/>
        <w:rPr>
          <w:rFonts w:ascii="Arial" w:cs="Arial" w:eastAsia="Arial" w:hAnsi="Arial"/>
          <w:sz w:val="17"/>
          <w:szCs w:val="17"/>
          <w:color w:val="auto"/>
        </w:rPr>
      </w:pPr>
    </w:p>
    <w:p>
      <w:pPr>
        <w:ind w:left="617" w:right="100" w:hanging="617"/>
        <w:spacing w:after="0" w:line="262"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Unemployment Compensation</w:t>
      </w:r>
      <w:r>
        <w:rPr>
          <w:rFonts w:ascii="Arial" w:cs="Arial" w:eastAsia="Arial" w:hAnsi="Arial"/>
          <w:sz w:val="17"/>
          <w:szCs w:val="17"/>
          <w:color w:val="auto"/>
        </w:rPr>
        <w:t>. The severance benefits provided for in Subsection 2(c)(iii) will be assigned for unemployment compensation benefit purposes to the one-year period following the Date of Termination, and the severance benefits provided for in Subsection 2(d)(iii) will be assigned for unemployment compensation purposes to the two-year period following the Date of Termination, and you will be ineligible to receive, and you agree not to apply for, unemployment compensation during such periods.</w:t>
      </w:r>
    </w:p>
    <w:p>
      <w:pPr>
        <w:spacing w:after="0" w:line="204" w:lineRule="exact"/>
        <w:rPr>
          <w:rFonts w:ascii="Arial" w:cs="Arial" w:eastAsia="Arial" w:hAnsi="Arial"/>
          <w:sz w:val="17"/>
          <w:szCs w:val="17"/>
          <w:color w:val="auto"/>
        </w:rPr>
      </w:pPr>
    </w:p>
    <w:p>
      <w:pPr>
        <w:ind w:left="617" w:hanging="617"/>
        <w:spacing w:after="0" w:line="275" w:lineRule="auto"/>
        <w:tabs>
          <w:tab w:leader="none" w:pos="61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Upon your termination, for whatever reason, of employment with the Consolidated ManpowerGroup,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97" w:lineRule="exact"/>
        <w:rPr>
          <w:rFonts w:ascii="Arial" w:cs="Arial" w:eastAsia="Arial" w:hAnsi="Arial"/>
          <w:sz w:val="16"/>
          <w:szCs w:val="16"/>
          <w:color w:val="auto"/>
        </w:rPr>
      </w:pPr>
    </w:p>
    <w:p>
      <w:pPr>
        <w:ind w:left="617" w:right="680" w:hanging="617"/>
        <w:spacing w:after="0" w:line="280"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Successors; Binding Agreement</w:t>
      </w:r>
      <w:r>
        <w:rPr>
          <w:rFonts w:ascii="Arial" w:cs="Arial" w:eastAsia="Arial" w:hAnsi="Arial"/>
          <w:sz w:val="17"/>
          <w:szCs w:val="17"/>
          <w:color w:val="auto"/>
        </w:rPr>
        <w:t>. This letter agreement will be binding on the Corporation and its successors and will inure to the benefit of and be enforceable by your personal or legal representatives, heirs and successors.</w:t>
      </w:r>
    </w:p>
    <w:p>
      <w:pPr>
        <w:spacing w:after="0" w:line="189" w:lineRule="exact"/>
        <w:rPr>
          <w:rFonts w:ascii="Arial" w:cs="Arial" w:eastAsia="Arial" w:hAnsi="Arial"/>
          <w:sz w:val="17"/>
          <w:szCs w:val="17"/>
          <w:color w:val="auto"/>
        </w:rPr>
      </w:pPr>
    </w:p>
    <w:p>
      <w:pPr>
        <w:jc w:val="both"/>
        <w:ind w:left="617" w:right="260" w:hanging="617"/>
        <w:spacing w:after="0" w:line="266"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Notices and all other communications provided for in this letter will be in writing and will be deemed to have been duly given when delivered in person, sent by telecopy, or two days after mailed by registered or certified mail, return receipt requested, postage prepaid, and properly addressed to the other party.</w:t>
      </w:r>
    </w:p>
    <w:p>
      <w:pPr>
        <w:spacing w:after="0" w:line="201" w:lineRule="exact"/>
        <w:rPr>
          <w:rFonts w:ascii="Arial" w:cs="Arial" w:eastAsia="Arial" w:hAnsi="Arial"/>
          <w:sz w:val="17"/>
          <w:szCs w:val="17"/>
          <w:color w:val="auto"/>
        </w:rPr>
      </w:pPr>
    </w:p>
    <w:p>
      <w:pPr>
        <w:ind w:left="617" w:right="20" w:hanging="617"/>
        <w:spacing w:after="0" w:line="318" w:lineRule="auto"/>
        <w:tabs>
          <w:tab w:leader="none" w:pos="617"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No Right to Remain Employed</w:t>
      </w:r>
      <w:r>
        <w:rPr>
          <w:rFonts w:ascii="Arial" w:cs="Arial" w:eastAsia="Arial" w:hAnsi="Arial"/>
          <w:sz w:val="15"/>
          <w:szCs w:val="15"/>
          <w:color w:val="auto"/>
        </w:rPr>
        <w:t>. Nothing contained in this letter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66" w:lineRule="exact"/>
        <w:rPr>
          <w:rFonts w:ascii="Arial" w:cs="Arial" w:eastAsia="Arial" w:hAnsi="Arial"/>
          <w:sz w:val="15"/>
          <w:szCs w:val="15"/>
          <w:color w:val="auto"/>
        </w:rPr>
      </w:pPr>
    </w:p>
    <w:p>
      <w:pPr>
        <w:ind w:left="617" w:right="280" w:hanging="617"/>
        <w:spacing w:after="0" w:line="280"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Modification</w:t>
      </w:r>
      <w:r>
        <w:rPr>
          <w:rFonts w:ascii="Arial" w:cs="Arial" w:eastAsia="Arial" w:hAnsi="Arial"/>
          <w:sz w:val="17"/>
          <w:szCs w:val="17"/>
          <w:color w:val="auto"/>
        </w:rPr>
        <w:t>. No provision of this letter may be modified, waived or discharged unless such waiver, modification or discharge is agreed to in writing by you and the Corporation.</w:t>
      </w:r>
    </w:p>
    <w:p>
      <w:pPr>
        <w:spacing w:after="0" w:line="189" w:lineRule="exact"/>
        <w:rPr>
          <w:rFonts w:ascii="Arial" w:cs="Arial" w:eastAsia="Arial" w:hAnsi="Arial"/>
          <w:sz w:val="17"/>
          <w:szCs w:val="17"/>
          <w:color w:val="auto"/>
        </w:rPr>
      </w:pPr>
    </w:p>
    <w:p>
      <w:pPr>
        <w:ind w:left="617" w:right="640" w:hanging="617"/>
        <w:spacing w:after="0" w:line="280"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The Consolidated ManpowerGroup shall be entitled to withhold from amounts to be paid to you hereunder any federal, state, or local withholding or other taxes or charges which it is, from time to time, required to withhold under applicable law.</w:t>
      </w:r>
    </w:p>
    <w:p>
      <w:pPr>
        <w:spacing w:after="0" w:line="189" w:lineRule="exact"/>
        <w:rPr>
          <w:rFonts w:ascii="Arial" w:cs="Arial" w:eastAsia="Arial" w:hAnsi="Arial"/>
          <w:sz w:val="17"/>
          <w:szCs w:val="17"/>
          <w:color w:val="auto"/>
        </w:rPr>
      </w:pPr>
    </w:p>
    <w:p>
      <w:pPr>
        <w:ind w:left="617" w:right="320" w:hanging="617"/>
        <w:spacing w:after="0" w:line="280"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interpreted in accordance with the laws of the State of New York, United States of America, without regard to its conflict of law provisions.</w:t>
      </w:r>
    </w:p>
    <w:p>
      <w:pPr>
        <w:spacing w:after="0" w:line="189" w:lineRule="exact"/>
        <w:rPr>
          <w:rFonts w:ascii="Arial" w:cs="Arial" w:eastAsia="Arial" w:hAnsi="Arial"/>
          <w:sz w:val="17"/>
          <w:szCs w:val="17"/>
          <w:color w:val="auto"/>
        </w:rPr>
      </w:pPr>
    </w:p>
    <w:p>
      <w:pPr>
        <w:ind w:left="617" w:right="340" w:hanging="617"/>
        <w:spacing w:after="0" w:line="262" w:lineRule="auto"/>
        <w:tabs>
          <w:tab w:leader="none" w:pos="6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Reduction of Amounts Due Under Law</w:t>
      </w:r>
      <w:r>
        <w:rPr>
          <w:rFonts w:ascii="Arial" w:cs="Arial" w:eastAsia="Arial" w:hAnsi="Arial"/>
          <w:sz w:val="17"/>
          <w:szCs w:val="17"/>
          <w:color w:val="auto"/>
        </w:rPr>
        <w:t>. You agree that any severance payment (</w:t>
      </w:r>
      <w:r>
        <w:rPr>
          <w:rFonts w:ascii="Arial" w:cs="Arial" w:eastAsia="Arial" w:hAnsi="Arial"/>
          <w:sz w:val="17"/>
          <w:szCs w:val="17"/>
          <w:i w:val="1"/>
          <w:iCs w:val="1"/>
          <w:color w:val="auto"/>
        </w:rPr>
        <w:t>i.e</w:t>
      </w:r>
      <w:r>
        <w:rPr>
          <w:rFonts w:ascii="Arial" w:cs="Arial" w:eastAsia="Arial" w:hAnsi="Arial"/>
          <w:sz w:val="17"/>
          <w:szCs w:val="17"/>
          <w:color w:val="auto"/>
        </w:rPr>
        <w:t>, any payment other than a payment for salary through your Date of Termination or for a bonus earned in the prior fiscal year but not yet paid) to you pursuant to this agreement will be counted towards any severance type payments otherwise due you under law. In the event you are terminated without notice and you would otherwise be entitled to a severance payment hereunder, such severance payment will be considered to be payment in lieu of such notice.</w:t>
      </w:r>
    </w:p>
    <w:p>
      <w:pPr>
        <w:spacing w:after="0" w:line="204" w:lineRule="exact"/>
        <w:rPr>
          <w:rFonts w:ascii="Arial" w:cs="Arial" w:eastAsia="Arial" w:hAnsi="Arial"/>
          <w:sz w:val="17"/>
          <w:szCs w:val="17"/>
          <w:color w:val="auto"/>
        </w:rPr>
      </w:pPr>
    </w:p>
    <w:p>
      <w:pPr>
        <w:ind w:left="617" w:right="80" w:hanging="617"/>
        <w:spacing w:after="0" w:line="349" w:lineRule="auto"/>
        <w:tabs>
          <w:tab w:leader="none" w:pos="617" w:val="left"/>
        </w:tabs>
        <w:numPr>
          <w:ilvl w:val="0"/>
          <w:numId w:val="72"/>
        </w:numPr>
        <w:rPr>
          <w:rFonts w:ascii="Arial" w:cs="Arial" w:eastAsia="Arial" w:hAnsi="Arial"/>
          <w:sz w:val="15"/>
          <w:szCs w:val="15"/>
          <w:color w:val="auto"/>
        </w:rPr>
      </w:pPr>
      <w:r>
        <w:rPr>
          <w:rFonts w:ascii="Arial" w:cs="Arial" w:eastAsia="Arial" w:hAnsi="Arial"/>
          <w:sz w:val="15"/>
          <w:szCs w:val="15"/>
          <w:u w:val="single" w:color="auto"/>
          <w:color w:val="auto"/>
        </w:rPr>
        <w:t>Previous Agreements</w:t>
      </w:r>
      <w:r>
        <w:rPr>
          <w:rFonts w:ascii="Arial" w:cs="Arial" w:eastAsia="Arial" w:hAnsi="Arial"/>
          <w:sz w:val="15"/>
          <w:szCs w:val="15"/>
          <w:color w:val="auto"/>
        </w:rPr>
        <w:t>. This letter, upon acceptance by you, expressly supersedes any and all previous agreements or understandings relating to your employment by the Corporation or the Consolidated ManpowerGroup, or the termination of such employment (except for the letter from the Corporation to</w:t>
      </w:r>
    </w:p>
    <w:p>
      <w:pPr>
        <w:sectPr>
          <w:pgSz w:w="11900" w:h="16910" w:orient="portrait"/>
          <w:cols w:equalWidth="0" w:num="1">
            <w:col w:w="11417"/>
          </w:cols>
          <w:pgMar w:left="243" w:top="127" w:right="239" w:bottom="0" w:gutter="0" w:footer="0" w:header="0"/>
        </w:sectPr>
      </w:pPr>
    </w:p>
    <w:bookmarkStart w:id="57" w:name="page58"/>
    <w:bookmarkEnd w:id="57"/>
    <w:p>
      <w:pPr>
        <w:ind w:left="617" w:right="100"/>
        <w:spacing w:after="0" w:line="349" w:lineRule="auto"/>
        <w:rPr>
          <w:sz w:val="20"/>
          <w:szCs w:val="20"/>
          <w:color w:val="auto"/>
        </w:rPr>
      </w:pPr>
      <w:r>
        <w:rPr>
          <w:rFonts w:ascii="Arial" w:cs="Arial" w:eastAsia="Arial" w:hAnsi="Arial"/>
          <w:sz w:val="15"/>
          <w:szCs w:val="15"/>
          <w:color w:val="auto"/>
        </w:rPr>
        <w:t>you dated May 10, 2011 regarding the terms of your employment with the Corporation and the Nondisclosure Agreement between you and the Corporation dated January 7, 2011) and any such agreements or understandings shall, as of the date of your acceptance, have no further force or effect.</w:t>
      </w:r>
    </w:p>
    <w:p>
      <w:pPr>
        <w:spacing w:after="0" w:line="144" w:lineRule="exact"/>
        <w:rPr>
          <w:sz w:val="20"/>
          <w:szCs w:val="20"/>
          <w:color w:val="auto"/>
        </w:rPr>
      </w:pPr>
    </w:p>
    <w:p>
      <w:pPr>
        <w:ind w:left="617" w:right="120" w:hanging="617"/>
        <w:spacing w:after="0" w:line="260" w:lineRule="auto"/>
        <w:tabs>
          <w:tab w:leader="none" w:pos="61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Section 7 to the contrary notwithstanding, the parties shall, to the extent feasible, attempt in good faith to resolve promptly by negotiation any dispute arising out of or relating to your employment by the Consolidated 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05" w:lineRule="exact"/>
        <w:rPr>
          <w:rFonts w:ascii="Arial" w:cs="Arial" w:eastAsia="Arial" w:hAnsi="Arial"/>
          <w:sz w:val="17"/>
          <w:szCs w:val="17"/>
          <w:color w:val="auto"/>
        </w:rPr>
      </w:pPr>
    </w:p>
    <w:p>
      <w:pPr>
        <w:ind w:left="1237" w:right="20" w:hanging="617"/>
        <w:spacing w:after="0" w:line="273" w:lineRule="auto"/>
        <w:tabs>
          <w:tab w:leader="none" w:pos="1237"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98" w:lineRule="exact"/>
        <w:rPr>
          <w:rFonts w:ascii="Arial" w:cs="Arial" w:eastAsia="Arial" w:hAnsi="Arial"/>
          <w:sz w:val="16"/>
          <w:szCs w:val="16"/>
          <w:color w:val="auto"/>
        </w:rPr>
      </w:pPr>
    </w:p>
    <w:p>
      <w:pPr>
        <w:jc w:val="both"/>
        <w:ind w:left="1237" w:hanging="284"/>
        <w:spacing w:after="0" w:line="255" w:lineRule="auto"/>
        <w:tabs>
          <w:tab w:leader="none" w:pos="1237" w:val="left"/>
        </w:tabs>
        <w:numPr>
          <w:ilvl w:val="2"/>
          <w:numId w:val="73"/>
        </w:numPr>
        <w:rPr>
          <w:rFonts w:ascii="Arial" w:cs="Arial" w:eastAsia="Arial" w:hAnsi="Arial"/>
          <w:sz w:val="17"/>
          <w:szCs w:val="17"/>
          <w:color w:val="auto"/>
        </w:rPr>
      </w:pPr>
      <w:r>
        <w:rPr>
          <w:rFonts w:ascii="Arial" w:cs="Arial" w:eastAsia="Arial" w:hAnsi="Arial"/>
          <w:sz w:val="17"/>
          <w:szCs w:val="17"/>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7"/>
          <w:szCs w:val="17"/>
          <w:i w:val="1"/>
          <w:iCs w:val="1"/>
          <w:color w:val="auto"/>
        </w:rPr>
        <w:t>et seq</w:t>
      </w:r>
      <w:r>
        <w:rPr>
          <w:rFonts w:ascii="Arial" w:cs="Arial" w:eastAsia="Arial" w:hAnsi="Arial"/>
          <w:sz w:val="17"/>
          <w:szCs w:val="17"/>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217" w:lineRule="exact"/>
        <w:rPr>
          <w:rFonts w:ascii="Arial" w:cs="Arial" w:eastAsia="Arial" w:hAnsi="Arial"/>
          <w:sz w:val="17"/>
          <w:szCs w:val="17"/>
          <w:color w:val="auto"/>
        </w:rPr>
      </w:pPr>
    </w:p>
    <w:p>
      <w:pPr>
        <w:ind w:left="617" w:hanging="617"/>
        <w:spacing w:after="0" w:line="280" w:lineRule="auto"/>
        <w:tabs>
          <w:tab w:leader="none" w:pos="617"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The obligations imposed by Paragraphs 3-6, above, of this agreement are severable and should be construed independently of each other. The invalidity of one such provision shall not affect the validity of any other such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371475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17"/>
          </w:cols>
          <w:pgMar w:left="243" w:top="127" w:right="239" w:bottom="1440" w:gutter="0" w:footer="0" w:header="0"/>
        </w:sectPr>
      </w:pPr>
    </w:p>
    <w:bookmarkStart w:id="58" w:name="page59"/>
    <w:bookmarkEnd w:id="58"/>
    <w:p>
      <w:pPr>
        <w:ind w:firstLine="620"/>
        <w:spacing w:after="0" w:line="280" w:lineRule="auto"/>
        <w:rPr>
          <w:sz w:val="20"/>
          <w:szCs w:val="20"/>
          <w:color w:val="auto"/>
        </w:rPr>
      </w:pPr>
      <w:r>
        <w:rPr>
          <w:rFonts w:ascii="Arial" w:cs="Arial" w:eastAsia="Arial" w:hAnsi="Arial"/>
          <w:sz w:val="17"/>
          <w:szCs w:val="17"/>
          <w:color w:val="auto"/>
        </w:rPr>
        <w:t>If you are in agreement with the foregoing, please sign and return one copy of this letter which will constitute our agreement with respect to the subject matter of this letter.</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color w:val="auto"/>
        </w:rPr>
        <w:t>By:</w:t>
      </w:r>
      <w:r>
        <w:rPr>
          <w:rFonts w:ascii="Arial" w:cs="Arial" w:eastAsia="Arial" w:hAnsi="Arial"/>
          <w:sz w:val="17"/>
          <w:szCs w:val="17"/>
          <w:u w:val="single" w:color="auto"/>
          <w:color w:val="auto"/>
        </w:rPr>
        <w:t>/s/ 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 President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Agreed as of the 17th day of February, 2014.</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Hans Leentjes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Hans Leentjes</w:t>
      </w:r>
    </w:p>
    <w:p>
      <w:pPr>
        <w:sectPr>
          <w:pgSz w:w="11900" w:h="16838" w:orient="portrait"/>
          <w:cols w:equalWidth="0" w:num="1">
            <w:col w:w="11040"/>
          </w:cols>
          <w:pgMar w:left="240" w:top="734" w:right="61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b w:val="1"/>
          <w:bCs w:val="1"/>
          <w:color w:val="auto"/>
        </w:rPr>
        <w:t>Exhibit 12.1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REGARDING COMPUTATION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RATIO OF EARNINGS TO FIXED CHARGES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MANPOWERGROUP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millions)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60" w:type="dxa"/>
            <w:vAlign w:val="bottom"/>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2012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2011</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4"/>
              <w:spacing w:after="0"/>
              <w:rPr>
                <w:sz w:val="20"/>
                <w:szCs w:val="20"/>
                <w:color w:val="auto"/>
              </w:rPr>
            </w:pPr>
            <w:r>
              <w:rPr>
                <w:rFonts w:ascii="Arial" w:cs="Arial" w:eastAsia="Arial" w:hAnsi="Arial"/>
                <w:sz w:val="17"/>
                <w:szCs w:val="17"/>
                <w:b w:val="1"/>
                <w:bCs w:val="1"/>
                <w:color w:val="auto"/>
              </w:rPr>
              <w:t>2010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54"/>
              <w:spacing w:after="0"/>
              <w:rPr>
                <w:sz w:val="20"/>
                <w:szCs w:val="20"/>
                <w:color w:val="auto"/>
              </w:rPr>
            </w:pPr>
            <w:r>
              <w:rPr>
                <w:rFonts w:ascii="Arial" w:cs="Arial" w:eastAsia="Arial" w:hAnsi="Arial"/>
                <w:sz w:val="17"/>
                <w:szCs w:val="17"/>
                <w:b w:val="1"/>
                <w:bCs w:val="1"/>
                <w:color w:val="auto"/>
              </w:rPr>
              <w:t>2009</w:t>
            </w:r>
          </w:p>
        </w:tc>
      </w:tr>
      <w:tr>
        <w:trPr>
          <w:trHeight w:val="199"/>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Earnings:</w:t>
            </w:r>
          </w:p>
        </w:tc>
        <w:tc>
          <w:tcPr>
            <w:tcW w:w="86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right w:val="single" w:sz="8" w:color="CCEEFF"/>
            </w:tcBorders>
            <w:shd w:val="clear" w:color="auto" w:fill="CCEEFF"/>
          </w:tcPr>
          <w:p>
            <w:pPr>
              <w:spacing w:after="0"/>
              <w:rPr>
                <w:sz w:val="17"/>
                <w:szCs w:val="17"/>
                <w:color w:val="auto"/>
              </w:rPr>
            </w:pPr>
          </w:p>
        </w:tc>
      </w:tr>
      <w:tr>
        <w:trPr>
          <w:trHeight w:val="206"/>
        </w:trPr>
        <w:tc>
          <w:tcPr>
            <w:tcW w:w="3960" w:type="dxa"/>
            <w:vAlign w:val="bottom"/>
          </w:tcPr>
          <w:p>
            <w:pPr>
              <w:ind w:left="220"/>
              <w:spacing w:after="0"/>
              <w:rPr>
                <w:sz w:val="20"/>
                <w:szCs w:val="20"/>
                <w:color w:val="auto"/>
              </w:rPr>
            </w:pPr>
            <w:r>
              <w:rPr>
                <w:rFonts w:ascii="Arial" w:cs="Arial" w:eastAsia="Arial" w:hAnsi="Arial"/>
                <w:sz w:val="17"/>
                <w:szCs w:val="17"/>
                <w:color w:val="auto"/>
              </w:rPr>
              <w:t>Earnings before income taxes</w:t>
            </w:r>
          </w:p>
        </w:tc>
        <w:tc>
          <w:tcPr>
            <w:tcW w:w="16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475.5</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368.4</w:t>
            </w:r>
          </w:p>
        </w:tc>
        <w:tc>
          <w:tcPr>
            <w:tcW w:w="8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479.9</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(165.2)</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(22.9)</w:t>
            </w:r>
          </w:p>
        </w:tc>
      </w:tr>
      <w:tr>
        <w:trPr>
          <w:trHeight w:val="206"/>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Fixed charges</w:t>
            </w: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159.7</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165.1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170.2</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161.9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183.9</w:t>
            </w:r>
          </w:p>
        </w:tc>
      </w:tr>
      <w:tr>
        <w:trPr>
          <w:trHeight w:val="26"/>
        </w:trPr>
        <w:tc>
          <w:tcPr>
            <w:tcW w:w="39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r>
      <w:tr>
        <w:trPr>
          <w:trHeight w:val="206"/>
        </w:trPr>
        <w:tc>
          <w:tcPr>
            <w:tcW w:w="3960" w:type="dxa"/>
            <w:vAlign w:val="bottom"/>
          </w:tcPr>
          <w:p>
            <w:pPr>
              <w:spacing w:after="0"/>
              <w:rPr>
                <w:sz w:val="17"/>
                <w:szCs w:val="17"/>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635.2</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533.5</w:t>
            </w:r>
          </w:p>
        </w:tc>
        <w:tc>
          <w:tcPr>
            <w:tcW w:w="8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650.1</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(3.3)</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161.0</w:t>
            </w:r>
          </w:p>
        </w:tc>
      </w:tr>
      <w:tr>
        <w:trPr>
          <w:trHeight w:val="20"/>
        </w:trPr>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r>
      <w:tr>
        <w:trPr>
          <w:trHeight w:val="206"/>
        </w:trPr>
        <w:tc>
          <w:tcPr>
            <w:tcW w:w="3960" w:type="dxa"/>
            <w:vAlign w:val="bottom"/>
          </w:tcPr>
          <w:p>
            <w:pPr>
              <w:ind w:left="220"/>
              <w:spacing w:after="0"/>
              <w:rPr>
                <w:sz w:val="20"/>
                <w:szCs w:val="20"/>
                <w:color w:val="auto"/>
              </w:rPr>
            </w:pPr>
            <w:r>
              <w:rPr>
                <w:rFonts w:ascii="Arial" w:cs="Arial" w:eastAsia="Arial" w:hAnsi="Arial"/>
                <w:sz w:val="17"/>
                <w:szCs w:val="17"/>
                <w:color w:val="auto"/>
              </w:rPr>
              <w:t>Interest (expensed or capitalized)</w:t>
            </w:r>
          </w:p>
        </w:tc>
        <w:tc>
          <w:tcPr>
            <w:tcW w:w="16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rPr>
              <w:t>43.2</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42.5</w:t>
            </w:r>
          </w:p>
        </w:tc>
        <w:tc>
          <w:tcPr>
            <w:tcW w:w="8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rPr>
              <w:t>43.1</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42.4</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06"/>
        </w:trPr>
        <w:tc>
          <w:tcPr>
            <w:tcW w:w="3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Estimated interest portion of rent expense</w:t>
            </w: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116.5</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122.6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4"/>
              </w:rPr>
              <w:t>127.1</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119.5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122.2</w:t>
            </w:r>
          </w:p>
        </w:tc>
      </w:tr>
      <w:tr>
        <w:trPr>
          <w:trHeight w:val="26"/>
        </w:trPr>
        <w:tc>
          <w:tcPr>
            <w:tcW w:w="39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r>
      <w:tr>
        <w:trPr>
          <w:trHeight w:val="206"/>
        </w:trPr>
        <w:tc>
          <w:tcPr>
            <w:tcW w:w="3960" w:type="dxa"/>
            <w:vAlign w:val="bottom"/>
          </w:tcPr>
          <w:p>
            <w:pPr>
              <w:spacing w:after="0"/>
              <w:rPr>
                <w:sz w:val="17"/>
                <w:szCs w:val="17"/>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159.7</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w w:val="84"/>
              </w:rPr>
              <w:t>165.1</w:t>
            </w:r>
          </w:p>
        </w:tc>
        <w:tc>
          <w:tcPr>
            <w:tcW w:w="8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170.2</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161.9</w:t>
            </w:r>
          </w:p>
        </w:tc>
        <w:tc>
          <w:tcPr>
            <w:tcW w:w="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183.9</w:t>
            </w:r>
          </w:p>
        </w:tc>
      </w:tr>
      <w:tr>
        <w:trPr>
          <w:trHeight w:val="20"/>
        </w:trPr>
        <w:tc>
          <w:tcPr>
            <w:tcW w:w="3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3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Ratio of earnings to fixed charges</w:t>
            </w:r>
          </w:p>
        </w:tc>
        <w:tc>
          <w:tcPr>
            <w:tcW w:w="8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4.0</w:t>
            </w:r>
          </w:p>
        </w:tc>
        <w:tc>
          <w:tcPr>
            <w:tcW w:w="7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w:t>
            </w:r>
          </w:p>
        </w:tc>
      </w:tr>
    </w:tbl>
    <w:p>
      <w:pPr>
        <w:spacing w:after="0" w:line="200" w:lineRule="exact"/>
        <w:rPr>
          <w:sz w:val="20"/>
          <w:szCs w:val="20"/>
          <w:color w:val="auto"/>
        </w:rPr>
      </w:pPr>
    </w:p>
    <w:p>
      <w:pPr>
        <w:spacing w:after="0" w:line="220" w:lineRule="exact"/>
        <w:rPr>
          <w:sz w:val="20"/>
          <w:szCs w:val="20"/>
          <w:color w:val="auto"/>
        </w:rPr>
      </w:pPr>
    </w:p>
    <w:p>
      <w:pPr>
        <w:ind w:left="620" w:right="40" w:hanging="619"/>
        <w:spacing w:after="0" w:line="264" w:lineRule="auto"/>
        <w:tabs>
          <w:tab w:leader="none" w:pos="600" w:val="left"/>
        </w:tabs>
        <w:rPr>
          <w:sz w:val="20"/>
          <w:szCs w:val="20"/>
          <w:color w:val="auto"/>
        </w:rPr>
      </w:pPr>
      <w:r>
        <w:rPr>
          <w:rFonts w:ascii="Arial" w:cs="Arial" w:eastAsia="Arial" w:hAnsi="Arial"/>
          <w:sz w:val="17"/>
          <w:szCs w:val="17"/>
          <w:b w:val="1"/>
          <w:bCs w:val="1"/>
          <w:color w:val="auto"/>
        </w:rPr>
        <w:t>Note:</w:t>
      </w:r>
      <w:r>
        <w:rPr>
          <w:sz w:val="20"/>
          <w:szCs w:val="20"/>
          <w:color w:val="auto"/>
        </w:rPr>
        <w:tab/>
      </w:r>
      <w:r>
        <w:rPr>
          <w:rFonts w:ascii="Arial" w:cs="Arial" w:eastAsia="Arial" w:hAnsi="Arial"/>
          <w:sz w:val="17"/>
          <w:szCs w:val="17"/>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b w:val="1"/>
          <w:bCs w:val="1"/>
          <w:color w:val="auto"/>
        </w:rPr>
        <w:t>Exhibit 13</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4C8ABF"/>
        </w:rPr>
        <w:t>TABLE OF CONTENTS</w:t>
      </w:r>
    </w:p>
    <w:p>
      <w:pPr>
        <w:spacing w:after="0" w:line="190" w:lineRule="exact"/>
        <w:rPr>
          <w:sz w:val="20"/>
          <w:szCs w:val="20"/>
          <w:color w:val="auto"/>
        </w:rPr>
      </w:pPr>
    </w:p>
    <w:p>
      <w:pPr>
        <w:ind w:left="420" w:hanging="417"/>
        <w:spacing w:after="0"/>
        <w:tabs>
          <w:tab w:leader="none" w:pos="420" w:val="left"/>
        </w:tabs>
        <w:numPr>
          <w:ilvl w:val="0"/>
          <w:numId w:val="74"/>
        </w:numPr>
        <w:rPr>
          <w:rFonts w:ascii="Arial" w:cs="Arial" w:eastAsia="Arial" w:hAnsi="Arial"/>
          <w:sz w:val="17"/>
          <w:szCs w:val="17"/>
          <w:b w:val="1"/>
          <w:bCs w:val="1"/>
          <w:color w:val="4C8ABF"/>
        </w:rPr>
      </w:pPr>
      <w:r>
        <w:rPr>
          <w:rFonts w:ascii="Arial" w:cs="Arial" w:eastAsia="Arial" w:hAnsi="Arial"/>
          <w:sz w:val="17"/>
          <w:szCs w:val="17"/>
          <w:color w:val="717073"/>
        </w:rPr>
        <w:t>Management’s Discussion &amp; Analysis</w:t>
      </w:r>
    </w:p>
    <w:p>
      <w:pPr>
        <w:ind w:left="420" w:hanging="417"/>
        <w:spacing w:after="0" w:line="237" w:lineRule="auto"/>
        <w:tabs>
          <w:tab w:leader="none" w:pos="420" w:val="left"/>
        </w:tabs>
        <w:numPr>
          <w:ilvl w:val="0"/>
          <w:numId w:val="75"/>
        </w:numPr>
        <w:rPr>
          <w:rFonts w:ascii="Arial" w:cs="Arial" w:eastAsia="Arial" w:hAnsi="Arial"/>
          <w:sz w:val="17"/>
          <w:szCs w:val="17"/>
          <w:b w:val="1"/>
          <w:bCs w:val="1"/>
          <w:color w:val="4C8ABF"/>
        </w:rPr>
      </w:pPr>
      <w:r>
        <w:rPr>
          <w:rFonts w:ascii="Arial" w:cs="Arial" w:eastAsia="Arial" w:hAnsi="Arial"/>
          <w:sz w:val="17"/>
          <w:szCs w:val="17"/>
          <w:color w:val="717073"/>
        </w:rPr>
        <w:t>Management Report on Internal Control Over Financial Reporting</w:t>
      </w:r>
    </w:p>
    <w:p>
      <w:pPr>
        <w:ind w:left="420" w:hanging="417"/>
        <w:spacing w:after="0" w:line="237" w:lineRule="auto"/>
        <w:tabs>
          <w:tab w:leader="none" w:pos="420" w:val="left"/>
        </w:tabs>
        <w:numPr>
          <w:ilvl w:val="0"/>
          <w:numId w:val="75"/>
        </w:numPr>
        <w:rPr>
          <w:rFonts w:ascii="Arial" w:cs="Arial" w:eastAsia="Arial" w:hAnsi="Arial"/>
          <w:sz w:val="17"/>
          <w:szCs w:val="17"/>
          <w:b w:val="1"/>
          <w:bCs w:val="1"/>
          <w:color w:val="4C8ABF"/>
        </w:rPr>
      </w:pPr>
      <w:r>
        <w:rPr>
          <w:rFonts w:ascii="Arial" w:cs="Arial" w:eastAsia="Arial" w:hAnsi="Arial"/>
          <w:sz w:val="17"/>
          <w:szCs w:val="17"/>
          <w:color w:val="717073"/>
        </w:rPr>
        <w:t>Reports of Independent Registered Public Accounting Firm</w:t>
      </w:r>
    </w:p>
    <w:p>
      <w:pPr>
        <w:ind w:left="420" w:hanging="417"/>
        <w:spacing w:after="0" w:line="238" w:lineRule="auto"/>
        <w:tabs>
          <w:tab w:leader="none" w:pos="420" w:val="left"/>
        </w:tabs>
        <w:numPr>
          <w:ilvl w:val="0"/>
          <w:numId w:val="76"/>
        </w:numPr>
        <w:rPr>
          <w:rFonts w:ascii="Arial" w:cs="Arial" w:eastAsia="Arial" w:hAnsi="Arial"/>
          <w:sz w:val="17"/>
          <w:szCs w:val="17"/>
          <w:b w:val="1"/>
          <w:bCs w:val="1"/>
          <w:color w:val="4C8ABF"/>
        </w:rPr>
      </w:pPr>
      <w:r>
        <w:rPr>
          <w:rFonts w:ascii="Arial" w:cs="Arial" w:eastAsia="Arial" w:hAnsi="Arial"/>
          <w:sz w:val="17"/>
          <w:szCs w:val="17"/>
          <w:color w:val="717073"/>
        </w:rPr>
        <w:t>Consolidated Statements of Operations</w:t>
      </w:r>
    </w:p>
    <w:p>
      <w:pPr>
        <w:ind w:left="420" w:hanging="417"/>
        <w:spacing w:after="0" w:line="238" w:lineRule="auto"/>
        <w:tabs>
          <w:tab w:leader="none" w:pos="420" w:val="left"/>
        </w:tabs>
        <w:numPr>
          <w:ilvl w:val="0"/>
          <w:numId w:val="77"/>
        </w:numPr>
        <w:rPr>
          <w:rFonts w:ascii="Arial" w:cs="Arial" w:eastAsia="Arial" w:hAnsi="Arial"/>
          <w:sz w:val="17"/>
          <w:szCs w:val="17"/>
          <w:b w:val="1"/>
          <w:bCs w:val="1"/>
          <w:color w:val="4C8ABF"/>
        </w:rPr>
      </w:pPr>
      <w:r>
        <w:rPr>
          <w:rFonts w:ascii="Arial" w:cs="Arial" w:eastAsia="Arial" w:hAnsi="Arial"/>
          <w:sz w:val="17"/>
          <w:szCs w:val="17"/>
          <w:color w:val="717073"/>
        </w:rPr>
        <w:t>Consolidated Statements of Comprehensive Income</w:t>
      </w:r>
    </w:p>
    <w:p>
      <w:pPr>
        <w:ind w:left="420" w:hanging="417"/>
        <w:spacing w:after="0" w:line="237" w:lineRule="auto"/>
        <w:tabs>
          <w:tab w:leader="none" w:pos="420" w:val="left"/>
        </w:tabs>
        <w:numPr>
          <w:ilvl w:val="0"/>
          <w:numId w:val="77"/>
        </w:numPr>
        <w:rPr>
          <w:rFonts w:ascii="Arial" w:cs="Arial" w:eastAsia="Arial" w:hAnsi="Arial"/>
          <w:sz w:val="17"/>
          <w:szCs w:val="17"/>
          <w:b w:val="1"/>
          <w:bCs w:val="1"/>
          <w:color w:val="4C8ABF"/>
        </w:rPr>
      </w:pPr>
      <w:r>
        <w:rPr>
          <w:rFonts w:ascii="Arial" w:cs="Arial" w:eastAsia="Arial" w:hAnsi="Arial"/>
          <w:sz w:val="17"/>
          <w:szCs w:val="17"/>
          <w:color w:val="717073"/>
        </w:rPr>
        <w:t>Consolidated Balance Sheets</w:t>
      </w:r>
    </w:p>
    <w:p>
      <w:pPr>
        <w:ind w:left="420" w:hanging="417"/>
        <w:spacing w:after="0" w:line="237" w:lineRule="auto"/>
        <w:tabs>
          <w:tab w:leader="none" w:pos="420" w:val="left"/>
        </w:tabs>
        <w:numPr>
          <w:ilvl w:val="0"/>
          <w:numId w:val="77"/>
        </w:numPr>
        <w:rPr>
          <w:rFonts w:ascii="Arial" w:cs="Arial" w:eastAsia="Arial" w:hAnsi="Arial"/>
          <w:sz w:val="17"/>
          <w:szCs w:val="17"/>
          <w:b w:val="1"/>
          <w:bCs w:val="1"/>
          <w:color w:val="4C8ABF"/>
        </w:rPr>
      </w:pPr>
      <w:r>
        <w:rPr>
          <w:rFonts w:ascii="Arial" w:cs="Arial" w:eastAsia="Arial" w:hAnsi="Arial"/>
          <w:sz w:val="17"/>
          <w:szCs w:val="17"/>
          <w:color w:val="717073"/>
        </w:rPr>
        <w:t>Consolidated Statements of Cash Flows</w:t>
      </w:r>
    </w:p>
    <w:p>
      <w:pPr>
        <w:ind w:left="420" w:hanging="417"/>
        <w:spacing w:after="0" w:line="237" w:lineRule="auto"/>
        <w:tabs>
          <w:tab w:leader="none" w:pos="420" w:val="left"/>
        </w:tabs>
        <w:numPr>
          <w:ilvl w:val="0"/>
          <w:numId w:val="77"/>
        </w:numPr>
        <w:rPr>
          <w:rFonts w:ascii="Arial" w:cs="Arial" w:eastAsia="Arial" w:hAnsi="Arial"/>
          <w:sz w:val="17"/>
          <w:szCs w:val="17"/>
          <w:b w:val="1"/>
          <w:bCs w:val="1"/>
          <w:color w:val="4C8ABF"/>
        </w:rPr>
      </w:pPr>
      <w:r>
        <w:rPr>
          <w:rFonts w:ascii="Arial" w:cs="Arial" w:eastAsia="Arial" w:hAnsi="Arial"/>
          <w:sz w:val="17"/>
          <w:szCs w:val="17"/>
          <w:color w:val="717073"/>
        </w:rPr>
        <w:t>Consolidated Statements of Shareholders’ Equity</w:t>
      </w:r>
    </w:p>
    <w:p>
      <w:pPr>
        <w:ind w:left="420" w:hanging="417"/>
        <w:spacing w:after="0" w:line="237" w:lineRule="auto"/>
        <w:tabs>
          <w:tab w:leader="none" w:pos="420" w:val="left"/>
        </w:tabs>
        <w:numPr>
          <w:ilvl w:val="0"/>
          <w:numId w:val="77"/>
        </w:numPr>
        <w:rPr>
          <w:rFonts w:ascii="Arial" w:cs="Arial" w:eastAsia="Arial" w:hAnsi="Arial"/>
          <w:sz w:val="17"/>
          <w:szCs w:val="17"/>
          <w:b w:val="1"/>
          <w:bCs w:val="1"/>
          <w:color w:val="4C8ABF"/>
        </w:rPr>
      </w:pPr>
      <w:r>
        <w:rPr>
          <w:rFonts w:ascii="Arial" w:cs="Arial" w:eastAsia="Arial" w:hAnsi="Arial"/>
          <w:sz w:val="17"/>
          <w:szCs w:val="17"/>
          <w:color w:val="717073"/>
        </w:rPr>
        <w:t>Notes to Consolidated Financial Statements</w:t>
      </w:r>
    </w:p>
    <w:p>
      <w:pPr>
        <w:ind w:left="420" w:hanging="417"/>
        <w:spacing w:after="0" w:line="238" w:lineRule="auto"/>
        <w:tabs>
          <w:tab w:leader="none" w:pos="420" w:val="left"/>
        </w:tabs>
        <w:numPr>
          <w:ilvl w:val="0"/>
          <w:numId w:val="78"/>
        </w:numPr>
        <w:rPr>
          <w:rFonts w:ascii="Arial" w:cs="Arial" w:eastAsia="Arial" w:hAnsi="Arial"/>
          <w:sz w:val="17"/>
          <w:szCs w:val="17"/>
          <w:b w:val="1"/>
          <w:bCs w:val="1"/>
          <w:color w:val="4C8ABF"/>
        </w:rPr>
      </w:pPr>
      <w:r>
        <w:rPr>
          <w:rFonts w:ascii="Arial" w:cs="Arial" w:eastAsia="Arial" w:hAnsi="Arial"/>
          <w:sz w:val="17"/>
          <w:szCs w:val="17"/>
          <w:color w:val="717073"/>
        </w:rPr>
        <w:t>Selected Financial Data</w:t>
      </w:r>
    </w:p>
    <w:p>
      <w:pPr>
        <w:ind w:left="420" w:hanging="417"/>
        <w:spacing w:after="0" w:line="237" w:lineRule="auto"/>
        <w:tabs>
          <w:tab w:leader="none" w:pos="420" w:val="left"/>
        </w:tabs>
        <w:numPr>
          <w:ilvl w:val="0"/>
          <w:numId w:val="79"/>
        </w:numPr>
        <w:rPr>
          <w:rFonts w:ascii="Arial" w:cs="Arial" w:eastAsia="Arial" w:hAnsi="Arial"/>
          <w:sz w:val="17"/>
          <w:szCs w:val="17"/>
          <w:b w:val="1"/>
          <w:bCs w:val="1"/>
          <w:color w:val="4C8ABF"/>
        </w:rPr>
      </w:pPr>
      <w:r>
        <w:rPr>
          <w:rFonts w:ascii="Arial" w:cs="Arial" w:eastAsia="Arial" w:hAnsi="Arial"/>
          <w:sz w:val="17"/>
          <w:szCs w:val="17"/>
          <w:color w:val="717073"/>
        </w:rPr>
        <w:t>Performance Graph</w:t>
      </w:r>
    </w:p>
    <w:p>
      <w:pPr>
        <w:ind w:left="420" w:hanging="417"/>
        <w:spacing w:after="0" w:line="237" w:lineRule="auto"/>
        <w:tabs>
          <w:tab w:leader="none" w:pos="420" w:val="left"/>
        </w:tabs>
        <w:numPr>
          <w:ilvl w:val="0"/>
          <w:numId w:val="79"/>
        </w:numPr>
        <w:rPr>
          <w:rFonts w:ascii="Arial" w:cs="Arial" w:eastAsia="Arial" w:hAnsi="Arial"/>
          <w:sz w:val="17"/>
          <w:szCs w:val="17"/>
          <w:b w:val="1"/>
          <w:bCs w:val="1"/>
          <w:color w:val="4C8ABF"/>
        </w:rPr>
      </w:pPr>
      <w:r>
        <w:rPr>
          <w:rFonts w:ascii="Arial" w:cs="Arial" w:eastAsia="Arial" w:hAnsi="Arial"/>
          <w:sz w:val="17"/>
          <w:szCs w:val="17"/>
          <w:color w:val="717073"/>
        </w:rPr>
        <w:t>Principal Operating Units</w:t>
      </w:r>
    </w:p>
    <w:p>
      <w:pPr>
        <w:ind w:left="420" w:hanging="417"/>
        <w:spacing w:after="0"/>
        <w:tabs>
          <w:tab w:leader="none" w:pos="420" w:val="left"/>
        </w:tabs>
        <w:numPr>
          <w:ilvl w:val="0"/>
          <w:numId w:val="79"/>
        </w:numPr>
        <w:rPr>
          <w:rFonts w:ascii="Arial" w:cs="Arial" w:eastAsia="Arial" w:hAnsi="Arial"/>
          <w:sz w:val="17"/>
          <w:szCs w:val="17"/>
          <w:b w:val="1"/>
          <w:bCs w:val="1"/>
          <w:color w:val="4C8ABF"/>
        </w:rPr>
      </w:pPr>
      <w:r>
        <w:rPr>
          <w:rFonts w:ascii="Arial" w:cs="Arial" w:eastAsia="Arial" w:hAnsi="Arial"/>
          <w:sz w:val="17"/>
          <w:szCs w:val="17"/>
          <w:color w:val="717073"/>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261620</wp:posOffset>
            </wp:positionV>
            <wp:extent cx="7252970" cy="24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76AD9A"/>
        </w:rPr>
        <w:t>Business Overview</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ManpowerGroup Inc. is a world leader in innovative workforce solutions and services. Our global network of over 3,100 offices in 80 countries and territories allows us to meet the needs of our global, multinational and local clients across all major industry segments. We develop solutions that drive organizations forward, accelerate individual success and help build more sustainable communities. We power the world of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2591435</wp:posOffset>
            </wp:positionH>
            <wp:positionV relativeFrom="paragraph">
              <wp:posOffset>99060</wp:posOffset>
            </wp:positionV>
            <wp:extent cx="2048510" cy="25406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8510" cy="2540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By offering a comprehensive range of workforce solutions and services, we help companies at varying stages in their evolution increase productivity, improve strategy, quality and efficiency, and reduce costs across their workforce to achieve their business goals. ManpowerGroup’s suite of innovative workforce solutions and services includes:</w:t>
      </w:r>
    </w:p>
    <w:p>
      <w:pPr>
        <w:spacing w:after="0" w:line="168" w:lineRule="exact"/>
        <w:rPr>
          <w:sz w:val="20"/>
          <w:szCs w:val="20"/>
          <w:color w:val="auto"/>
        </w:rPr>
      </w:pPr>
    </w:p>
    <w:p>
      <w:pPr>
        <w:jc w:val="both"/>
        <w:ind w:left="140" w:hanging="137"/>
        <w:spacing w:after="0" w:line="243" w:lineRule="auto"/>
        <w:tabs>
          <w:tab w:leader="none" w:pos="140" w:val="left"/>
        </w:tabs>
        <w:numPr>
          <w:ilvl w:val="0"/>
          <w:numId w:val="80"/>
        </w:numPr>
        <w:rPr>
          <w:rFonts w:ascii="Arial" w:cs="Arial" w:eastAsia="Arial" w:hAnsi="Arial"/>
          <w:sz w:val="17"/>
          <w:szCs w:val="17"/>
          <w:color w:val="4C8ABF"/>
        </w:rPr>
      </w:pPr>
      <w:r>
        <w:rPr>
          <w:rFonts w:ascii="Arial" w:cs="Arial" w:eastAsia="Arial" w:hAnsi="Arial"/>
          <w:sz w:val="17"/>
          <w:szCs w:val="17"/>
          <w:color w:val="373535"/>
        </w:rPr>
        <w:t>Recruitment and Assessment — By leveraging our trusted brand, industry knowledge and expertise, we identify the right talent in the right place to help our clients quickly access the people they need when they need them. Through our industry-leading assessments, we gain a deeper understanding of the people we serve to correctly identify candidates’ potential, resulting in a better cultural match.</w:t>
      </w:r>
    </w:p>
    <w:p>
      <w:pPr>
        <w:spacing w:after="0" w:line="154" w:lineRule="exact"/>
        <w:rPr>
          <w:rFonts w:ascii="Arial" w:cs="Arial" w:eastAsia="Arial" w:hAnsi="Arial"/>
          <w:sz w:val="17"/>
          <w:szCs w:val="17"/>
          <w:color w:val="4C8ABF"/>
        </w:rPr>
      </w:pPr>
    </w:p>
    <w:p>
      <w:pPr>
        <w:jc w:val="both"/>
        <w:ind w:left="140" w:hanging="137"/>
        <w:spacing w:after="0" w:line="243" w:lineRule="auto"/>
        <w:tabs>
          <w:tab w:leader="none" w:pos="140" w:val="left"/>
        </w:tabs>
        <w:numPr>
          <w:ilvl w:val="0"/>
          <w:numId w:val="80"/>
        </w:numPr>
        <w:rPr>
          <w:rFonts w:ascii="Arial" w:cs="Arial" w:eastAsia="Arial" w:hAnsi="Arial"/>
          <w:sz w:val="17"/>
          <w:szCs w:val="17"/>
          <w:color w:val="4C8ABF"/>
        </w:rPr>
      </w:pPr>
      <w:r>
        <w:rPr>
          <w:rFonts w:ascii="Arial" w:cs="Arial" w:eastAsia="Arial" w:hAnsi="Arial"/>
          <w:sz w:val="17"/>
          <w:szCs w:val="17"/>
          <w:color w:val="373535"/>
        </w:rPr>
        <w:t>Training and Development — Our unique insights into evolving employer needs and our expertise in training and development help us prepare candidates and associates to succeed in today’s competitive marketplace. We offer an extensive portfolio of training courses and leadership development solutions that help clients maximize talent and optimize performance.</w:t>
      </w:r>
    </w:p>
    <w:p>
      <w:pPr>
        <w:spacing w:after="0" w:line="154"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0"/>
        </w:numPr>
        <w:rPr>
          <w:rFonts w:ascii="Arial" w:cs="Arial" w:eastAsia="Arial" w:hAnsi="Arial"/>
          <w:sz w:val="17"/>
          <w:szCs w:val="17"/>
          <w:color w:val="4C8ABF"/>
        </w:rPr>
      </w:pPr>
      <w:r>
        <w:rPr>
          <w:rFonts w:ascii="Arial" w:cs="Arial" w:eastAsia="Arial" w:hAnsi="Arial"/>
          <w:sz w:val="17"/>
          <w:szCs w:val="17"/>
          <w:color w:val="373535"/>
        </w:rPr>
        <w:t>Career Management — We understand the human side of business to help individuals and organizations unleash human potential to enhance skills, increase effectiveness and successfully manage career changes and workforce transitions.</w:t>
      </w:r>
    </w:p>
    <w:p>
      <w:pPr>
        <w:spacing w:after="0" w:line="160"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0"/>
        </w:numPr>
        <w:rPr>
          <w:rFonts w:ascii="Arial" w:cs="Arial" w:eastAsia="Arial" w:hAnsi="Arial"/>
          <w:sz w:val="17"/>
          <w:szCs w:val="17"/>
          <w:color w:val="4C8ABF"/>
        </w:rPr>
      </w:pPr>
      <w:r>
        <w:rPr>
          <w:rFonts w:ascii="Arial" w:cs="Arial" w:eastAsia="Arial" w:hAnsi="Arial"/>
          <w:sz w:val="17"/>
          <w:szCs w:val="17"/>
          <w:color w:val="373535"/>
        </w:rPr>
        <w:t>Outsourcing — We provide clients with outsourcing services related to human resources functions primarily in the areas of large-scale recruiting and workforce-intensive initiatives that are outcome-based, thereby sharing in the risk and reward with our clients</w:t>
      </w:r>
      <w:r>
        <w:rPr>
          <w:rFonts w:ascii="Arial" w:cs="Arial" w:eastAsia="Arial" w:hAnsi="Arial"/>
          <w:sz w:val="17"/>
          <w:szCs w:val="17"/>
          <w:color w:val="000000"/>
        </w:rPr>
        <w:t>.</w:t>
      </w:r>
    </w:p>
    <w:p>
      <w:pPr>
        <w:spacing w:after="0" w:line="147"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0"/>
        </w:numPr>
        <w:rPr>
          <w:rFonts w:ascii="Arial" w:cs="Arial" w:eastAsia="Arial" w:hAnsi="Arial"/>
          <w:sz w:val="17"/>
          <w:szCs w:val="17"/>
          <w:color w:val="4C8ABF"/>
        </w:rPr>
      </w:pPr>
      <w:r>
        <w:rPr>
          <w:rFonts w:ascii="Arial" w:cs="Arial" w:eastAsia="Arial" w:hAnsi="Arial"/>
          <w:sz w:val="17"/>
          <w:szCs w:val="17"/>
          <w:color w:val="373535"/>
        </w:rPr>
        <w:t>Workforce Consulting — We help clients create and align their workforce strategy to achieve their business strategy, increase business agility and flexibility, and accelerate personal and business success.</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This comprehensive and diverse business mix helps us to partially mitigate the cyclical effects of the national economies in which we operate. Our family of brands and offerings includes:</w:t>
      </w:r>
    </w:p>
    <w:p>
      <w:pPr>
        <w:spacing w:after="0" w:line="161" w:lineRule="exact"/>
        <w:rPr>
          <w:sz w:val="20"/>
          <w:szCs w:val="20"/>
          <w:color w:val="auto"/>
        </w:rPr>
      </w:pPr>
    </w:p>
    <w:p>
      <w:pPr>
        <w:ind w:left="140" w:hanging="137"/>
        <w:spacing w:after="0" w:line="250" w:lineRule="auto"/>
        <w:tabs>
          <w:tab w:leader="none" w:pos="140" w:val="left"/>
        </w:tabs>
        <w:numPr>
          <w:ilvl w:val="0"/>
          <w:numId w:val="81"/>
        </w:numPr>
        <w:rPr>
          <w:rFonts w:ascii="Arial" w:cs="Arial" w:eastAsia="Arial" w:hAnsi="Arial"/>
          <w:sz w:val="17"/>
          <w:szCs w:val="17"/>
          <w:color w:val="4C8ABF"/>
        </w:rPr>
      </w:pPr>
      <w:r>
        <w:rPr>
          <w:rFonts w:ascii="Arial" w:cs="Arial" w:eastAsia="Arial" w:hAnsi="Arial"/>
          <w:sz w:val="17"/>
          <w:szCs w:val="17"/>
          <w:color w:val="auto"/>
        </w:rPr>
        <w:t>Manpower — We are a global leader in contingent and permanent recruitment staffing. We provide businesses with rapid access to a highly qualified and productive pool of candidates to give them the flexibility and agility they need to respond to changing business needs.</w:t>
      </w:r>
    </w:p>
    <w:p>
      <w:pPr>
        <w:spacing w:after="0" w:line="147"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1"/>
        </w:numPr>
        <w:rPr>
          <w:rFonts w:ascii="Arial" w:cs="Arial" w:eastAsia="Arial" w:hAnsi="Arial"/>
          <w:sz w:val="17"/>
          <w:szCs w:val="17"/>
          <w:color w:val="4C8ABF"/>
        </w:rPr>
      </w:pPr>
      <w:r>
        <w:rPr>
          <w:rFonts w:ascii="Arial" w:cs="Arial" w:eastAsia="Arial" w:hAnsi="Arial"/>
          <w:sz w:val="17"/>
          <w:szCs w:val="17"/>
          <w:color w:val="373535"/>
        </w:rPr>
        <w:t>Experis — We are a global leader in professional resourcing and project-based solutions. With operations in over 55 countries and territories, we deliver 49 million hours of professional talent specializing in Information Technology (IT), Engineering, Finance and Healthcare.</w:t>
      </w:r>
    </w:p>
    <w:p>
      <w:pPr>
        <w:spacing w:after="0" w:line="147" w:lineRule="exact"/>
        <w:rPr>
          <w:rFonts w:ascii="Arial" w:cs="Arial" w:eastAsia="Arial" w:hAnsi="Arial"/>
          <w:sz w:val="17"/>
          <w:szCs w:val="17"/>
          <w:color w:val="4C8ABF"/>
        </w:rPr>
      </w:pPr>
    </w:p>
    <w:p>
      <w:pPr>
        <w:jc w:val="both"/>
        <w:ind w:left="140" w:hanging="137"/>
        <w:spacing w:after="0" w:line="243" w:lineRule="auto"/>
        <w:tabs>
          <w:tab w:leader="none" w:pos="140" w:val="left"/>
        </w:tabs>
        <w:numPr>
          <w:ilvl w:val="0"/>
          <w:numId w:val="81"/>
        </w:numPr>
        <w:rPr>
          <w:rFonts w:ascii="Arial" w:cs="Arial" w:eastAsia="Arial" w:hAnsi="Arial"/>
          <w:sz w:val="17"/>
          <w:szCs w:val="17"/>
          <w:color w:val="4C8ABF"/>
        </w:rPr>
      </w:pPr>
      <w:r>
        <w:rPr>
          <w:rFonts w:ascii="Arial" w:cs="Arial" w:eastAsia="Arial" w:hAnsi="Arial"/>
          <w:sz w:val="17"/>
          <w:szCs w:val="17"/>
          <w:color w:val="373535"/>
        </w:rPr>
        <w:t>Right Management — We are a global leader in talent and career management. Through our innovative and proprietary process, we leverage our expertise in employee assessment, leader development, career management and workforce transition and outplacement to increase productivity and optimize business performance.</w:t>
      </w:r>
    </w:p>
    <w:p>
      <w:pPr>
        <w:spacing w:after="0" w:line="167" w:lineRule="exact"/>
        <w:rPr>
          <w:rFonts w:ascii="Arial" w:cs="Arial" w:eastAsia="Arial" w:hAnsi="Arial"/>
          <w:sz w:val="17"/>
          <w:szCs w:val="17"/>
          <w:color w:val="4C8ABF"/>
        </w:rPr>
      </w:pPr>
    </w:p>
    <w:p>
      <w:pPr>
        <w:jc w:val="both"/>
        <w:ind w:left="140" w:hanging="137"/>
        <w:spacing w:after="0" w:line="243" w:lineRule="auto"/>
        <w:tabs>
          <w:tab w:leader="none" w:pos="140" w:val="left"/>
        </w:tabs>
        <w:numPr>
          <w:ilvl w:val="0"/>
          <w:numId w:val="81"/>
        </w:numPr>
        <w:rPr>
          <w:rFonts w:ascii="Arial" w:cs="Arial" w:eastAsia="Arial" w:hAnsi="Arial"/>
          <w:sz w:val="17"/>
          <w:szCs w:val="17"/>
          <w:color w:val="4C8ABF"/>
        </w:rPr>
      </w:pPr>
      <w:r>
        <w:rPr>
          <w:rFonts w:ascii="Arial" w:cs="Arial" w:eastAsia="Arial" w:hAnsi="Arial"/>
          <w:sz w:val="17"/>
          <w:szCs w:val="17"/>
          <w:color w:val="373535"/>
        </w:rPr>
        <w:t>ManpowerGroup Solutions — ManpowerGroup Solutions is a leader in outcome-based, talent-driven solutions. Our offerings include best-in-class Talent Based Outsourcing (TBO), TAPFIN — Managed Service Provider (MSP), Recruitment Process Outsourcing (RPO), Borderless Talent Solutions (BTS), Strategic Workforce Consulting (SWC) and Language Services.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25</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62" w:name="page63"/>
    <w:bookmarkEnd w:id="62"/>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leadership position allows us to be a center for quality employment opportunities for people at all points in their career paths. In 2013, the 3.4 million people we connected to opportunities and purpose worked to help more than 400,000 of our clients meet their business objectives. Seasoned professionals, skilled laborers, temporary to permanent, parents returning to work, seniors wanting to supplement pensions, previously unemployed youth and disabled individuals all turn to the ManpowerGroup companies for employment possibilities. Similarly, governments in the nations in which we operate look to us to help provide employment opportunities and training to assist the unemployed in gaining the skills they need to enter the workforce. We provide a bridge to experience and employment, and help to build more sustainable communities.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Our industry is large and fragmented, comprised of thousands of firms employing millions of people and generating billions of United States dollars in annual revenues. It is also a highly competitive industry, reflecting several trends in the global marketplace, notably increasing demand for skilled people and consolidation among clients and in the employment services industry itself.</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manage these trends by leveraging established strengths, including one of the employment services industry’s most recognized and respected brands; geographic diversification; size and service scope; an innovative product mix; and a strong client base. While staffing is an important aspect of our business, our strategy is focused on providing both the skilled employees our clients need and high-value workforce management, outsourcing and consulting solutions.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Client demand for workforce solutions and services is dependent on the overall strength of the labor market and secular trends toward greater workforce flexibility within each of the countries and territories in which we operate. Improving economic growth typically results in increasing demand for labor, resulting in greater demand for our staffing services. During periods of increasing demand, we are able to improve our profitability and operating leverage as our current cost base can support some increase in business without a similar increase in selling and administrative expenses.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Correspondingly, during periods of weak economic growth or economic contraction, the demand for our staffing services typically declines. When demand drops, our operating profit is typically impacted unfavorably as we experience a deleveraging of our selling and administrative expense base as expenses may not decline at the same pace as revenues. In periods of economic contraction, we may have more significant expense deleveraging, as we believe it is prudent not to reduce selling and administrative expenses to levels that could negatively impact the long-term potential of our branch network and brands.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The nature of our operations is such that our most significant current asset is accounts receivable, with an average days sales outstanding of approximately 55 days based on the markets where we do business. Our most significant current liabilities are payroll related costs, which are generally paid either weekly or monthly. As the demand for our services increases, we generally see an increase in our working capital needs, as we continue to pay our associates on a weekly or monthly basis while the related accounts receivable are outstanding for much longer, which may result in a decline in operating cash flows. Conversely, as the demand for our services declines, we generally see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sustainable in the event that the economic downturn continued for an extended period.</w:t>
      </w:r>
    </w:p>
    <w:p>
      <w:pPr>
        <w:spacing w:after="0" w:line="159"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Our career management services are counter-cyclical to our staffing services, which helps to offset the impact of an economic downturn on our overall financial results.</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Due to our industry’s sensitivity to economic factors, the inherent difficulty in forecasting the direction and strength of the economy and the short-term nature of staffing assignments, it is difficult to forecast future demand for our services with absolute certainty. As a result, we monitor a number of economic indicators, as well as recent business trends, to predict future revenue trends for each of our reportable segments. Based upon these anticipated trends, we determine what level of personnel and office investments are necessary to take full advantage of growth opportunities.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business is organized and managed primarily on a geographic basis, with Right Management currently operating as a separate global business unit. Each country and business unit generally have their own distinct operations and management team, providing services under our global brands. We have an executive sponsor for each global brand who is responsible for ensuring the integrity and consistency of delivery locally.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(Asia Pacific Middle East); and Right Management.</w:t>
      </w:r>
    </w:p>
    <w:p>
      <w:pPr>
        <w:spacing w:after="0" w:line="146" w:lineRule="exact"/>
        <w:rPr>
          <w:sz w:val="20"/>
          <w:szCs w:val="20"/>
          <w:color w:val="auto"/>
        </w:rPr>
      </w:pPr>
    </w:p>
    <w:p>
      <w:pPr>
        <w:ind w:left="620" w:hanging="617"/>
        <w:spacing w:after="0"/>
        <w:tabs>
          <w:tab w:leader="none" w:pos="620" w:val="left"/>
        </w:tabs>
        <w:numPr>
          <w:ilvl w:val="0"/>
          <w:numId w:val="82"/>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3" w:name="page64"/>
    <w:bookmarkEnd w:id="63"/>
    <w:p>
      <w:pPr>
        <w:jc w:val="both"/>
        <w:spacing w:after="0"/>
        <w:rPr>
          <w:sz w:val="20"/>
          <w:szCs w:val="20"/>
          <w:color w:val="auto"/>
        </w:rPr>
      </w:pPr>
      <w:r>
        <w:rPr>
          <w:rFonts w:ascii="Arial" w:cs="Arial" w:eastAsia="Arial" w:hAnsi="Arial"/>
          <w:sz w:val="17"/>
          <w:szCs w:val="17"/>
          <w:color w:val="373535"/>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TBO, MSP, RPO, BTS, SWC and Language Services. Right Management’s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comprises a significant portion of revenues for us as a whole or for any segment.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76AD9A"/>
        </w:rPr>
        <w:t>Financial Measures — Constant Currency and Organic Constant Currency</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Changes in our financial results include the impact of changes in foreign currency exchange rates and acquisitions.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35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When we use the term “organic constant currency,” it means that we have further removed the impact of acquisitions in the current period from our constant currency calculation. We believe that this calculation is useful because it allows us to show the actual growth of our pre-existing business.</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Constant currency and organic constant currency percent variances, along with a reconciliation of these amounts to certain of our reported results, are included on pages 36 and 37.</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76AD9A"/>
        </w:rPr>
        <w:t>Results of Operations — Years Ended December 31, 2013, 2012 and 2011</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2013, we experienced revenue declines in most of our markets as demand for our services continued to be unfavorably impacted by the economic uncertainty. While we have seen improving trends throughout the year in many of our markets in the Americas and Europe, our APME segment has seen continued declines due to the soft demand for our staffing/ interim services and fewer billing days in 2013 compared to 2012. Our consolidated revenue growth improved throughout the year, with a 6% decline in the first quarter improving to 1% growth in the fourth quarter as the global economy started to stabilize. Our staffing/interim business and our European permanent recruitment business declined during the year, while our ManpowerGroup Solutions business continued to see solid growth due mostly to growth in our RPO and MSP offerings. At Right Management, the decrease in demand for our talent management services persisted in 2013 as companies continued to delay discretionary spend through much of the year, while demand for our counter-cyclical outplacement services remained flat in 2013 compared to 2012.</w:t>
      </w:r>
    </w:p>
    <w:p>
      <w:pPr>
        <w:spacing w:after="0" w:line="172"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gross profit margin in 2013 compared to 2012 remained flat as the slight improvement in our staffing/interim gross profit margin was offset by the decline in our permanent recruitment business. Our staffing/interim gross profit margin improvement in 2013 was largely due to payroll tax credits related to the Credit d’Impôt pour la Compétitivité et l’Emploi (“CICE”) in France, with additional improvement from strong price discipline in the United States. These gains were largely offset by margin declines that we experienced in certain European and APME countries and territories due to continued pricing pressures. For additional information on the CICE payroll tax credit, see the Employment-Related Items section of Management’s Discussion and Analysis.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recorded $89.4 million of restructuring charges in 2013 as we further simplified our organization and recalibrated our cost base, a continuation of the simplification and cost recalibration plan we began in the fourth quarter of 2012 that impacted all of our segments as well as our corporate functions. Selling and administrative expenses decreased 5.7% in constant currency in the year, or 7% excluding the restructuring charges in each year, as we are seeing the benefits of</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27</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these simplification and cost recalibration actions. Typically a slowdown in revenues like we saw in 2013 impacts our operating profit unfavorably, as we generally experience a deleveraging of our selling and administrative expense base as expenses may not change at the same pace as revenues. However, due to our simplification and recalibration actions, we were able to decrease our selling and administrative expenses at a faster pace than the decrease in revenues, which enabled us to better leverage our expenses and favorably impact our operating profit for 2013.</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executed the simplification and cost recalibration plan in the fourth quarter of 2012 on the premise that we were entering into a continued period of soft economic conditions with a sluggish recovery. The goal of our plan was to simplify our organization by creating the right agility and speed, and focuses around four different areas: organization, programs, technology, and delivery. We achieved a reduction in selling and administrative expenses of $152 million in 2013, and expect to realize an additional reduction of $40 million in selling and administrative expenses in 2014 as a result of this plan. The plan focused on recalibration of our costs and thus, we do not expect the cost savings specific to this plan to return as our revenue volumes increase. The primary elements of the simplification and cost recalibration plan were implemented in 2013 and we will continue to evolve and enhance our delivery channels.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CONSOLIDATED RESULTS — 2013 COMPARED TO 2012</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The following table presents selected consolidated financial data for 2013 as compared to 2012.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tcPr>
          <w:p>
            <w:pPr>
              <w:jc w:val="right"/>
              <w:ind w:right="239"/>
              <w:spacing w:after="0"/>
              <w:rPr>
                <w:sz w:val="20"/>
                <w:szCs w:val="20"/>
                <w:color w:val="auto"/>
              </w:rPr>
            </w:pPr>
            <w:r>
              <w:rPr>
                <w:rFonts w:ascii="Arial" w:cs="Arial" w:eastAsia="Arial" w:hAnsi="Arial"/>
                <w:sz w:val="14"/>
                <w:szCs w:val="14"/>
                <w:color w:val="76AD9A"/>
              </w:rPr>
              <w:t>Variance in</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76AD9A"/>
              </w:rPr>
              <w:t>Variance in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jc w:val="right"/>
              <w:ind w:right="336"/>
              <w:spacing w:after="0" w:line="151" w:lineRule="exact"/>
              <w:rPr>
                <w:sz w:val="20"/>
                <w:szCs w:val="20"/>
                <w:color w:val="auto"/>
              </w:rPr>
            </w:pPr>
            <w:r>
              <w:rPr>
                <w:rFonts w:ascii="Arial" w:cs="Arial" w:eastAsia="Arial" w:hAnsi="Arial"/>
                <w:sz w:val="14"/>
                <w:szCs w:val="14"/>
                <w:color w:val="76AD9A"/>
              </w:rPr>
              <w:t>Reported</w:t>
            </w:r>
          </w:p>
        </w:tc>
        <w:tc>
          <w:tcPr>
            <w:tcW w:w="1200" w:type="dxa"/>
            <w:vAlign w:val="bottom"/>
          </w:tcPr>
          <w:p>
            <w:pPr>
              <w:jc w:val="right"/>
              <w:ind w:right="239"/>
              <w:spacing w:after="0" w:line="151" w:lineRule="exact"/>
              <w:rPr>
                <w:sz w:val="20"/>
                <w:szCs w:val="20"/>
                <w:color w:val="auto"/>
              </w:rPr>
            </w:pPr>
            <w:r>
              <w:rPr>
                <w:rFonts w:ascii="Arial" w:cs="Arial" w:eastAsia="Arial" w:hAnsi="Arial"/>
                <w:sz w:val="14"/>
                <w:szCs w:val="14"/>
                <w:color w:val="76AD9A"/>
              </w:rPr>
              <w:t>Constant</w:t>
            </w:r>
          </w:p>
        </w:tc>
        <w:tc>
          <w:tcPr>
            <w:tcW w:w="140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76AD9A"/>
              </w:rPr>
              <w:t>Organic Constant</w:t>
            </w:r>
          </w:p>
        </w:tc>
        <w:tc>
          <w:tcPr>
            <w:tcW w:w="0" w:type="dxa"/>
            <w:vAlign w:val="bottom"/>
          </w:tcPr>
          <w:p>
            <w:pPr>
              <w:spacing w:after="0"/>
              <w:rPr>
                <w:sz w:val="1"/>
                <w:szCs w:val="1"/>
                <w:color w:val="auto"/>
              </w:rPr>
            </w:pPr>
          </w:p>
        </w:tc>
      </w:tr>
      <w:tr>
        <w:trPr>
          <w:trHeight w:val="168"/>
        </w:trPr>
        <w:tc>
          <w:tcPr>
            <w:tcW w:w="4620" w:type="dxa"/>
            <w:vAlign w:val="bottom"/>
            <w:gridSpan w:val="2"/>
          </w:tcPr>
          <w:p>
            <w:pPr>
              <w:spacing w:after="0"/>
              <w:rPr>
                <w:sz w:val="20"/>
                <w:szCs w:val="20"/>
                <w:color w:val="auto"/>
              </w:rPr>
            </w:pPr>
            <w:r>
              <w:rPr>
                <w:rFonts w:ascii="Arial" w:cs="Arial" w:eastAsia="Arial" w:hAnsi="Arial"/>
                <w:sz w:val="14"/>
                <w:szCs w:val="14"/>
                <w:color w:val="76AD9A"/>
              </w:rPr>
              <w:t>(in millions, except per share data)</w:t>
            </w:r>
          </w:p>
        </w:tc>
        <w:tc>
          <w:tcPr>
            <w:tcW w:w="220" w:type="dxa"/>
            <w:vAlign w:val="bottom"/>
            <w:shd w:val="clear" w:color="auto" w:fill="76AD9A"/>
          </w:tcPr>
          <w:p>
            <w:pPr>
              <w:spacing w:after="0"/>
              <w:rPr>
                <w:sz w:val="14"/>
                <w:szCs w:val="14"/>
                <w:color w:val="auto"/>
              </w:rPr>
            </w:pPr>
          </w:p>
        </w:tc>
        <w:tc>
          <w:tcPr>
            <w:tcW w:w="1100" w:type="dxa"/>
            <w:vAlign w:val="bottom"/>
            <w:shd w:val="clear" w:color="auto" w:fill="76AD9A"/>
          </w:tcPr>
          <w:p>
            <w:pPr>
              <w:jc w:val="right"/>
              <w:ind w:right="115"/>
              <w:spacing w:after="0"/>
              <w:rPr>
                <w:sz w:val="20"/>
                <w:szCs w:val="20"/>
                <w:color w:val="auto"/>
              </w:rPr>
            </w:pPr>
            <w:r>
              <w:rPr>
                <w:rFonts w:ascii="Arial" w:cs="Arial" w:eastAsia="Arial" w:hAnsi="Arial"/>
                <w:sz w:val="14"/>
                <w:szCs w:val="14"/>
                <w:color w:val="FFFFFF"/>
              </w:rPr>
              <w:t>2013</w:t>
            </w:r>
          </w:p>
        </w:tc>
        <w:tc>
          <w:tcPr>
            <w:tcW w:w="420" w:type="dxa"/>
            <w:vAlign w:val="bottom"/>
            <w:tcBorders>
              <w:left w:val="single" w:sz="8" w:color="76AD9A"/>
            </w:tcBorders>
          </w:tcPr>
          <w:p>
            <w:pPr>
              <w:spacing w:after="0"/>
              <w:rPr>
                <w:sz w:val="14"/>
                <w:szCs w:val="14"/>
                <w:color w:val="auto"/>
              </w:rPr>
            </w:pPr>
          </w:p>
        </w:tc>
        <w:tc>
          <w:tcPr>
            <w:tcW w:w="1200" w:type="dxa"/>
            <w:vAlign w:val="bottom"/>
          </w:tcPr>
          <w:p>
            <w:pPr>
              <w:jc w:val="right"/>
              <w:ind w:right="315"/>
              <w:spacing w:after="0"/>
              <w:rPr>
                <w:sz w:val="20"/>
                <w:szCs w:val="20"/>
                <w:color w:val="auto"/>
              </w:rPr>
            </w:pPr>
            <w:r>
              <w:rPr>
                <w:rFonts w:ascii="Arial" w:cs="Arial" w:eastAsia="Arial" w:hAnsi="Arial"/>
                <w:sz w:val="14"/>
                <w:szCs w:val="14"/>
                <w:color w:val="76AD9A"/>
              </w:rPr>
              <w:t>2012</w:t>
            </w:r>
          </w:p>
        </w:tc>
        <w:tc>
          <w:tcPr>
            <w:tcW w:w="1260" w:type="dxa"/>
            <w:vAlign w:val="bottom"/>
          </w:tcPr>
          <w:p>
            <w:pPr>
              <w:jc w:val="right"/>
              <w:ind w:right="336"/>
              <w:spacing w:after="0"/>
              <w:rPr>
                <w:sz w:val="20"/>
                <w:szCs w:val="20"/>
                <w:color w:val="auto"/>
              </w:rPr>
            </w:pPr>
            <w:r>
              <w:rPr>
                <w:rFonts w:ascii="Arial" w:cs="Arial" w:eastAsia="Arial" w:hAnsi="Arial"/>
                <w:sz w:val="14"/>
                <w:szCs w:val="14"/>
                <w:color w:val="76AD9A"/>
              </w:rPr>
              <w:t>Variance</w:t>
            </w:r>
          </w:p>
        </w:tc>
        <w:tc>
          <w:tcPr>
            <w:tcW w:w="1200" w:type="dxa"/>
            <w:vAlign w:val="bottom"/>
          </w:tcPr>
          <w:p>
            <w:pPr>
              <w:jc w:val="right"/>
              <w:ind w:right="239"/>
              <w:spacing w:after="0"/>
              <w:rPr>
                <w:sz w:val="20"/>
                <w:szCs w:val="20"/>
                <w:color w:val="auto"/>
              </w:rPr>
            </w:pPr>
            <w:r>
              <w:rPr>
                <w:rFonts w:ascii="Arial" w:cs="Arial" w:eastAsia="Arial" w:hAnsi="Arial"/>
                <w:sz w:val="14"/>
                <w:szCs w:val="14"/>
                <w:color w:val="76AD9A"/>
              </w:rPr>
              <w:t>Currency</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76AD9A"/>
              </w:rPr>
              <w:t>Currency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76AD9A"/>
          </w:tcPr>
          <w:p>
            <w:pPr>
              <w:spacing w:after="0" w:line="20" w:lineRule="exact"/>
              <w:rPr>
                <w:sz w:val="1"/>
                <w:szCs w:val="1"/>
                <w:color w:val="auto"/>
              </w:rPr>
            </w:pPr>
          </w:p>
        </w:tc>
        <w:tc>
          <w:tcPr>
            <w:tcW w:w="220" w:type="dxa"/>
            <w:vAlign w:val="bottom"/>
            <w:shd w:val="clear" w:color="auto" w:fill="76AD9A"/>
          </w:tcPr>
          <w:p>
            <w:pPr>
              <w:spacing w:after="0" w:line="20" w:lineRule="exact"/>
              <w:rPr>
                <w:sz w:val="1"/>
                <w:szCs w:val="1"/>
                <w:color w:val="auto"/>
              </w:rPr>
            </w:pPr>
          </w:p>
        </w:tc>
        <w:tc>
          <w:tcPr>
            <w:tcW w:w="1100" w:type="dxa"/>
            <w:vAlign w:val="bottom"/>
            <w:shd w:val="clear" w:color="auto" w:fill="76AD9A"/>
          </w:tcPr>
          <w:p>
            <w:pPr>
              <w:spacing w:after="0" w:line="20" w:lineRule="exact"/>
              <w:rPr>
                <w:sz w:val="1"/>
                <w:szCs w:val="1"/>
                <w:color w:val="auto"/>
              </w:rPr>
            </w:pPr>
          </w:p>
        </w:tc>
        <w:tc>
          <w:tcPr>
            <w:tcW w:w="420" w:type="dxa"/>
            <w:vAlign w:val="bottom"/>
            <w:tcBorders>
              <w:left w:val="single" w:sz="8" w:color="76AD9A"/>
            </w:tcBorders>
            <w:shd w:val="clear" w:color="auto" w:fill="76AD9A"/>
          </w:tcPr>
          <w:p>
            <w:pPr>
              <w:spacing w:after="0" w:line="20" w:lineRule="exact"/>
              <w:rPr>
                <w:sz w:val="1"/>
                <w:szCs w:val="1"/>
                <w:color w:val="auto"/>
              </w:rPr>
            </w:pPr>
          </w:p>
        </w:tc>
        <w:tc>
          <w:tcPr>
            <w:tcW w:w="1200" w:type="dxa"/>
            <w:vAlign w:val="bottom"/>
            <w:shd w:val="clear" w:color="auto" w:fill="76AD9A"/>
          </w:tcPr>
          <w:p>
            <w:pPr>
              <w:spacing w:after="0" w:line="20" w:lineRule="exact"/>
              <w:rPr>
                <w:sz w:val="1"/>
                <w:szCs w:val="1"/>
                <w:color w:val="auto"/>
              </w:rPr>
            </w:pPr>
          </w:p>
        </w:tc>
        <w:tc>
          <w:tcPr>
            <w:tcW w:w="1260" w:type="dxa"/>
            <w:vAlign w:val="bottom"/>
            <w:shd w:val="clear" w:color="auto" w:fill="76AD9A"/>
          </w:tcPr>
          <w:p>
            <w:pPr>
              <w:spacing w:after="0" w:line="20" w:lineRule="exact"/>
              <w:rPr>
                <w:sz w:val="1"/>
                <w:szCs w:val="1"/>
                <w:color w:val="auto"/>
              </w:rPr>
            </w:pPr>
          </w:p>
        </w:tc>
        <w:tc>
          <w:tcPr>
            <w:tcW w:w="1200" w:type="dxa"/>
            <w:vAlign w:val="bottom"/>
            <w:shd w:val="clear" w:color="auto" w:fill="76AD9A"/>
          </w:tcPr>
          <w:p>
            <w:pPr>
              <w:spacing w:after="0" w:line="20" w:lineRule="exact"/>
              <w:rPr>
                <w:sz w:val="1"/>
                <w:szCs w:val="1"/>
                <w:color w:val="auto"/>
              </w:rPr>
            </w:pPr>
          </w:p>
        </w:tc>
        <w:tc>
          <w:tcPr>
            <w:tcW w:w="1180" w:type="dxa"/>
            <w:vAlign w:val="bottom"/>
            <w:shd w:val="clear" w:color="auto" w:fill="76AD9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00" w:type="dxa"/>
            <w:vAlign w:val="bottom"/>
          </w:tcPr>
          <w:p>
            <w:pPr>
              <w:spacing w:after="0" w:line="186" w:lineRule="exact"/>
              <w:rPr>
                <w:sz w:val="20"/>
                <w:szCs w:val="20"/>
                <w:color w:val="auto"/>
              </w:rPr>
            </w:pPr>
            <w:r>
              <w:rPr>
                <w:rFonts w:ascii="Arial" w:cs="Arial" w:eastAsia="Arial" w:hAnsi="Arial"/>
                <w:sz w:val="17"/>
                <w:szCs w:val="17"/>
                <w:color w:val="373535"/>
              </w:rPr>
              <w:t>Revenues from services</w:t>
            </w: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00" w:type="dxa"/>
            <w:vAlign w:val="bottom"/>
            <w:shd w:val="clear" w:color="auto" w:fill="EEF5F2"/>
          </w:tcPr>
          <w:p>
            <w:pPr>
              <w:jc w:val="right"/>
              <w:ind w:right="115"/>
              <w:spacing w:after="0" w:line="186" w:lineRule="exact"/>
              <w:rPr>
                <w:sz w:val="20"/>
                <w:szCs w:val="20"/>
                <w:color w:val="auto"/>
              </w:rPr>
            </w:pPr>
            <w:r>
              <w:rPr>
                <w:rFonts w:ascii="Arial" w:cs="Arial" w:eastAsia="Arial" w:hAnsi="Arial"/>
                <w:sz w:val="17"/>
                <w:szCs w:val="17"/>
                <w:color w:val="76AD9A"/>
              </w:rPr>
              <w:t>20,250.5</w:t>
            </w:r>
          </w:p>
        </w:tc>
        <w:tc>
          <w:tcPr>
            <w:tcW w:w="420" w:type="dxa"/>
            <w:vAlign w:val="bottom"/>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200" w:type="dxa"/>
            <w:vAlign w:val="bottom"/>
          </w:tcPr>
          <w:p>
            <w:pPr>
              <w:jc w:val="right"/>
              <w:ind w:right="315"/>
              <w:spacing w:after="0" w:line="186" w:lineRule="exact"/>
              <w:rPr>
                <w:sz w:val="20"/>
                <w:szCs w:val="20"/>
                <w:color w:val="auto"/>
              </w:rPr>
            </w:pPr>
            <w:r>
              <w:rPr>
                <w:rFonts w:ascii="Arial" w:cs="Arial" w:eastAsia="Arial" w:hAnsi="Arial"/>
                <w:sz w:val="17"/>
                <w:szCs w:val="17"/>
                <w:color w:val="373535"/>
              </w:rPr>
              <w:t>20,678.0</w:t>
            </w:r>
          </w:p>
        </w:tc>
        <w:tc>
          <w:tcPr>
            <w:tcW w:w="1260" w:type="dxa"/>
            <w:vAlign w:val="bottom"/>
          </w:tcPr>
          <w:p>
            <w:pPr>
              <w:jc w:val="right"/>
              <w:ind w:right="136"/>
              <w:spacing w:after="0" w:line="186" w:lineRule="exact"/>
              <w:rPr>
                <w:sz w:val="20"/>
                <w:szCs w:val="20"/>
                <w:color w:val="auto"/>
              </w:rPr>
            </w:pPr>
            <w:r>
              <w:rPr>
                <w:rFonts w:ascii="Arial" w:cs="Arial" w:eastAsia="Arial" w:hAnsi="Arial"/>
                <w:sz w:val="17"/>
                <w:szCs w:val="17"/>
                <w:color w:val="373535"/>
              </w:rPr>
              <w:t>(2.1)%</w:t>
            </w:r>
          </w:p>
        </w:tc>
        <w:tc>
          <w:tcPr>
            <w:tcW w:w="1200" w:type="dxa"/>
            <w:vAlign w:val="bottom"/>
          </w:tcPr>
          <w:p>
            <w:pPr>
              <w:jc w:val="right"/>
              <w:ind w:right="19"/>
              <w:spacing w:after="0" w:line="186" w:lineRule="exact"/>
              <w:rPr>
                <w:sz w:val="20"/>
                <w:szCs w:val="20"/>
                <w:color w:val="auto"/>
              </w:rPr>
            </w:pPr>
            <w:r>
              <w:rPr>
                <w:rFonts w:ascii="Arial" w:cs="Arial" w:eastAsia="Arial" w:hAnsi="Arial"/>
                <w:sz w:val="17"/>
                <w:szCs w:val="17"/>
                <w:color w:val="373535"/>
              </w:rPr>
              <w:t>(2.1)%</w:t>
            </w:r>
          </w:p>
        </w:tc>
        <w:tc>
          <w:tcPr>
            <w:tcW w:w="1400" w:type="dxa"/>
            <w:vAlign w:val="bottom"/>
            <w:gridSpan w:val="2"/>
          </w:tcPr>
          <w:p>
            <w:pPr>
              <w:jc w:val="right"/>
              <w:spacing w:after="0" w:line="186" w:lineRule="exact"/>
              <w:rPr>
                <w:sz w:val="20"/>
                <w:szCs w:val="20"/>
                <w:color w:val="auto"/>
              </w:rPr>
            </w:pPr>
            <w:r>
              <w:rPr>
                <w:rFonts w:ascii="Arial" w:cs="Arial" w:eastAsia="Arial" w:hAnsi="Arial"/>
                <w:sz w:val="17"/>
                <w:szCs w:val="17"/>
                <w:color w:val="373535"/>
              </w:rPr>
              <w:t>(2.4)%</w:t>
            </w:r>
          </w:p>
        </w:tc>
        <w:tc>
          <w:tcPr>
            <w:tcW w:w="0" w:type="dxa"/>
            <w:vAlign w:val="bottom"/>
          </w:tcPr>
          <w:p>
            <w:pPr>
              <w:spacing w:after="0"/>
              <w:rPr>
                <w:sz w:val="1"/>
                <w:szCs w:val="1"/>
                <w:color w:val="auto"/>
              </w:rPr>
            </w:pPr>
          </w:p>
        </w:tc>
      </w:tr>
      <w:tr>
        <w:trPr>
          <w:trHeight w:val="206"/>
        </w:trPr>
        <w:tc>
          <w:tcPr>
            <w:tcW w:w="4620" w:type="dxa"/>
            <w:vAlign w:val="bottom"/>
            <w:gridSpan w:val="2"/>
          </w:tcPr>
          <w:p>
            <w:pPr>
              <w:spacing w:after="0"/>
              <w:rPr>
                <w:sz w:val="20"/>
                <w:szCs w:val="20"/>
                <w:color w:val="auto"/>
              </w:rPr>
            </w:pPr>
            <w:r>
              <w:rPr>
                <w:rFonts w:ascii="Arial" w:cs="Arial" w:eastAsia="Arial" w:hAnsi="Arial"/>
                <w:sz w:val="17"/>
                <w:szCs w:val="17"/>
                <w:color w:val="373535"/>
              </w:rPr>
              <w:t>Cost of services</w:t>
            </w:r>
          </w:p>
        </w:tc>
        <w:tc>
          <w:tcPr>
            <w:tcW w:w="220" w:type="dxa"/>
            <w:vAlign w:val="bottom"/>
            <w:shd w:val="clear" w:color="auto" w:fill="EEF5F2"/>
          </w:tcPr>
          <w:p>
            <w:pPr>
              <w:spacing w:after="0"/>
              <w:rPr>
                <w:sz w:val="17"/>
                <w:szCs w:val="17"/>
                <w:color w:val="auto"/>
              </w:rPr>
            </w:pPr>
          </w:p>
        </w:tc>
        <w:tc>
          <w:tcPr>
            <w:tcW w:w="1100" w:type="dxa"/>
            <w:vAlign w:val="bottom"/>
            <w:shd w:val="clear" w:color="auto" w:fill="EEF5F2"/>
          </w:tcPr>
          <w:p>
            <w:pPr>
              <w:jc w:val="right"/>
              <w:ind w:right="115"/>
              <w:spacing w:after="0"/>
              <w:rPr>
                <w:sz w:val="20"/>
                <w:szCs w:val="20"/>
                <w:color w:val="auto"/>
              </w:rPr>
            </w:pPr>
            <w:r>
              <w:rPr>
                <w:rFonts w:ascii="Arial" w:cs="Arial" w:eastAsia="Arial" w:hAnsi="Arial"/>
                <w:sz w:val="17"/>
                <w:szCs w:val="17"/>
                <w:color w:val="76AD9A"/>
              </w:rPr>
              <w:t>16,883.8</w:t>
            </w:r>
          </w:p>
        </w:tc>
        <w:tc>
          <w:tcPr>
            <w:tcW w:w="420" w:type="dxa"/>
            <w:vAlign w:val="bottom"/>
          </w:tcPr>
          <w:p>
            <w:pPr>
              <w:spacing w:after="0"/>
              <w:rPr>
                <w:sz w:val="17"/>
                <w:szCs w:val="17"/>
                <w:color w:val="auto"/>
              </w:rPr>
            </w:pPr>
          </w:p>
        </w:tc>
        <w:tc>
          <w:tcPr>
            <w:tcW w:w="1200" w:type="dxa"/>
            <w:vAlign w:val="bottom"/>
          </w:tcPr>
          <w:p>
            <w:pPr>
              <w:jc w:val="right"/>
              <w:ind w:right="315"/>
              <w:spacing w:after="0"/>
              <w:rPr>
                <w:sz w:val="20"/>
                <w:szCs w:val="20"/>
                <w:color w:val="auto"/>
              </w:rPr>
            </w:pPr>
            <w:r>
              <w:rPr>
                <w:rFonts w:ascii="Arial" w:cs="Arial" w:eastAsia="Arial" w:hAnsi="Arial"/>
                <w:sz w:val="17"/>
                <w:szCs w:val="17"/>
                <w:color w:val="373535"/>
              </w:rPr>
              <w:t>17,236.0</w:t>
            </w:r>
          </w:p>
        </w:tc>
        <w:tc>
          <w:tcPr>
            <w:tcW w:w="1260" w:type="dxa"/>
            <w:vAlign w:val="bottom"/>
          </w:tcPr>
          <w:p>
            <w:pPr>
              <w:jc w:val="right"/>
              <w:ind w:right="296"/>
              <w:spacing w:after="0"/>
              <w:rPr>
                <w:sz w:val="20"/>
                <w:szCs w:val="20"/>
                <w:color w:val="auto"/>
              </w:rPr>
            </w:pPr>
            <w:r>
              <w:rPr>
                <w:rFonts w:ascii="Arial" w:cs="Arial" w:eastAsia="Arial" w:hAnsi="Arial"/>
                <w:sz w:val="17"/>
                <w:szCs w:val="17"/>
                <w:color w:val="373535"/>
              </w:rPr>
              <w:t>(2.0)</w:t>
            </w:r>
          </w:p>
        </w:tc>
        <w:tc>
          <w:tcPr>
            <w:tcW w:w="1200" w:type="dxa"/>
            <w:vAlign w:val="bottom"/>
          </w:tcPr>
          <w:p>
            <w:pPr>
              <w:jc w:val="right"/>
              <w:ind w:right="179"/>
              <w:spacing w:after="0"/>
              <w:rPr>
                <w:sz w:val="20"/>
                <w:szCs w:val="20"/>
                <w:color w:val="auto"/>
              </w:rPr>
            </w:pPr>
            <w:r>
              <w:rPr>
                <w:rFonts w:ascii="Arial" w:cs="Arial" w:eastAsia="Arial" w:hAnsi="Arial"/>
                <w:sz w:val="17"/>
                <w:szCs w:val="17"/>
                <w:color w:val="373535"/>
              </w:rPr>
              <w:t>(2.0)</w:t>
            </w: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0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00" w:type="dxa"/>
            <w:vAlign w:val="bottom"/>
            <w:shd w:val="clear" w:color="auto" w:fill="717073"/>
          </w:tcPr>
          <w:p>
            <w:pPr>
              <w:spacing w:after="0" w:line="20" w:lineRule="exact"/>
              <w:rPr>
                <w:sz w:val="1"/>
                <w:szCs w:val="1"/>
                <w:color w:val="auto"/>
              </w:rPr>
            </w:pPr>
          </w:p>
        </w:tc>
        <w:tc>
          <w:tcPr>
            <w:tcW w:w="420" w:type="dxa"/>
            <w:vAlign w:val="bottom"/>
            <w:tcBorders>
              <w:left w:val="single" w:sz="8" w:color="717073"/>
            </w:tcBorders>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2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18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600" w:type="dxa"/>
            <w:vAlign w:val="bottom"/>
          </w:tcPr>
          <w:p>
            <w:pPr>
              <w:spacing w:after="0" w:line="167" w:lineRule="exact"/>
              <w:rPr>
                <w:sz w:val="20"/>
                <w:szCs w:val="20"/>
                <w:color w:val="auto"/>
              </w:rPr>
            </w:pPr>
            <w:r>
              <w:rPr>
                <w:rFonts w:ascii="Arial" w:cs="Arial" w:eastAsia="Arial" w:hAnsi="Arial"/>
                <w:sz w:val="17"/>
                <w:szCs w:val="17"/>
                <w:color w:val="373535"/>
              </w:rPr>
              <w:t>Gross profit</w:t>
            </w:r>
          </w:p>
        </w:tc>
        <w:tc>
          <w:tcPr>
            <w:tcW w:w="220" w:type="dxa"/>
            <w:vAlign w:val="bottom"/>
            <w:shd w:val="clear" w:color="auto" w:fill="EEF5F2"/>
          </w:tcPr>
          <w:p>
            <w:pPr>
              <w:spacing w:after="0"/>
              <w:rPr>
                <w:sz w:val="14"/>
                <w:szCs w:val="14"/>
                <w:color w:val="auto"/>
              </w:rPr>
            </w:pPr>
          </w:p>
        </w:tc>
        <w:tc>
          <w:tcPr>
            <w:tcW w:w="1100" w:type="dxa"/>
            <w:vAlign w:val="bottom"/>
          </w:tcPr>
          <w:p>
            <w:pPr>
              <w:jc w:val="right"/>
              <w:ind w:right="115"/>
              <w:spacing w:after="0" w:line="167" w:lineRule="exact"/>
              <w:rPr>
                <w:sz w:val="20"/>
                <w:szCs w:val="20"/>
                <w:color w:val="auto"/>
              </w:rPr>
            </w:pPr>
            <w:r>
              <w:rPr>
                <w:rFonts w:ascii="Arial" w:cs="Arial" w:eastAsia="Arial" w:hAnsi="Arial"/>
                <w:sz w:val="17"/>
                <w:szCs w:val="17"/>
                <w:color w:val="76AD9A"/>
              </w:rPr>
              <w:t>3,366.7</w:t>
            </w:r>
          </w:p>
        </w:tc>
        <w:tc>
          <w:tcPr>
            <w:tcW w:w="420" w:type="dxa"/>
            <w:vAlign w:val="bottom"/>
          </w:tcPr>
          <w:p>
            <w:pPr>
              <w:spacing w:after="0"/>
              <w:rPr>
                <w:sz w:val="14"/>
                <w:szCs w:val="14"/>
                <w:color w:val="auto"/>
              </w:rPr>
            </w:pPr>
          </w:p>
        </w:tc>
        <w:tc>
          <w:tcPr>
            <w:tcW w:w="1200" w:type="dxa"/>
            <w:vAlign w:val="bottom"/>
          </w:tcPr>
          <w:p>
            <w:pPr>
              <w:jc w:val="right"/>
              <w:ind w:right="315"/>
              <w:spacing w:after="0" w:line="167" w:lineRule="exact"/>
              <w:rPr>
                <w:sz w:val="20"/>
                <w:szCs w:val="20"/>
                <w:color w:val="auto"/>
              </w:rPr>
            </w:pPr>
            <w:r>
              <w:rPr>
                <w:rFonts w:ascii="Arial" w:cs="Arial" w:eastAsia="Arial" w:hAnsi="Arial"/>
                <w:sz w:val="17"/>
                <w:szCs w:val="17"/>
                <w:color w:val="373535"/>
              </w:rPr>
              <w:t>3,442.0</w:t>
            </w:r>
          </w:p>
        </w:tc>
        <w:tc>
          <w:tcPr>
            <w:tcW w:w="1260" w:type="dxa"/>
            <w:vAlign w:val="bottom"/>
          </w:tcPr>
          <w:p>
            <w:pPr>
              <w:jc w:val="right"/>
              <w:ind w:right="296"/>
              <w:spacing w:after="0" w:line="167" w:lineRule="exact"/>
              <w:rPr>
                <w:sz w:val="20"/>
                <w:szCs w:val="20"/>
                <w:color w:val="auto"/>
              </w:rPr>
            </w:pPr>
            <w:r>
              <w:rPr>
                <w:rFonts w:ascii="Arial" w:cs="Arial" w:eastAsia="Arial" w:hAnsi="Arial"/>
                <w:sz w:val="17"/>
                <w:szCs w:val="17"/>
                <w:color w:val="373535"/>
              </w:rPr>
              <w:t>(2.2)</w:t>
            </w:r>
          </w:p>
        </w:tc>
        <w:tc>
          <w:tcPr>
            <w:tcW w:w="1200" w:type="dxa"/>
            <w:vAlign w:val="bottom"/>
          </w:tcPr>
          <w:p>
            <w:pPr>
              <w:jc w:val="right"/>
              <w:ind w:right="179"/>
              <w:spacing w:after="0" w:line="167" w:lineRule="exact"/>
              <w:rPr>
                <w:sz w:val="20"/>
                <w:szCs w:val="20"/>
                <w:color w:val="auto"/>
              </w:rPr>
            </w:pPr>
            <w:r>
              <w:rPr>
                <w:rFonts w:ascii="Arial" w:cs="Arial" w:eastAsia="Arial" w:hAnsi="Arial"/>
                <w:sz w:val="17"/>
                <w:szCs w:val="17"/>
                <w:color w:val="373535"/>
              </w:rPr>
              <w:t>(2.1)</w:t>
            </w:r>
          </w:p>
        </w:tc>
        <w:tc>
          <w:tcPr>
            <w:tcW w:w="1400" w:type="dxa"/>
            <w:vAlign w:val="bottom"/>
            <w:gridSpan w:val="2"/>
          </w:tcPr>
          <w:p>
            <w:pPr>
              <w:jc w:val="right"/>
              <w:ind w:right="160"/>
              <w:spacing w:after="0" w:line="167" w:lineRule="exact"/>
              <w:rPr>
                <w:sz w:val="20"/>
                <w:szCs w:val="20"/>
                <w:color w:val="auto"/>
              </w:rPr>
            </w:pPr>
            <w:r>
              <w:rPr>
                <w:rFonts w:ascii="Arial" w:cs="Arial" w:eastAsia="Arial" w:hAnsi="Arial"/>
                <w:sz w:val="17"/>
                <w:szCs w:val="17"/>
                <w:color w:val="373535"/>
              </w:rPr>
              <w:t>(2.4)</w:t>
            </w: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7"/>
                <w:szCs w:val="17"/>
                <w:i w:val="1"/>
                <w:iCs w:val="1"/>
                <w:color w:val="373535"/>
              </w:rPr>
              <w:t>Gross profit margin</w:t>
            </w:r>
          </w:p>
        </w:tc>
        <w:tc>
          <w:tcPr>
            <w:tcW w:w="220" w:type="dxa"/>
            <w:vAlign w:val="bottom"/>
            <w:shd w:val="clear" w:color="auto" w:fill="EEF5F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i w:val="1"/>
                <w:iCs w:val="1"/>
                <w:color w:val="76AD9A"/>
              </w:rPr>
              <w:t>16.6%</w:t>
            </w:r>
          </w:p>
        </w:tc>
        <w:tc>
          <w:tcPr>
            <w:tcW w:w="4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7"/>
                <w:szCs w:val="17"/>
                <w:i w:val="1"/>
                <w:iCs w:val="1"/>
                <w:color w:val="373535"/>
              </w:rPr>
              <w:t>16.6%</w:t>
            </w: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620" w:type="dxa"/>
            <w:vAlign w:val="bottom"/>
            <w:gridSpan w:val="2"/>
          </w:tcPr>
          <w:p>
            <w:pPr>
              <w:spacing w:after="0" w:line="189" w:lineRule="exact"/>
              <w:rPr>
                <w:sz w:val="20"/>
                <w:szCs w:val="20"/>
                <w:color w:val="auto"/>
              </w:rPr>
            </w:pPr>
            <w:r>
              <w:rPr>
                <w:rFonts w:ascii="Arial" w:cs="Arial" w:eastAsia="Arial" w:hAnsi="Arial"/>
                <w:sz w:val="17"/>
                <w:szCs w:val="17"/>
                <w:color w:val="373535"/>
              </w:rPr>
              <w:t>Selling and administrative expenses</w:t>
            </w:r>
          </w:p>
        </w:tc>
        <w:tc>
          <w:tcPr>
            <w:tcW w:w="220" w:type="dxa"/>
            <w:vAlign w:val="bottom"/>
            <w:shd w:val="clear" w:color="auto" w:fill="EEF5F2"/>
          </w:tcPr>
          <w:p>
            <w:pPr>
              <w:spacing w:after="0"/>
              <w:rPr>
                <w:sz w:val="16"/>
                <w:szCs w:val="16"/>
                <w:color w:val="auto"/>
              </w:rPr>
            </w:pPr>
          </w:p>
        </w:tc>
        <w:tc>
          <w:tcPr>
            <w:tcW w:w="1100" w:type="dxa"/>
            <w:vAlign w:val="bottom"/>
          </w:tcPr>
          <w:p>
            <w:pPr>
              <w:jc w:val="right"/>
              <w:ind w:right="115"/>
              <w:spacing w:after="0" w:line="189" w:lineRule="exact"/>
              <w:rPr>
                <w:sz w:val="20"/>
                <w:szCs w:val="20"/>
                <w:color w:val="auto"/>
              </w:rPr>
            </w:pPr>
            <w:r>
              <w:rPr>
                <w:rFonts w:ascii="Arial" w:cs="Arial" w:eastAsia="Arial" w:hAnsi="Arial"/>
                <w:sz w:val="17"/>
                <w:szCs w:val="17"/>
                <w:color w:val="76AD9A"/>
              </w:rPr>
              <w:t>2,854.8</w:t>
            </w:r>
          </w:p>
        </w:tc>
        <w:tc>
          <w:tcPr>
            <w:tcW w:w="420" w:type="dxa"/>
            <w:vAlign w:val="bottom"/>
          </w:tcPr>
          <w:p>
            <w:pPr>
              <w:spacing w:after="0"/>
              <w:rPr>
                <w:sz w:val="16"/>
                <w:szCs w:val="16"/>
                <w:color w:val="auto"/>
              </w:rPr>
            </w:pPr>
          </w:p>
        </w:tc>
        <w:tc>
          <w:tcPr>
            <w:tcW w:w="1200" w:type="dxa"/>
            <w:vAlign w:val="bottom"/>
          </w:tcPr>
          <w:p>
            <w:pPr>
              <w:jc w:val="right"/>
              <w:ind w:right="315"/>
              <w:spacing w:after="0" w:line="189" w:lineRule="exact"/>
              <w:rPr>
                <w:sz w:val="20"/>
                <w:szCs w:val="20"/>
                <w:color w:val="auto"/>
              </w:rPr>
            </w:pPr>
            <w:r>
              <w:rPr>
                <w:rFonts w:ascii="Arial" w:cs="Arial" w:eastAsia="Arial" w:hAnsi="Arial"/>
                <w:sz w:val="17"/>
                <w:szCs w:val="17"/>
                <w:color w:val="373535"/>
              </w:rPr>
              <w:t>3,030.3</w:t>
            </w:r>
          </w:p>
        </w:tc>
        <w:tc>
          <w:tcPr>
            <w:tcW w:w="1260" w:type="dxa"/>
            <w:vAlign w:val="bottom"/>
          </w:tcPr>
          <w:p>
            <w:pPr>
              <w:jc w:val="right"/>
              <w:ind w:right="296"/>
              <w:spacing w:after="0" w:line="189" w:lineRule="exact"/>
              <w:rPr>
                <w:sz w:val="20"/>
                <w:szCs w:val="20"/>
                <w:color w:val="auto"/>
              </w:rPr>
            </w:pPr>
            <w:r>
              <w:rPr>
                <w:rFonts w:ascii="Arial" w:cs="Arial" w:eastAsia="Arial" w:hAnsi="Arial"/>
                <w:sz w:val="17"/>
                <w:szCs w:val="17"/>
                <w:color w:val="373535"/>
              </w:rPr>
              <w:t>(5.8)</w:t>
            </w:r>
          </w:p>
        </w:tc>
        <w:tc>
          <w:tcPr>
            <w:tcW w:w="1200" w:type="dxa"/>
            <w:vAlign w:val="bottom"/>
          </w:tcPr>
          <w:p>
            <w:pPr>
              <w:jc w:val="right"/>
              <w:ind w:right="179"/>
              <w:spacing w:after="0" w:line="189" w:lineRule="exact"/>
              <w:rPr>
                <w:sz w:val="20"/>
                <w:szCs w:val="20"/>
                <w:color w:val="auto"/>
              </w:rPr>
            </w:pPr>
            <w:r>
              <w:rPr>
                <w:rFonts w:ascii="Arial" w:cs="Arial" w:eastAsia="Arial" w:hAnsi="Arial"/>
                <w:sz w:val="17"/>
                <w:szCs w:val="17"/>
                <w:color w:val="373535"/>
              </w:rPr>
              <w:t>(5.7)</w:t>
            </w:r>
          </w:p>
        </w:tc>
        <w:tc>
          <w:tcPr>
            <w:tcW w:w="140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373535"/>
              </w:rPr>
              <w:t>(6.0)</w:t>
            </w:r>
          </w:p>
        </w:tc>
        <w:tc>
          <w:tcPr>
            <w:tcW w:w="0" w:type="dxa"/>
            <w:vAlign w:val="bottom"/>
          </w:tcPr>
          <w:p>
            <w:pPr>
              <w:spacing w:after="0"/>
              <w:rPr>
                <w:sz w:val="1"/>
                <w:szCs w:val="1"/>
                <w:color w:val="auto"/>
              </w:rPr>
            </w:pPr>
          </w:p>
        </w:tc>
      </w:tr>
      <w:tr>
        <w:trPr>
          <w:trHeight w:val="212"/>
        </w:trPr>
        <w:tc>
          <w:tcPr>
            <w:tcW w:w="462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i w:val="1"/>
                <w:iCs w:val="1"/>
                <w:color w:val="373535"/>
              </w:rPr>
              <w:t>Selling and administrative expenses as a % of revenues</w:t>
            </w:r>
          </w:p>
        </w:tc>
        <w:tc>
          <w:tcPr>
            <w:tcW w:w="220" w:type="dxa"/>
            <w:vAlign w:val="bottom"/>
            <w:tcBorders>
              <w:bottom w:val="single" w:sz="8" w:color="717073"/>
            </w:tcBorders>
            <w:shd w:val="clear" w:color="auto" w:fill="EEF5F2"/>
          </w:tcPr>
          <w:p>
            <w:pPr>
              <w:spacing w:after="0"/>
              <w:rPr>
                <w:sz w:val="18"/>
                <w:szCs w:val="18"/>
                <w:color w:val="auto"/>
              </w:rPr>
            </w:pPr>
          </w:p>
        </w:tc>
        <w:tc>
          <w:tcPr>
            <w:tcW w:w="1100" w:type="dxa"/>
            <w:vAlign w:val="bottom"/>
            <w:tcBorders>
              <w:bottom w:val="single" w:sz="8" w:color="717073"/>
            </w:tcBorders>
          </w:tcPr>
          <w:p>
            <w:pPr>
              <w:jc w:val="right"/>
              <w:spacing w:after="0"/>
              <w:rPr>
                <w:sz w:val="20"/>
                <w:szCs w:val="20"/>
                <w:color w:val="auto"/>
              </w:rPr>
            </w:pPr>
            <w:r>
              <w:rPr>
                <w:rFonts w:ascii="Arial" w:cs="Arial" w:eastAsia="Arial" w:hAnsi="Arial"/>
                <w:sz w:val="17"/>
                <w:szCs w:val="17"/>
                <w:i w:val="1"/>
                <w:iCs w:val="1"/>
                <w:color w:val="76AD9A"/>
              </w:rPr>
              <w:t>14.1%</w:t>
            </w:r>
          </w:p>
        </w:tc>
        <w:tc>
          <w:tcPr>
            <w:tcW w:w="420" w:type="dxa"/>
            <w:vAlign w:val="bottom"/>
            <w:tcBorders>
              <w:bottom w:val="single" w:sz="8" w:color="717073"/>
            </w:tcBorders>
          </w:tcPr>
          <w:p>
            <w:pPr>
              <w:spacing w:after="0"/>
              <w:rPr>
                <w:sz w:val="18"/>
                <w:szCs w:val="18"/>
                <w:color w:val="auto"/>
              </w:rPr>
            </w:pPr>
          </w:p>
        </w:tc>
        <w:tc>
          <w:tcPr>
            <w:tcW w:w="1200" w:type="dxa"/>
            <w:vAlign w:val="bottom"/>
            <w:tcBorders>
              <w:bottom w:val="single" w:sz="8" w:color="717073"/>
            </w:tcBorders>
          </w:tcPr>
          <w:p>
            <w:pPr>
              <w:jc w:val="right"/>
              <w:ind w:right="175"/>
              <w:spacing w:after="0"/>
              <w:rPr>
                <w:sz w:val="20"/>
                <w:szCs w:val="20"/>
                <w:color w:val="auto"/>
              </w:rPr>
            </w:pPr>
            <w:r>
              <w:rPr>
                <w:rFonts w:ascii="Arial" w:cs="Arial" w:eastAsia="Arial" w:hAnsi="Arial"/>
                <w:sz w:val="17"/>
                <w:szCs w:val="17"/>
                <w:i w:val="1"/>
                <w:iCs w:val="1"/>
                <w:color w:val="373535"/>
              </w:rPr>
              <w:t>14.7</w:t>
            </w:r>
            <w:r>
              <w:rPr>
                <w:rFonts w:ascii="Arial" w:cs="Arial" w:eastAsia="Arial" w:hAnsi="Arial"/>
                <w:sz w:val="17"/>
                <w:szCs w:val="17"/>
                <w:color w:val="373535"/>
              </w:rPr>
              <w:t>%</w:t>
            </w:r>
          </w:p>
        </w:tc>
        <w:tc>
          <w:tcPr>
            <w:tcW w:w="1260" w:type="dxa"/>
            <w:vAlign w:val="bottom"/>
            <w:tcBorders>
              <w:bottom w:val="single" w:sz="8" w:color="717073"/>
            </w:tcBorders>
          </w:tcPr>
          <w:p>
            <w:pPr>
              <w:spacing w:after="0"/>
              <w:rPr>
                <w:sz w:val="18"/>
                <w:szCs w:val="18"/>
                <w:color w:val="auto"/>
              </w:rPr>
            </w:pPr>
          </w:p>
        </w:tc>
        <w:tc>
          <w:tcPr>
            <w:tcW w:w="1200" w:type="dxa"/>
            <w:vAlign w:val="bottom"/>
            <w:tcBorders>
              <w:bottom w:val="single" w:sz="8" w:color="717073"/>
            </w:tcBorders>
          </w:tcPr>
          <w:p>
            <w:pPr>
              <w:spacing w:after="0"/>
              <w:rPr>
                <w:sz w:val="18"/>
                <w:szCs w:val="18"/>
                <w:color w:val="auto"/>
              </w:rPr>
            </w:pPr>
          </w:p>
        </w:tc>
        <w:tc>
          <w:tcPr>
            <w:tcW w:w="1180" w:type="dxa"/>
            <w:vAlign w:val="bottom"/>
            <w:tcBorders>
              <w:bottom w:val="single" w:sz="8" w:color="717073"/>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20" w:type="dxa"/>
            <w:vAlign w:val="bottom"/>
            <w:gridSpan w:val="2"/>
          </w:tcPr>
          <w:p>
            <w:pPr>
              <w:spacing w:after="0" w:line="167" w:lineRule="exact"/>
              <w:rPr>
                <w:sz w:val="20"/>
                <w:szCs w:val="20"/>
                <w:color w:val="auto"/>
              </w:rPr>
            </w:pPr>
            <w:r>
              <w:rPr>
                <w:rFonts w:ascii="Arial" w:cs="Arial" w:eastAsia="Arial" w:hAnsi="Arial"/>
                <w:sz w:val="17"/>
                <w:szCs w:val="17"/>
                <w:color w:val="373535"/>
              </w:rPr>
              <w:t>Operating profit</w:t>
            </w:r>
          </w:p>
        </w:tc>
        <w:tc>
          <w:tcPr>
            <w:tcW w:w="220" w:type="dxa"/>
            <w:vAlign w:val="bottom"/>
            <w:shd w:val="clear" w:color="auto" w:fill="EEF5F2"/>
          </w:tcPr>
          <w:p>
            <w:pPr>
              <w:spacing w:after="0"/>
              <w:rPr>
                <w:sz w:val="14"/>
                <w:szCs w:val="14"/>
                <w:color w:val="auto"/>
              </w:rPr>
            </w:pPr>
          </w:p>
        </w:tc>
        <w:tc>
          <w:tcPr>
            <w:tcW w:w="1100" w:type="dxa"/>
            <w:vAlign w:val="bottom"/>
          </w:tcPr>
          <w:p>
            <w:pPr>
              <w:jc w:val="right"/>
              <w:ind w:right="115"/>
              <w:spacing w:after="0" w:line="167" w:lineRule="exact"/>
              <w:rPr>
                <w:sz w:val="20"/>
                <w:szCs w:val="20"/>
                <w:color w:val="auto"/>
              </w:rPr>
            </w:pPr>
            <w:r>
              <w:rPr>
                <w:rFonts w:ascii="Arial" w:cs="Arial" w:eastAsia="Arial" w:hAnsi="Arial"/>
                <w:sz w:val="17"/>
                <w:szCs w:val="17"/>
                <w:color w:val="76AD9A"/>
              </w:rPr>
              <w:t>511.9</w:t>
            </w:r>
          </w:p>
        </w:tc>
        <w:tc>
          <w:tcPr>
            <w:tcW w:w="420" w:type="dxa"/>
            <w:vAlign w:val="bottom"/>
          </w:tcPr>
          <w:p>
            <w:pPr>
              <w:spacing w:after="0"/>
              <w:rPr>
                <w:sz w:val="14"/>
                <w:szCs w:val="14"/>
                <w:color w:val="auto"/>
              </w:rPr>
            </w:pPr>
          </w:p>
        </w:tc>
        <w:tc>
          <w:tcPr>
            <w:tcW w:w="1200" w:type="dxa"/>
            <w:vAlign w:val="bottom"/>
          </w:tcPr>
          <w:p>
            <w:pPr>
              <w:jc w:val="right"/>
              <w:ind w:right="315"/>
              <w:spacing w:after="0" w:line="167" w:lineRule="exact"/>
              <w:rPr>
                <w:sz w:val="20"/>
                <w:szCs w:val="20"/>
                <w:color w:val="auto"/>
              </w:rPr>
            </w:pPr>
            <w:r>
              <w:rPr>
                <w:rFonts w:ascii="Arial" w:cs="Arial" w:eastAsia="Arial" w:hAnsi="Arial"/>
                <w:sz w:val="17"/>
                <w:szCs w:val="17"/>
                <w:color w:val="373535"/>
              </w:rPr>
              <w:t>411.7</w:t>
            </w:r>
          </w:p>
        </w:tc>
        <w:tc>
          <w:tcPr>
            <w:tcW w:w="1260" w:type="dxa"/>
            <w:vAlign w:val="bottom"/>
          </w:tcPr>
          <w:p>
            <w:pPr>
              <w:jc w:val="right"/>
              <w:ind w:right="336"/>
              <w:spacing w:after="0" w:line="167" w:lineRule="exact"/>
              <w:rPr>
                <w:sz w:val="20"/>
                <w:szCs w:val="20"/>
                <w:color w:val="auto"/>
              </w:rPr>
            </w:pPr>
            <w:r>
              <w:rPr>
                <w:rFonts w:ascii="Arial" w:cs="Arial" w:eastAsia="Arial" w:hAnsi="Arial"/>
                <w:sz w:val="17"/>
                <w:szCs w:val="17"/>
                <w:color w:val="373535"/>
              </w:rPr>
              <w:t>24.3</w:t>
            </w:r>
          </w:p>
        </w:tc>
        <w:tc>
          <w:tcPr>
            <w:tcW w:w="1200" w:type="dxa"/>
            <w:vAlign w:val="bottom"/>
          </w:tcPr>
          <w:p>
            <w:pPr>
              <w:jc w:val="right"/>
              <w:ind w:right="239"/>
              <w:spacing w:after="0" w:line="167" w:lineRule="exact"/>
              <w:rPr>
                <w:sz w:val="20"/>
                <w:szCs w:val="20"/>
                <w:color w:val="auto"/>
              </w:rPr>
            </w:pPr>
            <w:r>
              <w:rPr>
                <w:rFonts w:ascii="Arial" w:cs="Arial" w:eastAsia="Arial" w:hAnsi="Arial"/>
                <w:sz w:val="17"/>
                <w:szCs w:val="17"/>
                <w:color w:val="373535"/>
              </w:rPr>
              <w:t>24.3</w:t>
            </w:r>
          </w:p>
        </w:tc>
        <w:tc>
          <w:tcPr>
            <w:tcW w:w="1180" w:type="dxa"/>
            <w:vAlign w:val="bottom"/>
          </w:tcPr>
          <w:p>
            <w:pPr>
              <w:jc w:val="right"/>
              <w:spacing w:after="0" w:line="167" w:lineRule="exact"/>
              <w:rPr>
                <w:sz w:val="20"/>
                <w:szCs w:val="20"/>
                <w:color w:val="auto"/>
              </w:rPr>
            </w:pPr>
            <w:r>
              <w:rPr>
                <w:rFonts w:ascii="Arial" w:cs="Arial" w:eastAsia="Arial" w:hAnsi="Arial"/>
                <w:sz w:val="17"/>
                <w:szCs w:val="17"/>
                <w:color w:val="373535"/>
              </w:rPr>
              <w:t>23.8</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620" w:type="dxa"/>
            <w:vAlign w:val="bottom"/>
            <w:gridSpan w:val="2"/>
          </w:tcPr>
          <w:p>
            <w:pPr>
              <w:spacing w:after="0"/>
              <w:rPr>
                <w:sz w:val="20"/>
                <w:szCs w:val="20"/>
                <w:color w:val="auto"/>
              </w:rPr>
            </w:pPr>
            <w:r>
              <w:rPr>
                <w:rFonts w:ascii="Arial" w:cs="Arial" w:eastAsia="Arial" w:hAnsi="Arial"/>
                <w:sz w:val="17"/>
                <w:szCs w:val="17"/>
                <w:i w:val="1"/>
                <w:iCs w:val="1"/>
                <w:color w:val="373535"/>
              </w:rPr>
              <w:t>Operating profit margin</w:t>
            </w:r>
          </w:p>
        </w:tc>
        <w:tc>
          <w:tcPr>
            <w:tcW w:w="220" w:type="dxa"/>
            <w:vAlign w:val="bottom"/>
            <w:shd w:val="clear" w:color="auto" w:fill="EEF5F2"/>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i w:val="1"/>
                <w:iCs w:val="1"/>
                <w:color w:val="76AD9A"/>
              </w:rPr>
              <w:t>2.5%</w:t>
            </w:r>
          </w:p>
        </w:tc>
        <w:tc>
          <w:tcPr>
            <w:tcW w:w="420" w:type="dxa"/>
            <w:vAlign w:val="bottom"/>
          </w:tcPr>
          <w:p>
            <w:pPr>
              <w:spacing w:after="0"/>
              <w:rPr>
                <w:sz w:val="18"/>
                <w:szCs w:val="18"/>
                <w:color w:val="auto"/>
              </w:rPr>
            </w:pPr>
          </w:p>
        </w:tc>
        <w:tc>
          <w:tcPr>
            <w:tcW w:w="1200" w:type="dxa"/>
            <w:vAlign w:val="bottom"/>
          </w:tcPr>
          <w:p>
            <w:pPr>
              <w:jc w:val="right"/>
              <w:ind w:right="175"/>
              <w:spacing w:after="0"/>
              <w:rPr>
                <w:sz w:val="20"/>
                <w:szCs w:val="20"/>
                <w:color w:val="auto"/>
              </w:rPr>
            </w:pPr>
            <w:r>
              <w:rPr>
                <w:rFonts w:ascii="Arial" w:cs="Arial" w:eastAsia="Arial" w:hAnsi="Arial"/>
                <w:sz w:val="17"/>
                <w:szCs w:val="17"/>
                <w:i w:val="1"/>
                <w:iCs w:val="1"/>
                <w:color w:val="373535"/>
              </w:rPr>
              <w:t>2.0</w:t>
            </w:r>
            <w:r>
              <w:rPr>
                <w:rFonts w:ascii="Arial" w:cs="Arial" w:eastAsia="Arial" w:hAnsi="Arial"/>
                <w:sz w:val="17"/>
                <w:szCs w:val="17"/>
                <w:color w:val="373535"/>
              </w:rPr>
              <w:t>%</w:t>
            </w:r>
          </w:p>
        </w:tc>
        <w:tc>
          <w:tcPr>
            <w:tcW w:w="1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Pr>
          <w:p>
            <w:pPr>
              <w:ind w:left="140"/>
              <w:spacing w:after="0" w:line="194" w:lineRule="exact"/>
              <w:rPr>
                <w:sz w:val="20"/>
                <w:szCs w:val="20"/>
                <w:color w:val="auto"/>
              </w:rPr>
            </w:pPr>
            <w:r>
              <w:rPr>
                <w:rFonts w:ascii="Arial" w:cs="Arial" w:eastAsia="Arial" w:hAnsi="Arial"/>
                <w:sz w:val="17"/>
                <w:szCs w:val="17"/>
                <w:color w:val="373535"/>
              </w:rPr>
              <w:t>Net interest expense</w:t>
            </w:r>
          </w:p>
        </w:tc>
        <w:tc>
          <w:tcPr>
            <w:tcW w:w="220" w:type="dxa"/>
            <w:vAlign w:val="bottom"/>
            <w:shd w:val="clear" w:color="auto" w:fill="EEF5F2"/>
          </w:tcPr>
          <w:p>
            <w:pPr>
              <w:spacing w:after="0"/>
              <w:rPr>
                <w:sz w:val="16"/>
                <w:szCs w:val="16"/>
                <w:color w:val="auto"/>
              </w:rPr>
            </w:pPr>
          </w:p>
        </w:tc>
        <w:tc>
          <w:tcPr>
            <w:tcW w:w="1100" w:type="dxa"/>
            <w:vAlign w:val="bottom"/>
          </w:tcPr>
          <w:p>
            <w:pPr>
              <w:jc w:val="right"/>
              <w:ind w:right="115"/>
              <w:spacing w:after="0" w:line="194" w:lineRule="exact"/>
              <w:rPr>
                <w:sz w:val="20"/>
                <w:szCs w:val="20"/>
                <w:color w:val="auto"/>
              </w:rPr>
            </w:pPr>
            <w:r>
              <w:rPr>
                <w:rFonts w:ascii="Arial" w:cs="Arial" w:eastAsia="Arial" w:hAnsi="Arial"/>
                <w:sz w:val="17"/>
                <w:szCs w:val="17"/>
                <w:color w:val="76AD9A"/>
              </w:rPr>
              <w:t>33.4</w:t>
            </w:r>
          </w:p>
        </w:tc>
        <w:tc>
          <w:tcPr>
            <w:tcW w:w="420" w:type="dxa"/>
            <w:vAlign w:val="bottom"/>
          </w:tcPr>
          <w:p>
            <w:pPr>
              <w:spacing w:after="0"/>
              <w:rPr>
                <w:sz w:val="16"/>
                <w:szCs w:val="16"/>
                <w:color w:val="auto"/>
              </w:rPr>
            </w:pPr>
          </w:p>
        </w:tc>
        <w:tc>
          <w:tcPr>
            <w:tcW w:w="1200" w:type="dxa"/>
            <w:vAlign w:val="bottom"/>
          </w:tcPr>
          <w:p>
            <w:pPr>
              <w:jc w:val="right"/>
              <w:ind w:right="315"/>
              <w:spacing w:after="0" w:line="194" w:lineRule="exact"/>
              <w:rPr>
                <w:sz w:val="20"/>
                <w:szCs w:val="20"/>
                <w:color w:val="auto"/>
              </w:rPr>
            </w:pPr>
            <w:r>
              <w:rPr>
                <w:rFonts w:ascii="Arial" w:cs="Arial" w:eastAsia="Arial" w:hAnsi="Arial"/>
                <w:sz w:val="17"/>
                <w:szCs w:val="17"/>
                <w:color w:val="373535"/>
              </w:rPr>
              <w:t>35.2</w:t>
            </w:r>
          </w:p>
        </w:tc>
        <w:tc>
          <w:tcPr>
            <w:tcW w:w="1260" w:type="dxa"/>
            <w:vAlign w:val="bottom"/>
          </w:tcPr>
          <w:p>
            <w:pPr>
              <w:jc w:val="right"/>
              <w:ind w:right="296"/>
              <w:spacing w:after="0" w:line="194" w:lineRule="exact"/>
              <w:rPr>
                <w:sz w:val="20"/>
                <w:szCs w:val="20"/>
                <w:color w:val="auto"/>
              </w:rPr>
            </w:pPr>
            <w:r>
              <w:rPr>
                <w:rFonts w:ascii="Arial" w:cs="Arial" w:eastAsia="Arial" w:hAnsi="Arial"/>
                <w:sz w:val="17"/>
                <w:szCs w:val="17"/>
                <w:color w:val="373535"/>
              </w:rPr>
              <w:t>(5.0)</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0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expenses</w:t>
            </w:r>
          </w:p>
        </w:tc>
        <w:tc>
          <w:tcPr>
            <w:tcW w:w="220" w:type="dxa"/>
            <w:vAlign w:val="bottom"/>
            <w:tcBorders>
              <w:bottom w:val="single" w:sz="8" w:color="717073"/>
            </w:tcBorders>
            <w:shd w:val="clear" w:color="auto" w:fill="EEF5F2"/>
          </w:tcPr>
          <w:p>
            <w:pPr>
              <w:spacing w:after="0"/>
              <w:rPr>
                <w:sz w:val="16"/>
                <w:szCs w:val="16"/>
                <w:color w:val="auto"/>
              </w:rPr>
            </w:pPr>
          </w:p>
        </w:tc>
        <w:tc>
          <w:tcPr>
            <w:tcW w:w="1100" w:type="dxa"/>
            <w:vAlign w:val="bottom"/>
            <w:tcBorders>
              <w:bottom w:val="single" w:sz="8" w:color="717073"/>
            </w:tcBorders>
          </w:tcPr>
          <w:p>
            <w:pPr>
              <w:jc w:val="right"/>
              <w:ind w:right="115"/>
              <w:spacing w:after="0" w:line="194" w:lineRule="exact"/>
              <w:rPr>
                <w:sz w:val="20"/>
                <w:szCs w:val="20"/>
                <w:color w:val="auto"/>
              </w:rPr>
            </w:pPr>
            <w:r>
              <w:rPr>
                <w:rFonts w:ascii="Arial" w:cs="Arial" w:eastAsia="Arial" w:hAnsi="Arial"/>
                <w:sz w:val="17"/>
                <w:szCs w:val="17"/>
                <w:color w:val="76AD9A"/>
              </w:rPr>
              <w:t>3.0</w:t>
            </w:r>
          </w:p>
        </w:tc>
        <w:tc>
          <w:tcPr>
            <w:tcW w:w="420" w:type="dxa"/>
            <w:vAlign w:val="bottom"/>
            <w:tcBorders>
              <w:bottom w:val="single" w:sz="8" w:color="717073"/>
            </w:tcBorders>
          </w:tcPr>
          <w:p>
            <w:pPr>
              <w:spacing w:after="0"/>
              <w:rPr>
                <w:sz w:val="16"/>
                <w:szCs w:val="16"/>
                <w:color w:val="auto"/>
              </w:rPr>
            </w:pPr>
          </w:p>
        </w:tc>
        <w:tc>
          <w:tcPr>
            <w:tcW w:w="1200" w:type="dxa"/>
            <w:vAlign w:val="bottom"/>
            <w:tcBorders>
              <w:bottom w:val="single" w:sz="8" w:color="717073"/>
            </w:tcBorders>
          </w:tcPr>
          <w:p>
            <w:pPr>
              <w:jc w:val="right"/>
              <w:ind w:right="315"/>
              <w:spacing w:after="0" w:line="194" w:lineRule="exact"/>
              <w:rPr>
                <w:sz w:val="20"/>
                <w:szCs w:val="20"/>
                <w:color w:val="auto"/>
              </w:rPr>
            </w:pPr>
            <w:r>
              <w:rPr>
                <w:rFonts w:ascii="Arial" w:cs="Arial" w:eastAsia="Arial" w:hAnsi="Arial"/>
                <w:sz w:val="17"/>
                <w:szCs w:val="17"/>
                <w:color w:val="373535"/>
              </w:rPr>
              <w:t>8.1</w:t>
            </w:r>
          </w:p>
        </w:tc>
        <w:tc>
          <w:tcPr>
            <w:tcW w:w="1260" w:type="dxa"/>
            <w:vAlign w:val="bottom"/>
            <w:tcBorders>
              <w:bottom w:val="single" w:sz="8" w:color="717073"/>
            </w:tcBorders>
          </w:tcPr>
          <w:p>
            <w:pPr>
              <w:jc w:val="right"/>
              <w:ind w:right="296"/>
              <w:spacing w:after="0" w:line="194" w:lineRule="exact"/>
              <w:rPr>
                <w:sz w:val="20"/>
                <w:szCs w:val="20"/>
                <w:color w:val="auto"/>
              </w:rPr>
            </w:pPr>
            <w:r>
              <w:rPr>
                <w:rFonts w:ascii="Arial" w:cs="Arial" w:eastAsia="Arial" w:hAnsi="Arial"/>
                <w:sz w:val="17"/>
                <w:szCs w:val="17"/>
                <w:color w:val="373535"/>
              </w:rPr>
              <w:t>(63.0)</w:t>
            </w:r>
          </w:p>
        </w:tc>
        <w:tc>
          <w:tcPr>
            <w:tcW w:w="1200" w:type="dxa"/>
            <w:vAlign w:val="bottom"/>
            <w:tcBorders>
              <w:bottom w:val="single" w:sz="8" w:color="717073"/>
            </w:tcBorders>
          </w:tcPr>
          <w:p>
            <w:pPr>
              <w:spacing w:after="0"/>
              <w:rPr>
                <w:sz w:val="16"/>
                <w:szCs w:val="16"/>
                <w:color w:val="auto"/>
              </w:rPr>
            </w:pPr>
          </w:p>
        </w:tc>
        <w:tc>
          <w:tcPr>
            <w:tcW w:w="1180" w:type="dxa"/>
            <w:vAlign w:val="bottom"/>
            <w:tcBorders>
              <w:bottom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00" w:type="dxa"/>
            <w:vAlign w:val="bottom"/>
          </w:tcPr>
          <w:p>
            <w:pPr>
              <w:spacing w:after="0" w:line="185" w:lineRule="exact"/>
              <w:rPr>
                <w:sz w:val="20"/>
                <w:szCs w:val="20"/>
                <w:color w:val="auto"/>
              </w:rPr>
            </w:pPr>
            <w:r>
              <w:rPr>
                <w:rFonts w:ascii="Arial" w:cs="Arial" w:eastAsia="Arial" w:hAnsi="Arial"/>
                <w:sz w:val="17"/>
                <w:szCs w:val="17"/>
                <w:color w:val="373535"/>
              </w:rPr>
              <w:t>Earnings before income taxes</w:t>
            </w:r>
          </w:p>
        </w:tc>
        <w:tc>
          <w:tcPr>
            <w:tcW w:w="220" w:type="dxa"/>
            <w:vAlign w:val="bottom"/>
            <w:shd w:val="clear" w:color="auto" w:fill="EEF5F2"/>
          </w:tcPr>
          <w:p>
            <w:pPr>
              <w:spacing w:after="0"/>
              <w:rPr>
                <w:sz w:val="16"/>
                <w:szCs w:val="16"/>
                <w:color w:val="auto"/>
              </w:rPr>
            </w:pPr>
          </w:p>
        </w:tc>
        <w:tc>
          <w:tcPr>
            <w:tcW w:w="1100" w:type="dxa"/>
            <w:vAlign w:val="bottom"/>
          </w:tcPr>
          <w:p>
            <w:pPr>
              <w:jc w:val="right"/>
              <w:ind w:right="115"/>
              <w:spacing w:after="0" w:line="185" w:lineRule="exact"/>
              <w:rPr>
                <w:sz w:val="20"/>
                <w:szCs w:val="20"/>
                <w:color w:val="auto"/>
              </w:rPr>
            </w:pPr>
            <w:r>
              <w:rPr>
                <w:rFonts w:ascii="Arial" w:cs="Arial" w:eastAsia="Arial" w:hAnsi="Arial"/>
                <w:sz w:val="17"/>
                <w:szCs w:val="17"/>
                <w:color w:val="76AD9A"/>
              </w:rPr>
              <w:t>475.5</w:t>
            </w:r>
          </w:p>
        </w:tc>
        <w:tc>
          <w:tcPr>
            <w:tcW w:w="420" w:type="dxa"/>
            <w:vAlign w:val="bottom"/>
          </w:tcPr>
          <w:p>
            <w:pPr>
              <w:spacing w:after="0"/>
              <w:rPr>
                <w:sz w:val="16"/>
                <w:szCs w:val="16"/>
                <w:color w:val="auto"/>
              </w:rPr>
            </w:pPr>
          </w:p>
        </w:tc>
        <w:tc>
          <w:tcPr>
            <w:tcW w:w="1200" w:type="dxa"/>
            <w:vAlign w:val="bottom"/>
          </w:tcPr>
          <w:p>
            <w:pPr>
              <w:jc w:val="right"/>
              <w:ind w:right="315"/>
              <w:spacing w:after="0" w:line="185" w:lineRule="exact"/>
              <w:rPr>
                <w:sz w:val="20"/>
                <w:szCs w:val="20"/>
                <w:color w:val="auto"/>
              </w:rPr>
            </w:pPr>
            <w:r>
              <w:rPr>
                <w:rFonts w:ascii="Arial" w:cs="Arial" w:eastAsia="Arial" w:hAnsi="Arial"/>
                <w:sz w:val="17"/>
                <w:szCs w:val="17"/>
                <w:color w:val="373535"/>
              </w:rPr>
              <w:t>368.4</w:t>
            </w:r>
          </w:p>
        </w:tc>
        <w:tc>
          <w:tcPr>
            <w:tcW w:w="1260" w:type="dxa"/>
            <w:vAlign w:val="bottom"/>
          </w:tcPr>
          <w:p>
            <w:pPr>
              <w:jc w:val="right"/>
              <w:ind w:right="336"/>
              <w:spacing w:after="0" w:line="185" w:lineRule="exact"/>
              <w:rPr>
                <w:sz w:val="20"/>
                <w:szCs w:val="20"/>
                <w:color w:val="auto"/>
              </w:rPr>
            </w:pPr>
            <w:r>
              <w:rPr>
                <w:rFonts w:ascii="Arial" w:cs="Arial" w:eastAsia="Arial" w:hAnsi="Arial"/>
                <w:sz w:val="17"/>
                <w:szCs w:val="17"/>
                <w:color w:val="373535"/>
              </w:rPr>
              <w:t>29.1</w:t>
            </w:r>
          </w:p>
        </w:tc>
        <w:tc>
          <w:tcPr>
            <w:tcW w:w="1200" w:type="dxa"/>
            <w:vAlign w:val="bottom"/>
          </w:tcPr>
          <w:p>
            <w:pPr>
              <w:jc w:val="right"/>
              <w:ind w:right="239"/>
              <w:spacing w:after="0" w:line="185" w:lineRule="exact"/>
              <w:rPr>
                <w:sz w:val="20"/>
                <w:szCs w:val="20"/>
                <w:color w:val="auto"/>
              </w:rPr>
            </w:pPr>
            <w:r>
              <w:rPr>
                <w:rFonts w:ascii="Arial" w:cs="Arial" w:eastAsia="Arial" w:hAnsi="Arial"/>
                <w:sz w:val="17"/>
                <w:szCs w:val="17"/>
                <w:color w:val="373535"/>
              </w:rPr>
              <w:t>28.9</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00" w:type="dxa"/>
            <w:vAlign w:val="bottom"/>
          </w:tcPr>
          <w:p>
            <w:pPr>
              <w:ind w:left="140"/>
              <w:spacing w:after="0" w:line="176" w:lineRule="exact"/>
              <w:rPr>
                <w:sz w:val="20"/>
                <w:szCs w:val="20"/>
                <w:color w:val="auto"/>
              </w:rPr>
            </w:pPr>
            <w:r>
              <w:rPr>
                <w:rFonts w:ascii="Arial" w:cs="Arial" w:eastAsia="Arial" w:hAnsi="Arial"/>
                <w:sz w:val="17"/>
                <w:szCs w:val="17"/>
                <w:color w:val="373535"/>
              </w:rPr>
              <w:t>Provision for income taxes</w:t>
            </w:r>
          </w:p>
        </w:tc>
        <w:tc>
          <w:tcPr>
            <w:tcW w:w="220" w:type="dxa"/>
            <w:vAlign w:val="bottom"/>
            <w:shd w:val="clear" w:color="auto" w:fill="EEF5F2"/>
          </w:tcPr>
          <w:p>
            <w:pPr>
              <w:spacing w:after="0"/>
              <w:rPr>
                <w:sz w:val="15"/>
                <w:szCs w:val="15"/>
                <w:color w:val="auto"/>
              </w:rPr>
            </w:pPr>
          </w:p>
        </w:tc>
        <w:tc>
          <w:tcPr>
            <w:tcW w:w="1100" w:type="dxa"/>
            <w:vAlign w:val="bottom"/>
          </w:tcPr>
          <w:p>
            <w:pPr>
              <w:jc w:val="right"/>
              <w:ind w:right="115"/>
              <w:spacing w:after="0" w:line="176" w:lineRule="exact"/>
              <w:rPr>
                <w:sz w:val="20"/>
                <w:szCs w:val="20"/>
                <w:color w:val="auto"/>
              </w:rPr>
            </w:pPr>
            <w:r>
              <w:rPr>
                <w:rFonts w:ascii="Arial" w:cs="Arial" w:eastAsia="Arial" w:hAnsi="Arial"/>
                <w:sz w:val="17"/>
                <w:szCs w:val="17"/>
                <w:color w:val="76AD9A"/>
              </w:rPr>
              <w:t>187.5</w:t>
            </w:r>
          </w:p>
        </w:tc>
        <w:tc>
          <w:tcPr>
            <w:tcW w:w="420" w:type="dxa"/>
            <w:vAlign w:val="bottom"/>
          </w:tcPr>
          <w:p>
            <w:pPr>
              <w:spacing w:after="0"/>
              <w:rPr>
                <w:sz w:val="15"/>
                <w:szCs w:val="15"/>
                <w:color w:val="auto"/>
              </w:rPr>
            </w:pPr>
          </w:p>
        </w:tc>
        <w:tc>
          <w:tcPr>
            <w:tcW w:w="1200" w:type="dxa"/>
            <w:vAlign w:val="bottom"/>
          </w:tcPr>
          <w:p>
            <w:pPr>
              <w:jc w:val="right"/>
              <w:ind w:right="315"/>
              <w:spacing w:after="0" w:line="176" w:lineRule="exact"/>
              <w:rPr>
                <w:sz w:val="20"/>
                <w:szCs w:val="20"/>
                <w:color w:val="auto"/>
              </w:rPr>
            </w:pPr>
            <w:r>
              <w:rPr>
                <w:rFonts w:ascii="Arial" w:cs="Arial" w:eastAsia="Arial" w:hAnsi="Arial"/>
                <w:sz w:val="17"/>
                <w:szCs w:val="17"/>
                <w:color w:val="373535"/>
              </w:rPr>
              <w:t>170.8</w:t>
            </w:r>
          </w:p>
        </w:tc>
        <w:tc>
          <w:tcPr>
            <w:tcW w:w="1260" w:type="dxa"/>
            <w:vAlign w:val="bottom"/>
          </w:tcPr>
          <w:p>
            <w:pPr>
              <w:jc w:val="right"/>
              <w:ind w:right="336"/>
              <w:spacing w:after="0" w:line="176" w:lineRule="exact"/>
              <w:rPr>
                <w:sz w:val="20"/>
                <w:szCs w:val="20"/>
                <w:color w:val="auto"/>
              </w:rPr>
            </w:pPr>
            <w:r>
              <w:rPr>
                <w:rFonts w:ascii="Arial" w:cs="Arial" w:eastAsia="Arial" w:hAnsi="Arial"/>
                <w:sz w:val="17"/>
                <w:szCs w:val="17"/>
                <w:color w:val="373535"/>
              </w:rPr>
              <w:t>9.8</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00" w:type="dxa"/>
            <w:vAlign w:val="bottom"/>
            <w:tcBorders>
              <w:bottom w:val="single" w:sz="8" w:color="717073"/>
            </w:tcBorders>
          </w:tcPr>
          <w:p>
            <w:pPr>
              <w:ind w:left="140"/>
              <w:spacing w:after="0"/>
              <w:rPr>
                <w:sz w:val="20"/>
                <w:szCs w:val="20"/>
                <w:color w:val="auto"/>
              </w:rPr>
            </w:pPr>
            <w:r>
              <w:rPr>
                <w:rFonts w:ascii="Arial" w:cs="Arial" w:eastAsia="Arial" w:hAnsi="Arial"/>
                <w:sz w:val="17"/>
                <w:szCs w:val="17"/>
                <w:i w:val="1"/>
                <w:iCs w:val="1"/>
                <w:color w:val="373535"/>
              </w:rPr>
              <w:t>Effective income tax rate</w:t>
            </w:r>
          </w:p>
        </w:tc>
        <w:tc>
          <w:tcPr>
            <w:tcW w:w="220" w:type="dxa"/>
            <w:vAlign w:val="bottom"/>
            <w:tcBorders>
              <w:bottom w:val="single" w:sz="8" w:color="717073"/>
            </w:tcBorders>
            <w:shd w:val="clear" w:color="auto" w:fill="EEF5F2"/>
          </w:tcPr>
          <w:p>
            <w:pPr>
              <w:spacing w:after="0"/>
              <w:rPr>
                <w:sz w:val="18"/>
                <w:szCs w:val="18"/>
                <w:color w:val="auto"/>
              </w:rPr>
            </w:pPr>
          </w:p>
        </w:tc>
        <w:tc>
          <w:tcPr>
            <w:tcW w:w="1100" w:type="dxa"/>
            <w:vAlign w:val="bottom"/>
            <w:tcBorders>
              <w:bottom w:val="single" w:sz="8" w:color="717073"/>
            </w:tcBorders>
          </w:tcPr>
          <w:p>
            <w:pPr>
              <w:jc w:val="right"/>
              <w:spacing w:after="0"/>
              <w:rPr>
                <w:sz w:val="20"/>
                <w:szCs w:val="20"/>
                <w:color w:val="auto"/>
              </w:rPr>
            </w:pPr>
            <w:r>
              <w:rPr>
                <w:rFonts w:ascii="Arial" w:cs="Arial" w:eastAsia="Arial" w:hAnsi="Arial"/>
                <w:sz w:val="17"/>
                <w:szCs w:val="17"/>
                <w:i w:val="1"/>
                <w:iCs w:val="1"/>
                <w:color w:val="76AD9A"/>
              </w:rPr>
              <w:t>39.4%</w:t>
            </w:r>
          </w:p>
        </w:tc>
        <w:tc>
          <w:tcPr>
            <w:tcW w:w="420" w:type="dxa"/>
            <w:vAlign w:val="bottom"/>
            <w:tcBorders>
              <w:bottom w:val="single" w:sz="8" w:color="717073"/>
            </w:tcBorders>
          </w:tcPr>
          <w:p>
            <w:pPr>
              <w:spacing w:after="0"/>
              <w:rPr>
                <w:sz w:val="18"/>
                <w:szCs w:val="18"/>
                <w:color w:val="auto"/>
              </w:rPr>
            </w:pPr>
          </w:p>
        </w:tc>
        <w:tc>
          <w:tcPr>
            <w:tcW w:w="1200" w:type="dxa"/>
            <w:vAlign w:val="bottom"/>
            <w:tcBorders>
              <w:bottom w:val="single" w:sz="8" w:color="717073"/>
            </w:tcBorders>
          </w:tcPr>
          <w:p>
            <w:pPr>
              <w:jc w:val="right"/>
              <w:ind w:right="175"/>
              <w:spacing w:after="0"/>
              <w:rPr>
                <w:sz w:val="20"/>
                <w:szCs w:val="20"/>
                <w:color w:val="auto"/>
              </w:rPr>
            </w:pPr>
            <w:r>
              <w:rPr>
                <w:rFonts w:ascii="Arial" w:cs="Arial" w:eastAsia="Arial" w:hAnsi="Arial"/>
                <w:sz w:val="17"/>
                <w:szCs w:val="17"/>
                <w:i w:val="1"/>
                <w:iCs w:val="1"/>
                <w:color w:val="373535"/>
              </w:rPr>
              <w:t>46.4</w:t>
            </w:r>
            <w:r>
              <w:rPr>
                <w:rFonts w:ascii="Arial" w:cs="Arial" w:eastAsia="Arial" w:hAnsi="Arial"/>
                <w:sz w:val="17"/>
                <w:szCs w:val="17"/>
                <w:color w:val="373535"/>
              </w:rPr>
              <w:t>%</w:t>
            </w:r>
          </w:p>
        </w:tc>
        <w:tc>
          <w:tcPr>
            <w:tcW w:w="1260" w:type="dxa"/>
            <w:vAlign w:val="bottom"/>
            <w:tcBorders>
              <w:bottom w:val="single" w:sz="8" w:color="717073"/>
            </w:tcBorders>
          </w:tcPr>
          <w:p>
            <w:pPr>
              <w:spacing w:after="0"/>
              <w:rPr>
                <w:sz w:val="18"/>
                <w:szCs w:val="18"/>
                <w:color w:val="auto"/>
              </w:rPr>
            </w:pPr>
          </w:p>
        </w:tc>
        <w:tc>
          <w:tcPr>
            <w:tcW w:w="1200" w:type="dxa"/>
            <w:vAlign w:val="bottom"/>
            <w:tcBorders>
              <w:bottom w:val="single" w:sz="8" w:color="717073"/>
            </w:tcBorders>
          </w:tcPr>
          <w:p>
            <w:pPr>
              <w:spacing w:after="0"/>
              <w:rPr>
                <w:sz w:val="18"/>
                <w:szCs w:val="18"/>
                <w:color w:val="auto"/>
              </w:rPr>
            </w:pPr>
          </w:p>
        </w:tc>
        <w:tc>
          <w:tcPr>
            <w:tcW w:w="1180" w:type="dxa"/>
            <w:vAlign w:val="bottom"/>
            <w:tcBorders>
              <w:bottom w:val="single" w:sz="8" w:color="717073"/>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460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Net earnings</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00" w:type="dxa"/>
            <w:vAlign w:val="bottom"/>
            <w:tcBorders>
              <w:bottom w:val="single" w:sz="8" w:color="717073"/>
            </w:tcBorders>
          </w:tcPr>
          <w:p>
            <w:pPr>
              <w:jc w:val="right"/>
              <w:ind w:right="115"/>
              <w:spacing w:after="0" w:line="186" w:lineRule="exact"/>
              <w:rPr>
                <w:sz w:val="20"/>
                <w:szCs w:val="20"/>
                <w:color w:val="auto"/>
              </w:rPr>
            </w:pPr>
            <w:r>
              <w:rPr>
                <w:rFonts w:ascii="Arial" w:cs="Arial" w:eastAsia="Arial" w:hAnsi="Arial"/>
                <w:sz w:val="17"/>
                <w:szCs w:val="17"/>
                <w:color w:val="76AD9A"/>
              </w:rPr>
              <w:t>288.0</w:t>
            </w:r>
          </w:p>
        </w:tc>
        <w:tc>
          <w:tcPr>
            <w:tcW w:w="4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200" w:type="dxa"/>
            <w:vAlign w:val="bottom"/>
            <w:tcBorders>
              <w:bottom w:val="single" w:sz="8" w:color="717073"/>
            </w:tcBorders>
          </w:tcPr>
          <w:p>
            <w:pPr>
              <w:jc w:val="right"/>
              <w:ind w:right="315"/>
              <w:spacing w:after="0" w:line="186" w:lineRule="exact"/>
              <w:rPr>
                <w:sz w:val="20"/>
                <w:szCs w:val="20"/>
                <w:color w:val="auto"/>
              </w:rPr>
            </w:pPr>
            <w:r>
              <w:rPr>
                <w:rFonts w:ascii="Arial" w:cs="Arial" w:eastAsia="Arial" w:hAnsi="Arial"/>
                <w:sz w:val="17"/>
                <w:szCs w:val="17"/>
                <w:color w:val="373535"/>
              </w:rPr>
              <w:t>197.6</w:t>
            </w:r>
          </w:p>
        </w:tc>
        <w:tc>
          <w:tcPr>
            <w:tcW w:w="1260" w:type="dxa"/>
            <w:vAlign w:val="bottom"/>
            <w:tcBorders>
              <w:bottom w:val="single" w:sz="8" w:color="717073"/>
            </w:tcBorders>
          </w:tcPr>
          <w:p>
            <w:pPr>
              <w:jc w:val="right"/>
              <w:ind w:right="336"/>
              <w:spacing w:after="0" w:line="186" w:lineRule="exact"/>
              <w:rPr>
                <w:sz w:val="20"/>
                <w:szCs w:val="20"/>
                <w:color w:val="auto"/>
              </w:rPr>
            </w:pPr>
            <w:r>
              <w:rPr>
                <w:rFonts w:ascii="Arial" w:cs="Arial" w:eastAsia="Arial" w:hAnsi="Arial"/>
                <w:sz w:val="17"/>
                <w:szCs w:val="17"/>
                <w:color w:val="373535"/>
              </w:rPr>
              <w:t>45.8</w:t>
            </w:r>
          </w:p>
        </w:tc>
        <w:tc>
          <w:tcPr>
            <w:tcW w:w="1200" w:type="dxa"/>
            <w:vAlign w:val="bottom"/>
            <w:tcBorders>
              <w:bottom w:val="single" w:sz="8" w:color="717073"/>
            </w:tcBorders>
          </w:tcPr>
          <w:p>
            <w:pPr>
              <w:jc w:val="right"/>
              <w:ind w:right="239"/>
              <w:spacing w:after="0" w:line="186" w:lineRule="exact"/>
              <w:rPr>
                <w:sz w:val="20"/>
                <w:szCs w:val="20"/>
                <w:color w:val="auto"/>
              </w:rPr>
            </w:pPr>
            <w:r>
              <w:rPr>
                <w:rFonts w:ascii="Arial" w:cs="Arial" w:eastAsia="Arial" w:hAnsi="Arial"/>
                <w:sz w:val="17"/>
                <w:szCs w:val="17"/>
                <w:color w:val="373535"/>
              </w:rPr>
              <w:t>46.4</w:t>
            </w:r>
          </w:p>
        </w:tc>
        <w:tc>
          <w:tcPr>
            <w:tcW w:w="1180" w:type="dxa"/>
            <w:vAlign w:val="bottom"/>
            <w:tcBorders>
              <w:bottom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Net earnings per share — diluted</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00" w:type="dxa"/>
            <w:vAlign w:val="bottom"/>
            <w:tcBorders>
              <w:bottom w:val="single" w:sz="8" w:color="717073"/>
            </w:tcBorders>
          </w:tcPr>
          <w:p>
            <w:pPr>
              <w:jc w:val="right"/>
              <w:ind w:right="115"/>
              <w:spacing w:after="0" w:line="186" w:lineRule="exact"/>
              <w:rPr>
                <w:sz w:val="20"/>
                <w:szCs w:val="20"/>
                <w:color w:val="auto"/>
              </w:rPr>
            </w:pPr>
            <w:r>
              <w:rPr>
                <w:rFonts w:ascii="Arial" w:cs="Arial" w:eastAsia="Arial" w:hAnsi="Arial"/>
                <w:sz w:val="17"/>
                <w:szCs w:val="17"/>
                <w:color w:val="76AD9A"/>
              </w:rPr>
              <w:t>3.62</w:t>
            </w:r>
          </w:p>
        </w:tc>
        <w:tc>
          <w:tcPr>
            <w:tcW w:w="4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200" w:type="dxa"/>
            <w:vAlign w:val="bottom"/>
            <w:tcBorders>
              <w:bottom w:val="single" w:sz="8" w:color="717073"/>
            </w:tcBorders>
          </w:tcPr>
          <w:p>
            <w:pPr>
              <w:jc w:val="right"/>
              <w:ind w:right="315"/>
              <w:spacing w:after="0" w:line="186" w:lineRule="exact"/>
              <w:rPr>
                <w:sz w:val="20"/>
                <w:szCs w:val="20"/>
                <w:color w:val="auto"/>
              </w:rPr>
            </w:pPr>
            <w:r>
              <w:rPr>
                <w:rFonts w:ascii="Arial" w:cs="Arial" w:eastAsia="Arial" w:hAnsi="Arial"/>
                <w:sz w:val="17"/>
                <w:szCs w:val="17"/>
                <w:color w:val="373535"/>
              </w:rPr>
              <w:t>2.47</w:t>
            </w:r>
          </w:p>
        </w:tc>
        <w:tc>
          <w:tcPr>
            <w:tcW w:w="1260" w:type="dxa"/>
            <w:vAlign w:val="bottom"/>
            <w:tcBorders>
              <w:bottom w:val="single" w:sz="8" w:color="717073"/>
            </w:tcBorders>
          </w:tcPr>
          <w:p>
            <w:pPr>
              <w:jc w:val="right"/>
              <w:ind w:right="336"/>
              <w:spacing w:after="0" w:line="186" w:lineRule="exact"/>
              <w:rPr>
                <w:sz w:val="20"/>
                <w:szCs w:val="20"/>
                <w:color w:val="auto"/>
              </w:rPr>
            </w:pPr>
            <w:r>
              <w:rPr>
                <w:rFonts w:ascii="Arial" w:cs="Arial" w:eastAsia="Arial" w:hAnsi="Arial"/>
                <w:sz w:val="17"/>
                <w:szCs w:val="17"/>
                <w:color w:val="373535"/>
              </w:rPr>
              <w:t>46.6</w:t>
            </w:r>
          </w:p>
        </w:tc>
        <w:tc>
          <w:tcPr>
            <w:tcW w:w="1200" w:type="dxa"/>
            <w:vAlign w:val="bottom"/>
            <w:tcBorders>
              <w:bottom w:val="single" w:sz="8" w:color="717073"/>
            </w:tcBorders>
          </w:tcPr>
          <w:p>
            <w:pPr>
              <w:jc w:val="right"/>
              <w:ind w:right="239"/>
              <w:spacing w:after="0" w:line="186" w:lineRule="exact"/>
              <w:rPr>
                <w:sz w:val="20"/>
                <w:szCs w:val="20"/>
                <w:color w:val="auto"/>
              </w:rPr>
            </w:pPr>
            <w:r>
              <w:rPr>
                <w:rFonts w:ascii="Arial" w:cs="Arial" w:eastAsia="Arial" w:hAnsi="Arial"/>
                <w:sz w:val="17"/>
                <w:szCs w:val="17"/>
                <w:color w:val="373535"/>
              </w:rPr>
              <w:t>47.0</w:t>
            </w:r>
          </w:p>
        </w:tc>
        <w:tc>
          <w:tcPr>
            <w:tcW w:w="1180" w:type="dxa"/>
            <w:vAlign w:val="bottom"/>
            <w:tcBorders>
              <w:bottom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20" w:type="dxa"/>
            <w:vAlign w:val="bottom"/>
            <w:gridSpan w:val="2"/>
          </w:tcPr>
          <w:p>
            <w:pPr>
              <w:spacing w:after="0" w:line="186" w:lineRule="exact"/>
              <w:rPr>
                <w:sz w:val="20"/>
                <w:szCs w:val="20"/>
                <w:color w:val="auto"/>
              </w:rPr>
            </w:pPr>
            <w:r>
              <w:rPr>
                <w:rFonts w:ascii="Arial" w:cs="Arial" w:eastAsia="Arial" w:hAnsi="Arial"/>
                <w:sz w:val="17"/>
                <w:szCs w:val="17"/>
                <w:color w:val="373535"/>
              </w:rPr>
              <w:t>Weighted average shares — diluted</w:t>
            </w:r>
          </w:p>
        </w:tc>
        <w:tc>
          <w:tcPr>
            <w:tcW w:w="220" w:type="dxa"/>
            <w:vAlign w:val="bottom"/>
            <w:shd w:val="clear" w:color="auto" w:fill="EEF5F2"/>
          </w:tcPr>
          <w:p>
            <w:pPr>
              <w:spacing w:after="0"/>
              <w:rPr>
                <w:sz w:val="16"/>
                <w:szCs w:val="16"/>
                <w:color w:val="auto"/>
              </w:rPr>
            </w:pPr>
          </w:p>
        </w:tc>
        <w:tc>
          <w:tcPr>
            <w:tcW w:w="1100" w:type="dxa"/>
            <w:vAlign w:val="bottom"/>
          </w:tcPr>
          <w:p>
            <w:pPr>
              <w:jc w:val="right"/>
              <w:ind w:right="115"/>
              <w:spacing w:after="0" w:line="186" w:lineRule="exact"/>
              <w:rPr>
                <w:sz w:val="20"/>
                <w:szCs w:val="20"/>
                <w:color w:val="auto"/>
              </w:rPr>
            </w:pPr>
            <w:r>
              <w:rPr>
                <w:rFonts w:ascii="Arial" w:cs="Arial" w:eastAsia="Arial" w:hAnsi="Arial"/>
                <w:sz w:val="17"/>
                <w:szCs w:val="17"/>
                <w:color w:val="76AD9A"/>
              </w:rPr>
              <w:t>79.6</w:t>
            </w:r>
          </w:p>
        </w:tc>
        <w:tc>
          <w:tcPr>
            <w:tcW w:w="420" w:type="dxa"/>
            <w:vAlign w:val="bottom"/>
          </w:tcPr>
          <w:p>
            <w:pPr>
              <w:spacing w:after="0"/>
              <w:rPr>
                <w:sz w:val="16"/>
                <w:szCs w:val="16"/>
                <w:color w:val="auto"/>
              </w:rPr>
            </w:pPr>
          </w:p>
        </w:tc>
        <w:tc>
          <w:tcPr>
            <w:tcW w:w="1200" w:type="dxa"/>
            <w:vAlign w:val="bottom"/>
          </w:tcPr>
          <w:p>
            <w:pPr>
              <w:jc w:val="right"/>
              <w:ind w:right="315"/>
              <w:spacing w:after="0" w:line="186" w:lineRule="exact"/>
              <w:rPr>
                <w:sz w:val="20"/>
                <w:szCs w:val="20"/>
                <w:color w:val="auto"/>
              </w:rPr>
            </w:pPr>
            <w:r>
              <w:rPr>
                <w:rFonts w:ascii="Arial" w:cs="Arial" w:eastAsia="Arial" w:hAnsi="Arial"/>
                <w:sz w:val="17"/>
                <w:szCs w:val="17"/>
                <w:color w:val="373535"/>
              </w:rPr>
              <w:t>80.1</w:t>
            </w:r>
          </w:p>
        </w:tc>
        <w:tc>
          <w:tcPr>
            <w:tcW w:w="1260" w:type="dxa"/>
            <w:vAlign w:val="bottom"/>
          </w:tcPr>
          <w:p>
            <w:pPr>
              <w:jc w:val="right"/>
              <w:ind w:right="296"/>
              <w:spacing w:after="0" w:line="186" w:lineRule="exact"/>
              <w:rPr>
                <w:sz w:val="20"/>
                <w:szCs w:val="20"/>
                <w:color w:val="auto"/>
              </w:rPr>
            </w:pPr>
            <w:r>
              <w:rPr>
                <w:rFonts w:ascii="Arial" w:cs="Arial" w:eastAsia="Arial" w:hAnsi="Arial"/>
                <w:sz w:val="17"/>
                <w:szCs w:val="17"/>
                <w:color w:val="373535"/>
              </w:rPr>
              <w:t>(0.7)</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00" w:type="dxa"/>
            <w:vAlign w:val="bottom"/>
            <w:shd w:val="clear" w:color="auto" w:fill="717073"/>
          </w:tcPr>
          <w:p>
            <w:pPr>
              <w:spacing w:after="0" w:line="20" w:lineRule="exact"/>
              <w:rPr>
                <w:sz w:val="1"/>
                <w:szCs w:val="1"/>
                <w:color w:val="auto"/>
              </w:rPr>
            </w:pPr>
          </w:p>
        </w:tc>
        <w:tc>
          <w:tcPr>
            <w:tcW w:w="420" w:type="dxa"/>
            <w:vAlign w:val="bottom"/>
            <w:tcBorders>
              <w:left w:val="single" w:sz="8" w:color="717073"/>
            </w:tcBorders>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2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18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-1917065</wp:posOffset>
            </wp:positionV>
            <wp:extent cx="696595" cy="1909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6595" cy="1909445"/>
                    </a:xfrm>
                    <a:prstGeom prst="rect">
                      <a:avLst/>
                    </a:prstGeom>
                    <a:noFill/>
                  </pic:spPr>
                </pic:pic>
              </a:graphicData>
            </a:graphic>
          </wp:anchor>
        </w:drawing>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373535"/>
        </w:rPr>
        <w:t>The year-over-year decrease in revenues from services of 2.1% (–2.1% in constant currency and –2.4% in organic constant currency) was attributed to:</w:t>
      </w:r>
    </w:p>
    <w:p>
      <w:pPr>
        <w:spacing w:after="0" w:line="355" w:lineRule="exact"/>
        <w:rPr>
          <w:sz w:val="20"/>
          <w:szCs w:val="20"/>
          <w:color w:val="auto"/>
        </w:rPr>
      </w:pPr>
    </w:p>
    <w:p>
      <w:pPr>
        <w:jc w:val="both"/>
        <w:ind w:left="140" w:hanging="137"/>
        <w:spacing w:after="0" w:line="243" w:lineRule="auto"/>
        <w:tabs>
          <w:tab w:leader="none" w:pos="140" w:val="left"/>
        </w:tabs>
        <w:numPr>
          <w:ilvl w:val="0"/>
          <w:numId w:val="83"/>
        </w:numPr>
        <w:rPr>
          <w:rFonts w:ascii="Arial" w:cs="Arial" w:eastAsia="Arial" w:hAnsi="Arial"/>
          <w:sz w:val="17"/>
          <w:szCs w:val="17"/>
          <w:color w:val="4C8ABF"/>
        </w:rPr>
      </w:pPr>
      <w:r>
        <w:rPr>
          <w:rFonts w:ascii="Arial" w:cs="Arial" w:eastAsia="Arial" w:hAnsi="Arial"/>
          <w:sz w:val="17"/>
          <w:szCs w:val="17"/>
          <w:color w:val="373535"/>
        </w:rPr>
        <w:t>decreased demand for services in several of our markets within the Americas, Southern Europe and Northern Europe, where revenues decreased 1.9% (–0.5% in constant currency), 0.2% (–3.6% in constant currency and –3.9% in organic constant currency) and 0.6% (–1.7% in constant currency and –2.3% in organic constant currency), respectively;</w:t>
      </w:r>
    </w:p>
    <w:p>
      <w:pPr>
        <w:spacing w:after="0" w:line="154"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3"/>
        </w:numPr>
        <w:rPr>
          <w:rFonts w:ascii="Arial" w:cs="Arial" w:eastAsia="Arial" w:hAnsi="Arial"/>
          <w:sz w:val="17"/>
          <w:szCs w:val="17"/>
          <w:color w:val="4C8ABF"/>
        </w:rPr>
      </w:pPr>
      <w:r>
        <w:rPr>
          <w:rFonts w:ascii="Arial" w:cs="Arial" w:eastAsia="Arial" w:hAnsi="Arial"/>
          <w:sz w:val="17"/>
          <w:szCs w:val="17"/>
          <w:color w:val="373535"/>
        </w:rPr>
        <w:t>revenue declines in our larger markets of France and Italy of 5.8% (–6.0% in organic constant currency) and 0.3% in constant currency, respectively, due to the current economic environments in those countries;</w:t>
      </w:r>
    </w:p>
    <w:p>
      <w:pPr>
        <w:spacing w:after="0" w:line="160" w:lineRule="exact"/>
        <w:rPr>
          <w:rFonts w:ascii="Arial" w:cs="Arial" w:eastAsia="Arial" w:hAnsi="Arial"/>
          <w:sz w:val="17"/>
          <w:szCs w:val="17"/>
          <w:color w:val="4C8ABF"/>
        </w:rPr>
      </w:pPr>
    </w:p>
    <w:p>
      <w:pPr>
        <w:jc w:val="both"/>
        <w:ind w:left="140" w:hanging="137"/>
        <w:spacing w:after="0" w:line="243" w:lineRule="auto"/>
        <w:tabs>
          <w:tab w:leader="none" w:pos="140" w:val="left"/>
        </w:tabs>
        <w:numPr>
          <w:ilvl w:val="0"/>
          <w:numId w:val="83"/>
        </w:numPr>
        <w:rPr>
          <w:rFonts w:ascii="Arial" w:cs="Arial" w:eastAsia="Arial" w:hAnsi="Arial"/>
          <w:sz w:val="17"/>
          <w:szCs w:val="17"/>
          <w:color w:val="4C8ABF"/>
        </w:rPr>
      </w:pPr>
      <w:r>
        <w:rPr>
          <w:rFonts w:ascii="Arial" w:cs="Arial" w:eastAsia="Arial" w:hAnsi="Arial"/>
          <w:sz w:val="17"/>
          <w:szCs w:val="17"/>
          <w:color w:val="373535"/>
        </w:rPr>
        <w:t>revenue decline in the United States of 1.4% primarily due to a decrease in our larger strategic account client revenues because of softening demand, a large client project in our Manpower business line that concluded in the first quarter of 2013 and strong price discipline on new business opportunities;</w:t>
      </w:r>
    </w:p>
    <w:p>
      <w:pPr>
        <w:spacing w:after="0" w:line="154" w:lineRule="exact"/>
        <w:rPr>
          <w:rFonts w:ascii="Arial" w:cs="Arial" w:eastAsia="Arial" w:hAnsi="Arial"/>
          <w:sz w:val="17"/>
          <w:szCs w:val="17"/>
          <w:color w:val="4C8ABF"/>
        </w:rPr>
      </w:pPr>
    </w:p>
    <w:p>
      <w:pPr>
        <w:jc w:val="both"/>
        <w:ind w:left="140" w:hanging="137"/>
        <w:spacing w:after="0" w:line="243" w:lineRule="auto"/>
        <w:tabs>
          <w:tab w:leader="none" w:pos="140" w:val="left"/>
        </w:tabs>
        <w:numPr>
          <w:ilvl w:val="0"/>
          <w:numId w:val="83"/>
        </w:numPr>
        <w:rPr>
          <w:rFonts w:ascii="Arial" w:cs="Arial" w:eastAsia="Arial" w:hAnsi="Arial"/>
          <w:sz w:val="17"/>
          <w:szCs w:val="17"/>
          <w:color w:val="4C8ABF"/>
        </w:rPr>
      </w:pPr>
      <w:r>
        <w:rPr>
          <w:rFonts w:ascii="Arial" w:cs="Arial" w:eastAsia="Arial" w:hAnsi="Arial"/>
          <w:sz w:val="17"/>
          <w:szCs w:val="17"/>
          <w:color w:val="373535"/>
        </w:rPr>
        <w:t>revenue decrease in APME of 10.3% (–1.4% in constant currency) primarily due to the decline in demand for our staffing/interim services, resulting from two fewer billing days and legislative changes in China that restricted the use of temporary employment, and to a decline in our TBO revenues due to the loss of a Japanese client; and</w:t>
      </w:r>
    </w:p>
    <w:p>
      <w:pPr>
        <w:spacing w:after="0" w:line="154"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3"/>
        </w:numPr>
        <w:rPr>
          <w:rFonts w:ascii="Arial" w:cs="Arial" w:eastAsia="Arial" w:hAnsi="Arial"/>
          <w:sz w:val="17"/>
          <w:szCs w:val="17"/>
          <w:color w:val="4C8ABF"/>
        </w:rPr>
      </w:pPr>
      <w:r>
        <w:rPr>
          <w:rFonts w:ascii="Arial" w:cs="Arial" w:eastAsia="Arial" w:hAnsi="Arial"/>
          <w:sz w:val="17"/>
          <w:szCs w:val="17"/>
          <w:color w:val="373535"/>
        </w:rPr>
        <w:t>decreased demand for talent management services at Right Management, where these revenues decreased 7.1% (–6.6% in constant currency); partially offset by</w:t>
      </w:r>
    </w:p>
    <w:p>
      <w:pPr>
        <w:spacing w:after="0" w:line="150" w:lineRule="exact"/>
        <w:rPr>
          <w:sz w:val="20"/>
          <w:szCs w:val="20"/>
          <w:color w:val="auto"/>
        </w:rPr>
      </w:pPr>
    </w:p>
    <w:p>
      <w:pPr>
        <w:ind w:left="620" w:hanging="617"/>
        <w:spacing w:after="0"/>
        <w:tabs>
          <w:tab w:leader="none" w:pos="620" w:val="left"/>
        </w:tabs>
        <w:numPr>
          <w:ilvl w:val="0"/>
          <w:numId w:val="84"/>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52970" cy="247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5" w:name="page66"/>
    <w:bookmarkEnd w:id="65"/>
    <w:p>
      <w:pPr>
        <w:ind w:left="140" w:hanging="137"/>
        <w:spacing w:after="0" w:line="250" w:lineRule="auto"/>
        <w:tabs>
          <w:tab w:leader="none" w:pos="140" w:val="left"/>
        </w:tabs>
        <w:numPr>
          <w:ilvl w:val="0"/>
          <w:numId w:val="85"/>
        </w:numPr>
        <w:rPr>
          <w:rFonts w:ascii="Arial" w:cs="Arial" w:eastAsia="Arial" w:hAnsi="Arial"/>
          <w:sz w:val="17"/>
          <w:szCs w:val="17"/>
          <w:color w:val="4C8ABF"/>
        </w:rPr>
      </w:pPr>
      <w:r>
        <w:rPr>
          <w:rFonts w:ascii="Arial" w:cs="Arial" w:eastAsia="Arial" w:hAnsi="Arial"/>
          <w:sz w:val="17"/>
          <w:szCs w:val="17"/>
          <w:color w:val="373535"/>
        </w:rPr>
        <w:t>our acquisitions of two entities in April 2012, one in Southern Europe and one in the Americas, and one entity in April 2013 in Northern Europe, which combined to add 0.3% of revenue growth to our consolidated results.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 gross profit margin remained flat year-over-year as the 10 basis point (0.10%) favorable impact from the improvement in our staffing/interim margin was offset by a 10 basis point (–0.10%) unfavorable impact resulting from the 7.3% year-over-year decline in our permanent recruitment business. Our staffing/interim margins improved slightly in 2013 as the increases in the United States and Southern Europe, due to the benefit of the CICE payroll tax credit, were offset by lower gross profit margins in many European and APME markets and a social security reserve recorded in France.</w:t>
      </w:r>
    </w:p>
    <w:p>
      <w:pPr>
        <w:spacing w:after="0" w:line="36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373535"/>
        </w:rPr>
        <w:t>The 5.8% decline in selling and administrative expenses in 2013 (–5.7% in constant currency and –6.0% in organic constant currency) was attributed to:</w:t>
      </w:r>
    </w:p>
    <w:p>
      <w:pPr>
        <w:spacing w:after="0" w:line="355" w:lineRule="exact"/>
        <w:rPr>
          <w:sz w:val="20"/>
          <w:szCs w:val="20"/>
          <w:color w:val="auto"/>
        </w:rPr>
      </w:pPr>
    </w:p>
    <w:p>
      <w:pPr>
        <w:ind w:left="140" w:hanging="137"/>
        <w:spacing w:after="0"/>
        <w:tabs>
          <w:tab w:leader="none" w:pos="140" w:val="left"/>
        </w:tabs>
        <w:numPr>
          <w:ilvl w:val="0"/>
          <w:numId w:val="86"/>
        </w:numPr>
        <w:rPr>
          <w:rFonts w:ascii="Arial" w:cs="Arial" w:eastAsia="Arial" w:hAnsi="Arial"/>
          <w:sz w:val="17"/>
          <w:szCs w:val="17"/>
          <w:color w:val="4C8ABF"/>
        </w:rPr>
      </w:pPr>
      <w:r>
        <w:rPr>
          <w:rFonts w:ascii="Arial" w:cs="Arial" w:eastAsia="Arial" w:hAnsi="Arial"/>
          <w:sz w:val="17"/>
          <w:szCs w:val="17"/>
          <w:color w:val="373535"/>
        </w:rPr>
        <w:t>a 6.1% decrease in our organic salary-related costs, because of lower headcount;</w:t>
      </w:r>
    </w:p>
    <w:p>
      <w:pPr>
        <w:spacing w:after="0" w:line="165" w:lineRule="exact"/>
        <w:rPr>
          <w:rFonts w:ascii="Arial" w:cs="Arial" w:eastAsia="Arial" w:hAnsi="Arial"/>
          <w:sz w:val="17"/>
          <w:szCs w:val="17"/>
          <w:color w:val="4C8ABF"/>
        </w:rPr>
      </w:pPr>
    </w:p>
    <w:p>
      <w:pPr>
        <w:ind w:left="140" w:hanging="137"/>
        <w:spacing w:after="0"/>
        <w:tabs>
          <w:tab w:leader="none" w:pos="140" w:val="left"/>
        </w:tabs>
        <w:numPr>
          <w:ilvl w:val="0"/>
          <w:numId w:val="86"/>
        </w:numPr>
        <w:rPr>
          <w:rFonts w:ascii="Arial" w:cs="Arial" w:eastAsia="Arial" w:hAnsi="Arial"/>
          <w:sz w:val="17"/>
          <w:szCs w:val="17"/>
          <w:color w:val="4C8ABF"/>
        </w:rPr>
      </w:pPr>
      <w:r>
        <w:rPr>
          <w:rFonts w:ascii="Arial" w:cs="Arial" w:eastAsia="Arial" w:hAnsi="Arial"/>
          <w:sz w:val="17"/>
          <w:szCs w:val="17"/>
          <w:color w:val="373535"/>
        </w:rPr>
        <w:t>a 6.3% decrease in lease costs because we closed over 300 offices in 2013, as a result of office consolidations and delivery model changes;</w:t>
      </w:r>
    </w:p>
    <w:p>
      <w:pPr>
        <w:spacing w:after="0" w:line="178"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6"/>
        </w:numPr>
        <w:rPr>
          <w:rFonts w:ascii="Arial" w:cs="Arial" w:eastAsia="Arial" w:hAnsi="Arial"/>
          <w:sz w:val="17"/>
          <w:szCs w:val="17"/>
          <w:color w:val="4C8ABF"/>
        </w:rPr>
      </w:pPr>
      <w:r>
        <w:rPr>
          <w:rFonts w:ascii="Arial" w:cs="Arial" w:eastAsia="Arial" w:hAnsi="Arial"/>
          <w:sz w:val="17"/>
          <w:szCs w:val="17"/>
          <w:color w:val="373535"/>
        </w:rPr>
        <w:t>a decrease in legal costs in 2013 compared to 2012, primarily related to the $10 million settlement agreement in 2012 in connection with a lawsuit involving allegations regarding the Company’s vacation pay practices in Illinois; and</w:t>
      </w:r>
    </w:p>
    <w:p>
      <w:pPr>
        <w:spacing w:after="0" w:line="147"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6"/>
        </w:numPr>
        <w:rPr>
          <w:rFonts w:ascii="Arial" w:cs="Arial" w:eastAsia="Arial" w:hAnsi="Arial"/>
          <w:sz w:val="17"/>
          <w:szCs w:val="17"/>
          <w:color w:val="4C8ABF"/>
        </w:rPr>
      </w:pPr>
      <w:r>
        <w:rPr>
          <w:rFonts w:ascii="Arial" w:cs="Arial" w:eastAsia="Arial" w:hAnsi="Arial"/>
          <w:sz w:val="17"/>
          <w:szCs w:val="17"/>
          <w:color w:val="373535"/>
        </w:rPr>
        <w:t>a 10.5% decrease in non-personnel related costs, excluding legal and lease costs noted above, as a result of the simplification and cost recalibration actions taken; partially offset by</w:t>
      </w:r>
    </w:p>
    <w:p>
      <w:pPr>
        <w:spacing w:after="0" w:line="147" w:lineRule="exact"/>
        <w:rPr>
          <w:rFonts w:ascii="Arial" w:cs="Arial" w:eastAsia="Arial" w:hAnsi="Arial"/>
          <w:sz w:val="17"/>
          <w:szCs w:val="17"/>
          <w:color w:val="4C8ABF"/>
        </w:rPr>
      </w:pPr>
    </w:p>
    <w:p>
      <w:pPr>
        <w:jc w:val="both"/>
        <w:ind w:left="140" w:hanging="137"/>
        <w:spacing w:after="0" w:line="241" w:lineRule="auto"/>
        <w:tabs>
          <w:tab w:leader="none" w:pos="140" w:val="left"/>
        </w:tabs>
        <w:numPr>
          <w:ilvl w:val="0"/>
          <w:numId w:val="86"/>
        </w:numPr>
        <w:rPr>
          <w:rFonts w:ascii="Arial" w:cs="Arial" w:eastAsia="Arial" w:hAnsi="Arial"/>
          <w:sz w:val="17"/>
          <w:szCs w:val="17"/>
          <w:color w:val="4C8ABF"/>
        </w:rPr>
      </w:pPr>
      <w:r>
        <w:rPr>
          <w:rFonts w:ascii="Arial" w:cs="Arial" w:eastAsia="Arial" w:hAnsi="Arial"/>
          <w:sz w:val="17"/>
          <w:szCs w:val="17"/>
          <w:color w:val="373535"/>
        </w:rPr>
        <w:t>restructuring costs of $89.4 million, comprised of $18.0 million in the Americas, $7.8 million in Southern Europe, $39.0 million in Northern Europe, $6.2 million in APME, $14.0 million at Right Management and $4.4 million in corporate expenses in 2013, compared to restructuring costs of $48.8 million, comprised of $9.8 million in the Americas, $3.8 million in Southern Europe, $13.2 million in Northern Europe, $0.7 million in APME, $10.9 million at Right Management and $10.4 million in corporate expenses in 2012; and</w:t>
      </w:r>
    </w:p>
    <w:p>
      <w:pPr>
        <w:spacing w:after="0" w:line="169" w:lineRule="exact"/>
        <w:rPr>
          <w:rFonts w:ascii="Arial" w:cs="Arial" w:eastAsia="Arial" w:hAnsi="Arial"/>
          <w:sz w:val="17"/>
          <w:szCs w:val="17"/>
          <w:color w:val="4C8ABF"/>
        </w:rPr>
      </w:pPr>
    </w:p>
    <w:p>
      <w:pPr>
        <w:ind w:left="140" w:hanging="137"/>
        <w:spacing w:after="0"/>
        <w:tabs>
          <w:tab w:leader="none" w:pos="140" w:val="left"/>
        </w:tabs>
        <w:numPr>
          <w:ilvl w:val="0"/>
          <w:numId w:val="86"/>
        </w:numPr>
        <w:rPr>
          <w:rFonts w:ascii="Arial" w:cs="Arial" w:eastAsia="Arial" w:hAnsi="Arial"/>
          <w:sz w:val="17"/>
          <w:szCs w:val="17"/>
          <w:color w:val="4C8ABF"/>
        </w:rPr>
      </w:pPr>
      <w:r>
        <w:rPr>
          <w:rFonts w:ascii="Arial" w:cs="Arial" w:eastAsia="Arial" w:hAnsi="Arial"/>
          <w:sz w:val="17"/>
          <w:szCs w:val="17"/>
          <w:color w:val="373535"/>
        </w:rPr>
        <w:t>the additional recurring selling and administrative costs as a result of the acquisitions in Southern Europe, Northern Europe and the Americas.</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Selling and administrative expenses as a percent of revenues decreased 60 basis points (-0.60%) in 2013 compared to 2012. The change in selling and administrative expense as a percent of revenues consists of:</w:t>
      </w:r>
    </w:p>
    <w:p>
      <w:pPr>
        <w:spacing w:after="0" w:line="148" w:lineRule="exact"/>
        <w:rPr>
          <w:sz w:val="20"/>
          <w:szCs w:val="20"/>
          <w:color w:val="auto"/>
        </w:rPr>
      </w:pPr>
    </w:p>
    <w:p>
      <w:pPr>
        <w:ind w:left="140" w:hanging="137"/>
        <w:spacing w:after="0"/>
        <w:tabs>
          <w:tab w:leader="none" w:pos="140" w:val="left"/>
        </w:tabs>
        <w:numPr>
          <w:ilvl w:val="0"/>
          <w:numId w:val="87"/>
        </w:numPr>
        <w:rPr>
          <w:rFonts w:ascii="Arial" w:cs="Arial" w:eastAsia="Arial" w:hAnsi="Arial"/>
          <w:sz w:val="17"/>
          <w:szCs w:val="17"/>
          <w:color w:val="4C8ABF"/>
        </w:rPr>
      </w:pPr>
      <w:r>
        <w:rPr>
          <w:rFonts w:ascii="Arial" w:cs="Arial" w:eastAsia="Arial" w:hAnsi="Arial"/>
          <w:sz w:val="17"/>
          <w:szCs w:val="17"/>
          <w:color w:val="373535"/>
        </w:rPr>
        <w:t>a 50 basis point (–0.50%) favorable impact due to the decrease in our organic salary-related costs and lease costs;</w:t>
      </w:r>
    </w:p>
    <w:p>
      <w:pPr>
        <w:spacing w:after="0" w:line="178"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7"/>
        </w:numPr>
        <w:rPr>
          <w:rFonts w:ascii="Arial" w:cs="Arial" w:eastAsia="Arial" w:hAnsi="Arial"/>
          <w:sz w:val="17"/>
          <w:szCs w:val="17"/>
          <w:color w:val="4C8ABF"/>
        </w:rPr>
      </w:pPr>
      <w:r>
        <w:rPr>
          <w:rFonts w:ascii="Arial" w:cs="Arial" w:eastAsia="Arial" w:hAnsi="Arial"/>
          <w:sz w:val="17"/>
          <w:szCs w:val="17"/>
          <w:color w:val="373535"/>
        </w:rPr>
        <w:t>a 20 basis point (–0.20%) favorable impact due to the decrease of non-personnel related costs, excluding legal and lease costs noted above, as a result of the simplification and cost recalibration actions taken; and</w:t>
      </w:r>
    </w:p>
    <w:p>
      <w:pPr>
        <w:spacing w:after="0" w:line="147" w:lineRule="exact"/>
        <w:rPr>
          <w:rFonts w:ascii="Arial" w:cs="Arial" w:eastAsia="Arial" w:hAnsi="Arial"/>
          <w:sz w:val="17"/>
          <w:szCs w:val="17"/>
          <w:color w:val="4C8ABF"/>
        </w:rPr>
      </w:pPr>
    </w:p>
    <w:p>
      <w:pPr>
        <w:ind w:left="140" w:hanging="137"/>
        <w:spacing w:after="0"/>
        <w:tabs>
          <w:tab w:leader="none" w:pos="140" w:val="left"/>
        </w:tabs>
        <w:numPr>
          <w:ilvl w:val="0"/>
          <w:numId w:val="87"/>
        </w:numPr>
        <w:rPr>
          <w:rFonts w:ascii="Arial" w:cs="Arial" w:eastAsia="Arial" w:hAnsi="Arial"/>
          <w:sz w:val="17"/>
          <w:szCs w:val="17"/>
          <w:color w:val="4C8ABF"/>
        </w:rPr>
      </w:pPr>
      <w:r>
        <w:rPr>
          <w:rFonts w:ascii="Arial" w:cs="Arial" w:eastAsia="Arial" w:hAnsi="Arial"/>
          <w:sz w:val="17"/>
          <w:szCs w:val="17"/>
          <w:color w:val="373535"/>
        </w:rPr>
        <w:t>a 10 basis point (–0.10%) favorable impact due to the decrease in legal costs as noted above; partially offset by</w:t>
      </w:r>
    </w:p>
    <w:p>
      <w:pPr>
        <w:spacing w:after="0" w:line="165" w:lineRule="exact"/>
        <w:rPr>
          <w:rFonts w:ascii="Arial" w:cs="Arial" w:eastAsia="Arial" w:hAnsi="Arial"/>
          <w:sz w:val="17"/>
          <w:szCs w:val="17"/>
          <w:color w:val="4C8ABF"/>
        </w:rPr>
      </w:pPr>
    </w:p>
    <w:p>
      <w:pPr>
        <w:ind w:left="140" w:hanging="137"/>
        <w:spacing w:after="0"/>
        <w:tabs>
          <w:tab w:leader="none" w:pos="140" w:val="left"/>
        </w:tabs>
        <w:numPr>
          <w:ilvl w:val="0"/>
          <w:numId w:val="87"/>
        </w:numPr>
        <w:rPr>
          <w:rFonts w:ascii="Arial" w:cs="Arial" w:eastAsia="Arial" w:hAnsi="Arial"/>
          <w:sz w:val="17"/>
          <w:szCs w:val="17"/>
          <w:color w:val="4C8ABF"/>
        </w:rPr>
      </w:pPr>
      <w:r>
        <w:rPr>
          <w:rFonts w:ascii="Arial" w:cs="Arial" w:eastAsia="Arial" w:hAnsi="Arial"/>
          <w:sz w:val="17"/>
          <w:szCs w:val="17"/>
          <w:color w:val="373535"/>
        </w:rPr>
        <w:t>a 20 basis point (0.20%) increase due to the restructuring costs of $89.4 million in 2013 compared to $48.8 million in 2012.</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Interest and other expenses are comprised of interest, foreign exchange gains and losses and other miscellaneous non-operating income and expenses. Interest and other expenses were $36.4 million in 2013 compared to $43.3 million in 2012. Net interest expense decreased $1.8 million in 2013 to $33.4 million from $35.2 million in 2012 due to lower debt levels as we repaid our €200 million Notes in June 2013 with cash. Other expenses were $3.0 million in 2013 compared to $8.1 million in 2012. This decrease is due partly to the increase in equity investment income in 2013 compared to 2012, primarily related to a gain on sale of investments by our minority-owned Swiss Franchise recorded in 2013.</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recorded an income tax expense at an effective rate of 39.4% in 2013, as compared to an effective rate of 46.4% in 2012. The 2013 rate was favorably impacted by a change in the overall mix of earnings, primarily an increase to non-U.S. income, utilization of net operating losses, and by the reinstatement of the United States Federal Work Opportunity Credit (“WOTC”). The WOTC was retroactively reinstated to January 1, 2012 as part of the American Taxpayer Relief Act, which was enacted on January 2, 2013. We recognized the $7.0 million tax benefit related to 2012 during the first quarter of 2013, the period during which the law was enacted. The American Taxpayer Relief Act also extended the WOTC through December 31, 2013. The 39.4% rate is higher than the U.S. Federal statutory rate of 35% due primarily to the French business tax and other permanent items.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Net earnings per share — diluted was $3.62 in 2013 compared to $2.47 in 2012. Foreign currency exchange rates unfavorably impacted net earnings per share — diluted by approximately $0.01 in 2013.</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Weighted average shares — diluted decreased 0.7% to 79.6 million in 2013 from 80.1 million in 2012. This decrease is the result of the full -year impact of share repurchases we made in 2012, partially offset by an increase in the dilutive effect of share-based awards due to the exercises in 2013 and the increase in our share price.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29</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CONSOLIDATED RESULTS — 2012 COMPARED TO 2011</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373535"/>
        </w:rPr>
        <w:t>The following table presents selected consolidated financial data for 2012 as compared to 2011.</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239"/>
              <w:spacing w:after="0"/>
              <w:rPr>
                <w:sz w:val="20"/>
                <w:szCs w:val="20"/>
                <w:color w:val="auto"/>
              </w:rPr>
            </w:pPr>
            <w:r>
              <w:rPr>
                <w:rFonts w:ascii="Arial" w:cs="Arial" w:eastAsia="Arial" w:hAnsi="Arial"/>
                <w:sz w:val="14"/>
                <w:szCs w:val="14"/>
                <w:color w:val="76AD9A"/>
              </w:rPr>
              <w:t>Variance in</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76AD9A"/>
              </w:rPr>
              <w:t>Variance in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40" w:type="dxa"/>
            <w:vAlign w:val="bottom"/>
          </w:tcPr>
          <w:p>
            <w:pPr>
              <w:jc w:val="right"/>
              <w:ind w:right="336"/>
              <w:spacing w:after="0" w:line="151" w:lineRule="exact"/>
              <w:rPr>
                <w:sz w:val="20"/>
                <w:szCs w:val="20"/>
                <w:color w:val="auto"/>
              </w:rPr>
            </w:pPr>
            <w:r>
              <w:rPr>
                <w:rFonts w:ascii="Arial" w:cs="Arial" w:eastAsia="Arial" w:hAnsi="Arial"/>
                <w:sz w:val="14"/>
                <w:szCs w:val="14"/>
                <w:color w:val="76AD9A"/>
              </w:rPr>
              <w:t>Reported</w:t>
            </w:r>
          </w:p>
        </w:tc>
        <w:tc>
          <w:tcPr>
            <w:tcW w:w="1200" w:type="dxa"/>
            <w:vAlign w:val="bottom"/>
          </w:tcPr>
          <w:p>
            <w:pPr>
              <w:jc w:val="right"/>
              <w:ind w:right="239"/>
              <w:spacing w:after="0" w:line="151" w:lineRule="exact"/>
              <w:rPr>
                <w:sz w:val="20"/>
                <w:szCs w:val="20"/>
                <w:color w:val="auto"/>
              </w:rPr>
            </w:pPr>
            <w:r>
              <w:rPr>
                <w:rFonts w:ascii="Arial" w:cs="Arial" w:eastAsia="Arial" w:hAnsi="Arial"/>
                <w:sz w:val="14"/>
                <w:szCs w:val="14"/>
                <w:color w:val="76AD9A"/>
              </w:rPr>
              <w:t>Constant</w:t>
            </w:r>
          </w:p>
        </w:tc>
        <w:tc>
          <w:tcPr>
            <w:tcW w:w="140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76AD9A"/>
              </w:rPr>
              <w:t>Organic Constant</w:t>
            </w:r>
          </w:p>
        </w:tc>
        <w:tc>
          <w:tcPr>
            <w:tcW w:w="0" w:type="dxa"/>
            <w:vAlign w:val="bottom"/>
          </w:tcPr>
          <w:p>
            <w:pPr>
              <w:spacing w:after="0"/>
              <w:rPr>
                <w:sz w:val="1"/>
                <w:szCs w:val="1"/>
                <w:color w:val="auto"/>
              </w:rPr>
            </w:pPr>
          </w:p>
        </w:tc>
      </w:tr>
      <w:tr>
        <w:trPr>
          <w:trHeight w:val="155"/>
        </w:trPr>
        <w:tc>
          <w:tcPr>
            <w:tcW w:w="4640" w:type="dxa"/>
            <w:vAlign w:val="bottom"/>
            <w:gridSpan w:val="2"/>
          </w:tcPr>
          <w:p>
            <w:pPr>
              <w:spacing w:after="0" w:line="155" w:lineRule="exact"/>
              <w:rPr>
                <w:sz w:val="20"/>
                <w:szCs w:val="20"/>
                <w:color w:val="auto"/>
              </w:rPr>
            </w:pPr>
            <w:r>
              <w:rPr>
                <w:rFonts w:ascii="Arial" w:cs="Arial" w:eastAsia="Arial" w:hAnsi="Arial"/>
                <w:sz w:val="14"/>
                <w:szCs w:val="14"/>
                <w:color w:val="76AD9A"/>
              </w:rPr>
              <w:t>(in millions, except per share data)</w:t>
            </w:r>
          </w:p>
        </w:tc>
        <w:tc>
          <w:tcPr>
            <w:tcW w:w="220" w:type="dxa"/>
            <w:vAlign w:val="bottom"/>
            <w:shd w:val="clear" w:color="auto" w:fill="76AD9A"/>
          </w:tcPr>
          <w:p>
            <w:pPr>
              <w:spacing w:after="0"/>
              <w:rPr>
                <w:sz w:val="13"/>
                <w:szCs w:val="13"/>
                <w:color w:val="auto"/>
              </w:rPr>
            </w:pPr>
          </w:p>
        </w:tc>
        <w:tc>
          <w:tcPr>
            <w:tcW w:w="1120" w:type="dxa"/>
            <w:vAlign w:val="bottom"/>
            <w:shd w:val="clear" w:color="auto" w:fill="76AD9A"/>
          </w:tcPr>
          <w:p>
            <w:pPr>
              <w:jc w:val="right"/>
              <w:ind w:right="115"/>
              <w:spacing w:after="0" w:line="155" w:lineRule="exact"/>
              <w:rPr>
                <w:sz w:val="20"/>
                <w:szCs w:val="20"/>
                <w:color w:val="auto"/>
              </w:rPr>
            </w:pPr>
            <w:r>
              <w:rPr>
                <w:rFonts w:ascii="Arial" w:cs="Arial" w:eastAsia="Arial" w:hAnsi="Arial"/>
                <w:sz w:val="14"/>
                <w:szCs w:val="14"/>
                <w:color w:val="FFFFFF"/>
              </w:rPr>
              <w:t>2012</w:t>
            </w:r>
          </w:p>
        </w:tc>
        <w:tc>
          <w:tcPr>
            <w:tcW w:w="420" w:type="dxa"/>
            <w:vAlign w:val="bottom"/>
          </w:tcPr>
          <w:p>
            <w:pPr>
              <w:spacing w:after="0"/>
              <w:rPr>
                <w:sz w:val="13"/>
                <w:szCs w:val="13"/>
                <w:color w:val="auto"/>
              </w:rPr>
            </w:pPr>
          </w:p>
        </w:tc>
        <w:tc>
          <w:tcPr>
            <w:tcW w:w="1180" w:type="dxa"/>
            <w:vAlign w:val="bottom"/>
          </w:tcPr>
          <w:p>
            <w:pPr>
              <w:jc w:val="right"/>
              <w:ind w:right="295"/>
              <w:spacing w:after="0" w:line="155" w:lineRule="exact"/>
              <w:rPr>
                <w:sz w:val="20"/>
                <w:szCs w:val="20"/>
                <w:color w:val="auto"/>
              </w:rPr>
            </w:pPr>
            <w:r>
              <w:rPr>
                <w:rFonts w:ascii="Arial" w:cs="Arial" w:eastAsia="Arial" w:hAnsi="Arial"/>
                <w:sz w:val="14"/>
                <w:szCs w:val="14"/>
                <w:color w:val="76AD9A"/>
              </w:rPr>
              <w:t>2011</w:t>
            </w:r>
          </w:p>
        </w:tc>
        <w:tc>
          <w:tcPr>
            <w:tcW w:w="1240" w:type="dxa"/>
            <w:vAlign w:val="bottom"/>
          </w:tcPr>
          <w:p>
            <w:pPr>
              <w:jc w:val="right"/>
              <w:ind w:right="336"/>
              <w:spacing w:after="0" w:line="155" w:lineRule="exact"/>
              <w:rPr>
                <w:sz w:val="20"/>
                <w:szCs w:val="20"/>
                <w:color w:val="auto"/>
              </w:rPr>
            </w:pPr>
            <w:r>
              <w:rPr>
                <w:rFonts w:ascii="Arial" w:cs="Arial" w:eastAsia="Arial" w:hAnsi="Arial"/>
                <w:sz w:val="14"/>
                <w:szCs w:val="14"/>
                <w:color w:val="76AD9A"/>
              </w:rPr>
              <w:t>Variance</w:t>
            </w:r>
          </w:p>
        </w:tc>
        <w:tc>
          <w:tcPr>
            <w:tcW w:w="1200" w:type="dxa"/>
            <w:vAlign w:val="bottom"/>
          </w:tcPr>
          <w:p>
            <w:pPr>
              <w:jc w:val="right"/>
              <w:ind w:right="239"/>
              <w:spacing w:after="0" w:line="155" w:lineRule="exact"/>
              <w:rPr>
                <w:sz w:val="20"/>
                <w:szCs w:val="20"/>
                <w:color w:val="auto"/>
              </w:rPr>
            </w:pPr>
            <w:r>
              <w:rPr>
                <w:rFonts w:ascii="Arial" w:cs="Arial" w:eastAsia="Arial" w:hAnsi="Arial"/>
                <w:sz w:val="14"/>
                <w:szCs w:val="14"/>
                <w:color w:val="76AD9A"/>
              </w:rPr>
              <w:t>Currency</w:t>
            </w:r>
          </w:p>
        </w:tc>
        <w:tc>
          <w:tcPr>
            <w:tcW w:w="14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76AD9A"/>
              </w:rPr>
              <w:t>Currency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76AD9A"/>
          </w:tcPr>
          <w:p>
            <w:pPr>
              <w:spacing w:after="0" w:line="20" w:lineRule="exact"/>
              <w:rPr>
                <w:sz w:val="1"/>
                <w:szCs w:val="1"/>
                <w:color w:val="auto"/>
              </w:rPr>
            </w:pPr>
          </w:p>
        </w:tc>
        <w:tc>
          <w:tcPr>
            <w:tcW w:w="220" w:type="dxa"/>
            <w:vAlign w:val="bottom"/>
            <w:shd w:val="clear" w:color="auto" w:fill="76AD9A"/>
          </w:tcPr>
          <w:p>
            <w:pPr>
              <w:spacing w:after="0" w:line="20" w:lineRule="exact"/>
              <w:rPr>
                <w:sz w:val="1"/>
                <w:szCs w:val="1"/>
                <w:color w:val="auto"/>
              </w:rPr>
            </w:pPr>
          </w:p>
        </w:tc>
        <w:tc>
          <w:tcPr>
            <w:tcW w:w="1120" w:type="dxa"/>
            <w:vAlign w:val="bottom"/>
            <w:shd w:val="clear" w:color="auto" w:fill="76AD9A"/>
          </w:tcPr>
          <w:p>
            <w:pPr>
              <w:spacing w:after="0" w:line="20" w:lineRule="exact"/>
              <w:rPr>
                <w:sz w:val="1"/>
                <w:szCs w:val="1"/>
                <w:color w:val="auto"/>
              </w:rPr>
            </w:pPr>
          </w:p>
        </w:tc>
        <w:tc>
          <w:tcPr>
            <w:tcW w:w="420" w:type="dxa"/>
            <w:vAlign w:val="bottom"/>
            <w:shd w:val="clear" w:color="auto" w:fill="76AD9A"/>
          </w:tcPr>
          <w:p>
            <w:pPr>
              <w:spacing w:after="0" w:line="20" w:lineRule="exact"/>
              <w:rPr>
                <w:sz w:val="1"/>
                <w:szCs w:val="1"/>
                <w:color w:val="auto"/>
              </w:rPr>
            </w:pPr>
          </w:p>
        </w:tc>
        <w:tc>
          <w:tcPr>
            <w:tcW w:w="1180" w:type="dxa"/>
            <w:vAlign w:val="bottom"/>
            <w:shd w:val="clear" w:color="auto" w:fill="76AD9A"/>
          </w:tcPr>
          <w:p>
            <w:pPr>
              <w:spacing w:after="0" w:line="20" w:lineRule="exact"/>
              <w:rPr>
                <w:sz w:val="1"/>
                <w:szCs w:val="1"/>
                <w:color w:val="auto"/>
              </w:rPr>
            </w:pPr>
          </w:p>
        </w:tc>
        <w:tc>
          <w:tcPr>
            <w:tcW w:w="1240" w:type="dxa"/>
            <w:vAlign w:val="bottom"/>
            <w:shd w:val="clear" w:color="auto" w:fill="76AD9A"/>
          </w:tcPr>
          <w:p>
            <w:pPr>
              <w:spacing w:after="0" w:line="20" w:lineRule="exact"/>
              <w:rPr>
                <w:sz w:val="1"/>
                <w:szCs w:val="1"/>
                <w:color w:val="auto"/>
              </w:rPr>
            </w:pPr>
          </w:p>
        </w:tc>
        <w:tc>
          <w:tcPr>
            <w:tcW w:w="1200" w:type="dxa"/>
            <w:vAlign w:val="bottom"/>
            <w:shd w:val="clear" w:color="auto" w:fill="76AD9A"/>
          </w:tcPr>
          <w:p>
            <w:pPr>
              <w:spacing w:after="0" w:line="20" w:lineRule="exact"/>
              <w:rPr>
                <w:sz w:val="1"/>
                <w:szCs w:val="1"/>
                <w:color w:val="auto"/>
              </w:rPr>
            </w:pPr>
          </w:p>
        </w:tc>
        <w:tc>
          <w:tcPr>
            <w:tcW w:w="1180" w:type="dxa"/>
            <w:vAlign w:val="bottom"/>
            <w:shd w:val="clear" w:color="auto" w:fill="76AD9A"/>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620" w:type="dxa"/>
            <w:vAlign w:val="bottom"/>
          </w:tcPr>
          <w:p>
            <w:pPr>
              <w:spacing w:after="0" w:line="185" w:lineRule="exact"/>
              <w:rPr>
                <w:sz w:val="20"/>
                <w:szCs w:val="20"/>
                <w:color w:val="auto"/>
              </w:rPr>
            </w:pPr>
            <w:r>
              <w:rPr>
                <w:rFonts w:ascii="Arial" w:cs="Arial" w:eastAsia="Arial" w:hAnsi="Arial"/>
                <w:sz w:val="17"/>
                <w:szCs w:val="17"/>
                <w:color w:val="373535"/>
              </w:rPr>
              <w:t>Revenues from services</w:t>
            </w:r>
          </w:p>
        </w:tc>
        <w:tc>
          <w:tcPr>
            <w:tcW w:w="220" w:type="dxa"/>
            <w:vAlign w:val="bottom"/>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120" w:type="dxa"/>
            <w:vAlign w:val="bottom"/>
            <w:shd w:val="clear" w:color="auto" w:fill="EEF5F2"/>
          </w:tcPr>
          <w:p>
            <w:pPr>
              <w:jc w:val="right"/>
              <w:ind w:right="115"/>
              <w:spacing w:after="0" w:line="185" w:lineRule="exact"/>
              <w:rPr>
                <w:sz w:val="20"/>
                <w:szCs w:val="20"/>
                <w:color w:val="auto"/>
              </w:rPr>
            </w:pPr>
            <w:r>
              <w:rPr>
                <w:rFonts w:ascii="Arial" w:cs="Arial" w:eastAsia="Arial" w:hAnsi="Arial"/>
                <w:sz w:val="17"/>
                <w:szCs w:val="17"/>
                <w:color w:val="76AD9A"/>
              </w:rPr>
              <w:t>20,678.0</w:t>
            </w:r>
          </w:p>
        </w:tc>
        <w:tc>
          <w:tcPr>
            <w:tcW w:w="420" w:type="dxa"/>
            <w:vAlign w:val="bottom"/>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1180" w:type="dxa"/>
            <w:vAlign w:val="bottom"/>
          </w:tcPr>
          <w:p>
            <w:pPr>
              <w:jc w:val="right"/>
              <w:ind w:right="295"/>
              <w:spacing w:after="0" w:line="185" w:lineRule="exact"/>
              <w:rPr>
                <w:sz w:val="20"/>
                <w:szCs w:val="20"/>
                <w:color w:val="auto"/>
              </w:rPr>
            </w:pPr>
            <w:r>
              <w:rPr>
                <w:rFonts w:ascii="Arial" w:cs="Arial" w:eastAsia="Arial" w:hAnsi="Arial"/>
                <w:sz w:val="17"/>
                <w:szCs w:val="17"/>
                <w:color w:val="373535"/>
              </w:rPr>
              <w:t>22,006.0</w:t>
            </w:r>
          </w:p>
        </w:tc>
        <w:tc>
          <w:tcPr>
            <w:tcW w:w="1240" w:type="dxa"/>
            <w:vAlign w:val="bottom"/>
          </w:tcPr>
          <w:p>
            <w:pPr>
              <w:jc w:val="right"/>
              <w:ind w:right="136"/>
              <w:spacing w:after="0" w:line="185" w:lineRule="exact"/>
              <w:rPr>
                <w:sz w:val="20"/>
                <w:szCs w:val="20"/>
                <w:color w:val="auto"/>
              </w:rPr>
            </w:pPr>
            <w:r>
              <w:rPr>
                <w:rFonts w:ascii="Arial" w:cs="Arial" w:eastAsia="Arial" w:hAnsi="Arial"/>
                <w:sz w:val="17"/>
                <w:szCs w:val="17"/>
                <w:color w:val="373535"/>
              </w:rPr>
              <w:t>(6.0)%</w:t>
            </w:r>
          </w:p>
        </w:tc>
        <w:tc>
          <w:tcPr>
            <w:tcW w:w="1200" w:type="dxa"/>
            <w:vAlign w:val="bottom"/>
          </w:tcPr>
          <w:p>
            <w:pPr>
              <w:jc w:val="right"/>
              <w:ind w:right="19"/>
              <w:spacing w:after="0" w:line="185" w:lineRule="exact"/>
              <w:rPr>
                <w:sz w:val="20"/>
                <w:szCs w:val="20"/>
                <w:color w:val="auto"/>
              </w:rPr>
            </w:pPr>
            <w:r>
              <w:rPr>
                <w:rFonts w:ascii="Arial" w:cs="Arial" w:eastAsia="Arial" w:hAnsi="Arial"/>
                <w:sz w:val="17"/>
                <w:szCs w:val="17"/>
                <w:color w:val="373535"/>
              </w:rPr>
              <w:t>(1.4)%</w:t>
            </w:r>
          </w:p>
        </w:tc>
        <w:tc>
          <w:tcPr>
            <w:tcW w:w="1400" w:type="dxa"/>
            <w:vAlign w:val="bottom"/>
            <w:gridSpan w:val="2"/>
          </w:tcPr>
          <w:p>
            <w:pPr>
              <w:jc w:val="right"/>
              <w:spacing w:after="0" w:line="185" w:lineRule="exact"/>
              <w:rPr>
                <w:sz w:val="20"/>
                <w:szCs w:val="20"/>
                <w:color w:val="auto"/>
              </w:rPr>
            </w:pPr>
            <w:r>
              <w:rPr>
                <w:rFonts w:ascii="Arial" w:cs="Arial" w:eastAsia="Arial" w:hAnsi="Arial"/>
                <w:sz w:val="17"/>
                <w:szCs w:val="17"/>
                <w:color w:val="373535"/>
              </w:rPr>
              <w:t>(2.0)%</w:t>
            </w:r>
          </w:p>
        </w:tc>
        <w:tc>
          <w:tcPr>
            <w:tcW w:w="0" w:type="dxa"/>
            <w:vAlign w:val="bottom"/>
          </w:tcPr>
          <w:p>
            <w:pPr>
              <w:spacing w:after="0"/>
              <w:rPr>
                <w:sz w:val="1"/>
                <w:szCs w:val="1"/>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Cost of services</w:t>
            </w:r>
          </w:p>
        </w:tc>
        <w:tc>
          <w:tcPr>
            <w:tcW w:w="220" w:type="dxa"/>
            <w:vAlign w:val="bottom"/>
            <w:shd w:val="clear" w:color="auto" w:fill="EEF5F2"/>
          </w:tcPr>
          <w:p>
            <w:pPr>
              <w:spacing w:after="0"/>
              <w:rPr>
                <w:sz w:val="16"/>
                <w:szCs w:val="16"/>
                <w:color w:val="auto"/>
              </w:rPr>
            </w:pPr>
          </w:p>
        </w:tc>
        <w:tc>
          <w:tcPr>
            <w:tcW w:w="1120" w:type="dxa"/>
            <w:vAlign w:val="bottom"/>
            <w:shd w:val="clear" w:color="auto" w:fill="EEF5F2"/>
          </w:tcPr>
          <w:p>
            <w:pPr>
              <w:jc w:val="right"/>
              <w:ind w:right="115"/>
              <w:spacing w:after="0" w:line="194" w:lineRule="exact"/>
              <w:rPr>
                <w:sz w:val="20"/>
                <w:szCs w:val="20"/>
                <w:color w:val="auto"/>
              </w:rPr>
            </w:pPr>
            <w:r>
              <w:rPr>
                <w:rFonts w:ascii="Arial" w:cs="Arial" w:eastAsia="Arial" w:hAnsi="Arial"/>
                <w:sz w:val="17"/>
                <w:szCs w:val="17"/>
                <w:color w:val="76AD9A"/>
              </w:rPr>
              <w:t>17,236.0</w:t>
            </w:r>
          </w:p>
        </w:tc>
        <w:tc>
          <w:tcPr>
            <w:tcW w:w="420" w:type="dxa"/>
            <w:vAlign w:val="bottom"/>
          </w:tcPr>
          <w:p>
            <w:pPr>
              <w:spacing w:after="0"/>
              <w:rPr>
                <w:sz w:val="16"/>
                <w:szCs w:val="16"/>
                <w:color w:val="auto"/>
              </w:rPr>
            </w:pPr>
          </w:p>
        </w:tc>
        <w:tc>
          <w:tcPr>
            <w:tcW w:w="1180" w:type="dxa"/>
            <w:vAlign w:val="bottom"/>
          </w:tcPr>
          <w:p>
            <w:pPr>
              <w:jc w:val="right"/>
              <w:ind w:right="295"/>
              <w:spacing w:after="0" w:line="194" w:lineRule="exact"/>
              <w:rPr>
                <w:sz w:val="20"/>
                <w:szCs w:val="20"/>
                <w:color w:val="auto"/>
              </w:rPr>
            </w:pPr>
            <w:r>
              <w:rPr>
                <w:rFonts w:ascii="Arial" w:cs="Arial" w:eastAsia="Arial" w:hAnsi="Arial"/>
                <w:sz w:val="17"/>
                <w:szCs w:val="17"/>
                <w:color w:val="373535"/>
              </w:rPr>
              <w:t>18,299.7</w:t>
            </w:r>
          </w:p>
        </w:tc>
        <w:tc>
          <w:tcPr>
            <w:tcW w:w="1240" w:type="dxa"/>
            <w:vAlign w:val="bottom"/>
          </w:tcPr>
          <w:p>
            <w:pPr>
              <w:jc w:val="right"/>
              <w:ind w:right="296"/>
              <w:spacing w:after="0" w:line="194" w:lineRule="exact"/>
              <w:rPr>
                <w:sz w:val="20"/>
                <w:szCs w:val="20"/>
                <w:color w:val="auto"/>
              </w:rPr>
            </w:pPr>
            <w:r>
              <w:rPr>
                <w:rFonts w:ascii="Arial" w:cs="Arial" w:eastAsia="Arial" w:hAnsi="Arial"/>
                <w:sz w:val="17"/>
                <w:szCs w:val="17"/>
                <w:color w:val="373535"/>
              </w:rPr>
              <w:t>(5.8)</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20" w:type="dxa"/>
            <w:vAlign w:val="bottom"/>
            <w:shd w:val="clear" w:color="auto" w:fill="717073"/>
          </w:tcPr>
          <w:p>
            <w:pPr>
              <w:spacing w:after="0" w:line="20" w:lineRule="exact"/>
              <w:rPr>
                <w:sz w:val="1"/>
                <w:szCs w:val="1"/>
                <w:color w:val="auto"/>
              </w:rPr>
            </w:pPr>
          </w:p>
        </w:tc>
        <w:tc>
          <w:tcPr>
            <w:tcW w:w="420" w:type="dxa"/>
            <w:vAlign w:val="bottom"/>
            <w:shd w:val="clear" w:color="auto" w:fill="717073"/>
          </w:tcPr>
          <w:p>
            <w:pPr>
              <w:spacing w:after="0" w:line="20" w:lineRule="exact"/>
              <w:rPr>
                <w:sz w:val="1"/>
                <w:szCs w:val="1"/>
                <w:color w:val="auto"/>
              </w:rPr>
            </w:pPr>
          </w:p>
        </w:tc>
        <w:tc>
          <w:tcPr>
            <w:tcW w:w="1180" w:type="dxa"/>
            <w:vAlign w:val="bottom"/>
            <w:shd w:val="clear" w:color="auto" w:fill="717073"/>
          </w:tcPr>
          <w:p>
            <w:pPr>
              <w:spacing w:after="0" w:line="20" w:lineRule="exact"/>
              <w:rPr>
                <w:sz w:val="1"/>
                <w:szCs w:val="1"/>
                <w:color w:val="auto"/>
              </w:rPr>
            </w:pPr>
          </w:p>
        </w:tc>
        <w:tc>
          <w:tcPr>
            <w:tcW w:w="124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18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continue"/>
          </w:tcPr>
          <w:p>
            <w:pPr>
              <w:spacing w:after="0"/>
              <w:rPr>
                <w:sz w:val="14"/>
                <w:szCs w:val="14"/>
                <w:color w:val="auto"/>
              </w:rPr>
            </w:pPr>
          </w:p>
        </w:tc>
        <w:tc>
          <w:tcPr>
            <w:tcW w:w="4620" w:type="dxa"/>
            <w:vAlign w:val="bottom"/>
          </w:tcPr>
          <w:p>
            <w:pPr>
              <w:spacing w:after="0" w:line="167" w:lineRule="exact"/>
              <w:rPr>
                <w:sz w:val="20"/>
                <w:szCs w:val="20"/>
                <w:color w:val="auto"/>
              </w:rPr>
            </w:pPr>
            <w:r>
              <w:rPr>
                <w:rFonts w:ascii="Arial" w:cs="Arial" w:eastAsia="Arial" w:hAnsi="Arial"/>
                <w:sz w:val="17"/>
                <w:szCs w:val="17"/>
                <w:color w:val="373535"/>
              </w:rPr>
              <w:t>Gross profit</w:t>
            </w:r>
          </w:p>
        </w:tc>
        <w:tc>
          <w:tcPr>
            <w:tcW w:w="220" w:type="dxa"/>
            <w:vAlign w:val="bottom"/>
            <w:shd w:val="clear" w:color="auto" w:fill="EEF5F2"/>
          </w:tcPr>
          <w:p>
            <w:pPr>
              <w:spacing w:after="0"/>
              <w:rPr>
                <w:sz w:val="14"/>
                <w:szCs w:val="14"/>
                <w:color w:val="auto"/>
              </w:rPr>
            </w:pPr>
          </w:p>
        </w:tc>
        <w:tc>
          <w:tcPr>
            <w:tcW w:w="1120" w:type="dxa"/>
            <w:vAlign w:val="bottom"/>
          </w:tcPr>
          <w:p>
            <w:pPr>
              <w:jc w:val="right"/>
              <w:ind w:right="115"/>
              <w:spacing w:after="0" w:line="167" w:lineRule="exact"/>
              <w:rPr>
                <w:sz w:val="20"/>
                <w:szCs w:val="20"/>
                <w:color w:val="auto"/>
              </w:rPr>
            </w:pPr>
            <w:r>
              <w:rPr>
                <w:rFonts w:ascii="Arial" w:cs="Arial" w:eastAsia="Arial" w:hAnsi="Arial"/>
                <w:sz w:val="17"/>
                <w:szCs w:val="17"/>
                <w:color w:val="76AD9A"/>
              </w:rPr>
              <w:t>3,442.0</w:t>
            </w:r>
          </w:p>
        </w:tc>
        <w:tc>
          <w:tcPr>
            <w:tcW w:w="420" w:type="dxa"/>
            <w:vAlign w:val="bottom"/>
          </w:tcPr>
          <w:p>
            <w:pPr>
              <w:spacing w:after="0"/>
              <w:rPr>
                <w:sz w:val="14"/>
                <w:szCs w:val="14"/>
                <w:color w:val="auto"/>
              </w:rPr>
            </w:pPr>
          </w:p>
        </w:tc>
        <w:tc>
          <w:tcPr>
            <w:tcW w:w="1180" w:type="dxa"/>
            <w:vAlign w:val="bottom"/>
          </w:tcPr>
          <w:p>
            <w:pPr>
              <w:jc w:val="right"/>
              <w:ind w:right="295"/>
              <w:spacing w:after="0" w:line="167" w:lineRule="exact"/>
              <w:rPr>
                <w:sz w:val="20"/>
                <w:szCs w:val="20"/>
                <w:color w:val="auto"/>
              </w:rPr>
            </w:pPr>
            <w:r>
              <w:rPr>
                <w:rFonts w:ascii="Arial" w:cs="Arial" w:eastAsia="Arial" w:hAnsi="Arial"/>
                <w:sz w:val="17"/>
                <w:szCs w:val="17"/>
                <w:color w:val="373535"/>
              </w:rPr>
              <w:t>3,706.3</w:t>
            </w:r>
          </w:p>
        </w:tc>
        <w:tc>
          <w:tcPr>
            <w:tcW w:w="1240" w:type="dxa"/>
            <w:vAlign w:val="bottom"/>
          </w:tcPr>
          <w:p>
            <w:pPr>
              <w:jc w:val="right"/>
              <w:ind w:right="296"/>
              <w:spacing w:after="0" w:line="167" w:lineRule="exact"/>
              <w:rPr>
                <w:sz w:val="20"/>
                <w:szCs w:val="20"/>
                <w:color w:val="auto"/>
              </w:rPr>
            </w:pPr>
            <w:r>
              <w:rPr>
                <w:rFonts w:ascii="Arial" w:cs="Arial" w:eastAsia="Arial" w:hAnsi="Arial"/>
                <w:sz w:val="17"/>
                <w:szCs w:val="17"/>
                <w:color w:val="373535"/>
              </w:rPr>
              <w:t>(7.1)</w:t>
            </w:r>
          </w:p>
        </w:tc>
        <w:tc>
          <w:tcPr>
            <w:tcW w:w="1200" w:type="dxa"/>
            <w:vAlign w:val="bottom"/>
          </w:tcPr>
          <w:p>
            <w:pPr>
              <w:jc w:val="right"/>
              <w:ind w:right="179"/>
              <w:spacing w:after="0" w:line="167" w:lineRule="exact"/>
              <w:rPr>
                <w:sz w:val="20"/>
                <w:szCs w:val="20"/>
                <w:color w:val="auto"/>
              </w:rPr>
            </w:pPr>
            <w:r>
              <w:rPr>
                <w:rFonts w:ascii="Arial" w:cs="Arial" w:eastAsia="Arial" w:hAnsi="Arial"/>
                <w:sz w:val="17"/>
                <w:szCs w:val="17"/>
                <w:color w:val="373535"/>
              </w:rPr>
              <w:t>(3.0)</w:t>
            </w:r>
          </w:p>
        </w:tc>
        <w:tc>
          <w:tcPr>
            <w:tcW w:w="1400" w:type="dxa"/>
            <w:vAlign w:val="bottom"/>
            <w:gridSpan w:val="2"/>
          </w:tcPr>
          <w:p>
            <w:pPr>
              <w:jc w:val="right"/>
              <w:ind w:right="160"/>
              <w:spacing w:after="0" w:line="167" w:lineRule="exact"/>
              <w:rPr>
                <w:sz w:val="20"/>
                <w:szCs w:val="20"/>
                <w:color w:val="auto"/>
              </w:rPr>
            </w:pPr>
            <w:r>
              <w:rPr>
                <w:rFonts w:ascii="Arial" w:cs="Arial" w:eastAsia="Arial" w:hAnsi="Arial"/>
                <w:sz w:val="17"/>
                <w:szCs w:val="17"/>
                <w:color w:val="373535"/>
              </w:rPr>
              <w:t>(3.7)</w:t>
            </w:r>
          </w:p>
        </w:tc>
        <w:tc>
          <w:tcPr>
            <w:tcW w:w="0" w:type="dxa"/>
            <w:vAlign w:val="bottom"/>
          </w:tcPr>
          <w:p>
            <w:pPr>
              <w:spacing w:after="0"/>
              <w:rPr>
                <w:sz w:val="1"/>
                <w:szCs w:val="1"/>
                <w:color w:val="auto"/>
              </w:rPr>
            </w:pPr>
          </w:p>
        </w:tc>
      </w:tr>
      <w:tr>
        <w:trPr>
          <w:trHeight w:val="212"/>
        </w:trPr>
        <w:tc>
          <w:tcPr>
            <w:tcW w:w="4640" w:type="dxa"/>
            <w:vAlign w:val="bottom"/>
            <w:gridSpan w:val="2"/>
          </w:tcPr>
          <w:p>
            <w:pPr>
              <w:spacing w:after="0"/>
              <w:rPr>
                <w:sz w:val="20"/>
                <w:szCs w:val="20"/>
                <w:color w:val="auto"/>
              </w:rPr>
            </w:pPr>
            <w:r>
              <w:rPr>
                <w:rFonts w:ascii="Arial" w:cs="Arial" w:eastAsia="Arial" w:hAnsi="Arial"/>
                <w:sz w:val="17"/>
                <w:szCs w:val="17"/>
                <w:i w:val="1"/>
                <w:iCs w:val="1"/>
                <w:color w:val="373535"/>
              </w:rPr>
              <w:t>Gross profit margin</w:t>
            </w:r>
          </w:p>
        </w:tc>
        <w:tc>
          <w:tcPr>
            <w:tcW w:w="220" w:type="dxa"/>
            <w:vAlign w:val="bottom"/>
            <w:shd w:val="clear" w:color="auto" w:fill="EEF5F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i w:val="1"/>
                <w:iCs w:val="1"/>
                <w:color w:val="76AD9A"/>
              </w:rPr>
              <w:t>16.6%</w:t>
            </w:r>
          </w:p>
        </w:tc>
        <w:tc>
          <w:tcPr>
            <w:tcW w:w="420" w:type="dxa"/>
            <w:vAlign w:val="bottom"/>
          </w:tcPr>
          <w:p>
            <w:pPr>
              <w:spacing w:after="0"/>
              <w:rPr>
                <w:sz w:val="18"/>
                <w:szCs w:val="18"/>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i w:val="1"/>
                <w:iCs w:val="1"/>
                <w:color w:val="373535"/>
              </w:rPr>
              <w:t>16.8</w:t>
            </w:r>
            <w:r>
              <w:rPr>
                <w:rFonts w:ascii="Arial" w:cs="Arial" w:eastAsia="Arial" w:hAnsi="Arial"/>
                <w:sz w:val="17"/>
                <w:szCs w:val="17"/>
                <w:color w:val="373535"/>
              </w:rPr>
              <w:t>%</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640" w:type="dxa"/>
            <w:vAlign w:val="bottom"/>
            <w:gridSpan w:val="2"/>
          </w:tcPr>
          <w:p>
            <w:pPr>
              <w:spacing w:after="0" w:line="176" w:lineRule="exact"/>
              <w:rPr>
                <w:sz w:val="20"/>
                <w:szCs w:val="20"/>
                <w:color w:val="auto"/>
              </w:rPr>
            </w:pPr>
            <w:r>
              <w:rPr>
                <w:rFonts w:ascii="Arial" w:cs="Arial" w:eastAsia="Arial" w:hAnsi="Arial"/>
                <w:sz w:val="17"/>
                <w:szCs w:val="17"/>
                <w:color w:val="373535"/>
              </w:rPr>
              <w:t>Selling and administrative expenses</w:t>
            </w:r>
          </w:p>
        </w:tc>
        <w:tc>
          <w:tcPr>
            <w:tcW w:w="220" w:type="dxa"/>
            <w:vAlign w:val="bottom"/>
            <w:shd w:val="clear" w:color="auto" w:fill="EEF5F2"/>
          </w:tcPr>
          <w:p>
            <w:pPr>
              <w:spacing w:after="0"/>
              <w:rPr>
                <w:sz w:val="15"/>
                <w:szCs w:val="15"/>
                <w:color w:val="auto"/>
              </w:rPr>
            </w:pPr>
          </w:p>
        </w:tc>
        <w:tc>
          <w:tcPr>
            <w:tcW w:w="1120" w:type="dxa"/>
            <w:vAlign w:val="bottom"/>
          </w:tcPr>
          <w:p>
            <w:pPr>
              <w:jc w:val="right"/>
              <w:ind w:right="115"/>
              <w:spacing w:after="0" w:line="176" w:lineRule="exact"/>
              <w:rPr>
                <w:sz w:val="20"/>
                <w:szCs w:val="20"/>
                <w:color w:val="auto"/>
              </w:rPr>
            </w:pPr>
            <w:r>
              <w:rPr>
                <w:rFonts w:ascii="Arial" w:cs="Arial" w:eastAsia="Arial" w:hAnsi="Arial"/>
                <w:sz w:val="17"/>
                <w:szCs w:val="17"/>
                <w:color w:val="76AD9A"/>
              </w:rPr>
              <w:t>3,030.3</w:t>
            </w:r>
          </w:p>
        </w:tc>
        <w:tc>
          <w:tcPr>
            <w:tcW w:w="420" w:type="dxa"/>
            <w:vAlign w:val="bottom"/>
          </w:tcPr>
          <w:p>
            <w:pPr>
              <w:spacing w:after="0"/>
              <w:rPr>
                <w:sz w:val="15"/>
                <w:szCs w:val="15"/>
                <w:color w:val="auto"/>
              </w:rPr>
            </w:pPr>
          </w:p>
        </w:tc>
        <w:tc>
          <w:tcPr>
            <w:tcW w:w="1180" w:type="dxa"/>
            <w:vAlign w:val="bottom"/>
          </w:tcPr>
          <w:p>
            <w:pPr>
              <w:jc w:val="right"/>
              <w:ind w:right="295"/>
              <w:spacing w:after="0" w:line="176" w:lineRule="exact"/>
              <w:rPr>
                <w:sz w:val="20"/>
                <w:szCs w:val="20"/>
                <w:color w:val="auto"/>
              </w:rPr>
            </w:pPr>
            <w:r>
              <w:rPr>
                <w:rFonts w:ascii="Arial" w:cs="Arial" w:eastAsia="Arial" w:hAnsi="Arial"/>
                <w:sz w:val="17"/>
                <w:szCs w:val="17"/>
                <w:color w:val="373535"/>
              </w:rPr>
              <w:t>3,182.1</w:t>
            </w:r>
          </w:p>
        </w:tc>
        <w:tc>
          <w:tcPr>
            <w:tcW w:w="1240" w:type="dxa"/>
            <w:vAlign w:val="bottom"/>
          </w:tcPr>
          <w:p>
            <w:pPr>
              <w:jc w:val="right"/>
              <w:ind w:right="296"/>
              <w:spacing w:after="0" w:line="176" w:lineRule="exact"/>
              <w:rPr>
                <w:sz w:val="20"/>
                <w:szCs w:val="20"/>
                <w:color w:val="auto"/>
              </w:rPr>
            </w:pPr>
            <w:r>
              <w:rPr>
                <w:rFonts w:ascii="Arial" w:cs="Arial" w:eastAsia="Arial" w:hAnsi="Arial"/>
                <w:sz w:val="17"/>
                <w:szCs w:val="17"/>
                <w:color w:val="373535"/>
              </w:rPr>
              <w:t>(4.8)</w:t>
            </w:r>
          </w:p>
        </w:tc>
        <w:tc>
          <w:tcPr>
            <w:tcW w:w="1200" w:type="dxa"/>
            <w:vAlign w:val="bottom"/>
          </w:tcPr>
          <w:p>
            <w:pPr>
              <w:jc w:val="right"/>
              <w:ind w:right="179"/>
              <w:spacing w:after="0" w:line="176" w:lineRule="exact"/>
              <w:rPr>
                <w:sz w:val="20"/>
                <w:szCs w:val="20"/>
                <w:color w:val="auto"/>
              </w:rPr>
            </w:pPr>
            <w:r>
              <w:rPr>
                <w:rFonts w:ascii="Arial" w:cs="Arial" w:eastAsia="Arial" w:hAnsi="Arial"/>
                <w:sz w:val="17"/>
                <w:szCs w:val="17"/>
                <w:color w:val="373535"/>
              </w:rPr>
              <w:t>(0.8)</w:t>
            </w:r>
          </w:p>
        </w:tc>
        <w:tc>
          <w:tcPr>
            <w:tcW w:w="1400" w:type="dxa"/>
            <w:vAlign w:val="bottom"/>
            <w:gridSpan w:val="2"/>
          </w:tcPr>
          <w:p>
            <w:pPr>
              <w:jc w:val="right"/>
              <w:ind w:right="160"/>
              <w:spacing w:after="0" w:line="176" w:lineRule="exact"/>
              <w:rPr>
                <w:sz w:val="20"/>
                <w:szCs w:val="20"/>
                <w:color w:val="auto"/>
              </w:rPr>
            </w:pPr>
            <w:r>
              <w:rPr>
                <w:rFonts w:ascii="Arial" w:cs="Arial" w:eastAsia="Arial" w:hAnsi="Arial"/>
                <w:sz w:val="17"/>
                <w:szCs w:val="17"/>
                <w:color w:val="373535"/>
              </w:rPr>
              <w:t>(1.5)</w:t>
            </w:r>
          </w:p>
        </w:tc>
        <w:tc>
          <w:tcPr>
            <w:tcW w:w="0" w:type="dxa"/>
            <w:vAlign w:val="bottom"/>
          </w:tcPr>
          <w:p>
            <w:pPr>
              <w:spacing w:after="0"/>
              <w:rPr>
                <w:sz w:val="1"/>
                <w:szCs w:val="1"/>
                <w:color w:val="auto"/>
              </w:rPr>
            </w:pPr>
          </w:p>
        </w:tc>
      </w:tr>
      <w:tr>
        <w:trPr>
          <w:trHeight w:val="212"/>
        </w:trPr>
        <w:tc>
          <w:tcPr>
            <w:tcW w:w="464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i w:val="1"/>
                <w:iCs w:val="1"/>
                <w:color w:val="373535"/>
              </w:rPr>
              <w:t>Selling and administrative expenses as a % of revenues</w:t>
            </w:r>
          </w:p>
        </w:tc>
        <w:tc>
          <w:tcPr>
            <w:tcW w:w="220" w:type="dxa"/>
            <w:vAlign w:val="bottom"/>
            <w:tcBorders>
              <w:bottom w:val="single" w:sz="8" w:color="717073"/>
            </w:tcBorders>
            <w:shd w:val="clear" w:color="auto" w:fill="EEF5F2"/>
          </w:tcPr>
          <w:p>
            <w:pPr>
              <w:spacing w:after="0"/>
              <w:rPr>
                <w:sz w:val="18"/>
                <w:szCs w:val="18"/>
                <w:color w:val="auto"/>
              </w:rPr>
            </w:pPr>
          </w:p>
        </w:tc>
        <w:tc>
          <w:tcPr>
            <w:tcW w:w="1120" w:type="dxa"/>
            <w:vAlign w:val="bottom"/>
            <w:tcBorders>
              <w:bottom w:val="single" w:sz="8" w:color="717073"/>
            </w:tcBorders>
          </w:tcPr>
          <w:p>
            <w:pPr>
              <w:jc w:val="right"/>
              <w:spacing w:after="0"/>
              <w:rPr>
                <w:sz w:val="20"/>
                <w:szCs w:val="20"/>
                <w:color w:val="auto"/>
              </w:rPr>
            </w:pPr>
            <w:r>
              <w:rPr>
                <w:rFonts w:ascii="Arial" w:cs="Arial" w:eastAsia="Arial" w:hAnsi="Arial"/>
                <w:sz w:val="17"/>
                <w:szCs w:val="17"/>
                <w:i w:val="1"/>
                <w:iCs w:val="1"/>
                <w:color w:val="76AD9A"/>
              </w:rPr>
              <w:t>14.7%</w:t>
            </w:r>
          </w:p>
        </w:tc>
        <w:tc>
          <w:tcPr>
            <w:tcW w:w="420" w:type="dxa"/>
            <w:vAlign w:val="bottom"/>
            <w:tcBorders>
              <w:bottom w:val="single" w:sz="8" w:color="717073"/>
            </w:tcBorders>
          </w:tcPr>
          <w:p>
            <w:pPr>
              <w:spacing w:after="0"/>
              <w:rPr>
                <w:sz w:val="18"/>
                <w:szCs w:val="18"/>
                <w:color w:val="auto"/>
              </w:rPr>
            </w:pPr>
          </w:p>
        </w:tc>
        <w:tc>
          <w:tcPr>
            <w:tcW w:w="1180" w:type="dxa"/>
            <w:vAlign w:val="bottom"/>
            <w:tcBorders>
              <w:bottom w:val="single" w:sz="8" w:color="717073"/>
            </w:tcBorders>
          </w:tcPr>
          <w:p>
            <w:pPr>
              <w:jc w:val="right"/>
              <w:ind w:right="155"/>
              <w:spacing w:after="0"/>
              <w:rPr>
                <w:sz w:val="20"/>
                <w:szCs w:val="20"/>
                <w:color w:val="auto"/>
              </w:rPr>
            </w:pPr>
            <w:r>
              <w:rPr>
                <w:rFonts w:ascii="Arial" w:cs="Arial" w:eastAsia="Arial" w:hAnsi="Arial"/>
                <w:sz w:val="17"/>
                <w:szCs w:val="17"/>
                <w:i w:val="1"/>
                <w:iCs w:val="1"/>
                <w:color w:val="373535"/>
              </w:rPr>
              <w:t>14.5</w:t>
            </w:r>
            <w:r>
              <w:rPr>
                <w:rFonts w:ascii="Arial" w:cs="Arial" w:eastAsia="Arial" w:hAnsi="Arial"/>
                <w:sz w:val="17"/>
                <w:szCs w:val="17"/>
                <w:color w:val="373535"/>
              </w:rPr>
              <w:t>%</w:t>
            </w:r>
          </w:p>
        </w:tc>
        <w:tc>
          <w:tcPr>
            <w:tcW w:w="1240" w:type="dxa"/>
            <w:vAlign w:val="bottom"/>
            <w:tcBorders>
              <w:bottom w:val="single" w:sz="8" w:color="717073"/>
            </w:tcBorders>
          </w:tcPr>
          <w:p>
            <w:pPr>
              <w:spacing w:after="0"/>
              <w:rPr>
                <w:sz w:val="18"/>
                <w:szCs w:val="18"/>
                <w:color w:val="auto"/>
              </w:rPr>
            </w:pPr>
          </w:p>
        </w:tc>
        <w:tc>
          <w:tcPr>
            <w:tcW w:w="1200" w:type="dxa"/>
            <w:vAlign w:val="bottom"/>
            <w:tcBorders>
              <w:bottom w:val="single" w:sz="8" w:color="717073"/>
            </w:tcBorders>
          </w:tcPr>
          <w:p>
            <w:pPr>
              <w:spacing w:after="0"/>
              <w:rPr>
                <w:sz w:val="18"/>
                <w:szCs w:val="18"/>
                <w:color w:val="auto"/>
              </w:rPr>
            </w:pPr>
          </w:p>
        </w:tc>
        <w:tc>
          <w:tcPr>
            <w:tcW w:w="1180" w:type="dxa"/>
            <w:vAlign w:val="bottom"/>
            <w:tcBorders>
              <w:bottom w:val="single" w:sz="8" w:color="717073"/>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640" w:type="dxa"/>
            <w:vAlign w:val="bottom"/>
            <w:gridSpan w:val="2"/>
          </w:tcPr>
          <w:p>
            <w:pPr>
              <w:spacing w:after="0" w:line="167" w:lineRule="exact"/>
              <w:rPr>
                <w:sz w:val="20"/>
                <w:szCs w:val="20"/>
                <w:color w:val="auto"/>
              </w:rPr>
            </w:pPr>
            <w:r>
              <w:rPr>
                <w:rFonts w:ascii="Arial" w:cs="Arial" w:eastAsia="Arial" w:hAnsi="Arial"/>
                <w:sz w:val="17"/>
                <w:szCs w:val="17"/>
                <w:color w:val="373535"/>
              </w:rPr>
              <w:t>Operating profit</w:t>
            </w:r>
          </w:p>
        </w:tc>
        <w:tc>
          <w:tcPr>
            <w:tcW w:w="220" w:type="dxa"/>
            <w:vAlign w:val="bottom"/>
            <w:shd w:val="clear" w:color="auto" w:fill="EEF5F2"/>
          </w:tcPr>
          <w:p>
            <w:pPr>
              <w:spacing w:after="0"/>
              <w:rPr>
                <w:sz w:val="14"/>
                <w:szCs w:val="14"/>
                <w:color w:val="auto"/>
              </w:rPr>
            </w:pPr>
          </w:p>
        </w:tc>
        <w:tc>
          <w:tcPr>
            <w:tcW w:w="1120" w:type="dxa"/>
            <w:vAlign w:val="bottom"/>
          </w:tcPr>
          <w:p>
            <w:pPr>
              <w:jc w:val="right"/>
              <w:ind w:right="115"/>
              <w:spacing w:after="0" w:line="167" w:lineRule="exact"/>
              <w:rPr>
                <w:sz w:val="20"/>
                <w:szCs w:val="20"/>
                <w:color w:val="auto"/>
              </w:rPr>
            </w:pPr>
            <w:r>
              <w:rPr>
                <w:rFonts w:ascii="Arial" w:cs="Arial" w:eastAsia="Arial" w:hAnsi="Arial"/>
                <w:sz w:val="17"/>
                <w:szCs w:val="17"/>
                <w:color w:val="76AD9A"/>
              </w:rPr>
              <w:t>411.7</w:t>
            </w:r>
          </w:p>
        </w:tc>
        <w:tc>
          <w:tcPr>
            <w:tcW w:w="420" w:type="dxa"/>
            <w:vAlign w:val="bottom"/>
          </w:tcPr>
          <w:p>
            <w:pPr>
              <w:spacing w:after="0"/>
              <w:rPr>
                <w:sz w:val="14"/>
                <w:szCs w:val="14"/>
                <w:color w:val="auto"/>
              </w:rPr>
            </w:pPr>
          </w:p>
        </w:tc>
        <w:tc>
          <w:tcPr>
            <w:tcW w:w="1180" w:type="dxa"/>
            <w:vAlign w:val="bottom"/>
          </w:tcPr>
          <w:p>
            <w:pPr>
              <w:jc w:val="right"/>
              <w:ind w:right="295"/>
              <w:spacing w:after="0" w:line="167" w:lineRule="exact"/>
              <w:rPr>
                <w:sz w:val="20"/>
                <w:szCs w:val="20"/>
                <w:color w:val="auto"/>
              </w:rPr>
            </w:pPr>
            <w:r>
              <w:rPr>
                <w:rFonts w:ascii="Arial" w:cs="Arial" w:eastAsia="Arial" w:hAnsi="Arial"/>
                <w:sz w:val="17"/>
                <w:szCs w:val="17"/>
                <w:color w:val="373535"/>
              </w:rPr>
              <w:t>524.2</w:t>
            </w:r>
          </w:p>
        </w:tc>
        <w:tc>
          <w:tcPr>
            <w:tcW w:w="1240" w:type="dxa"/>
            <w:vAlign w:val="bottom"/>
          </w:tcPr>
          <w:p>
            <w:pPr>
              <w:jc w:val="right"/>
              <w:ind w:right="296"/>
              <w:spacing w:after="0" w:line="167" w:lineRule="exact"/>
              <w:rPr>
                <w:sz w:val="20"/>
                <w:szCs w:val="20"/>
                <w:color w:val="auto"/>
              </w:rPr>
            </w:pPr>
            <w:r>
              <w:rPr>
                <w:rFonts w:ascii="Arial" w:cs="Arial" w:eastAsia="Arial" w:hAnsi="Arial"/>
                <w:sz w:val="17"/>
                <w:szCs w:val="17"/>
                <w:color w:val="373535"/>
              </w:rPr>
              <w:t>(21.5)</w:t>
            </w:r>
          </w:p>
        </w:tc>
        <w:tc>
          <w:tcPr>
            <w:tcW w:w="1200" w:type="dxa"/>
            <w:vAlign w:val="bottom"/>
          </w:tcPr>
          <w:p>
            <w:pPr>
              <w:jc w:val="right"/>
              <w:ind w:right="179"/>
              <w:spacing w:after="0" w:line="167" w:lineRule="exact"/>
              <w:rPr>
                <w:sz w:val="20"/>
                <w:szCs w:val="20"/>
                <w:color w:val="auto"/>
              </w:rPr>
            </w:pPr>
            <w:r>
              <w:rPr>
                <w:rFonts w:ascii="Arial" w:cs="Arial" w:eastAsia="Arial" w:hAnsi="Arial"/>
                <w:sz w:val="17"/>
                <w:szCs w:val="17"/>
                <w:color w:val="373535"/>
              </w:rPr>
              <w:t>(16.5)</w:t>
            </w:r>
          </w:p>
        </w:tc>
        <w:tc>
          <w:tcPr>
            <w:tcW w:w="1400" w:type="dxa"/>
            <w:vAlign w:val="bottom"/>
            <w:gridSpan w:val="2"/>
          </w:tcPr>
          <w:p>
            <w:pPr>
              <w:jc w:val="right"/>
              <w:ind w:right="160"/>
              <w:spacing w:after="0" w:line="167" w:lineRule="exact"/>
              <w:rPr>
                <w:sz w:val="20"/>
                <w:szCs w:val="20"/>
                <w:color w:val="auto"/>
              </w:rPr>
            </w:pPr>
            <w:r>
              <w:rPr>
                <w:rFonts w:ascii="Arial" w:cs="Arial" w:eastAsia="Arial" w:hAnsi="Arial"/>
                <w:sz w:val="17"/>
                <w:szCs w:val="17"/>
                <w:color w:val="373535"/>
              </w:rPr>
              <w:t>(17.2)</w:t>
            </w:r>
          </w:p>
        </w:tc>
        <w:tc>
          <w:tcPr>
            <w:tcW w:w="0" w:type="dxa"/>
            <w:vAlign w:val="bottom"/>
          </w:tcPr>
          <w:p>
            <w:pPr>
              <w:spacing w:after="0"/>
              <w:rPr>
                <w:sz w:val="1"/>
                <w:szCs w:val="1"/>
                <w:color w:val="auto"/>
              </w:rPr>
            </w:pPr>
          </w:p>
        </w:tc>
      </w:tr>
      <w:tr>
        <w:trPr>
          <w:trHeight w:val="212"/>
        </w:trPr>
        <w:tc>
          <w:tcPr>
            <w:tcW w:w="4640" w:type="dxa"/>
            <w:vAlign w:val="bottom"/>
            <w:gridSpan w:val="2"/>
          </w:tcPr>
          <w:p>
            <w:pPr>
              <w:spacing w:after="0"/>
              <w:rPr>
                <w:sz w:val="20"/>
                <w:szCs w:val="20"/>
                <w:color w:val="auto"/>
              </w:rPr>
            </w:pPr>
            <w:r>
              <w:rPr>
                <w:rFonts w:ascii="Arial" w:cs="Arial" w:eastAsia="Arial" w:hAnsi="Arial"/>
                <w:sz w:val="17"/>
                <w:szCs w:val="17"/>
                <w:i w:val="1"/>
                <w:iCs w:val="1"/>
                <w:color w:val="373535"/>
              </w:rPr>
              <w:t>Operating profit margin</w:t>
            </w:r>
          </w:p>
        </w:tc>
        <w:tc>
          <w:tcPr>
            <w:tcW w:w="220" w:type="dxa"/>
            <w:vAlign w:val="bottom"/>
            <w:shd w:val="clear" w:color="auto" w:fill="EEF5F2"/>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i w:val="1"/>
                <w:iCs w:val="1"/>
                <w:color w:val="76AD9A"/>
              </w:rPr>
              <w:t>2.0%</w:t>
            </w:r>
          </w:p>
        </w:tc>
        <w:tc>
          <w:tcPr>
            <w:tcW w:w="420" w:type="dxa"/>
            <w:vAlign w:val="bottom"/>
          </w:tcPr>
          <w:p>
            <w:pPr>
              <w:spacing w:after="0"/>
              <w:rPr>
                <w:sz w:val="18"/>
                <w:szCs w:val="18"/>
                <w:color w:val="auto"/>
              </w:rPr>
            </w:pPr>
          </w:p>
        </w:tc>
        <w:tc>
          <w:tcPr>
            <w:tcW w:w="1180" w:type="dxa"/>
            <w:vAlign w:val="bottom"/>
          </w:tcPr>
          <w:p>
            <w:pPr>
              <w:jc w:val="right"/>
              <w:ind w:right="155"/>
              <w:spacing w:after="0"/>
              <w:rPr>
                <w:sz w:val="20"/>
                <w:szCs w:val="20"/>
                <w:color w:val="auto"/>
              </w:rPr>
            </w:pPr>
            <w:r>
              <w:rPr>
                <w:rFonts w:ascii="Arial" w:cs="Arial" w:eastAsia="Arial" w:hAnsi="Arial"/>
                <w:sz w:val="17"/>
                <w:szCs w:val="17"/>
                <w:i w:val="1"/>
                <w:iCs w:val="1"/>
                <w:color w:val="373535"/>
              </w:rPr>
              <w:t>2.4</w:t>
            </w:r>
            <w:r>
              <w:rPr>
                <w:rFonts w:ascii="Arial" w:cs="Arial" w:eastAsia="Arial" w:hAnsi="Arial"/>
                <w:sz w:val="17"/>
                <w:szCs w:val="17"/>
                <w:color w:val="373535"/>
              </w:rPr>
              <w:t>%</w:t>
            </w:r>
          </w:p>
        </w:tc>
        <w:tc>
          <w:tcPr>
            <w:tcW w:w="1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Pr>
          <w:p>
            <w:pPr>
              <w:ind w:left="140"/>
              <w:spacing w:after="0" w:line="194" w:lineRule="exact"/>
              <w:rPr>
                <w:sz w:val="20"/>
                <w:szCs w:val="20"/>
                <w:color w:val="auto"/>
              </w:rPr>
            </w:pPr>
            <w:r>
              <w:rPr>
                <w:rFonts w:ascii="Arial" w:cs="Arial" w:eastAsia="Arial" w:hAnsi="Arial"/>
                <w:sz w:val="17"/>
                <w:szCs w:val="17"/>
                <w:color w:val="373535"/>
              </w:rPr>
              <w:t>Net interest expense</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15"/>
              <w:spacing w:after="0" w:line="194" w:lineRule="exact"/>
              <w:rPr>
                <w:sz w:val="20"/>
                <w:szCs w:val="20"/>
                <w:color w:val="auto"/>
              </w:rPr>
            </w:pPr>
            <w:r>
              <w:rPr>
                <w:rFonts w:ascii="Arial" w:cs="Arial" w:eastAsia="Arial" w:hAnsi="Arial"/>
                <w:sz w:val="17"/>
                <w:szCs w:val="17"/>
                <w:color w:val="76AD9A"/>
              </w:rPr>
              <w:t>35.2</w:t>
            </w:r>
          </w:p>
        </w:tc>
        <w:tc>
          <w:tcPr>
            <w:tcW w:w="420" w:type="dxa"/>
            <w:vAlign w:val="bottom"/>
          </w:tcPr>
          <w:p>
            <w:pPr>
              <w:spacing w:after="0"/>
              <w:rPr>
                <w:sz w:val="16"/>
                <w:szCs w:val="16"/>
                <w:color w:val="auto"/>
              </w:rPr>
            </w:pPr>
          </w:p>
        </w:tc>
        <w:tc>
          <w:tcPr>
            <w:tcW w:w="1180" w:type="dxa"/>
            <w:vAlign w:val="bottom"/>
          </w:tcPr>
          <w:p>
            <w:pPr>
              <w:jc w:val="right"/>
              <w:ind w:right="295"/>
              <w:spacing w:after="0" w:line="194" w:lineRule="exact"/>
              <w:rPr>
                <w:sz w:val="20"/>
                <w:szCs w:val="20"/>
                <w:color w:val="auto"/>
              </w:rPr>
            </w:pPr>
            <w:r>
              <w:rPr>
                <w:rFonts w:ascii="Arial" w:cs="Arial" w:eastAsia="Arial" w:hAnsi="Arial"/>
                <w:sz w:val="17"/>
                <w:szCs w:val="17"/>
                <w:color w:val="373535"/>
              </w:rPr>
              <w:t>35.5</w:t>
            </w:r>
          </w:p>
        </w:tc>
        <w:tc>
          <w:tcPr>
            <w:tcW w:w="1240" w:type="dxa"/>
            <w:vAlign w:val="bottom"/>
          </w:tcPr>
          <w:p>
            <w:pPr>
              <w:jc w:val="right"/>
              <w:ind w:right="296"/>
              <w:spacing w:after="0" w:line="194" w:lineRule="exact"/>
              <w:rPr>
                <w:sz w:val="20"/>
                <w:szCs w:val="20"/>
                <w:color w:val="auto"/>
              </w:rPr>
            </w:pPr>
            <w:r>
              <w:rPr>
                <w:rFonts w:ascii="Arial" w:cs="Arial" w:eastAsia="Arial" w:hAnsi="Arial"/>
                <w:sz w:val="17"/>
                <w:szCs w:val="17"/>
                <w:color w:val="373535"/>
              </w:rPr>
              <w:t>(0.8)</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2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expenses</w:t>
            </w:r>
          </w:p>
        </w:tc>
        <w:tc>
          <w:tcPr>
            <w:tcW w:w="220" w:type="dxa"/>
            <w:vAlign w:val="bottom"/>
            <w:tcBorders>
              <w:bottom w:val="single" w:sz="8" w:color="717073"/>
            </w:tcBorders>
            <w:shd w:val="clear" w:color="auto" w:fill="EEF5F2"/>
          </w:tcPr>
          <w:p>
            <w:pPr>
              <w:spacing w:after="0"/>
              <w:rPr>
                <w:sz w:val="16"/>
                <w:szCs w:val="16"/>
                <w:color w:val="auto"/>
              </w:rPr>
            </w:pPr>
          </w:p>
        </w:tc>
        <w:tc>
          <w:tcPr>
            <w:tcW w:w="1120" w:type="dxa"/>
            <w:vAlign w:val="bottom"/>
            <w:tcBorders>
              <w:bottom w:val="single" w:sz="8" w:color="717073"/>
            </w:tcBorders>
          </w:tcPr>
          <w:p>
            <w:pPr>
              <w:jc w:val="right"/>
              <w:ind w:right="115"/>
              <w:spacing w:after="0" w:line="194" w:lineRule="exact"/>
              <w:rPr>
                <w:sz w:val="20"/>
                <w:szCs w:val="20"/>
                <w:color w:val="auto"/>
              </w:rPr>
            </w:pPr>
            <w:r>
              <w:rPr>
                <w:rFonts w:ascii="Arial" w:cs="Arial" w:eastAsia="Arial" w:hAnsi="Arial"/>
                <w:sz w:val="17"/>
                <w:szCs w:val="17"/>
                <w:color w:val="76AD9A"/>
              </w:rPr>
              <w:t>8.1</w:t>
            </w:r>
          </w:p>
        </w:tc>
        <w:tc>
          <w:tcPr>
            <w:tcW w:w="420" w:type="dxa"/>
            <w:vAlign w:val="bottom"/>
            <w:tcBorders>
              <w:bottom w:val="single" w:sz="8" w:color="717073"/>
            </w:tcBorders>
          </w:tcPr>
          <w:p>
            <w:pPr>
              <w:spacing w:after="0"/>
              <w:rPr>
                <w:sz w:val="16"/>
                <w:szCs w:val="16"/>
                <w:color w:val="auto"/>
              </w:rPr>
            </w:pPr>
          </w:p>
        </w:tc>
        <w:tc>
          <w:tcPr>
            <w:tcW w:w="1180" w:type="dxa"/>
            <w:vAlign w:val="bottom"/>
            <w:tcBorders>
              <w:bottom w:val="single" w:sz="8" w:color="717073"/>
            </w:tcBorders>
          </w:tcPr>
          <w:p>
            <w:pPr>
              <w:jc w:val="right"/>
              <w:ind w:right="295"/>
              <w:spacing w:after="0" w:line="194" w:lineRule="exact"/>
              <w:rPr>
                <w:sz w:val="20"/>
                <w:szCs w:val="20"/>
                <w:color w:val="auto"/>
              </w:rPr>
            </w:pPr>
            <w:r>
              <w:rPr>
                <w:rFonts w:ascii="Arial" w:cs="Arial" w:eastAsia="Arial" w:hAnsi="Arial"/>
                <w:sz w:val="17"/>
                <w:szCs w:val="17"/>
                <w:color w:val="373535"/>
              </w:rPr>
              <w:t>8.8</w:t>
            </w:r>
          </w:p>
        </w:tc>
        <w:tc>
          <w:tcPr>
            <w:tcW w:w="1240" w:type="dxa"/>
            <w:vAlign w:val="bottom"/>
            <w:tcBorders>
              <w:bottom w:val="single" w:sz="8" w:color="717073"/>
            </w:tcBorders>
          </w:tcPr>
          <w:p>
            <w:pPr>
              <w:jc w:val="right"/>
              <w:ind w:right="296"/>
              <w:spacing w:after="0" w:line="194" w:lineRule="exact"/>
              <w:rPr>
                <w:sz w:val="20"/>
                <w:szCs w:val="20"/>
                <w:color w:val="auto"/>
              </w:rPr>
            </w:pPr>
            <w:r>
              <w:rPr>
                <w:rFonts w:ascii="Arial" w:cs="Arial" w:eastAsia="Arial" w:hAnsi="Arial"/>
                <w:sz w:val="17"/>
                <w:szCs w:val="17"/>
                <w:color w:val="373535"/>
              </w:rPr>
              <w:t>(8.2)</w:t>
            </w:r>
          </w:p>
        </w:tc>
        <w:tc>
          <w:tcPr>
            <w:tcW w:w="1200" w:type="dxa"/>
            <w:vAlign w:val="bottom"/>
            <w:tcBorders>
              <w:bottom w:val="single" w:sz="8" w:color="717073"/>
            </w:tcBorders>
          </w:tcPr>
          <w:p>
            <w:pPr>
              <w:spacing w:after="0"/>
              <w:rPr>
                <w:sz w:val="16"/>
                <w:szCs w:val="16"/>
                <w:color w:val="auto"/>
              </w:rPr>
            </w:pPr>
          </w:p>
        </w:tc>
        <w:tc>
          <w:tcPr>
            <w:tcW w:w="1180" w:type="dxa"/>
            <w:vAlign w:val="bottom"/>
            <w:tcBorders>
              <w:bottom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20" w:type="dxa"/>
            <w:vAlign w:val="bottom"/>
          </w:tcPr>
          <w:p>
            <w:pPr>
              <w:spacing w:after="0" w:line="185" w:lineRule="exact"/>
              <w:rPr>
                <w:sz w:val="20"/>
                <w:szCs w:val="20"/>
                <w:color w:val="auto"/>
              </w:rPr>
            </w:pPr>
            <w:r>
              <w:rPr>
                <w:rFonts w:ascii="Arial" w:cs="Arial" w:eastAsia="Arial" w:hAnsi="Arial"/>
                <w:sz w:val="17"/>
                <w:szCs w:val="17"/>
                <w:color w:val="373535"/>
              </w:rPr>
              <w:t>Earnings before income taxes</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15"/>
              <w:spacing w:after="0" w:line="185" w:lineRule="exact"/>
              <w:rPr>
                <w:sz w:val="20"/>
                <w:szCs w:val="20"/>
                <w:color w:val="auto"/>
              </w:rPr>
            </w:pPr>
            <w:r>
              <w:rPr>
                <w:rFonts w:ascii="Arial" w:cs="Arial" w:eastAsia="Arial" w:hAnsi="Arial"/>
                <w:sz w:val="17"/>
                <w:szCs w:val="17"/>
                <w:color w:val="76AD9A"/>
              </w:rPr>
              <w:t>368.4</w:t>
            </w:r>
          </w:p>
        </w:tc>
        <w:tc>
          <w:tcPr>
            <w:tcW w:w="420" w:type="dxa"/>
            <w:vAlign w:val="bottom"/>
          </w:tcPr>
          <w:p>
            <w:pPr>
              <w:spacing w:after="0"/>
              <w:rPr>
                <w:sz w:val="16"/>
                <w:szCs w:val="16"/>
                <w:color w:val="auto"/>
              </w:rPr>
            </w:pPr>
          </w:p>
        </w:tc>
        <w:tc>
          <w:tcPr>
            <w:tcW w:w="1180" w:type="dxa"/>
            <w:vAlign w:val="bottom"/>
          </w:tcPr>
          <w:p>
            <w:pPr>
              <w:jc w:val="right"/>
              <w:ind w:right="295"/>
              <w:spacing w:after="0" w:line="185" w:lineRule="exact"/>
              <w:rPr>
                <w:sz w:val="20"/>
                <w:szCs w:val="20"/>
                <w:color w:val="auto"/>
              </w:rPr>
            </w:pPr>
            <w:r>
              <w:rPr>
                <w:rFonts w:ascii="Arial" w:cs="Arial" w:eastAsia="Arial" w:hAnsi="Arial"/>
                <w:sz w:val="17"/>
                <w:szCs w:val="17"/>
                <w:color w:val="373535"/>
              </w:rPr>
              <w:t>479.9</w:t>
            </w:r>
          </w:p>
        </w:tc>
        <w:tc>
          <w:tcPr>
            <w:tcW w:w="1240" w:type="dxa"/>
            <w:vAlign w:val="bottom"/>
          </w:tcPr>
          <w:p>
            <w:pPr>
              <w:jc w:val="right"/>
              <w:ind w:right="296"/>
              <w:spacing w:after="0" w:line="185" w:lineRule="exact"/>
              <w:rPr>
                <w:sz w:val="20"/>
                <w:szCs w:val="20"/>
                <w:color w:val="auto"/>
              </w:rPr>
            </w:pPr>
            <w:r>
              <w:rPr>
                <w:rFonts w:ascii="Arial" w:cs="Arial" w:eastAsia="Arial" w:hAnsi="Arial"/>
                <w:sz w:val="17"/>
                <w:szCs w:val="17"/>
                <w:color w:val="373535"/>
              </w:rPr>
              <w:t>(23.2)</w:t>
            </w:r>
          </w:p>
        </w:tc>
        <w:tc>
          <w:tcPr>
            <w:tcW w:w="1200" w:type="dxa"/>
            <w:vAlign w:val="bottom"/>
          </w:tcPr>
          <w:p>
            <w:pPr>
              <w:jc w:val="right"/>
              <w:ind w:right="179"/>
              <w:spacing w:after="0" w:line="185" w:lineRule="exact"/>
              <w:rPr>
                <w:sz w:val="20"/>
                <w:szCs w:val="20"/>
                <w:color w:val="auto"/>
              </w:rPr>
            </w:pPr>
            <w:r>
              <w:rPr>
                <w:rFonts w:ascii="Arial" w:cs="Arial" w:eastAsia="Arial" w:hAnsi="Arial"/>
                <w:sz w:val="17"/>
                <w:szCs w:val="17"/>
                <w:color w:val="373535"/>
              </w:rPr>
              <w:t>(18.2)</w:t>
            </w: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20" w:type="dxa"/>
            <w:vAlign w:val="bottom"/>
          </w:tcPr>
          <w:p>
            <w:pPr>
              <w:ind w:left="140"/>
              <w:spacing w:after="0" w:line="176" w:lineRule="exact"/>
              <w:rPr>
                <w:sz w:val="20"/>
                <w:szCs w:val="20"/>
                <w:color w:val="auto"/>
              </w:rPr>
            </w:pPr>
            <w:r>
              <w:rPr>
                <w:rFonts w:ascii="Arial" w:cs="Arial" w:eastAsia="Arial" w:hAnsi="Arial"/>
                <w:sz w:val="17"/>
                <w:szCs w:val="17"/>
                <w:color w:val="373535"/>
              </w:rPr>
              <w:t>Provision for income taxes</w:t>
            </w:r>
          </w:p>
        </w:tc>
        <w:tc>
          <w:tcPr>
            <w:tcW w:w="220" w:type="dxa"/>
            <w:vAlign w:val="bottom"/>
            <w:shd w:val="clear" w:color="auto" w:fill="EEF5F2"/>
          </w:tcPr>
          <w:p>
            <w:pPr>
              <w:spacing w:after="0"/>
              <w:rPr>
                <w:sz w:val="15"/>
                <w:szCs w:val="15"/>
                <w:color w:val="auto"/>
              </w:rPr>
            </w:pPr>
          </w:p>
        </w:tc>
        <w:tc>
          <w:tcPr>
            <w:tcW w:w="1120" w:type="dxa"/>
            <w:vAlign w:val="bottom"/>
          </w:tcPr>
          <w:p>
            <w:pPr>
              <w:jc w:val="right"/>
              <w:ind w:right="115"/>
              <w:spacing w:after="0" w:line="176" w:lineRule="exact"/>
              <w:rPr>
                <w:sz w:val="20"/>
                <w:szCs w:val="20"/>
                <w:color w:val="auto"/>
              </w:rPr>
            </w:pPr>
            <w:r>
              <w:rPr>
                <w:rFonts w:ascii="Arial" w:cs="Arial" w:eastAsia="Arial" w:hAnsi="Arial"/>
                <w:sz w:val="17"/>
                <w:szCs w:val="17"/>
                <w:color w:val="76AD9A"/>
              </w:rPr>
              <w:t>170.8</w:t>
            </w:r>
          </w:p>
        </w:tc>
        <w:tc>
          <w:tcPr>
            <w:tcW w:w="420" w:type="dxa"/>
            <w:vAlign w:val="bottom"/>
          </w:tcPr>
          <w:p>
            <w:pPr>
              <w:spacing w:after="0"/>
              <w:rPr>
                <w:sz w:val="15"/>
                <w:szCs w:val="15"/>
                <w:color w:val="auto"/>
              </w:rPr>
            </w:pPr>
          </w:p>
        </w:tc>
        <w:tc>
          <w:tcPr>
            <w:tcW w:w="1180" w:type="dxa"/>
            <w:vAlign w:val="bottom"/>
          </w:tcPr>
          <w:p>
            <w:pPr>
              <w:jc w:val="right"/>
              <w:ind w:right="295"/>
              <w:spacing w:after="0" w:line="176" w:lineRule="exact"/>
              <w:rPr>
                <w:sz w:val="20"/>
                <w:szCs w:val="20"/>
                <w:color w:val="auto"/>
              </w:rPr>
            </w:pPr>
            <w:r>
              <w:rPr>
                <w:rFonts w:ascii="Arial" w:cs="Arial" w:eastAsia="Arial" w:hAnsi="Arial"/>
                <w:sz w:val="17"/>
                <w:szCs w:val="17"/>
                <w:color w:val="373535"/>
              </w:rPr>
              <w:t>228.3</w:t>
            </w:r>
          </w:p>
        </w:tc>
        <w:tc>
          <w:tcPr>
            <w:tcW w:w="1240" w:type="dxa"/>
            <w:vAlign w:val="bottom"/>
          </w:tcPr>
          <w:p>
            <w:pPr>
              <w:jc w:val="right"/>
              <w:ind w:right="296"/>
              <w:spacing w:after="0" w:line="176" w:lineRule="exact"/>
              <w:rPr>
                <w:sz w:val="20"/>
                <w:szCs w:val="20"/>
                <w:color w:val="auto"/>
              </w:rPr>
            </w:pPr>
            <w:r>
              <w:rPr>
                <w:rFonts w:ascii="Arial" w:cs="Arial" w:eastAsia="Arial" w:hAnsi="Arial"/>
                <w:sz w:val="17"/>
                <w:szCs w:val="17"/>
                <w:color w:val="373535"/>
              </w:rPr>
              <w:t>(25.2)</w:t>
            </w: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620" w:type="dxa"/>
            <w:vAlign w:val="bottom"/>
            <w:tcBorders>
              <w:bottom w:val="single" w:sz="8" w:color="717073"/>
            </w:tcBorders>
          </w:tcPr>
          <w:p>
            <w:pPr>
              <w:ind w:left="140"/>
              <w:spacing w:after="0"/>
              <w:rPr>
                <w:sz w:val="20"/>
                <w:szCs w:val="20"/>
                <w:color w:val="auto"/>
              </w:rPr>
            </w:pPr>
            <w:r>
              <w:rPr>
                <w:rFonts w:ascii="Arial" w:cs="Arial" w:eastAsia="Arial" w:hAnsi="Arial"/>
                <w:sz w:val="17"/>
                <w:szCs w:val="17"/>
                <w:i w:val="1"/>
                <w:iCs w:val="1"/>
                <w:color w:val="373535"/>
              </w:rPr>
              <w:t>Effective income tax rate</w:t>
            </w:r>
          </w:p>
        </w:tc>
        <w:tc>
          <w:tcPr>
            <w:tcW w:w="220" w:type="dxa"/>
            <w:vAlign w:val="bottom"/>
            <w:tcBorders>
              <w:bottom w:val="single" w:sz="8" w:color="717073"/>
            </w:tcBorders>
            <w:shd w:val="clear" w:color="auto" w:fill="EEF5F2"/>
          </w:tcPr>
          <w:p>
            <w:pPr>
              <w:spacing w:after="0"/>
              <w:rPr>
                <w:sz w:val="18"/>
                <w:szCs w:val="18"/>
                <w:color w:val="auto"/>
              </w:rPr>
            </w:pPr>
          </w:p>
        </w:tc>
        <w:tc>
          <w:tcPr>
            <w:tcW w:w="1120" w:type="dxa"/>
            <w:vAlign w:val="bottom"/>
            <w:tcBorders>
              <w:bottom w:val="single" w:sz="8" w:color="717073"/>
            </w:tcBorders>
          </w:tcPr>
          <w:p>
            <w:pPr>
              <w:jc w:val="right"/>
              <w:spacing w:after="0"/>
              <w:rPr>
                <w:sz w:val="20"/>
                <w:szCs w:val="20"/>
                <w:color w:val="auto"/>
              </w:rPr>
            </w:pPr>
            <w:r>
              <w:rPr>
                <w:rFonts w:ascii="Arial" w:cs="Arial" w:eastAsia="Arial" w:hAnsi="Arial"/>
                <w:sz w:val="17"/>
                <w:szCs w:val="17"/>
                <w:i w:val="1"/>
                <w:iCs w:val="1"/>
                <w:color w:val="76AD9A"/>
              </w:rPr>
              <w:t>46.4%</w:t>
            </w:r>
          </w:p>
        </w:tc>
        <w:tc>
          <w:tcPr>
            <w:tcW w:w="420" w:type="dxa"/>
            <w:vAlign w:val="bottom"/>
            <w:tcBorders>
              <w:bottom w:val="single" w:sz="8" w:color="717073"/>
            </w:tcBorders>
          </w:tcPr>
          <w:p>
            <w:pPr>
              <w:spacing w:after="0"/>
              <w:rPr>
                <w:sz w:val="18"/>
                <w:szCs w:val="18"/>
                <w:color w:val="auto"/>
              </w:rPr>
            </w:pPr>
          </w:p>
        </w:tc>
        <w:tc>
          <w:tcPr>
            <w:tcW w:w="1180" w:type="dxa"/>
            <w:vAlign w:val="bottom"/>
            <w:tcBorders>
              <w:bottom w:val="single" w:sz="8" w:color="717073"/>
            </w:tcBorders>
          </w:tcPr>
          <w:p>
            <w:pPr>
              <w:jc w:val="right"/>
              <w:ind w:right="155"/>
              <w:spacing w:after="0"/>
              <w:rPr>
                <w:sz w:val="20"/>
                <w:szCs w:val="20"/>
                <w:color w:val="auto"/>
              </w:rPr>
            </w:pPr>
            <w:r>
              <w:rPr>
                <w:rFonts w:ascii="Arial" w:cs="Arial" w:eastAsia="Arial" w:hAnsi="Arial"/>
                <w:sz w:val="17"/>
                <w:szCs w:val="17"/>
                <w:i w:val="1"/>
                <w:iCs w:val="1"/>
                <w:color w:val="373535"/>
              </w:rPr>
              <w:t>47.6</w:t>
            </w:r>
            <w:r>
              <w:rPr>
                <w:rFonts w:ascii="Arial" w:cs="Arial" w:eastAsia="Arial" w:hAnsi="Arial"/>
                <w:sz w:val="17"/>
                <w:szCs w:val="17"/>
                <w:color w:val="373535"/>
              </w:rPr>
              <w:t>%</w:t>
            </w:r>
          </w:p>
        </w:tc>
        <w:tc>
          <w:tcPr>
            <w:tcW w:w="1240" w:type="dxa"/>
            <w:vAlign w:val="bottom"/>
            <w:tcBorders>
              <w:bottom w:val="single" w:sz="8" w:color="717073"/>
            </w:tcBorders>
          </w:tcPr>
          <w:p>
            <w:pPr>
              <w:spacing w:after="0"/>
              <w:rPr>
                <w:sz w:val="18"/>
                <w:szCs w:val="18"/>
                <w:color w:val="auto"/>
              </w:rPr>
            </w:pPr>
          </w:p>
        </w:tc>
        <w:tc>
          <w:tcPr>
            <w:tcW w:w="1200" w:type="dxa"/>
            <w:vAlign w:val="bottom"/>
            <w:tcBorders>
              <w:bottom w:val="single" w:sz="8" w:color="717073"/>
            </w:tcBorders>
          </w:tcPr>
          <w:p>
            <w:pPr>
              <w:spacing w:after="0"/>
              <w:rPr>
                <w:sz w:val="18"/>
                <w:szCs w:val="18"/>
                <w:color w:val="auto"/>
              </w:rPr>
            </w:pPr>
          </w:p>
        </w:tc>
        <w:tc>
          <w:tcPr>
            <w:tcW w:w="1180" w:type="dxa"/>
            <w:vAlign w:val="bottom"/>
            <w:tcBorders>
              <w:bottom w:val="single" w:sz="8" w:color="717073"/>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462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Net earnings</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20" w:type="dxa"/>
            <w:vAlign w:val="bottom"/>
            <w:tcBorders>
              <w:bottom w:val="single" w:sz="8" w:color="717073"/>
            </w:tcBorders>
          </w:tcPr>
          <w:p>
            <w:pPr>
              <w:jc w:val="right"/>
              <w:ind w:right="115"/>
              <w:spacing w:after="0" w:line="186" w:lineRule="exact"/>
              <w:rPr>
                <w:sz w:val="20"/>
                <w:szCs w:val="20"/>
                <w:color w:val="auto"/>
              </w:rPr>
            </w:pPr>
            <w:r>
              <w:rPr>
                <w:rFonts w:ascii="Arial" w:cs="Arial" w:eastAsia="Arial" w:hAnsi="Arial"/>
                <w:sz w:val="17"/>
                <w:szCs w:val="17"/>
                <w:color w:val="76AD9A"/>
              </w:rPr>
              <w:t>197.6</w:t>
            </w:r>
          </w:p>
        </w:tc>
        <w:tc>
          <w:tcPr>
            <w:tcW w:w="4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180" w:type="dxa"/>
            <w:vAlign w:val="bottom"/>
            <w:tcBorders>
              <w:bottom w:val="single" w:sz="8" w:color="717073"/>
            </w:tcBorders>
          </w:tcPr>
          <w:p>
            <w:pPr>
              <w:jc w:val="right"/>
              <w:ind w:right="295"/>
              <w:spacing w:after="0" w:line="186" w:lineRule="exact"/>
              <w:rPr>
                <w:sz w:val="20"/>
                <w:szCs w:val="20"/>
                <w:color w:val="auto"/>
              </w:rPr>
            </w:pPr>
            <w:r>
              <w:rPr>
                <w:rFonts w:ascii="Arial" w:cs="Arial" w:eastAsia="Arial" w:hAnsi="Arial"/>
                <w:sz w:val="17"/>
                <w:szCs w:val="17"/>
                <w:color w:val="373535"/>
              </w:rPr>
              <w:t>251.6</w:t>
            </w:r>
          </w:p>
        </w:tc>
        <w:tc>
          <w:tcPr>
            <w:tcW w:w="1240" w:type="dxa"/>
            <w:vAlign w:val="bottom"/>
            <w:tcBorders>
              <w:bottom w:val="single" w:sz="8" w:color="717073"/>
            </w:tcBorders>
          </w:tcPr>
          <w:p>
            <w:pPr>
              <w:jc w:val="right"/>
              <w:ind w:right="296"/>
              <w:spacing w:after="0" w:line="186" w:lineRule="exact"/>
              <w:rPr>
                <w:sz w:val="20"/>
                <w:szCs w:val="20"/>
                <w:color w:val="auto"/>
              </w:rPr>
            </w:pPr>
            <w:r>
              <w:rPr>
                <w:rFonts w:ascii="Arial" w:cs="Arial" w:eastAsia="Arial" w:hAnsi="Arial"/>
                <w:sz w:val="17"/>
                <w:szCs w:val="17"/>
                <w:color w:val="373535"/>
              </w:rPr>
              <w:t>(21.5)</w:t>
            </w:r>
          </w:p>
        </w:tc>
        <w:tc>
          <w:tcPr>
            <w:tcW w:w="1200" w:type="dxa"/>
            <w:vAlign w:val="bottom"/>
            <w:tcBorders>
              <w:bottom w:val="single" w:sz="8" w:color="717073"/>
            </w:tcBorders>
          </w:tcPr>
          <w:p>
            <w:pPr>
              <w:jc w:val="right"/>
              <w:ind w:right="179"/>
              <w:spacing w:after="0" w:line="186" w:lineRule="exact"/>
              <w:rPr>
                <w:sz w:val="20"/>
                <w:szCs w:val="20"/>
                <w:color w:val="auto"/>
              </w:rPr>
            </w:pPr>
            <w:r>
              <w:rPr>
                <w:rFonts w:ascii="Arial" w:cs="Arial" w:eastAsia="Arial" w:hAnsi="Arial"/>
                <w:sz w:val="17"/>
                <w:szCs w:val="17"/>
                <w:color w:val="373535"/>
              </w:rPr>
              <w:t>(16.3)</w:t>
            </w:r>
          </w:p>
        </w:tc>
        <w:tc>
          <w:tcPr>
            <w:tcW w:w="1180" w:type="dxa"/>
            <w:vAlign w:val="bottom"/>
            <w:tcBorders>
              <w:bottom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Net earnings per share — diluted</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20" w:type="dxa"/>
            <w:vAlign w:val="bottom"/>
            <w:tcBorders>
              <w:bottom w:val="single" w:sz="8" w:color="717073"/>
            </w:tcBorders>
          </w:tcPr>
          <w:p>
            <w:pPr>
              <w:jc w:val="right"/>
              <w:ind w:right="115"/>
              <w:spacing w:after="0" w:line="186" w:lineRule="exact"/>
              <w:rPr>
                <w:sz w:val="20"/>
                <w:szCs w:val="20"/>
                <w:color w:val="auto"/>
              </w:rPr>
            </w:pPr>
            <w:r>
              <w:rPr>
                <w:rFonts w:ascii="Arial" w:cs="Arial" w:eastAsia="Arial" w:hAnsi="Arial"/>
                <w:sz w:val="17"/>
                <w:szCs w:val="17"/>
                <w:color w:val="76AD9A"/>
              </w:rPr>
              <w:t>2.47</w:t>
            </w:r>
          </w:p>
        </w:tc>
        <w:tc>
          <w:tcPr>
            <w:tcW w:w="4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180" w:type="dxa"/>
            <w:vAlign w:val="bottom"/>
            <w:tcBorders>
              <w:bottom w:val="single" w:sz="8" w:color="717073"/>
            </w:tcBorders>
          </w:tcPr>
          <w:p>
            <w:pPr>
              <w:jc w:val="right"/>
              <w:ind w:right="295"/>
              <w:spacing w:after="0" w:line="186" w:lineRule="exact"/>
              <w:rPr>
                <w:sz w:val="20"/>
                <w:szCs w:val="20"/>
                <w:color w:val="auto"/>
              </w:rPr>
            </w:pPr>
            <w:r>
              <w:rPr>
                <w:rFonts w:ascii="Arial" w:cs="Arial" w:eastAsia="Arial" w:hAnsi="Arial"/>
                <w:sz w:val="17"/>
                <w:szCs w:val="17"/>
                <w:color w:val="373535"/>
              </w:rPr>
              <w:t>3.04</w:t>
            </w:r>
          </w:p>
        </w:tc>
        <w:tc>
          <w:tcPr>
            <w:tcW w:w="1240" w:type="dxa"/>
            <w:vAlign w:val="bottom"/>
            <w:tcBorders>
              <w:bottom w:val="single" w:sz="8" w:color="717073"/>
            </w:tcBorders>
          </w:tcPr>
          <w:p>
            <w:pPr>
              <w:jc w:val="right"/>
              <w:ind w:right="296"/>
              <w:spacing w:after="0" w:line="186" w:lineRule="exact"/>
              <w:rPr>
                <w:sz w:val="20"/>
                <w:szCs w:val="20"/>
                <w:color w:val="auto"/>
              </w:rPr>
            </w:pPr>
            <w:r>
              <w:rPr>
                <w:rFonts w:ascii="Arial" w:cs="Arial" w:eastAsia="Arial" w:hAnsi="Arial"/>
                <w:sz w:val="17"/>
                <w:szCs w:val="17"/>
                <w:color w:val="373535"/>
              </w:rPr>
              <w:t>(18.8)</w:t>
            </w:r>
          </w:p>
        </w:tc>
        <w:tc>
          <w:tcPr>
            <w:tcW w:w="1200" w:type="dxa"/>
            <w:vAlign w:val="bottom"/>
            <w:tcBorders>
              <w:bottom w:val="single" w:sz="8" w:color="717073"/>
            </w:tcBorders>
          </w:tcPr>
          <w:p>
            <w:pPr>
              <w:jc w:val="right"/>
              <w:ind w:right="179"/>
              <w:spacing w:after="0" w:line="186" w:lineRule="exact"/>
              <w:rPr>
                <w:sz w:val="20"/>
                <w:szCs w:val="20"/>
                <w:color w:val="auto"/>
              </w:rPr>
            </w:pPr>
            <w:r>
              <w:rPr>
                <w:rFonts w:ascii="Arial" w:cs="Arial" w:eastAsia="Arial" w:hAnsi="Arial"/>
                <w:sz w:val="17"/>
                <w:szCs w:val="17"/>
                <w:color w:val="373535"/>
              </w:rPr>
              <w:t>(14.1)</w:t>
            </w:r>
          </w:p>
        </w:tc>
        <w:tc>
          <w:tcPr>
            <w:tcW w:w="1180" w:type="dxa"/>
            <w:vAlign w:val="bottom"/>
            <w:tcBorders>
              <w:bottom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gridSpan w:val="2"/>
          </w:tcPr>
          <w:p>
            <w:pPr>
              <w:spacing w:after="0" w:line="186" w:lineRule="exact"/>
              <w:rPr>
                <w:sz w:val="20"/>
                <w:szCs w:val="20"/>
                <w:color w:val="auto"/>
              </w:rPr>
            </w:pPr>
            <w:r>
              <w:rPr>
                <w:rFonts w:ascii="Arial" w:cs="Arial" w:eastAsia="Arial" w:hAnsi="Arial"/>
                <w:sz w:val="17"/>
                <w:szCs w:val="17"/>
                <w:color w:val="373535"/>
              </w:rPr>
              <w:t>Weighted average shares — diluted</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15"/>
              <w:spacing w:after="0" w:line="186" w:lineRule="exact"/>
              <w:rPr>
                <w:sz w:val="20"/>
                <w:szCs w:val="20"/>
                <w:color w:val="auto"/>
              </w:rPr>
            </w:pPr>
            <w:r>
              <w:rPr>
                <w:rFonts w:ascii="Arial" w:cs="Arial" w:eastAsia="Arial" w:hAnsi="Arial"/>
                <w:sz w:val="17"/>
                <w:szCs w:val="17"/>
                <w:color w:val="76AD9A"/>
              </w:rPr>
              <w:t>80.1</w:t>
            </w:r>
          </w:p>
        </w:tc>
        <w:tc>
          <w:tcPr>
            <w:tcW w:w="420" w:type="dxa"/>
            <w:vAlign w:val="bottom"/>
          </w:tcPr>
          <w:p>
            <w:pPr>
              <w:spacing w:after="0"/>
              <w:rPr>
                <w:sz w:val="16"/>
                <w:szCs w:val="16"/>
                <w:color w:val="auto"/>
              </w:rPr>
            </w:pPr>
          </w:p>
        </w:tc>
        <w:tc>
          <w:tcPr>
            <w:tcW w:w="1180" w:type="dxa"/>
            <w:vAlign w:val="bottom"/>
          </w:tcPr>
          <w:p>
            <w:pPr>
              <w:jc w:val="right"/>
              <w:ind w:right="295"/>
              <w:spacing w:after="0" w:line="186" w:lineRule="exact"/>
              <w:rPr>
                <w:sz w:val="20"/>
                <w:szCs w:val="20"/>
                <w:color w:val="auto"/>
              </w:rPr>
            </w:pPr>
            <w:r>
              <w:rPr>
                <w:rFonts w:ascii="Arial" w:cs="Arial" w:eastAsia="Arial" w:hAnsi="Arial"/>
                <w:sz w:val="17"/>
                <w:szCs w:val="17"/>
                <w:color w:val="373535"/>
              </w:rPr>
              <w:t>82.8</w:t>
            </w:r>
          </w:p>
        </w:tc>
        <w:tc>
          <w:tcPr>
            <w:tcW w:w="1240" w:type="dxa"/>
            <w:vAlign w:val="bottom"/>
          </w:tcPr>
          <w:p>
            <w:pPr>
              <w:jc w:val="right"/>
              <w:ind w:right="136"/>
              <w:spacing w:after="0" w:line="186" w:lineRule="exact"/>
              <w:rPr>
                <w:sz w:val="20"/>
                <w:szCs w:val="20"/>
                <w:color w:val="auto"/>
              </w:rPr>
            </w:pPr>
            <w:r>
              <w:rPr>
                <w:rFonts w:ascii="Arial" w:cs="Arial" w:eastAsia="Arial" w:hAnsi="Arial"/>
                <w:sz w:val="17"/>
                <w:szCs w:val="17"/>
                <w:color w:val="373535"/>
              </w:rPr>
              <w:t>(3.3)%</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20" w:type="dxa"/>
            <w:vAlign w:val="bottom"/>
            <w:shd w:val="clear" w:color="auto" w:fill="717073"/>
          </w:tcPr>
          <w:p>
            <w:pPr>
              <w:spacing w:after="0" w:line="20" w:lineRule="exact"/>
              <w:rPr>
                <w:sz w:val="1"/>
                <w:szCs w:val="1"/>
                <w:color w:val="auto"/>
              </w:rPr>
            </w:pPr>
          </w:p>
        </w:tc>
        <w:tc>
          <w:tcPr>
            <w:tcW w:w="420" w:type="dxa"/>
            <w:vAlign w:val="bottom"/>
            <w:shd w:val="clear" w:color="auto" w:fill="717073"/>
          </w:tcPr>
          <w:p>
            <w:pPr>
              <w:spacing w:after="0" w:line="20" w:lineRule="exact"/>
              <w:rPr>
                <w:sz w:val="1"/>
                <w:szCs w:val="1"/>
                <w:color w:val="auto"/>
              </w:rPr>
            </w:pPr>
          </w:p>
        </w:tc>
        <w:tc>
          <w:tcPr>
            <w:tcW w:w="1180" w:type="dxa"/>
            <w:vAlign w:val="bottom"/>
            <w:shd w:val="clear" w:color="auto" w:fill="717073"/>
          </w:tcPr>
          <w:p>
            <w:pPr>
              <w:spacing w:after="0" w:line="20" w:lineRule="exact"/>
              <w:rPr>
                <w:sz w:val="1"/>
                <w:szCs w:val="1"/>
                <w:color w:val="auto"/>
              </w:rPr>
            </w:pPr>
          </w:p>
        </w:tc>
        <w:tc>
          <w:tcPr>
            <w:tcW w:w="124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18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-1900555</wp:posOffset>
            </wp:positionV>
            <wp:extent cx="704850" cy="18929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4850" cy="1892935"/>
                    </a:xfrm>
                    <a:prstGeom prst="rect">
                      <a:avLst/>
                    </a:prstGeom>
                    <a:noFill/>
                  </pic:spPr>
                </pic:pic>
              </a:graphicData>
            </a:graphic>
          </wp:anchor>
        </w:drawing>
      </w:r>
    </w:p>
    <w:p>
      <w:pPr>
        <w:spacing w:after="0" w:line="147"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373535"/>
        </w:rPr>
        <w:t>The year-over-year decrease in revenues from services of 6.0% (–1.4% in constant currency and –2.0% in organic constant currency) was attributed to:</w:t>
      </w:r>
    </w:p>
    <w:p>
      <w:pPr>
        <w:spacing w:after="0" w:line="355" w:lineRule="exact"/>
        <w:rPr>
          <w:sz w:val="20"/>
          <w:szCs w:val="20"/>
          <w:color w:val="auto"/>
        </w:rPr>
      </w:pPr>
    </w:p>
    <w:p>
      <w:pPr>
        <w:jc w:val="both"/>
        <w:ind w:left="140" w:hanging="137"/>
        <w:spacing w:after="0" w:line="241" w:lineRule="auto"/>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decreased demand for services in several of our markets within Southern Europe and Northern Europe, where revenues decreased 11.7% (–4.2% in constant currency and –5.3% in organic constant currency) and 6.3% (–1.3% in constant currency), respectively. Several of our larger markets such as France and Italy experienced revenue declines of 12.2% (–4.6% in constant currency and –6.1% in organic constant currency) and 15.8% (–8.9% in constant currency), respectively, due to the current economic environment in these countries;</w:t>
      </w:r>
    </w:p>
    <w:p>
      <w:pPr>
        <w:spacing w:after="0" w:line="169"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revenue decline in the United States of 4.0% primarily due to a decrease of our key account client revenues because of softening demand as well as stronger pricing discipline on new business opportunities;</w:t>
      </w:r>
    </w:p>
    <w:p>
      <w:pPr>
        <w:spacing w:after="0" w:line="147"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decreased demand for talent management services at Right Management, where these revenues decreased 12.8% (–11.2% in constant currency); and</w:t>
      </w:r>
    </w:p>
    <w:p>
      <w:pPr>
        <w:spacing w:after="0" w:line="147" w:lineRule="exact"/>
        <w:rPr>
          <w:rFonts w:ascii="Arial" w:cs="Arial" w:eastAsia="Arial" w:hAnsi="Arial"/>
          <w:sz w:val="17"/>
          <w:szCs w:val="17"/>
          <w:color w:val="4C8ABF"/>
        </w:rPr>
      </w:pPr>
    </w:p>
    <w:p>
      <w:pPr>
        <w:ind w:left="140" w:hanging="137"/>
        <w:spacing w:after="0"/>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a 4.6% decrease due to the impact of currency exchange rates; partially offset by</w:t>
      </w:r>
    </w:p>
    <w:p>
      <w:pPr>
        <w:spacing w:after="0" w:line="178"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our acquisitions of three entities in APME during April 2011, two acquisitions in Southern Europe at the end of September 2011 and in April 2012, and one acquisition in the Americas during April 2012, which combined to add 0.6% of revenue growth to our consolidated results;</w:t>
      </w:r>
    </w:p>
    <w:p>
      <w:pPr>
        <w:spacing w:after="0" w:line="147" w:lineRule="exact"/>
        <w:rPr>
          <w:rFonts w:ascii="Arial" w:cs="Arial" w:eastAsia="Arial" w:hAnsi="Arial"/>
          <w:sz w:val="17"/>
          <w:szCs w:val="17"/>
          <w:color w:val="4C8ABF"/>
        </w:rPr>
      </w:pPr>
    </w:p>
    <w:p>
      <w:pPr>
        <w:ind w:left="140" w:hanging="137"/>
        <w:spacing w:after="0"/>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Other Americas and APME experienced revenue growth of 9.6% and 1.6%, respectively, in organic constant currency; and</w:t>
      </w:r>
    </w:p>
    <w:p>
      <w:pPr>
        <w:spacing w:after="0" w:line="165" w:lineRule="exact"/>
        <w:rPr>
          <w:rFonts w:ascii="Arial" w:cs="Arial" w:eastAsia="Arial" w:hAnsi="Arial"/>
          <w:sz w:val="17"/>
          <w:szCs w:val="17"/>
          <w:color w:val="4C8ABF"/>
        </w:rPr>
      </w:pPr>
    </w:p>
    <w:p>
      <w:pPr>
        <w:ind w:left="140" w:hanging="137"/>
        <w:spacing w:after="0"/>
        <w:tabs>
          <w:tab w:leader="none" w:pos="140" w:val="left"/>
        </w:tabs>
        <w:numPr>
          <w:ilvl w:val="0"/>
          <w:numId w:val="88"/>
        </w:numPr>
        <w:rPr>
          <w:rFonts w:ascii="Arial" w:cs="Arial" w:eastAsia="Arial" w:hAnsi="Arial"/>
          <w:sz w:val="17"/>
          <w:szCs w:val="17"/>
          <w:color w:val="4C8ABF"/>
        </w:rPr>
      </w:pPr>
      <w:r>
        <w:rPr>
          <w:rFonts w:ascii="Arial" w:cs="Arial" w:eastAsia="Arial" w:hAnsi="Arial"/>
          <w:sz w:val="17"/>
          <w:szCs w:val="17"/>
          <w:color w:val="373535"/>
        </w:rPr>
        <w:t>increased demand for our outplacement services at Right Management, where these revenues increased 10.1% (12.2% in constant currency).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373535"/>
        </w:rPr>
        <w:t>The year-over-year 20 basis point (–0.20%) decrease in gross profit margin was primarily attributed to:</w:t>
      </w:r>
    </w:p>
    <w:p>
      <w:pPr>
        <w:spacing w:after="0" w:line="166" w:lineRule="exact"/>
        <w:rPr>
          <w:sz w:val="20"/>
          <w:szCs w:val="20"/>
          <w:color w:val="auto"/>
        </w:rPr>
      </w:pPr>
    </w:p>
    <w:p>
      <w:pPr>
        <w:ind w:left="140" w:hanging="137"/>
        <w:spacing w:after="0" w:line="250" w:lineRule="auto"/>
        <w:tabs>
          <w:tab w:leader="none" w:pos="140" w:val="left"/>
        </w:tabs>
        <w:numPr>
          <w:ilvl w:val="0"/>
          <w:numId w:val="89"/>
        </w:numPr>
        <w:rPr>
          <w:rFonts w:ascii="Arial" w:cs="Arial" w:eastAsia="Arial" w:hAnsi="Arial"/>
          <w:sz w:val="17"/>
          <w:szCs w:val="17"/>
          <w:color w:val="4C8ABF"/>
        </w:rPr>
      </w:pPr>
      <w:r>
        <w:rPr>
          <w:rFonts w:ascii="Arial" w:cs="Arial" w:eastAsia="Arial" w:hAnsi="Arial"/>
          <w:sz w:val="17"/>
          <w:szCs w:val="17"/>
          <w:color w:val="373535"/>
        </w:rPr>
        <w:t>a 40 basis point (–0.40%) decline from our staffing/interim business primarily related to pricing pressures in some of our European markets and within the Experis business line in the United States; partially offset by</w:t>
      </w:r>
    </w:p>
    <w:p>
      <w:pPr>
        <w:spacing w:after="0" w:line="147"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89"/>
        </w:numPr>
        <w:rPr>
          <w:rFonts w:ascii="Arial" w:cs="Arial" w:eastAsia="Arial" w:hAnsi="Arial"/>
          <w:sz w:val="17"/>
          <w:szCs w:val="17"/>
          <w:color w:val="4C8ABF"/>
        </w:rPr>
      </w:pPr>
      <w:r>
        <w:rPr>
          <w:rFonts w:ascii="Arial" w:cs="Arial" w:eastAsia="Arial" w:hAnsi="Arial"/>
          <w:sz w:val="17"/>
          <w:szCs w:val="17"/>
          <w:color w:val="373535"/>
        </w:rPr>
        <w:t>a 10 basis point (0.10%) favorable impact from strong growth and improved margins in Right Management’s higher-margin outplacement services; and</w:t>
      </w:r>
    </w:p>
    <w:p>
      <w:pPr>
        <w:spacing w:after="0" w:line="160" w:lineRule="exact"/>
        <w:rPr>
          <w:rFonts w:ascii="Arial" w:cs="Arial" w:eastAsia="Arial" w:hAnsi="Arial"/>
          <w:sz w:val="17"/>
          <w:szCs w:val="17"/>
          <w:color w:val="4C8ABF"/>
        </w:rPr>
      </w:pPr>
    </w:p>
    <w:p>
      <w:pPr>
        <w:ind w:left="140" w:hanging="137"/>
        <w:spacing w:after="0"/>
        <w:tabs>
          <w:tab w:leader="none" w:pos="140" w:val="left"/>
        </w:tabs>
        <w:numPr>
          <w:ilvl w:val="0"/>
          <w:numId w:val="89"/>
        </w:numPr>
        <w:rPr>
          <w:rFonts w:ascii="Arial" w:cs="Arial" w:eastAsia="Arial" w:hAnsi="Arial"/>
          <w:sz w:val="17"/>
          <w:szCs w:val="17"/>
          <w:color w:val="4C8ABF"/>
        </w:rPr>
      </w:pPr>
      <w:r>
        <w:rPr>
          <w:rFonts w:ascii="Arial" w:cs="Arial" w:eastAsia="Arial" w:hAnsi="Arial"/>
          <w:sz w:val="17"/>
          <w:szCs w:val="17"/>
          <w:color w:val="373535"/>
        </w:rPr>
        <w:t>a 10 basis point (0.10%) increase due to the impact of currency exchange rates.</w:t>
      </w:r>
    </w:p>
    <w:p>
      <w:pPr>
        <w:spacing w:after="0" w:line="155" w:lineRule="exact"/>
        <w:rPr>
          <w:sz w:val="20"/>
          <w:szCs w:val="20"/>
          <w:color w:val="auto"/>
        </w:rPr>
      </w:pPr>
    </w:p>
    <w:p>
      <w:pPr>
        <w:ind w:left="620" w:hanging="617"/>
        <w:spacing w:after="0"/>
        <w:tabs>
          <w:tab w:leader="none" w:pos="620" w:val="left"/>
        </w:tabs>
        <w:numPr>
          <w:ilvl w:val="0"/>
          <w:numId w:val="90"/>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7" w:name="page68"/>
    <w:bookmarkEnd w:id="67"/>
    <w:p>
      <w:pPr>
        <w:spacing w:after="0" w:line="245" w:lineRule="auto"/>
        <w:rPr>
          <w:sz w:val="20"/>
          <w:szCs w:val="20"/>
          <w:color w:val="auto"/>
        </w:rPr>
      </w:pPr>
      <w:r>
        <w:rPr>
          <w:rFonts w:ascii="Arial" w:cs="Arial" w:eastAsia="Arial" w:hAnsi="Arial"/>
          <w:sz w:val="17"/>
          <w:szCs w:val="17"/>
          <w:color w:val="373535"/>
        </w:rPr>
        <w:t>The 4.8% decline in selling and administrative expenses in 2012 (–0.8% in constant currency and –1.5% in organic constant currency) was attributed to:</w:t>
      </w:r>
    </w:p>
    <w:p>
      <w:pPr>
        <w:spacing w:after="0" w:line="355" w:lineRule="exact"/>
        <w:rPr>
          <w:sz w:val="20"/>
          <w:szCs w:val="20"/>
          <w:color w:val="auto"/>
        </w:rPr>
      </w:pPr>
    </w:p>
    <w:p>
      <w:pPr>
        <w:ind w:left="140" w:hanging="137"/>
        <w:spacing w:after="0"/>
        <w:tabs>
          <w:tab w:leader="none" w:pos="140" w:val="left"/>
        </w:tabs>
        <w:numPr>
          <w:ilvl w:val="0"/>
          <w:numId w:val="91"/>
        </w:numPr>
        <w:rPr>
          <w:rFonts w:ascii="Arial" w:cs="Arial" w:eastAsia="Arial" w:hAnsi="Arial"/>
          <w:sz w:val="17"/>
          <w:szCs w:val="17"/>
          <w:color w:val="4C8ABF"/>
        </w:rPr>
      </w:pPr>
      <w:r>
        <w:rPr>
          <w:rFonts w:ascii="Arial" w:cs="Arial" w:eastAsia="Arial" w:hAnsi="Arial"/>
          <w:sz w:val="17"/>
          <w:szCs w:val="17"/>
          <w:color w:val="373535"/>
        </w:rPr>
        <w:t>a decrease in our organic salary-related costs, because of lower headcount and lower variable incentive-based costs;</w:t>
      </w:r>
    </w:p>
    <w:p>
      <w:pPr>
        <w:spacing w:after="0" w:line="178" w:lineRule="exact"/>
        <w:rPr>
          <w:rFonts w:ascii="Arial" w:cs="Arial" w:eastAsia="Arial" w:hAnsi="Arial"/>
          <w:sz w:val="17"/>
          <w:szCs w:val="17"/>
          <w:color w:val="4C8ABF"/>
        </w:rPr>
      </w:pPr>
    </w:p>
    <w:p>
      <w:pPr>
        <w:ind w:left="140" w:hanging="137"/>
        <w:spacing w:after="0"/>
        <w:tabs>
          <w:tab w:leader="none" w:pos="140" w:val="left"/>
        </w:tabs>
        <w:numPr>
          <w:ilvl w:val="0"/>
          <w:numId w:val="91"/>
        </w:numPr>
        <w:rPr>
          <w:rFonts w:ascii="Arial" w:cs="Arial" w:eastAsia="Arial" w:hAnsi="Arial"/>
          <w:sz w:val="17"/>
          <w:szCs w:val="17"/>
          <w:color w:val="4C8ABF"/>
        </w:rPr>
      </w:pPr>
      <w:r>
        <w:rPr>
          <w:rFonts w:ascii="Arial" w:cs="Arial" w:eastAsia="Arial" w:hAnsi="Arial"/>
          <w:sz w:val="17"/>
          <w:szCs w:val="17"/>
          <w:color w:val="373535"/>
        </w:rPr>
        <w:t>a 4.0% decrease due to the impact of currency exchange rates; partially offset by</w:t>
      </w:r>
    </w:p>
    <w:p>
      <w:pPr>
        <w:spacing w:after="0" w:line="165" w:lineRule="exact"/>
        <w:rPr>
          <w:rFonts w:ascii="Arial" w:cs="Arial" w:eastAsia="Arial" w:hAnsi="Arial"/>
          <w:sz w:val="17"/>
          <w:szCs w:val="17"/>
          <w:color w:val="4C8ABF"/>
        </w:rPr>
      </w:pPr>
    </w:p>
    <w:p>
      <w:pPr>
        <w:ind w:left="140" w:hanging="137"/>
        <w:spacing w:after="0"/>
        <w:tabs>
          <w:tab w:leader="none" w:pos="140" w:val="left"/>
        </w:tabs>
        <w:numPr>
          <w:ilvl w:val="0"/>
          <w:numId w:val="91"/>
        </w:numPr>
        <w:rPr>
          <w:rFonts w:ascii="Arial" w:cs="Arial" w:eastAsia="Arial" w:hAnsi="Arial"/>
          <w:sz w:val="17"/>
          <w:szCs w:val="17"/>
          <w:color w:val="4C8ABF"/>
        </w:rPr>
      </w:pPr>
      <w:r>
        <w:rPr>
          <w:rFonts w:ascii="Arial" w:cs="Arial" w:eastAsia="Arial" w:hAnsi="Arial"/>
          <w:sz w:val="17"/>
          <w:szCs w:val="17"/>
          <w:color w:val="373535"/>
        </w:rPr>
        <w:t>restructuring costs of $48.8 million;</w:t>
      </w:r>
    </w:p>
    <w:p>
      <w:pPr>
        <w:spacing w:after="0" w:line="165" w:lineRule="exact"/>
        <w:rPr>
          <w:rFonts w:ascii="Arial" w:cs="Arial" w:eastAsia="Arial" w:hAnsi="Arial"/>
          <w:sz w:val="17"/>
          <w:szCs w:val="17"/>
          <w:color w:val="4C8ABF"/>
        </w:rPr>
      </w:pPr>
    </w:p>
    <w:p>
      <w:pPr>
        <w:ind w:left="140" w:hanging="137"/>
        <w:spacing w:after="0" w:line="250" w:lineRule="auto"/>
        <w:tabs>
          <w:tab w:leader="none" w:pos="140" w:val="left"/>
        </w:tabs>
        <w:numPr>
          <w:ilvl w:val="0"/>
          <w:numId w:val="91"/>
        </w:numPr>
        <w:rPr>
          <w:rFonts w:ascii="Arial" w:cs="Arial" w:eastAsia="Arial" w:hAnsi="Arial"/>
          <w:sz w:val="17"/>
          <w:szCs w:val="17"/>
          <w:color w:val="4C8ABF"/>
        </w:rPr>
      </w:pPr>
      <w:r>
        <w:rPr>
          <w:rFonts w:ascii="Arial" w:cs="Arial" w:eastAsia="Arial" w:hAnsi="Arial"/>
          <w:sz w:val="17"/>
          <w:szCs w:val="17"/>
          <w:color w:val="373535"/>
        </w:rPr>
        <w:t>legal costs of $10.0 million in the United States, primarily related to a settlement agreement in connection with a lawsuit involving allegations regarding the Company’s vacation pay practices in Illinois; and</w:t>
      </w:r>
    </w:p>
    <w:p>
      <w:pPr>
        <w:spacing w:after="0" w:line="160" w:lineRule="exact"/>
        <w:rPr>
          <w:rFonts w:ascii="Arial" w:cs="Arial" w:eastAsia="Arial" w:hAnsi="Arial"/>
          <w:sz w:val="17"/>
          <w:szCs w:val="17"/>
          <w:color w:val="4C8ABF"/>
        </w:rPr>
      </w:pPr>
    </w:p>
    <w:p>
      <w:pPr>
        <w:ind w:left="140" w:hanging="137"/>
        <w:spacing w:after="0"/>
        <w:tabs>
          <w:tab w:leader="none" w:pos="140" w:val="left"/>
        </w:tabs>
        <w:numPr>
          <w:ilvl w:val="0"/>
          <w:numId w:val="91"/>
        </w:numPr>
        <w:rPr>
          <w:rFonts w:ascii="Arial" w:cs="Arial" w:eastAsia="Arial" w:hAnsi="Arial"/>
          <w:sz w:val="17"/>
          <w:szCs w:val="17"/>
          <w:color w:val="4C8ABF"/>
        </w:rPr>
      </w:pPr>
      <w:r>
        <w:rPr>
          <w:rFonts w:ascii="Arial" w:cs="Arial" w:eastAsia="Arial" w:hAnsi="Arial"/>
          <w:sz w:val="17"/>
          <w:szCs w:val="17"/>
          <w:color w:val="373535"/>
        </w:rPr>
        <w:t>the additional recurring selling and administrative costs as a result of the acquisitions in Southern Europe, APME and the Americas.</w:t>
      </w:r>
    </w:p>
    <w:p>
      <w:pPr>
        <w:spacing w:after="0" w:line="166"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Selling and administrative expenses as a percent of revenues increased 20 basis points (0.20%) in 2012 compared to 2011. The change in selling and administrative expense as a percent of revenues consists of:</w:t>
      </w:r>
    </w:p>
    <w:p>
      <w:pPr>
        <w:spacing w:after="0" w:line="148" w:lineRule="exact"/>
        <w:rPr>
          <w:sz w:val="20"/>
          <w:szCs w:val="20"/>
          <w:color w:val="auto"/>
        </w:rPr>
      </w:pPr>
    </w:p>
    <w:p>
      <w:pPr>
        <w:ind w:left="140" w:hanging="137"/>
        <w:spacing w:after="0"/>
        <w:tabs>
          <w:tab w:leader="none" w:pos="140" w:val="left"/>
        </w:tabs>
        <w:numPr>
          <w:ilvl w:val="0"/>
          <w:numId w:val="92"/>
        </w:numPr>
        <w:rPr>
          <w:rFonts w:ascii="Arial" w:cs="Arial" w:eastAsia="Arial" w:hAnsi="Arial"/>
          <w:sz w:val="17"/>
          <w:szCs w:val="17"/>
          <w:color w:val="4C8ABF"/>
        </w:rPr>
      </w:pPr>
      <w:r>
        <w:rPr>
          <w:rFonts w:ascii="Arial" w:cs="Arial" w:eastAsia="Arial" w:hAnsi="Arial"/>
          <w:sz w:val="17"/>
          <w:szCs w:val="17"/>
          <w:color w:val="373535"/>
        </w:rPr>
        <w:t>a 15 basis point (0.15%) increase due to the restructuring costs of $48.8 million in 2012 compared to $23.1 million in 2011; and</w:t>
      </w:r>
    </w:p>
    <w:p>
      <w:pPr>
        <w:spacing w:after="0" w:line="178" w:lineRule="exact"/>
        <w:rPr>
          <w:rFonts w:ascii="Arial" w:cs="Arial" w:eastAsia="Arial" w:hAnsi="Arial"/>
          <w:sz w:val="17"/>
          <w:szCs w:val="17"/>
          <w:color w:val="4C8ABF"/>
        </w:rPr>
      </w:pPr>
    </w:p>
    <w:p>
      <w:pPr>
        <w:ind w:left="140" w:hanging="137"/>
        <w:spacing w:after="0"/>
        <w:tabs>
          <w:tab w:leader="none" w:pos="140" w:val="left"/>
        </w:tabs>
        <w:numPr>
          <w:ilvl w:val="0"/>
          <w:numId w:val="92"/>
        </w:numPr>
        <w:rPr>
          <w:rFonts w:ascii="Arial" w:cs="Arial" w:eastAsia="Arial" w:hAnsi="Arial"/>
          <w:sz w:val="17"/>
          <w:szCs w:val="17"/>
          <w:color w:val="4C8ABF"/>
        </w:rPr>
      </w:pPr>
      <w:r>
        <w:rPr>
          <w:rFonts w:ascii="Arial" w:cs="Arial" w:eastAsia="Arial" w:hAnsi="Arial"/>
          <w:sz w:val="17"/>
          <w:szCs w:val="17"/>
          <w:color w:val="373535"/>
        </w:rPr>
        <w:t>a 5 basis point (0.05%) increase due to the legal costs of $10.0 million in the United States as noted above.</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Interest and other expenses were $43.3 million in 2012 compared to $44.3 million in 2011. Net interest expense decreased $0.3 million in 2012 to $35.2 million from $35.5 million in 2011 due to lower interest rates. Other expenses decreased $0.7 million in 2012 due primarily to a $1.9 million decrease in translation losses.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recorded an income tax expense at an effective rate of 46.4% for 2012, as compared to an effective rate of 47.6% for 2011. The 2012 tax rate is lower than the 2011 rate due to the benefits resulting from the changes in our legal entity structure. The 46.4% effective tax rate is higher than the United States Federal statutory rate of 35% due primarily to valuation allowances, other permanent items, discrete items related to restructuring costs described further in Note 1 to the Consolidated Financial Statements, and the French business tax.</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Net earnings per share — diluted was $2.47 in 2012 compared to $3.04 in 2011. Foreign currency exchange rates unfavorably impacted net earnings per share — diluted by approximately $0.14 per share in 2012.</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Weighted average shares — diluted decreased 3.3% to 80.1 million in 2012 from 82.8 million in 2011. This decrease was primarily a result of the repurchase of 3.6 million shares in 2012.</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SEGMENT RESULTS</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evaluate performance based on operating unit profit (“OUP”),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we are no longer required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31</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68" w:name="page69"/>
    <w:bookmarkEnd w:id="68"/>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234" w:lineRule="exact"/>
        <w:rPr>
          <w:sz w:val="20"/>
          <w:szCs w:val="20"/>
          <w:color w:val="auto"/>
        </w:rPr>
      </w:pPr>
    </w:p>
    <w:p>
      <w:pPr>
        <w:jc w:val="both"/>
        <w:spacing w:after="0" w:line="242" w:lineRule="auto"/>
        <w:rPr>
          <w:sz w:val="20"/>
          <w:szCs w:val="20"/>
          <w:color w:val="auto"/>
        </w:rPr>
      </w:pPr>
      <w:r>
        <w:rPr>
          <w:rFonts w:ascii="Arial" w:cs="Arial" w:eastAsia="Arial" w:hAnsi="Arial"/>
          <w:sz w:val="17"/>
          <w:szCs w:val="17"/>
          <w:b w:val="1"/>
          <w:bCs w:val="1"/>
          <w:color w:val="777679"/>
        </w:rPr>
        <w:t xml:space="preserve">Americas </w:t>
      </w:r>
      <w:r>
        <w:rPr>
          <w:rFonts w:ascii="Arial" w:cs="Arial" w:eastAsia="Arial" w:hAnsi="Arial"/>
          <w:sz w:val="17"/>
          <w:szCs w:val="17"/>
          <w:color w:val="373535"/>
        </w:rPr>
        <w:t>— The Americas segment is comprised of 722 Company-owned branch offices and 180 stand-alone franchise offices. In the Americas,</w:t>
      </w:r>
      <w:r>
        <w:rPr>
          <w:rFonts w:ascii="Arial" w:cs="Arial" w:eastAsia="Arial" w:hAnsi="Arial"/>
          <w:sz w:val="17"/>
          <w:szCs w:val="17"/>
          <w:b w:val="1"/>
          <w:bCs w:val="1"/>
          <w:color w:val="777679"/>
        </w:rPr>
        <w:t xml:space="preserve"> </w:t>
      </w:r>
      <w:r>
        <w:rPr>
          <w:rFonts w:ascii="Arial" w:cs="Arial" w:eastAsia="Arial" w:hAnsi="Arial"/>
          <w:sz w:val="17"/>
          <w:szCs w:val="17"/>
          <w:color w:val="373535"/>
        </w:rPr>
        <w:t>revenues from services decreased 1.9% (–0.5% in constant currency) in 2013 compared to 2012. In the United States, revenues from services declined 1.4% in 2013 compared to 2012. The revenue decline in the United States was attributable to a decline in staffing/interim services in the Manpower and Experis business lines due to softening demand from our larger strategic accounts in 2013 compared to 2012, a large client project in our Manpower business line that concluded in the first quarter of 2013 and strong price discipline in selectively accepting new business opportunities. These declines were partially offset by an increase in ManpowerGroup Solutions revenues of 14.2% and an increase in our permanent recruitment revenues of 4.4% in the United States in 2013 compared to 2012. In Other Americas, revenues from services declined 2.7% (1.2% increase in constant currency and 1.1% increase in organic constant currency) in 2013 compared to 2012, with a revenue decline in Argentina of 12.7%, partially offset by revenue increases in Canada of 1.8% (4.0% in organic constant currency) and Mexico of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84455</wp:posOffset>
            </wp:positionV>
            <wp:extent cx="1638935" cy="2007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8935" cy="2007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2012, revenues from services decreased 1.2% (0.5% increase in constant currency and 0.4% increase in organic constant currency) compared to 2011. In the United States, revenues from services declined 4.0% in 2012 compared to 2011. The revenue decline in the United States was attributable to staffing/interim services within the Manpower and Experis business lines as demand from our larger strategic accounts softened in 2012 compared to 2011, and we maintained stronger pricing discipline on new business opportunities. These declines were partially offset by an increase in United States permanent recruitment revenues of 17.3% in 2012 compared to 2011. In Other Americas, revenues from services improved 4.8% (9.9% in constant currency and 9.6% in organic constant currency) in 2012 compared to 2011, led by revenue growth in Canada, Mexico and Argentina of 19.2%, 10.0% and 8.2%, respectively, in constant currency (16.2% growth in Canada in organic constant currency).</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Gross profit margin increased in 2013 compared to 2012 due to the favorable impact of improved staffing/interim gross profit margin resulting from stronger pricing discipline in the United States, as well as continued growth in our ManpowerGroup Solutions and permanent recruitment businesses. In 2012, gross profit margin increased slightly as the increase in our permanent recruitment business was partially offset by the negative impact from our interim business due to pricing pressures, an increase in unbillable time and a decrease due to the reduced FICA taxes from the one-time Hire Act credits in the United States in 2011 that did not occur in 2012.</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2013, selling and administrative expenses decreased 5.6% (–4.5% in constant currency) due to $10.0 million of legal costs incurred in 2012 and declines in salary-related and lease costs as a result of the cost recalibration plan, partially offset by an increase in restructuring costs to $18.0 million recorded in 2013 compared to $9.8 million in 2012. In 2012, selling and administrative expenses increased 5.7% in constant currency due mostly to $9.8 million of restructuring costs and $10.0 million of legal costs incurred in 2012 as well as an increase in bad debt expense in Other Americas as a result of some uncollectible accounts receivable. The increase was also due to additional headcount in Mexico, Canada and Brazil to meet the increased demand in those countries and high inflation in Argentina. Partially offsetting these increases was a decrease in the United States, excluding the restructuring and legal costs, due primarily to a decrease in variable incentive-based compensation and lower office lease costs.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OUP margin in the Americas was 3.2%, 2.4% and 3.1% for 2013, 2012 and 2011, respectively. In the United States, OUP margin was 3.4%, 2.0% and 3.0% in 2013, 2012 and 2011, respectively. The 2013 margin increase in the United States was due to declines in salary-related and lease costs as a result of the cost recalibration plan, the 2012 legal costs and the improvement in the gross profit margin as noted above, partially offset by the increase in restructuring costs. Other Americas OUP margin was 2.8%, 3.2% and 3.2% in 2013, 2012 and 2011, respectively. The decrease in the Other Americas OUP margin was due to the increase in restructuring costs in 2013 compared to 2012. The margin decrease in the Americas in 2012 was primarily due to the United States as a result of the restructuring and legal costs noted above, as well as expense deleveraging as we did not decrease expenses as quickly as revenues declined.</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4"/>
          <w:szCs w:val="14"/>
          <w:b w:val="1"/>
          <w:bCs w:val="1"/>
          <w:color w:val="777679"/>
        </w:rPr>
        <w:t>32</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52970" cy="247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69" w:name="page70"/>
    <w:bookmarkEnd w:id="69"/>
    <w:p>
      <w:pPr>
        <w:jc w:val="both"/>
        <w:spacing w:after="0" w:line="243" w:lineRule="auto"/>
        <w:rPr>
          <w:sz w:val="20"/>
          <w:szCs w:val="20"/>
          <w:color w:val="auto"/>
        </w:rPr>
      </w:pPr>
      <w:r>
        <w:rPr>
          <w:rFonts w:ascii="Arial" w:cs="Arial" w:eastAsia="Arial" w:hAnsi="Arial"/>
          <w:sz w:val="17"/>
          <w:szCs w:val="17"/>
          <w:b w:val="1"/>
          <w:bCs w:val="1"/>
          <w:color w:val="777679"/>
        </w:rPr>
        <w:t xml:space="preserve">Southern Europe </w:t>
      </w:r>
      <w:r>
        <w:rPr>
          <w:rFonts w:ascii="Arial" w:cs="Arial" w:eastAsia="Arial" w:hAnsi="Arial"/>
          <w:sz w:val="17"/>
          <w:szCs w:val="17"/>
          <w:color w:val="373535"/>
        </w:rPr>
        <w:t>— In 2013, revenues from services in Southern Europe, which includes operations in France and Italy, decreased 0.2% (–3.6% in</w:t>
      </w:r>
      <w:r>
        <w:rPr>
          <w:rFonts w:ascii="Arial" w:cs="Arial" w:eastAsia="Arial" w:hAnsi="Arial"/>
          <w:sz w:val="17"/>
          <w:szCs w:val="17"/>
          <w:b w:val="1"/>
          <w:bCs w:val="1"/>
          <w:color w:val="777679"/>
        </w:rPr>
        <w:t xml:space="preserve"> </w:t>
      </w:r>
      <w:r>
        <w:rPr>
          <w:rFonts w:ascii="Arial" w:cs="Arial" w:eastAsia="Arial" w:hAnsi="Arial"/>
          <w:sz w:val="17"/>
          <w:szCs w:val="17"/>
          <w:color w:val="373535"/>
        </w:rPr>
        <w:t>constant currency and –3.9% in organic constant currency) compared to 2012. In 2013, revenues from services decreased 6.0% in organic constant currency in France (which represents 73.0% of Southern Europe’s revenues) and decreased 0.3% in constant currency in Italy (which represents 15.0% of Southern Europe’s revenues). The decrease in France is due primarily to softening demand in the staffing/interim business and a 23.5% decline in constant currency in the permanent recruitment business. The decrease in Italy is due to a slight decrease in our staffing/interim services. In Other Southern Europe, revenues from services increased 12.5% (7.9% in constant currency and 6.1% in organic constant currency) in 2013 compared to 2012 driven by the revenue increase in Portugal, due to increased demand in the Manpower staffing and ManpowerGroup Solutions businesses, and in Spain, due mostly to an acquisition of some clients from a local competitor in July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2796540</wp:posOffset>
            </wp:positionH>
            <wp:positionV relativeFrom="paragraph">
              <wp:posOffset>99060</wp:posOffset>
            </wp:positionV>
            <wp:extent cx="1638935" cy="20815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3893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In 2012, revenues from services in Southern Europe decreased 11.7% (–4.2% in constant currency and –5.3% in organic constant currency) compared to 2011. In 2012, revenues from services decreased 6.1% in organic constant currency in France and decreased 8.9% in constant currency in Italy and 1.1% (6.9% increase in constant currency) in Other Southern Europe compared to 2011. These decreases in France and Italy were due primarily to a softening demand in the staffing/interim business as well as a 21.2% decline in constant currency in our permanent recruitment business, mostly driven by the further winding down of the Pole Emploi contract in France.</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Gross profit margin increased in 2013 compared to 2012 due primarily to the CICE payroll tax credit in France, which was partially offset by the additional social security reserve recorded in France in 2013, the decrease in our permanent recruitment business, and pricing pressures in the small/medium-sized business in France and in Italy that unfavorably impacted staffing/interim gross margins. In 2012, gross profit margin remained flat compared to 2011 as the improvement related to our two acquisitions in France was offset by the decrease in our permanent recruitment business, including the further wind down of the Pole Emploi contract in France, and pricing pressures in Italy that unfavorably impacted staffing/ interim gross margins.</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2013, selling and administrative expenses decreased 3.8% (–6.9% in constant currency and –7.2% in organic constant currency) compared to 2012 primarily related to the decrease in organic salary-related costs due to lower headcount, partially offset by an increase in restructuring costs to $7.8 million recorded in 2013 compared to $ 3.8 million in 2012 and the additional recurring selling and administrative costs resulting from the 2012 Damilo acquisition in France. In 2012, selling and administrative expenses decreased 7.6% (–0.1% in constant currency and –2.4% in organic constant currency) compared to 2011. The decrease in selling and administrative expenses was due to lower organic salary-related costs as headcount was reduced, partially offset by the additional costs from the Proservia and Damilo acquisitions, additional bad debt expense incurred in France and Italy as a result of collection issues with certain clients, and $3.8 million of restructuring costs in 2012 compared to $1.5 million in 2011.</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OUP margin in Southern Europe was 3.7%, 2.6% and 3.1% for 2013, 2012 and 2011, respectively. OUP margin increased in 2013 primarily due to France, where the OUP margin was 3.8%, 2.4%, and 2.7% in 2013, 2012 and 2011, respectively. France’s margin increase in 2013 was due to the improvement in the gross profit margin and the decrease in salary-related costs due to lower headcount, partially offset by the increase in restructuring costs in 2013 compared to 2012. Italy’s OUP margin was 4.9%, 4.3% and 5.9% in 2013, 2012 and 2011, respectively. Italy’s margin increase in 2013 was due to the decrease in salary-related and lease costs from lower headcount and fewer offices, partially offset by the increase in restructuring costs in 2013 compared to 2012. Other Southern Europe’s OUP margin was 1.4%, 1.3% and 1.4% in 2013, 2012 and 2011, respectively. Other Southern Europe’s slight margin increase in 2013 was due to the decrease in organic salary-related costs partially offset by the decrease in the gross profit margin and increase in restructuring costs in 2013 compared to 2012. The margin decrease in Southern Europe in 2012 was primarily due to France as the increase in the gross profit margin did not fully compensate for the deleveraging of expenses as we did not decrease selling and administrative expenses to the extent of the revenue decline as well the margin decrease in Italy due to the decrease in gross profit margin and deleveraging of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33</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33"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4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777679"/>
        </w:rPr>
        <w:t xml:space="preserve">Northern Europe </w:t>
      </w:r>
      <w:r>
        <w:rPr>
          <w:rFonts w:ascii="Arial" w:cs="Arial" w:eastAsia="Arial" w:hAnsi="Arial"/>
          <w:sz w:val="17"/>
          <w:szCs w:val="17"/>
          <w:color w:val="373535"/>
        </w:rPr>
        <w:t>— In Northern Europe, which includes operations in the United Kingdom, the Nordics, Germany and the Netherlands (comprising</w:t>
      </w:r>
      <w:r>
        <w:rPr>
          <w:rFonts w:ascii="Arial" w:cs="Arial" w:eastAsia="Arial" w:hAnsi="Arial"/>
          <w:sz w:val="17"/>
          <w:szCs w:val="17"/>
          <w:b w:val="1"/>
          <w:bCs w:val="1"/>
          <w:color w:val="777679"/>
        </w:rPr>
        <w:t xml:space="preserve"> </w:t>
      </w:r>
      <w:r>
        <w:rPr>
          <w:rFonts w:ascii="Arial" w:cs="Arial" w:eastAsia="Arial" w:hAnsi="Arial"/>
          <w:sz w:val="17"/>
          <w:szCs w:val="17"/>
          <w:color w:val="373535"/>
        </w:rPr>
        <w:t>30.7%, 23.1%, 12.1%, and 9.6%, respectively, of Northern Europe’s revenues), revenues from services decreased 0.6% (–1.7% in constant currency and –2.3% in organic constant currency) in 2013 as compared to 2012. The decrease in revenues from services was primarily attributable to the 8.2% decline in constant currency in our Experis business line, which saw softening demand for IT services among our larger clients, in both our interim and permanent recruitment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105410</wp:posOffset>
            </wp:positionV>
            <wp:extent cx="1638935" cy="20567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638935" cy="2056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2012, revenues from services in Northern Europe decreased 6.3% (–1.3% in constant currency) primarily attributable to declines in our Experis business line, which saw softening demand in both interim and permanent recruitment, as well as a decline in our ManpowerGroup Solutions business. This decline was partially offset by growth in our Manpower business line, primarily in the United Kingdom.</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Gross profit margin decreased in 2013 due to the decline in our staffing/interim margins as we experienced lower bench utilization in our Manpower business line in Sweden and new collective labor agreements and higher holiday pay costs in Germany, encountered general pricing pressures in several markets, and saw a 9.8% decrease in constant currency in our permanent recruitment business. In 2012, gross profit margin decreased due to the decline in our staffing/interim margins as we had an increase of unbillable labor due to lower bench utilization and higher vacation pay in Germany and Sweden, and general pricing pressures in the Netherlands. The decrease in 2012 was also due to the business mix changes in our revenues, as staffing/interim revenue growth came from our lower-margin United Kingdom market, and our higher-margin permanent recruitment and ManpowerGroup Solutions revenues declined.</w:t>
      </w:r>
    </w:p>
    <w:p>
      <w:pPr>
        <w:spacing w:after="0" w:line="17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2013, selling and administrative expenses decreased 3.8% (–5.3% decrease in constant currency and –5.9% in organic constant currency) compared to 2012. The decrease in selling and administrative expenses was due primarily to lower headcount, which reduced compensation-related expenses such as salaries and variable incentive-based costs, lower lease costs, and the additional cost savings from the simplification and cost recalibration plan put in place in the fourth quarter of 2012, partially offset by an increase in restructuring costs to $39.0 million recorded in 2013 compared to $13.2 million in 2012 and the additional recurring selling and administrative costs resulting from an acquisition in April 2013. In 2012, selling and administrative expenses decreased 9.6% (–4.4% in constant currency) compared to 2011 due primarily to lower headcount, which reduced compensation-related expenses such as salaries and variable incentive-based costs, and overall tighter expense controls.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OUP margin for Northern Europe was 2.4%, 2.8% and 3.5% in 2013, 2012 and 2011, respectively. The OUP margin declined in 2013 as the decrease in compensation-related expenses and lease costs as well as additional cost savings from the simplification and cost recalibration plan was not enough to offset the decrease in the gross profit margin and the increase in restructuring costs in 2013. The margin decline in 2012 was primarily due to the decline in gross profit margin.</w:t>
      </w:r>
    </w:p>
    <w:p>
      <w:pPr>
        <w:spacing w:after="0" w:line="135" w:lineRule="exact"/>
        <w:rPr>
          <w:sz w:val="20"/>
          <w:szCs w:val="20"/>
          <w:color w:val="auto"/>
        </w:rPr>
      </w:pPr>
    </w:p>
    <w:p>
      <w:pPr>
        <w:jc w:val="both"/>
        <w:spacing w:after="0" w:line="245" w:lineRule="auto"/>
        <w:rPr>
          <w:sz w:val="20"/>
          <w:szCs w:val="20"/>
          <w:color w:val="auto"/>
        </w:rPr>
      </w:pPr>
      <w:r>
        <w:rPr>
          <w:rFonts w:ascii="Arial" w:cs="Arial" w:eastAsia="Arial" w:hAnsi="Arial"/>
          <w:sz w:val="17"/>
          <w:szCs w:val="17"/>
          <w:b w:val="1"/>
          <w:bCs w:val="1"/>
          <w:color w:val="777679"/>
        </w:rPr>
        <w:t xml:space="preserve">APME </w:t>
      </w:r>
      <w:r>
        <w:rPr>
          <w:rFonts w:ascii="Arial" w:cs="Arial" w:eastAsia="Arial" w:hAnsi="Arial"/>
          <w:sz w:val="17"/>
          <w:szCs w:val="17"/>
          <w:color w:val="373535"/>
        </w:rPr>
        <w:t>— In 2013, revenues from services for APME decreased 10.3% (–1.4% in constant currency) compared to 2012. In Japan (which represents</w:t>
      </w:r>
      <w:r>
        <w:rPr>
          <w:rFonts w:ascii="Arial" w:cs="Arial" w:eastAsia="Arial" w:hAnsi="Arial"/>
          <w:sz w:val="17"/>
          <w:szCs w:val="17"/>
          <w:b w:val="1"/>
          <w:bCs w:val="1"/>
          <w:color w:val="777679"/>
        </w:rPr>
        <w:t xml:space="preserve"> </w:t>
      </w:r>
      <w:r>
        <w:rPr>
          <w:rFonts w:ascii="Arial" w:cs="Arial" w:eastAsia="Arial" w:hAnsi="Arial"/>
          <w:sz w:val="17"/>
          <w:szCs w:val="17"/>
          <w:color w:val="373535"/>
        </w:rPr>
        <w:t>37.7% of APME’s revenues), revenues from services decreased 3.7% in constant currency due primarily to soft demand for our staffing/interim services as a result of legislative changes and fewer billing days in 2013 compared to 2012, and the run-off of a large TBO client contract that began to wind down in early 2013, partially offset by a 31.7% increase in constant currency in the permanent recruitment business. In Australia (which represents 23.5% of APME’s revenues), revenues from services were down 6.6% in constant currency compared to 2012 due to the decreased demand for interim services in our Experis business line, partially offset by an increase in the permanent recruitment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106680</wp:posOffset>
            </wp:positionV>
            <wp:extent cx="1638935" cy="2163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38935" cy="216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2012, revenues from services for APME increased 2.5% (3.1% in constant currency and 1.6% in organic constant currency) compared to 2011. China and India both made acquisitions in 2011, which significantly increased their revenues. Excluding acquisitions, revenue growth in constant currency for 2012 in China and India was 11.4% and 17.5%, respectively. In Japan, we saw a slight decrease</w:t>
      </w:r>
    </w:p>
    <w:p>
      <w:pPr>
        <w:spacing w:after="0" w:line="144" w:lineRule="exact"/>
        <w:rPr>
          <w:sz w:val="20"/>
          <w:szCs w:val="20"/>
          <w:color w:val="auto"/>
        </w:rPr>
      </w:pPr>
    </w:p>
    <w:p>
      <w:pPr>
        <w:ind w:left="580" w:hanging="577"/>
        <w:spacing w:after="0"/>
        <w:tabs>
          <w:tab w:leader="none" w:pos="580" w:val="left"/>
        </w:tabs>
        <w:numPr>
          <w:ilvl w:val="0"/>
          <w:numId w:val="93"/>
        </w:numPr>
        <w:rPr>
          <w:rFonts w:ascii="Arial" w:cs="Arial" w:eastAsia="Arial" w:hAnsi="Arial"/>
          <w:sz w:val="14"/>
          <w:szCs w:val="14"/>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ectPr>
          <w:pgSz w:w="11900" w:h="16838" w:orient="portrait"/>
          <w:cols w:equalWidth="0" w:num="1">
            <w:col w:w="11420"/>
          </w:cols>
          <w:pgMar w:left="240" w:top="653" w:right="239" w:bottom="0" w:gutter="0" w:footer="0" w:header="0"/>
        </w:sectPr>
      </w:pPr>
    </w:p>
    <w:bookmarkStart w:id="71" w:name="page72"/>
    <w:bookmarkEnd w:id="71"/>
    <w:p>
      <w:pPr>
        <w:spacing w:after="0"/>
        <w:tabs>
          <w:tab w:leader="none" w:pos="5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154305</wp:posOffset>
            </wp:positionH>
            <wp:positionV relativeFrom="page">
              <wp:posOffset>220345</wp:posOffset>
            </wp:positionV>
            <wp:extent cx="7252970" cy="24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both"/>
        <w:spacing w:after="0" w:line="243" w:lineRule="auto"/>
        <w:rPr>
          <w:sz w:val="20"/>
          <w:szCs w:val="20"/>
          <w:color w:val="auto"/>
        </w:rPr>
      </w:pPr>
      <w:r>
        <w:rPr>
          <w:rFonts w:ascii="Arial" w:cs="Arial" w:eastAsia="Arial" w:hAnsi="Arial"/>
          <w:sz w:val="17"/>
          <w:szCs w:val="17"/>
          <w:color w:val="373535"/>
        </w:rPr>
        <w:t>of 0.2% in constant currency for 2012 due to declining demand for our staffing services within our Manpower business line, offset by a 16.6% increase in the combined Experis and ManpowerGroup Solutions business lines, compared to 2011. In Australia, revenues were down 6.0% in constant currency for 2012 compared to 2011 due to the decreased demand resulting from their economic slowdown.</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Gross profit margin decreased in 2013 compared to 2012 due to a decrease in our staffing/interim gross profit margin from modest pricing pressures and change in business mix, as well as the 5.3% decline in constant currency in our permanent recruitment business. In 2012, gross profit margin decreased due to the margin declines in our higher-margin ManpowerGroup Solutions business as well as a slight margin decline in our staffing/interim business.</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Selling and administrative expenses decreased 10.4% (–1.6% in constant currency) in 2013 compared to 2012 related to reduced compensation-related expenses such as salaries and variable incentive-based costs due to lower headcount, partially offset by an increase in restructuring costs to $6.2 million recorded in 2013 compared to $0.7 million in 2012. In 2012, selling and administrative expenses decreased 3.6% (–3.5% in constant currency) compared to 2011 due to productivity improvements along with tighter expense controls.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OUP margin for APME was 2.9%, 3.3%, and 3.0% in 2013, 2012 and 2011, respectively. The OUP margin decrease in 2013 was due to the decrease in our gross profit margin, increase in restructuring costs and the impact of fewer billing days, partially offset by the decrease in salary-related costs due to lower headcount. The improvement in 2012 was due to productivity improvements and tighter expense controls as we were able to decrease our selling and administrative expenses while revenues increased.</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777679"/>
        </w:rPr>
        <w:t xml:space="preserve">Right Management </w:t>
      </w:r>
      <w:r>
        <w:rPr>
          <w:rFonts w:ascii="Arial" w:cs="Arial" w:eastAsia="Arial" w:hAnsi="Arial"/>
          <w:sz w:val="17"/>
          <w:szCs w:val="17"/>
          <w:color w:val="373535"/>
        </w:rPr>
        <w:t>— Right Management is a leading global provider of talent and career management (also known as outplacement services)</w:t>
      </w:r>
      <w:r>
        <w:rPr>
          <w:rFonts w:ascii="Arial" w:cs="Arial" w:eastAsia="Arial" w:hAnsi="Arial"/>
          <w:sz w:val="17"/>
          <w:szCs w:val="17"/>
          <w:b w:val="1"/>
          <w:bCs w:val="1"/>
          <w:color w:val="777679"/>
        </w:rPr>
        <w:t xml:space="preserve"> </w:t>
      </w:r>
      <w:r>
        <w:rPr>
          <w:rFonts w:ascii="Arial" w:cs="Arial" w:eastAsia="Arial" w:hAnsi="Arial"/>
          <w:sz w:val="17"/>
          <w:szCs w:val="17"/>
          <w:color w:val="373535"/>
        </w:rPr>
        <w:t>workforce solutions, operating in over 130 offices in more than 50 countries and territories.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88265</wp:posOffset>
            </wp:positionV>
            <wp:extent cx="1638935" cy="2081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3893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In 2013, revenues from services decreased 3.6% (–2.1% in constant currency) due to the 7.1% (–6.6% in constant currency) decline in demand for our talent management business. Our counter-cyclical outplacement services remained flat in constant currency in 2013 compared to 2012.</w:t>
      </w:r>
    </w:p>
    <w:p>
      <w:pPr>
        <w:spacing w:after="0" w:line="14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2012, revenues from services increased 1.5% (3.4% in constant currency). The increase was due to the growth in our outplacement services, which were up 10.1% (12.2% in constant currency) in 2012 compared to 2011, partially offset by a 12.8% (11.2% in constant currency) decline in demand for our talent management business, as we saw a longer sales cycle as clients deferred their discretionary spending.</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Gross profit margin decreased in 2013 compared to 2012 due to the margin deterioration in both the outplacement business and talent management business, partially offset by the change in business mix as the higher-margin outplacement business represented a greater percentage of the revenue mix. In 2012, gross profit margin increased due to the margin improvement in each business line and the business mix changes in our revenues, as we saw an increase in the higher-margin outplacement services and a decrease in the lower-margin talent management business.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2013, selling and administrative expenses decreased 8.5% (–7.5% in constant currency) compared to 2012 due to the cost savings from the simplification and cost recalibration plan put in place in 2012, partially offset by an increase in restructuring costs to $14.0 million in 2013 compared to $10.9 million in 2012. In 2012, selling and administrative expenses decreased 1.7% (0.4% increase in constant currency) compared to 2011 as the cost savings from the restructuring plan to streamline the office infrastructure and management organization favorably impacted expense levels.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OUP margin for Right Management was 6.4%, 4.1% and –0.4% for 2013, 2012 and 2011, respectively. The OUP margin for 2013 improved due to the decrease in selling and administrative expenses from the cost savings from the simplification and cost recalibration plan noted above, partially offset by the decrease in the gross profit margin and the increase in restructuring costs in 2013. OUP margin in 2012 was higher compared to 2011 due to the greater mix of outplacement business as well as the decrease in selling and administrative expenses due to cost savings from the restructuring plan noted above, offset, in part, by the $10.9 million of restructuring costs incurred in 2012 compared to $5.5 million in 2011.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35</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73" w:name="page74"/>
    <w:bookmarkEnd w:id="73"/>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76AD9A"/>
        </w:rPr>
        <w:t>Financial Measures — Constant Currency and Organic</w:t>
      </w:r>
    </w:p>
    <w:p>
      <w:pPr>
        <w:spacing w:after="0"/>
        <w:rPr>
          <w:sz w:val="20"/>
          <w:szCs w:val="20"/>
          <w:color w:val="auto"/>
        </w:rPr>
      </w:pPr>
      <w:r>
        <w:rPr>
          <w:rFonts w:ascii="Arial" w:cs="Arial" w:eastAsia="Arial" w:hAnsi="Arial"/>
          <w:sz w:val="17"/>
          <w:szCs w:val="17"/>
          <w:color w:val="76AD9A"/>
        </w:rPr>
        <w:t>Constant Currency Reconciliation</w:t>
      </w:r>
    </w:p>
    <w:p>
      <w:pPr>
        <w:spacing w:after="0" w:line="7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Certain constant currency and organic constant currency percent variances are discussed throughout this annual report. A reconciliation to the percent variances calculated based on our annual financial results is provided below. (See Constant Currency and Organic Constant Currency on page 27 for further information.)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right"/>
              <w:ind w:right="357"/>
              <w:spacing w:after="0"/>
              <w:rPr>
                <w:sz w:val="20"/>
                <w:szCs w:val="20"/>
                <w:color w:val="auto"/>
              </w:rPr>
            </w:pPr>
            <w:r>
              <w:rPr>
                <w:rFonts w:ascii="Arial" w:cs="Arial" w:eastAsia="Arial" w:hAnsi="Arial"/>
                <w:sz w:val="14"/>
                <w:szCs w:val="14"/>
                <w:color w:val="76AD9A"/>
              </w:rPr>
              <w:t>Impact of</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76AD9A"/>
              </w:rPr>
              <w:t>Organic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right"/>
              <w:ind w:right="256"/>
              <w:spacing w:after="0" w:line="155" w:lineRule="exact"/>
              <w:rPr>
                <w:sz w:val="20"/>
                <w:szCs w:val="20"/>
                <w:color w:val="auto"/>
              </w:rPr>
            </w:pPr>
            <w:r>
              <w:rPr>
                <w:rFonts w:ascii="Arial" w:cs="Arial" w:eastAsia="Arial" w:hAnsi="Arial"/>
                <w:sz w:val="14"/>
                <w:szCs w:val="14"/>
                <w:color w:val="76AD9A"/>
              </w:rPr>
              <w:t>Reported</w:t>
            </w:r>
          </w:p>
        </w:tc>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Variance in</w:t>
            </w:r>
          </w:p>
        </w:tc>
        <w:tc>
          <w:tcPr>
            <w:tcW w:w="1300" w:type="dxa"/>
            <w:vAlign w:val="bottom"/>
          </w:tcPr>
          <w:p>
            <w:pPr>
              <w:jc w:val="right"/>
              <w:ind w:right="357"/>
              <w:spacing w:after="0" w:line="155" w:lineRule="exact"/>
              <w:rPr>
                <w:sz w:val="20"/>
                <w:szCs w:val="20"/>
                <w:color w:val="auto"/>
              </w:rPr>
            </w:pPr>
            <w:r>
              <w:rPr>
                <w:rFonts w:ascii="Arial" w:cs="Arial" w:eastAsia="Arial" w:hAnsi="Arial"/>
                <w:sz w:val="14"/>
                <w:szCs w:val="14"/>
                <w:color w:val="76AD9A"/>
              </w:rPr>
              <w:t>Acquisitions</w:t>
            </w: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76AD9A"/>
              </w:rPr>
              <w:t>Constant</w:t>
            </w:r>
          </w:p>
        </w:tc>
        <w:tc>
          <w:tcPr>
            <w:tcW w:w="0" w:type="dxa"/>
            <w:vAlign w:val="bottom"/>
          </w:tcPr>
          <w:p>
            <w:pPr>
              <w:spacing w:after="0"/>
              <w:rPr>
                <w:sz w:val="1"/>
                <w:szCs w:val="1"/>
                <w:color w:val="auto"/>
              </w:rPr>
            </w:pPr>
          </w:p>
        </w:tc>
      </w:tr>
      <w:tr>
        <w:trPr>
          <w:trHeight w:val="155"/>
        </w:trPr>
        <w:tc>
          <w:tcPr>
            <w:tcW w:w="3480" w:type="dxa"/>
            <w:vAlign w:val="bottom"/>
            <w:gridSpan w:val="2"/>
          </w:tcPr>
          <w:p>
            <w:pPr>
              <w:spacing w:after="0" w:line="155" w:lineRule="exact"/>
              <w:rPr>
                <w:sz w:val="20"/>
                <w:szCs w:val="20"/>
                <w:color w:val="auto"/>
              </w:rPr>
            </w:pPr>
            <w:r>
              <w:rPr>
                <w:rFonts w:ascii="Arial" w:cs="Arial" w:eastAsia="Arial" w:hAnsi="Arial"/>
                <w:sz w:val="14"/>
                <w:szCs w:val="14"/>
                <w:color w:val="76AD9A"/>
              </w:rPr>
              <w:t>Amounts represent 2013</w:t>
            </w:r>
          </w:p>
        </w:tc>
        <w:tc>
          <w:tcPr>
            <w:tcW w:w="760" w:type="dxa"/>
            <w:vAlign w:val="bottom"/>
          </w:tcPr>
          <w:p>
            <w:pPr>
              <w:spacing w:after="0"/>
              <w:rPr>
                <w:sz w:val="13"/>
                <w:szCs w:val="13"/>
                <w:color w:val="auto"/>
              </w:rPr>
            </w:pPr>
          </w:p>
        </w:tc>
        <w:tc>
          <w:tcPr>
            <w:tcW w:w="114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Amount</w:t>
            </w:r>
          </w:p>
        </w:tc>
        <w:tc>
          <w:tcPr>
            <w:tcW w:w="1340" w:type="dxa"/>
            <w:vAlign w:val="bottom"/>
          </w:tcPr>
          <w:p>
            <w:pPr>
              <w:jc w:val="right"/>
              <w:ind w:right="375"/>
              <w:spacing w:after="0" w:line="155" w:lineRule="exact"/>
              <w:rPr>
                <w:sz w:val="20"/>
                <w:szCs w:val="20"/>
                <w:color w:val="auto"/>
              </w:rPr>
            </w:pPr>
            <w:r>
              <w:rPr>
                <w:rFonts w:ascii="Arial" w:cs="Arial" w:eastAsia="Arial" w:hAnsi="Arial"/>
                <w:sz w:val="14"/>
                <w:szCs w:val="14"/>
                <w:color w:val="76AD9A"/>
              </w:rPr>
              <w:t>Reported</w:t>
            </w:r>
          </w:p>
        </w:tc>
        <w:tc>
          <w:tcPr>
            <w:tcW w:w="1160" w:type="dxa"/>
            <w:vAlign w:val="bottom"/>
          </w:tcPr>
          <w:p>
            <w:pPr>
              <w:jc w:val="right"/>
              <w:ind w:right="315"/>
              <w:spacing w:after="0" w:line="155" w:lineRule="exact"/>
              <w:rPr>
                <w:sz w:val="20"/>
                <w:szCs w:val="20"/>
                <w:color w:val="auto"/>
              </w:rPr>
            </w:pPr>
            <w:r>
              <w:rPr>
                <w:rFonts w:ascii="Arial" w:cs="Arial" w:eastAsia="Arial" w:hAnsi="Arial"/>
                <w:sz w:val="14"/>
                <w:szCs w:val="14"/>
                <w:color w:val="76AD9A"/>
              </w:rPr>
              <w:t>Impact of</w:t>
            </w:r>
          </w:p>
        </w:tc>
        <w:tc>
          <w:tcPr>
            <w:tcW w:w="120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Constant</w:t>
            </w:r>
          </w:p>
        </w:tc>
        <w:tc>
          <w:tcPr>
            <w:tcW w:w="1300" w:type="dxa"/>
            <w:vAlign w:val="bottom"/>
          </w:tcPr>
          <w:p>
            <w:pPr>
              <w:jc w:val="right"/>
              <w:ind w:right="357"/>
              <w:spacing w:after="0" w:line="155" w:lineRule="exact"/>
              <w:rPr>
                <w:sz w:val="20"/>
                <w:szCs w:val="20"/>
                <w:color w:val="auto"/>
              </w:rPr>
            </w:pPr>
            <w:r>
              <w:rPr>
                <w:rFonts w:ascii="Arial" w:cs="Arial" w:eastAsia="Arial" w:hAnsi="Arial"/>
                <w:sz w:val="14"/>
                <w:szCs w:val="14"/>
                <w:color w:val="76AD9A"/>
              </w:rPr>
              <w:t>(in Constant</w:t>
            </w:r>
          </w:p>
        </w:tc>
        <w:tc>
          <w:tcPr>
            <w:tcW w:w="10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76AD9A"/>
              </w:rPr>
              <w:t>Currency</w:t>
            </w:r>
          </w:p>
        </w:tc>
        <w:tc>
          <w:tcPr>
            <w:tcW w:w="0" w:type="dxa"/>
            <w:vAlign w:val="bottom"/>
          </w:tcPr>
          <w:p>
            <w:pPr>
              <w:spacing w:after="0"/>
              <w:rPr>
                <w:sz w:val="1"/>
                <w:szCs w:val="1"/>
                <w:color w:val="auto"/>
              </w:rPr>
            </w:pPr>
          </w:p>
        </w:tc>
      </w:tr>
      <w:tr>
        <w:trPr>
          <w:trHeight w:val="150"/>
        </w:trPr>
        <w:tc>
          <w:tcPr>
            <w:tcW w:w="3480" w:type="dxa"/>
            <w:vAlign w:val="bottom"/>
            <w:gridSpan w:val="2"/>
          </w:tcPr>
          <w:p>
            <w:pPr>
              <w:spacing w:after="0" w:line="151" w:lineRule="exact"/>
              <w:rPr>
                <w:sz w:val="20"/>
                <w:szCs w:val="20"/>
                <w:color w:val="auto"/>
              </w:rPr>
            </w:pPr>
            <w:r>
              <w:rPr>
                <w:rFonts w:ascii="Arial" w:cs="Arial" w:eastAsia="Arial" w:hAnsi="Arial"/>
                <w:sz w:val="14"/>
                <w:szCs w:val="14"/>
                <w:color w:val="76AD9A"/>
              </w:rPr>
              <w:t>Percentages represent 2013 compared to 2012</w:t>
            </w:r>
          </w:p>
        </w:tc>
        <w:tc>
          <w:tcPr>
            <w:tcW w:w="760" w:type="dxa"/>
            <w:vAlign w:val="bottom"/>
          </w:tcPr>
          <w:p>
            <w:pPr>
              <w:spacing w:after="0"/>
              <w:rPr>
                <w:sz w:val="13"/>
                <w:szCs w:val="13"/>
                <w:color w:val="auto"/>
              </w:rPr>
            </w:pPr>
          </w:p>
        </w:tc>
        <w:tc>
          <w:tcPr>
            <w:tcW w:w="1140" w:type="dxa"/>
            <w:vAlign w:val="bottom"/>
          </w:tcPr>
          <w:p>
            <w:pPr>
              <w:jc w:val="right"/>
              <w:ind w:right="256"/>
              <w:spacing w:after="0" w:line="151" w:lineRule="exact"/>
              <w:rPr>
                <w:sz w:val="20"/>
                <w:szCs w:val="20"/>
                <w:color w:val="auto"/>
              </w:rPr>
            </w:pPr>
            <w:r>
              <w:rPr>
                <w:rFonts w:ascii="Arial" w:cs="Arial" w:eastAsia="Arial" w:hAnsi="Arial"/>
                <w:sz w:val="14"/>
                <w:szCs w:val="14"/>
                <w:color w:val="76AD9A"/>
              </w:rPr>
              <w:t>(in millions)</w:t>
            </w:r>
          </w:p>
        </w:tc>
        <w:tc>
          <w:tcPr>
            <w:tcW w:w="1340" w:type="dxa"/>
            <w:vAlign w:val="bottom"/>
          </w:tcPr>
          <w:p>
            <w:pPr>
              <w:jc w:val="right"/>
              <w:ind w:right="335"/>
              <w:spacing w:after="0" w:line="151" w:lineRule="exact"/>
              <w:rPr>
                <w:sz w:val="20"/>
                <w:szCs w:val="20"/>
                <w:color w:val="auto"/>
              </w:rPr>
            </w:pPr>
            <w:r>
              <w:rPr>
                <w:rFonts w:ascii="Arial" w:cs="Arial" w:eastAsia="Arial" w:hAnsi="Arial"/>
                <w:sz w:val="14"/>
                <w:szCs w:val="14"/>
                <w:color w:val="76AD9A"/>
              </w:rPr>
              <w:t>Variance</w:t>
            </w:r>
          </w:p>
        </w:tc>
        <w:tc>
          <w:tcPr>
            <w:tcW w:w="1160" w:type="dxa"/>
            <w:vAlign w:val="bottom"/>
          </w:tcPr>
          <w:p>
            <w:pPr>
              <w:jc w:val="right"/>
              <w:ind w:right="275"/>
              <w:spacing w:after="0" w:line="151" w:lineRule="exact"/>
              <w:rPr>
                <w:sz w:val="20"/>
                <w:szCs w:val="20"/>
                <w:color w:val="auto"/>
              </w:rPr>
            </w:pPr>
            <w:r>
              <w:rPr>
                <w:rFonts w:ascii="Arial" w:cs="Arial" w:eastAsia="Arial" w:hAnsi="Arial"/>
                <w:sz w:val="14"/>
                <w:szCs w:val="14"/>
                <w:color w:val="76AD9A"/>
              </w:rPr>
              <w:t>Currency</w:t>
            </w:r>
          </w:p>
        </w:tc>
        <w:tc>
          <w:tcPr>
            <w:tcW w:w="1200" w:type="dxa"/>
            <w:vAlign w:val="bottom"/>
          </w:tcPr>
          <w:p>
            <w:pPr>
              <w:jc w:val="right"/>
              <w:ind w:right="236"/>
              <w:spacing w:after="0" w:line="151" w:lineRule="exact"/>
              <w:rPr>
                <w:sz w:val="20"/>
                <w:szCs w:val="20"/>
                <w:color w:val="auto"/>
              </w:rPr>
            </w:pPr>
            <w:r>
              <w:rPr>
                <w:rFonts w:ascii="Arial" w:cs="Arial" w:eastAsia="Arial" w:hAnsi="Arial"/>
                <w:sz w:val="14"/>
                <w:szCs w:val="14"/>
                <w:color w:val="76AD9A"/>
              </w:rPr>
              <w:t>Currency</w:t>
            </w:r>
          </w:p>
        </w:tc>
        <w:tc>
          <w:tcPr>
            <w:tcW w:w="1300" w:type="dxa"/>
            <w:vAlign w:val="bottom"/>
          </w:tcPr>
          <w:p>
            <w:pPr>
              <w:jc w:val="right"/>
              <w:ind w:right="317"/>
              <w:spacing w:after="0" w:line="151" w:lineRule="exact"/>
              <w:rPr>
                <w:sz w:val="20"/>
                <w:szCs w:val="20"/>
                <w:color w:val="auto"/>
              </w:rPr>
            </w:pPr>
            <w:r>
              <w:rPr>
                <w:rFonts w:ascii="Arial" w:cs="Arial" w:eastAsia="Arial" w:hAnsi="Arial"/>
                <w:sz w:val="14"/>
                <w:szCs w:val="14"/>
                <w:color w:val="76AD9A"/>
              </w:rPr>
              <w:t>Currency)</w:t>
            </w:r>
          </w:p>
        </w:tc>
        <w:tc>
          <w:tcPr>
            <w:tcW w:w="1040" w:type="dxa"/>
            <w:vAlign w:val="bottom"/>
            <w:gridSpan w:val="2"/>
          </w:tcPr>
          <w:p>
            <w:pPr>
              <w:jc w:val="right"/>
              <w:ind w:right="220"/>
              <w:spacing w:after="0" w:line="151" w:lineRule="exact"/>
              <w:rPr>
                <w:sz w:val="20"/>
                <w:szCs w:val="20"/>
                <w:color w:val="auto"/>
              </w:rPr>
            </w:pPr>
            <w:r>
              <w:rPr>
                <w:rFonts w:ascii="Arial" w:cs="Arial" w:eastAsia="Arial" w:hAnsi="Arial"/>
                <w:sz w:val="14"/>
                <w:szCs w:val="14"/>
                <w:color w:val="76AD9A"/>
              </w:rPr>
              <w:t>Variance</w:t>
            </w:r>
          </w:p>
        </w:tc>
        <w:tc>
          <w:tcPr>
            <w:tcW w:w="0" w:type="dxa"/>
            <w:vAlign w:val="bottom"/>
          </w:tcPr>
          <w:p>
            <w:pPr>
              <w:spacing w:after="0"/>
              <w:rPr>
                <w:sz w:val="1"/>
                <w:szCs w:val="1"/>
                <w:color w:val="auto"/>
              </w:rPr>
            </w:pPr>
          </w:p>
        </w:tc>
      </w:tr>
      <w:tr>
        <w:trPr>
          <w:trHeight w:val="186"/>
        </w:trPr>
        <w:tc>
          <w:tcPr>
            <w:tcW w:w="3480" w:type="dxa"/>
            <w:vAlign w:val="bottom"/>
            <w:tcBorders>
              <w:top w:val="single" w:sz="8" w:color="76AD9A"/>
            </w:tcBorders>
            <w:gridSpan w:val="2"/>
          </w:tcPr>
          <w:p>
            <w:pPr>
              <w:spacing w:after="0" w:line="185" w:lineRule="exact"/>
              <w:rPr>
                <w:sz w:val="20"/>
                <w:szCs w:val="20"/>
                <w:color w:val="auto"/>
              </w:rPr>
            </w:pPr>
            <w:r>
              <w:rPr>
                <w:rFonts w:ascii="Arial" w:cs="Arial" w:eastAsia="Arial" w:hAnsi="Arial"/>
                <w:sz w:val="17"/>
                <w:szCs w:val="17"/>
                <w:b w:val="1"/>
                <w:bCs w:val="1"/>
                <w:color w:val="777679"/>
              </w:rPr>
              <w:t>Revenues from Services</w:t>
            </w:r>
          </w:p>
        </w:tc>
        <w:tc>
          <w:tcPr>
            <w:tcW w:w="760" w:type="dxa"/>
            <w:vAlign w:val="bottom"/>
            <w:tcBorders>
              <w:top w:val="single" w:sz="8" w:color="76AD9A"/>
            </w:tcBorders>
          </w:tcPr>
          <w:p>
            <w:pPr>
              <w:spacing w:after="0"/>
              <w:rPr>
                <w:sz w:val="16"/>
                <w:szCs w:val="16"/>
                <w:color w:val="auto"/>
              </w:rPr>
            </w:pPr>
          </w:p>
        </w:tc>
        <w:tc>
          <w:tcPr>
            <w:tcW w:w="1140" w:type="dxa"/>
            <w:vAlign w:val="bottom"/>
            <w:tcBorders>
              <w:top w:val="single" w:sz="8" w:color="76AD9A"/>
            </w:tcBorders>
          </w:tcPr>
          <w:p>
            <w:pPr>
              <w:spacing w:after="0"/>
              <w:rPr>
                <w:sz w:val="16"/>
                <w:szCs w:val="16"/>
                <w:color w:val="auto"/>
              </w:rPr>
            </w:pPr>
          </w:p>
        </w:tc>
        <w:tc>
          <w:tcPr>
            <w:tcW w:w="1340" w:type="dxa"/>
            <w:vAlign w:val="bottom"/>
            <w:tcBorders>
              <w:top w:val="single" w:sz="8" w:color="76AD9A"/>
            </w:tcBorders>
          </w:tcPr>
          <w:p>
            <w:pPr>
              <w:spacing w:after="0"/>
              <w:rPr>
                <w:sz w:val="16"/>
                <w:szCs w:val="16"/>
                <w:color w:val="auto"/>
              </w:rPr>
            </w:pPr>
          </w:p>
        </w:tc>
        <w:tc>
          <w:tcPr>
            <w:tcW w:w="1160" w:type="dxa"/>
            <w:vAlign w:val="bottom"/>
            <w:tcBorders>
              <w:top w:val="single" w:sz="8" w:color="76AD9A"/>
            </w:tcBorders>
          </w:tcPr>
          <w:p>
            <w:pPr>
              <w:spacing w:after="0"/>
              <w:rPr>
                <w:sz w:val="16"/>
                <w:szCs w:val="16"/>
                <w:color w:val="auto"/>
              </w:rPr>
            </w:pPr>
          </w:p>
        </w:tc>
        <w:tc>
          <w:tcPr>
            <w:tcW w:w="1200" w:type="dxa"/>
            <w:vAlign w:val="bottom"/>
            <w:tcBorders>
              <w:top w:val="single" w:sz="8" w:color="76AD9A"/>
            </w:tcBorders>
          </w:tcPr>
          <w:p>
            <w:pPr>
              <w:spacing w:after="0"/>
              <w:rPr>
                <w:sz w:val="16"/>
                <w:szCs w:val="16"/>
                <w:color w:val="auto"/>
              </w:rPr>
            </w:pPr>
          </w:p>
        </w:tc>
        <w:tc>
          <w:tcPr>
            <w:tcW w:w="1300" w:type="dxa"/>
            <w:vAlign w:val="bottom"/>
            <w:tcBorders>
              <w:top w:val="single" w:sz="8" w:color="76AD9A"/>
            </w:tcBorders>
          </w:tcPr>
          <w:p>
            <w:pPr>
              <w:spacing w:after="0"/>
              <w:rPr>
                <w:sz w:val="16"/>
                <w:szCs w:val="16"/>
                <w:color w:val="auto"/>
              </w:rPr>
            </w:pPr>
          </w:p>
        </w:tc>
        <w:tc>
          <w:tcPr>
            <w:tcW w:w="820" w:type="dxa"/>
            <w:vAlign w:val="bottom"/>
            <w:tcBorders>
              <w:top w:val="single" w:sz="8" w:color="76AD9A"/>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United States</w:t>
            </w: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2,967.0</w:t>
            </w:r>
          </w:p>
        </w:tc>
        <w:tc>
          <w:tcPr>
            <w:tcW w:w="134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(1.4)%</w:t>
            </w:r>
          </w:p>
        </w:tc>
        <w:tc>
          <w:tcPr>
            <w:tcW w:w="116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w:t>
            </w:r>
          </w:p>
        </w:tc>
        <w:tc>
          <w:tcPr>
            <w:tcW w:w="12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(1.4)%</w:t>
            </w:r>
          </w:p>
        </w:tc>
        <w:tc>
          <w:tcPr>
            <w:tcW w:w="1300" w:type="dxa"/>
            <w:vAlign w:val="bottom"/>
          </w:tcPr>
          <w:p>
            <w:pPr>
              <w:jc w:val="right"/>
              <w:ind w:right="15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(1.4)%</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Americas</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1,543.2</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(2.7)</w:t>
            </w:r>
          </w:p>
        </w:tc>
        <w:tc>
          <w:tcPr>
            <w:tcW w:w="116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(3.9)</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1.2</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0.1</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373535"/>
              </w:rPr>
              <w:t>1.1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4,510.2</w:t>
            </w:r>
          </w:p>
        </w:tc>
        <w:tc>
          <w:tcPr>
            <w:tcW w:w="1340" w:type="dxa"/>
            <w:vAlign w:val="bottom"/>
          </w:tcPr>
          <w:p>
            <w:pPr>
              <w:jc w:val="right"/>
              <w:ind w:right="275"/>
              <w:spacing w:after="0" w:line="186" w:lineRule="exact"/>
              <w:rPr>
                <w:sz w:val="20"/>
                <w:szCs w:val="20"/>
                <w:color w:val="auto"/>
              </w:rPr>
            </w:pPr>
            <w:r>
              <w:rPr>
                <w:rFonts w:ascii="Arial" w:cs="Arial" w:eastAsia="Arial" w:hAnsi="Arial"/>
                <w:sz w:val="17"/>
                <w:szCs w:val="17"/>
                <w:color w:val="373535"/>
              </w:rPr>
              <w:t>(1.9)</w:t>
            </w:r>
          </w:p>
        </w:tc>
        <w:tc>
          <w:tcPr>
            <w:tcW w:w="1160" w:type="dxa"/>
            <w:vAlign w:val="bottom"/>
          </w:tcPr>
          <w:p>
            <w:pPr>
              <w:jc w:val="right"/>
              <w:ind w:right="215"/>
              <w:spacing w:after="0" w:line="186" w:lineRule="exact"/>
              <w:rPr>
                <w:sz w:val="20"/>
                <w:szCs w:val="20"/>
                <w:color w:val="auto"/>
              </w:rPr>
            </w:pPr>
            <w:r>
              <w:rPr>
                <w:rFonts w:ascii="Arial" w:cs="Arial" w:eastAsia="Arial" w:hAnsi="Arial"/>
                <w:sz w:val="17"/>
                <w:szCs w:val="17"/>
                <w:color w:val="373535"/>
              </w:rPr>
              <w:t>(1.4)</w:t>
            </w:r>
          </w:p>
        </w:tc>
        <w:tc>
          <w:tcPr>
            <w:tcW w:w="1200" w:type="dxa"/>
            <w:vAlign w:val="bottom"/>
          </w:tcPr>
          <w:p>
            <w:pPr>
              <w:jc w:val="right"/>
              <w:ind w:right="176"/>
              <w:spacing w:after="0" w:line="186" w:lineRule="exact"/>
              <w:rPr>
                <w:sz w:val="20"/>
                <w:szCs w:val="20"/>
                <w:color w:val="auto"/>
              </w:rPr>
            </w:pPr>
            <w:r>
              <w:rPr>
                <w:rFonts w:ascii="Arial" w:cs="Arial" w:eastAsia="Arial" w:hAnsi="Arial"/>
                <w:sz w:val="17"/>
                <w:szCs w:val="17"/>
                <w:color w:val="373535"/>
              </w:rPr>
              <w:t>(0.5)</w:t>
            </w:r>
          </w:p>
        </w:tc>
        <w:tc>
          <w:tcPr>
            <w:tcW w:w="1300" w:type="dxa"/>
            <w:vAlign w:val="bottom"/>
          </w:tcPr>
          <w:p>
            <w:pPr>
              <w:jc w:val="right"/>
              <w:ind w:right="317"/>
              <w:spacing w:after="0" w:line="186" w:lineRule="exact"/>
              <w:rPr>
                <w:sz w:val="20"/>
                <w:szCs w:val="20"/>
                <w:color w:val="auto"/>
              </w:rPr>
            </w:pPr>
            <w:r>
              <w:rPr>
                <w:rFonts w:ascii="Arial" w:cs="Arial" w:eastAsia="Arial" w:hAnsi="Arial"/>
                <w:sz w:val="17"/>
                <w:szCs w:val="17"/>
                <w:color w:val="373535"/>
              </w:rPr>
              <w:t>0.1</w:t>
            </w:r>
          </w:p>
        </w:tc>
        <w:tc>
          <w:tcPr>
            <w:tcW w:w="1040" w:type="dxa"/>
            <w:vAlign w:val="bottom"/>
            <w:gridSpan w:val="2"/>
          </w:tcPr>
          <w:p>
            <w:pPr>
              <w:jc w:val="right"/>
              <w:ind w:right="160"/>
              <w:spacing w:after="0" w:line="186" w:lineRule="exact"/>
              <w:rPr>
                <w:sz w:val="20"/>
                <w:szCs w:val="20"/>
                <w:color w:val="auto"/>
              </w:rPr>
            </w:pPr>
            <w:r>
              <w:rPr>
                <w:rFonts w:ascii="Arial" w:cs="Arial" w:eastAsia="Arial" w:hAnsi="Arial"/>
                <w:sz w:val="17"/>
                <w:szCs w:val="17"/>
                <w:color w:val="373535"/>
              </w:rPr>
              <w:t>(0.6)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760" w:type="dxa"/>
            <w:vAlign w:val="bottom"/>
            <w:tcBorders>
              <w:top w:val="single" w:sz="8" w:color="717073"/>
            </w:tcBorders>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1340" w:type="dxa"/>
            <w:vAlign w:val="bottom"/>
            <w:tcBorders>
              <w:top w:val="single" w:sz="8" w:color="717073"/>
            </w:tcBorders>
          </w:tcPr>
          <w:p>
            <w:pPr>
              <w:spacing w:after="0"/>
              <w:rPr>
                <w:sz w:val="16"/>
                <w:szCs w:val="16"/>
                <w:color w:val="auto"/>
              </w:rPr>
            </w:pPr>
          </w:p>
        </w:tc>
        <w:tc>
          <w:tcPr>
            <w:tcW w:w="1160" w:type="dxa"/>
            <w:vAlign w:val="bottom"/>
            <w:tcBorders>
              <w:top w:val="single" w:sz="8" w:color="717073"/>
            </w:tcBorders>
          </w:tcPr>
          <w:p>
            <w:pPr>
              <w:spacing w:after="0"/>
              <w:rPr>
                <w:sz w:val="16"/>
                <w:szCs w:val="16"/>
                <w:color w:val="auto"/>
              </w:rPr>
            </w:pPr>
          </w:p>
        </w:tc>
        <w:tc>
          <w:tcPr>
            <w:tcW w:w="1200" w:type="dxa"/>
            <w:vAlign w:val="bottom"/>
            <w:tcBorders>
              <w:top w:val="single" w:sz="8" w:color="717073"/>
            </w:tcBorders>
          </w:tcPr>
          <w:p>
            <w:pPr>
              <w:spacing w:after="0"/>
              <w:rPr>
                <w:sz w:val="16"/>
                <w:szCs w:val="16"/>
                <w:color w:val="auto"/>
              </w:rPr>
            </w:pPr>
          </w:p>
        </w:tc>
        <w:tc>
          <w:tcPr>
            <w:tcW w:w="1300" w:type="dxa"/>
            <w:vAlign w:val="bottom"/>
            <w:tcBorders>
              <w:top w:val="single" w:sz="8" w:color="717073"/>
            </w:tcBorders>
          </w:tcPr>
          <w:p>
            <w:pPr>
              <w:spacing w:after="0"/>
              <w:rPr>
                <w:sz w:val="16"/>
                <w:szCs w:val="16"/>
                <w:color w:val="auto"/>
              </w:rPr>
            </w:pPr>
          </w:p>
        </w:tc>
        <w:tc>
          <w:tcPr>
            <w:tcW w:w="820" w:type="dxa"/>
            <w:vAlign w:val="bottom"/>
            <w:tcBorders>
              <w:top w:val="single" w:sz="8" w:color="717073"/>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5,284.9</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(2.6)</w:t>
            </w:r>
          </w:p>
        </w:tc>
        <w:tc>
          <w:tcPr>
            <w:tcW w:w="116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3.2</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(5.8)</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0.2</w:t>
            </w:r>
          </w:p>
        </w:tc>
        <w:tc>
          <w:tcPr>
            <w:tcW w:w="10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373535"/>
              </w:rPr>
              <w:t>(6.0)</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Italy</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1,087.6</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2.9</w:t>
            </w:r>
          </w:p>
        </w:tc>
        <w:tc>
          <w:tcPr>
            <w:tcW w:w="116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3.2</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(0.3)</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373535"/>
              </w:rPr>
              <w:t>(0.3)</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Southern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864.5</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12.5</w:t>
            </w:r>
          </w:p>
        </w:tc>
        <w:tc>
          <w:tcPr>
            <w:tcW w:w="116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4.6</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7.9</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1.8</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373535"/>
              </w:rPr>
              <w:t>6.1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7,237.0</w:t>
            </w:r>
          </w:p>
        </w:tc>
        <w:tc>
          <w:tcPr>
            <w:tcW w:w="1340" w:type="dxa"/>
            <w:vAlign w:val="bottom"/>
          </w:tcPr>
          <w:p>
            <w:pPr>
              <w:jc w:val="right"/>
              <w:ind w:right="275"/>
              <w:spacing w:after="0" w:line="186" w:lineRule="exact"/>
              <w:rPr>
                <w:sz w:val="20"/>
                <w:szCs w:val="20"/>
                <w:color w:val="auto"/>
              </w:rPr>
            </w:pPr>
            <w:r>
              <w:rPr>
                <w:rFonts w:ascii="Arial" w:cs="Arial" w:eastAsia="Arial" w:hAnsi="Arial"/>
                <w:sz w:val="17"/>
                <w:szCs w:val="17"/>
                <w:color w:val="373535"/>
              </w:rPr>
              <w:t>(0.2)</w:t>
            </w:r>
          </w:p>
        </w:tc>
        <w:tc>
          <w:tcPr>
            <w:tcW w:w="1160" w:type="dxa"/>
            <w:vAlign w:val="bottom"/>
          </w:tcPr>
          <w:p>
            <w:pPr>
              <w:jc w:val="right"/>
              <w:ind w:right="275"/>
              <w:spacing w:after="0" w:line="186" w:lineRule="exact"/>
              <w:rPr>
                <w:sz w:val="20"/>
                <w:szCs w:val="20"/>
                <w:color w:val="auto"/>
              </w:rPr>
            </w:pPr>
            <w:r>
              <w:rPr>
                <w:rFonts w:ascii="Arial" w:cs="Arial" w:eastAsia="Arial" w:hAnsi="Arial"/>
                <w:sz w:val="17"/>
                <w:szCs w:val="17"/>
                <w:color w:val="373535"/>
              </w:rPr>
              <w:t>3.4</w:t>
            </w:r>
          </w:p>
        </w:tc>
        <w:tc>
          <w:tcPr>
            <w:tcW w:w="1200" w:type="dxa"/>
            <w:vAlign w:val="bottom"/>
          </w:tcPr>
          <w:p>
            <w:pPr>
              <w:jc w:val="right"/>
              <w:ind w:right="176"/>
              <w:spacing w:after="0" w:line="186" w:lineRule="exact"/>
              <w:rPr>
                <w:sz w:val="20"/>
                <w:szCs w:val="20"/>
                <w:color w:val="auto"/>
              </w:rPr>
            </w:pPr>
            <w:r>
              <w:rPr>
                <w:rFonts w:ascii="Arial" w:cs="Arial" w:eastAsia="Arial" w:hAnsi="Arial"/>
                <w:sz w:val="17"/>
                <w:szCs w:val="17"/>
                <w:color w:val="373535"/>
              </w:rPr>
              <w:t>(3.6)</w:t>
            </w:r>
          </w:p>
        </w:tc>
        <w:tc>
          <w:tcPr>
            <w:tcW w:w="1300" w:type="dxa"/>
            <w:vAlign w:val="bottom"/>
          </w:tcPr>
          <w:p>
            <w:pPr>
              <w:jc w:val="right"/>
              <w:ind w:right="317"/>
              <w:spacing w:after="0" w:line="186" w:lineRule="exact"/>
              <w:rPr>
                <w:sz w:val="20"/>
                <w:szCs w:val="20"/>
                <w:color w:val="auto"/>
              </w:rPr>
            </w:pPr>
            <w:r>
              <w:rPr>
                <w:rFonts w:ascii="Arial" w:cs="Arial" w:eastAsia="Arial" w:hAnsi="Arial"/>
                <w:sz w:val="17"/>
                <w:szCs w:val="17"/>
                <w:color w:val="373535"/>
              </w:rPr>
              <w:t>0.3</w:t>
            </w:r>
          </w:p>
        </w:tc>
        <w:tc>
          <w:tcPr>
            <w:tcW w:w="1040" w:type="dxa"/>
            <w:vAlign w:val="bottom"/>
            <w:gridSpan w:val="2"/>
          </w:tcPr>
          <w:p>
            <w:pPr>
              <w:jc w:val="right"/>
              <w:ind w:right="160"/>
              <w:spacing w:after="0" w:line="186" w:lineRule="exact"/>
              <w:rPr>
                <w:sz w:val="20"/>
                <w:szCs w:val="20"/>
                <w:color w:val="auto"/>
              </w:rPr>
            </w:pPr>
            <w:r>
              <w:rPr>
                <w:rFonts w:ascii="Arial" w:cs="Arial" w:eastAsia="Arial" w:hAnsi="Arial"/>
                <w:sz w:val="17"/>
                <w:szCs w:val="17"/>
                <w:color w:val="373535"/>
              </w:rPr>
              <w:t>(3.9)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46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85" w:lineRule="exact"/>
              <w:rPr>
                <w:sz w:val="20"/>
                <w:szCs w:val="20"/>
                <w:color w:val="auto"/>
              </w:rPr>
            </w:pPr>
            <w:r>
              <w:rPr>
                <w:rFonts w:ascii="Arial" w:cs="Arial" w:eastAsia="Arial" w:hAnsi="Arial"/>
                <w:sz w:val="17"/>
                <w:szCs w:val="17"/>
                <w:color w:val="373535"/>
              </w:rPr>
              <w:t>5,738.8</w:t>
            </w:r>
          </w:p>
        </w:tc>
        <w:tc>
          <w:tcPr>
            <w:tcW w:w="1340" w:type="dxa"/>
            <w:vAlign w:val="bottom"/>
          </w:tcPr>
          <w:p>
            <w:pPr>
              <w:jc w:val="right"/>
              <w:ind w:right="275"/>
              <w:spacing w:after="0" w:line="185" w:lineRule="exact"/>
              <w:rPr>
                <w:sz w:val="20"/>
                <w:szCs w:val="20"/>
                <w:color w:val="auto"/>
              </w:rPr>
            </w:pPr>
            <w:r>
              <w:rPr>
                <w:rFonts w:ascii="Arial" w:cs="Arial" w:eastAsia="Arial" w:hAnsi="Arial"/>
                <w:sz w:val="17"/>
                <w:szCs w:val="17"/>
                <w:color w:val="373535"/>
              </w:rPr>
              <w:t>(0.6)</w:t>
            </w:r>
          </w:p>
        </w:tc>
        <w:tc>
          <w:tcPr>
            <w:tcW w:w="1160" w:type="dxa"/>
            <w:vAlign w:val="bottom"/>
          </w:tcPr>
          <w:p>
            <w:pPr>
              <w:jc w:val="right"/>
              <w:ind w:right="275"/>
              <w:spacing w:after="0" w:line="185" w:lineRule="exact"/>
              <w:rPr>
                <w:sz w:val="20"/>
                <w:szCs w:val="20"/>
                <w:color w:val="auto"/>
              </w:rPr>
            </w:pPr>
            <w:r>
              <w:rPr>
                <w:rFonts w:ascii="Arial" w:cs="Arial" w:eastAsia="Arial" w:hAnsi="Arial"/>
                <w:sz w:val="17"/>
                <w:szCs w:val="17"/>
                <w:color w:val="373535"/>
              </w:rPr>
              <w:t>1.1</w:t>
            </w:r>
          </w:p>
        </w:tc>
        <w:tc>
          <w:tcPr>
            <w:tcW w:w="1200" w:type="dxa"/>
            <w:vAlign w:val="bottom"/>
          </w:tcPr>
          <w:p>
            <w:pPr>
              <w:jc w:val="right"/>
              <w:ind w:right="176"/>
              <w:spacing w:after="0" w:line="185" w:lineRule="exact"/>
              <w:rPr>
                <w:sz w:val="20"/>
                <w:szCs w:val="20"/>
                <w:color w:val="auto"/>
              </w:rPr>
            </w:pPr>
            <w:r>
              <w:rPr>
                <w:rFonts w:ascii="Arial" w:cs="Arial" w:eastAsia="Arial" w:hAnsi="Arial"/>
                <w:sz w:val="17"/>
                <w:szCs w:val="17"/>
                <w:color w:val="373535"/>
              </w:rPr>
              <w:t>(1.7)</w:t>
            </w:r>
          </w:p>
        </w:tc>
        <w:tc>
          <w:tcPr>
            <w:tcW w:w="1300" w:type="dxa"/>
            <w:vAlign w:val="bottom"/>
          </w:tcPr>
          <w:p>
            <w:pPr>
              <w:jc w:val="right"/>
              <w:ind w:right="317"/>
              <w:spacing w:after="0" w:line="185" w:lineRule="exact"/>
              <w:rPr>
                <w:sz w:val="20"/>
                <w:szCs w:val="20"/>
                <w:color w:val="auto"/>
              </w:rPr>
            </w:pPr>
            <w:r>
              <w:rPr>
                <w:rFonts w:ascii="Arial" w:cs="Arial" w:eastAsia="Arial" w:hAnsi="Arial"/>
                <w:sz w:val="17"/>
                <w:szCs w:val="17"/>
                <w:color w:val="373535"/>
              </w:rPr>
              <w:t>0.6</w:t>
            </w:r>
          </w:p>
        </w:tc>
        <w:tc>
          <w:tcPr>
            <w:tcW w:w="1040" w:type="dxa"/>
            <w:vAlign w:val="bottom"/>
            <w:gridSpan w:val="2"/>
          </w:tcPr>
          <w:p>
            <w:pPr>
              <w:jc w:val="right"/>
              <w:ind w:right="160"/>
              <w:spacing w:after="0" w:line="185" w:lineRule="exact"/>
              <w:rPr>
                <w:sz w:val="20"/>
                <w:szCs w:val="20"/>
                <w:color w:val="auto"/>
              </w:rPr>
            </w:pPr>
            <w:r>
              <w:rPr>
                <w:rFonts w:ascii="Arial" w:cs="Arial" w:eastAsia="Arial" w:hAnsi="Arial"/>
                <w:sz w:val="17"/>
                <w:szCs w:val="17"/>
                <w:color w:val="373535"/>
              </w:rPr>
              <w:t>(2.3)</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2,447.7</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(10.3)</w:t>
            </w:r>
          </w:p>
        </w:tc>
        <w:tc>
          <w:tcPr>
            <w:tcW w:w="116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(8.9)</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(1.4)</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373535"/>
              </w:rPr>
              <w:t>(1.4)</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316.8</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(3.6)</w:t>
            </w:r>
          </w:p>
        </w:tc>
        <w:tc>
          <w:tcPr>
            <w:tcW w:w="116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(1.5)</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(2.1)</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373535"/>
              </w:rPr>
              <w:t>(2.1)</w:t>
            </w:r>
          </w:p>
        </w:tc>
        <w:tc>
          <w:tcPr>
            <w:tcW w:w="0" w:type="dxa"/>
            <w:vAlign w:val="bottom"/>
          </w:tcPr>
          <w:p>
            <w:pPr>
              <w:spacing w:after="0"/>
              <w:rPr>
                <w:sz w:val="1"/>
                <w:szCs w:val="1"/>
                <w:color w:val="auto"/>
              </w:rPr>
            </w:pPr>
          </w:p>
        </w:tc>
      </w:tr>
      <w:tr>
        <w:trPr>
          <w:trHeight w:val="20"/>
        </w:trPr>
        <w:tc>
          <w:tcPr>
            <w:tcW w:w="3480" w:type="dxa"/>
            <w:vAlign w:val="bottom"/>
            <w:gridSpan w:val="2"/>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480" w:type="dxa"/>
            <w:vAlign w:val="bottom"/>
            <w:gridSpan w:val="2"/>
          </w:tcPr>
          <w:p>
            <w:pPr>
              <w:spacing w:after="0" w:line="186" w:lineRule="exact"/>
              <w:rPr>
                <w:sz w:val="20"/>
                <w:szCs w:val="20"/>
                <w:color w:val="auto"/>
              </w:rPr>
            </w:pPr>
            <w:r>
              <w:rPr>
                <w:rFonts w:ascii="Arial" w:cs="Arial" w:eastAsia="Arial" w:hAnsi="Arial"/>
                <w:sz w:val="17"/>
                <w:szCs w:val="17"/>
                <w:color w:val="373535"/>
              </w:rPr>
              <w:t>ManpowerGroup</w:t>
            </w:r>
          </w:p>
        </w:tc>
        <w:tc>
          <w:tcPr>
            <w:tcW w:w="760" w:type="dxa"/>
            <w:vAlign w:val="bottom"/>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20,250.5</w:t>
            </w:r>
          </w:p>
        </w:tc>
        <w:tc>
          <w:tcPr>
            <w:tcW w:w="1340" w:type="dxa"/>
            <w:vAlign w:val="bottom"/>
          </w:tcPr>
          <w:p>
            <w:pPr>
              <w:jc w:val="right"/>
              <w:ind w:right="115"/>
              <w:spacing w:after="0" w:line="186" w:lineRule="exact"/>
              <w:rPr>
                <w:sz w:val="20"/>
                <w:szCs w:val="20"/>
                <w:color w:val="auto"/>
              </w:rPr>
            </w:pPr>
            <w:r>
              <w:rPr>
                <w:rFonts w:ascii="Arial" w:cs="Arial" w:eastAsia="Arial" w:hAnsi="Arial"/>
                <w:sz w:val="17"/>
                <w:szCs w:val="17"/>
                <w:color w:val="373535"/>
              </w:rPr>
              <w:t>(2.1)%</w:t>
            </w:r>
          </w:p>
        </w:tc>
        <w:tc>
          <w:tcPr>
            <w:tcW w:w="1160" w:type="dxa"/>
            <w:vAlign w:val="bottom"/>
          </w:tcPr>
          <w:p>
            <w:pPr>
              <w:jc w:val="right"/>
              <w:ind w:right="115"/>
              <w:spacing w:after="0" w:line="186" w:lineRule="exact"/>
              <w:rPr>
                <w:sz w:val="20"/>
                <w:szCs w:val="20"/>
                <w:color w:val="auto"/>
              </w:rPr>
            </w:pPr>
            <w:r>
              <w:rPr>
                <w:rFonts w:ascii="Arial" w:cs="Arial" w:eastAsia="Arial" w:hAnsi="Arial"/>
                <w:sz w:val="17"/>
                <w:szCs w:val="17"/>
                <w:color w:val="373535"/>
              </w:rPr>
              <w:t>—%</w:t>
            </w:r>
          </w:p>
        </w:tc>
        <w:tc>
          <w:tcPr>
            <w:tcW w:w="1200" w:type="dxa"/>
            <w:vAlign w:val="bottom"/>
          </w:tcPr>
          <w:p>
            <w:pPr>
              <w:jc w:val="right"/>
              <w:ind w:right="36"/>
              <w:spacing w:after="0" w:line="186" w:lineRule="exact"/>
              <w:rPr>
                <w:sz w:val="20"/>
                <w:szCs w:val="20"/>
                <w:color w:val="auto"/>
              </w:rPr>
            </w:pPr>
            <w:r>
              <w:rPr>
                <w:rFonts w:ascii="Arial" w:cs="Arial" w:eastAsia="Arial" w:hAnsi="Arial"/>
                <w:sz w:val="17"/>
                <w:szCs w:val="17"/>
                <w:color w:val="373535"/>
              </w:rPr>
              <w:t>(2.1)%</w:t>
            </w:r>
          </w:p>
        </w:tc>
        <w:tc>
          <w:tcPr>
            <w:tcW w:w="1300" w:type="dxa"/>
            <w:vAlign w:val="bottom"/>
          </w:tcPr>
          <w:p>
            <w:pPr>
              <w:jc w:val="right"/>
              <w:ind w:right="157"/>
              <w:spacing w:after="0" w:line="186" w:lineRule="exact"/>
              <w:rPr>
                <w:sz w:val="20"/>
                <w:szCs w:val="20"/>
                <w:color w:val="auto"/>
              </w:rPr>
            </w:pPr>
            <w:r>
              <w:rPr>
                <w:rFonts w:ascii="Arial" w:cs="Arial" w:eastAsia="Arial" w:hAnsi="Arial"/>
                <w:sz w:val="17"/>
                <w:szCs w:val="17"/>
                <w:color w:val="373535"/>
              </w:rPr>
              <w:t>0.3%</w:t>
            </w:r>
          </w:p>
        </w:tc>
        <w:tc>
          <w:tcPr>
            <w:tcW w:w="1040" w:type="dxa"/>
            <w:vAlign w:val="bottom"/>
            <w:gridSpan w:val="2"/>
          </w:tcPr>
          <w:p>
            <w:pPr>
              <w:jc w:val="right"/>
              <w:spacing w:after="0" w:line="186" w:lineRule="exact"/>
              <w:rPr>
                <w:sz w:val="20"/>
                <w:szCs w:val="20"/>
                <w:color w:val="auto"/>
              </w:rPr>
            </w:pPr>
            <w:r>
              <w:rPr>
                <w:rFonts w:ascii="Arial" w:cs="Arial" w:eastAsia="Arial" w:hAnsi="Arial"/>
                <w:sz w:val="17"/>
                <w:szCs w:val="17"/>
                <w:color w:val="373535"/>
              </w:rPr>
              <w:t>(2.4)%</w:t>
            </w:r>
          </w:p>
        </w:tc>
        <w:tc>
          <w:tcPr>
            <w:tcW w:w="0" w:type="dxa"/>
            <w:vAlign w:val="bottom"/>
          </w:tcPr>
          <w:p>
            <w:pPr>
              <w:spacing w:after="0"/>
              <w:rPr>
                <w:sz w:val="1"/>
                <w:szCs w:val="1"/>
                <w:color w:val="auto"/>
              </w:rPr>
            </w:pPr>
          </w:p>
        </w:tc>
      </w:tr>
      <w:tr>
        <w:trPr>
          <w:trHeight w:val="20"/>
        </w:trPr>
        <w:tc>
          <w:tcPr>
            <w:tcW w:w="3480" w:type="dxa"/>
            <w:vAlign w:val="bottom"/>
            <w:gridSpan w:val="2"/>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spacing w:after="0" w:line="163" w:lineRule="exact"/>
              <w:rPr>
                <w:sz w:val="20"/>
                <w:szCs w:val="20"/>
                <w:color w:val="auto"/>
              </w:rPr>
            </w:pPr>
            <w:r>
              <w:rPr>
                <w:rFonts w:ascii="Arial" w:cs="Arial" w:eastAsia="Arial" w:hAnsi="Arial"/>
                <w:sz w:val="17"/>
                <w:szCs w:val="17"/>
                <w:b w:val="1"/>
                <w:bCs w:val="1"/>
                <w:color w:val="777679"/>
              </w:rPr>
              <w:t>Gross Profit — ManpowerGroup</w:t>
            </w:r>
          </w:p>
        </w:tc>
        <w:tc>
          <w:tcPr>
            <w:tcW w:w="760" w:type="dxa"/>
            <w:vAlign w:val="bottom"/>
          </w:tcPr>
          <w:p>
            <w:pPr>
              <w:jc w:val="right"/>
              <w:ind w:right="34"/>
              <w:spacing w:after="0" w:line="163"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63" w:lineRule="exact"/>
              <w:rPr>
                <w:sz w:val="20"/>
                <w:szCs w:val="20"/>
                <w:color w:val="auto"/>
              </w:rPr>
            </w:pPr>
            <w:r>
              <w:rPr>
                <w:rFonts w:ascii="Arial" w:cs="Arial" w:eastAsia="Arial" w:hAnsi="Arial"/>
                <w:sz w:val="17"/>
                <w:szCs w:val="17"/>
                <w:color w:val="373535"/>
              </w:rPr>
              <w:t>3,366.7</w:t>
            </w:r>
          </w:p>
        </w:tc>
        <w:tc>
          <w:tcPr>
            <w:tcW w:w="1340" w:type="dxa"/>
            <w:vAlign w:val="bottom"/>
          </w:tcPr>
          <w:p>
            <w:pPr>
              <w:jc w:val="right"/>
              <w:ind w:right="115"/>
              <w:spacing w:after="0" w:line="163" w:lineRule="exact"/>
              <w:rPr>
                <w:sz w:val="20"/>
                <w:szCs w:val="20"/>
                <w:color w:val="auto"/>
              </w:rPr>
            </w:pPr>
            <w:r>
              <w:rPr>
                <w:rFonts w:ascii="Arial" w:cs="Arial" w:eastAsia="Arial" w:hAnsi="Arial"/>
                <w:sz w:val="17"/>
                <w:szCs w:val="17"/>
                <w:color w:val="373535"/>
              </w:rPr>
              <w:t>(2.2)%</w:t>
            </w:r>
          </w:p>
        </w:tc>
        <w:tc>
          <w:tcPr>
            <w:tcW w:w="1160" w:type="dxa"/>
            <w:vAlign w:val="bottom"/>
          </w:tcPr>
          <w:p>
            <w:pPr>
              <w:jc w:val="right"/>
              <w:ind w:right="55"/>
              <w:spacing w:after="0" w:line="163" w:lineRule="exact"/>
              <w:rPr>
                <w:sz w:val="20"/>
                <w:szCs w:val="20"/>
                <w:color w:val="auto"/>
              </w:rPr>
            </w:pPr>
            <w:r>
              <w:rPr>
                <w:rFonts w:ascii="Arial" w:cs="Arial" w:eastAsia="Arial" w:hAnsi="Arial"/>
                <w:sz w:val="17"/>
                <w:szCs w:val="17"/>
                <w:color w:val="373535"/>
              </w:rPr>
              <w:t>(0.1)%</w:t>
            </w:r>
          </w:p>
        </w:tc>
        <w:tc>
          <w:tcPr>
            <w:tcW w:w="1200" w:type="dxa"/>
            <w:vAlign w:val="bottom"/>
          </w:tcPr>
          <w:p>
            <w:pPr>
              <w:jc w:val="right"/>
              <w:ind w:right="36"/>
              <w:spacing w:after="0" w:line="163" w:lineRule="exact"/>
              <w:rPr>
                <w:sz w:val="20"/>
                <w:szCs w:val="20"/>
                <w:color w:val="auto"/>
              </w:rPr>
            </w:pPr>
            <w:r>
              <w:rPr>
                <w:rFonts w:ascii="Arial" w:cs="Arial" w:eastAsia="Arial" w:hAnsi="Arial"/>
                <w:sz w:val="17"/>
                <w:szCs w:val="17"/>
                <w:color w:val="373535"/>
              </w:rPr>
              <w:t>(2.1)%</w:t>
            </w:r>
          </w:p>
        </w:tc>
        <w:tc>
          <w:tcPr>
            <w:tcW w:w="1300" w:type="dxa"/>
            <w:vAlign w:val="bottom"/>
          </w:tcPr>
          <w:p>
            <w:pPr>
              <w:jc w:val="right"/>
              <w:ind w:right="157"/>
              <w:spacing w:after="0" w:line="163" w:lineRule="exact"/>
              <w:rPr>
                <w:sz w:val="20"/>
                <w:szCs w:val="20"/>
                <w:color w:val="auto"/>
              </w:rPr>
            </w:pPr>
            <w:r>
              <w:rPr>
                <w:rFonts w:ascii="Arial" w:cs="Arial" w:eastAsia="Arial" w:hAnsi="Arial"/>
                <w:sz w:val="17"/>
                <w:szCs w:val="17"/>
                <w:color w:val="373535"/>
              </w:rPr>
              <w:t>0.3%</w:t>
            </w:r>
          </w:p>
        </w:tc>
        <w:tc>
          <w:tcPr>
            <w:tcW w:w="1040" w:type="dxa"/>
            <w:vAlign w:val="bottom"/>
            <w:gridSpan w:val="2"/>
          </w:tcPr>
          <w:p>
            <w:pPr>
              <w:jc w:val="right"/>
              <w:spacing w:after="0" w:line="163" w:lineRule="exact"/>
              <w:rPr>
                <w:sz w:val="20"/>
                <w:szCs w:val="20"/>
                <w:color w:val="auto"/>
              </w:rPr>
            </w:pPr>
            <w:r>
              <w:rPr>
                <w:rFonts w:ascii="Arial" w:cs="Arial" w:eastAsia="Arial" w:hAnsi="Arial"/>
                <w:sz w:val="17"/>
                <w:szCs w:val="17"/>
                <w:color w:val="373535"/>
              </w:rPr>
              <w:t>(2.4)%</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b w:val="1"/>
                <w:bCs w:val="1"/>
                <w:color w:val="777679"/>
              </w:rPr>
              <w:t>Operating Unit Profit</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United States</w:t>
            </w: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99.8</w:t>
            </w:r>
          </w:p>
        </w:tc>
        <w:tc>
          <w:tcPr>
            <w:tcW w:w="134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64.2%</w:t>
            </w:r>
          </w:p>
        </w:tc>
        <w:tc>
          <w:tcPr>
            <w:tcW w:w="116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w:t>
            </w:r>
          </w:p>
        </w:tc>
        <w:tc>
          <w:tcPr>
            <w:tcW w:w="120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64.2%</w:t>
            </w:r>
          </w:p>
        </w:tc>
        <w:tc>
          <w:tcPr>
            <w:tcW w:w="1300" w:type="dxa"/>
            <w:vAlign w:val="bottom"/>
          </w:tcPr>
          <w:p>
            <w:pPr>
              <w:jc w:val="right"/>
              <w:ind w:right="15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64.2%</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Americas</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43.9</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(13.1)</w:t>
            </w:r>
          </w:p>
        </w:tc>
        <w:tc>
          <w:tcPr>
            <w:tcW w:w="116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(1.6)</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(11.5)</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0.6</w:t>
            </w:r>
          </w:p>
        </w:tc>
        <w:tc>
          <w:tcPr>
            <w:tcW w:w="10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373535"/>
              </w:rPr>
              <w:t>(12.1)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Borders>
              <w:top w:val="single" w:sz="8" w:color="717073"/>
              <w:bottom w:val="single" w:sz="8" w:color="717073"/>
            </w:tcBorders>
          </w:tcPr>
          <w:p>
            <w:pPr>
              <w:spacing w:after="0"/>
              <w:rPr>
                <w:sz w:val="16"/>
                <w:szCs w:val="16"/>
                <w:color w:val="auto"/>
              </w:rPr>
            </w:pPr>
          </w:p>
        </w:tc>
        <w:tc>
          <w:tcPr>
            <w:tcW w:w="760" w:type="dxa"/>
            <w:vAlign w:val="bottom"/>
            <w:tcBorders>
              <w:top w:val="single" w:sz="8" w:color="717073"/>
              <w:bottom w:val="single" w:sz="8" w:color="717073"/>
            </w:tcBorders>
          </w:tcPr>
          <w:p>
            <w:pPr>
              <w:spacing w:after="0"/>
              <w:rPr>
                <w:sz w:val="16"/>
                <w:szCs w:val="16"/>
                <w:color w:val="auto"/>
              </w:rPr>
            </w:pPr>
          </w:p>
        </w:tc>
        <w:tc>
          <w:tcPr>
            <w:tcW w:w="1140" w:type="dxa"/>
            <w:vAlign w:val="bottom"/>
            <w:tcBorders>
              <w:top w:val="single" w:sz="8" w:color="717073"/>
              <w:bottom w:val="single" w:sz="8" w:color="717073"/>
            </w:tcBorders>
          </w:tcPr>
          <w:p>
            <w:pPr>
              <w:jc w:val="right"/>
              <w:ind w:right="256"/>
              <w:spacing w:after="0" w:line="186" w:lineRule="exact"/>
              <w:rPr>
                <w:sz w:val="20"/>
                <w:szCs w:val="20"/>
                <w:color w:val="auto"/>
              </w:rPr>
            </w:pPr>
            <w:r>
              <w:rPr>
                <w:rFonts w:ascii="Arial" w:cs="Arial" w:eastAsia="Arial" w:hAnsi="Arial"/>
                <w:sz w:val="17"/>
                <w:szCs w:val="17"/>
                <w:color w:val="373535"/>
              </w:rPr>
              <w:t>143.7</w:t>
            </w:r>
          </w:p>
        </w:tc>
        <w:tc>
          <w:tcPr>
            <w:tcW w:w="1340" w:type="dxa"/>
            <w:vAlign w:val="bottom"/>
            <w:tcBorders>
              <w:top w:val="single" w:sz="8" w:color="717073"/>
              <w:bottom w:val="single" w:sz="8" w:color="717073"/>
            </w:tcBorders>
          </w:tcPr>
          <w:p>
            <w:pPr>
              <w:jc w:val="right"/>
              <w:ind w:right="335"/>
              <w:spacing w:after="0" w:line="186" w:lineRule="exact"/>
              <w:rPr>
                <w:sz w:val="20"/>
                <w:szCs w:val="20"/>
                <w:color w:val="auto"/>
              </w:rPr>
            </w:pPr>
            <w:r>
              <w:rPr>
                <w:rFonts w:ascii="Arial" w:cs="Arial" w:eastAsia="Arial" w:hAnsi="Arial"/>
                <w:sz w:val="17"/>
                <w:szCs w:val="17"/>
                <w:color w:val="373535"/>
              </w:rPr>
              <w:t>29.0</w:t>
            </w:r>
          </w:p>
        </w:tc>
        <w:tc>
          <w:tcPr>
            <w:tcW w:w="1160" w:type="dxa"/>
            <w:vAlign w:val="bottom"/>
            <w:tcBorders>
              <w:top w:val="single" w:sz="8" w:color="717073"/>
              <w:bottom w:val="single" w:sz="8" w:color="717073"/>
            </w:tcBorders>
          </w:tcPr>
          <w:p>
            <w:pPr>
              <w:jc w:val="right"/>
              <w:ind w:right="215"/>
              <w:spacing w:after="0" w:line="186" w:lineRule="exact"/>
              <w:rPr>
                <w:sz w:val="20"/>
                <w:szCs w:val="20"/>
                <w:color w:val="auto"/>
              </w:rPr>
            </w:pPr>
            <w:r>
              <w:rPr>
                <w:rFonts w:ascii="Arial" w:cs="Arial" w:eastAsia="Arial" w:hAnsi="Arial"/>
                <w:sz w:val="17"/>
                <w:szCs w:val="17"/>
                <w:color w:val="373535"/>
              </w:rPr>
              <w:t>(0.8)</w:t>
            </w:r>
          </w:p>
        </w:tc>
        <w:tc>
          <w:tcPr>
            <w:tcW w:w="1200" w:type="dxa"/>
            <w:vAlign w:val="bottom"/>
            <w:tcBorders>
              <w:top w:val="single" w:sz="8" w:color="717073"/>
              <w:bottom w:val="single" w:sz="8" w:color="717073"/>
            </w:tcBorders>
          </w:tcPr>
          <w:p>
            <w:pPr>
              <w:jc w:val="right"/>
              <w:ind w:right="236"/>
              <w:spacing w:after="0" w:line="186" w:lineRule="exact"/>
              <w:rPr>
                <w:sz w:val="20"/>
                <w:szCs w:val="20"/>
                <w:color w:val="auto"/>
              </w:rPr>
            </w:pPr>
            <w:r>
              <w:rPr>
                <w:rFonts w:ascii="Arial" w:cs="Arial" w:eastAsia="Arial" w:hAnsi="Arial"/>
                <w:sz w:val="17"/>
                <w:szCs w:val="17"/>
                <w:color w:val="373535"/>
              </w:rPr>
              <w:t>29.8</w:t>
            </w:r>
          </w:p>
        </w:tc>
        <w:tc>
          <w:tcPr>
            <w:tcW w:w="1300" w:type="dxa"/>
            <w:vAlign w:val="bottom"/>
            <w:tcBorders>
              <w:top w:val="single" w:sz="8" w:color="717073"/>
              <w:bottom w:val="single" w:sz="8" w:color="717073"/>
            </w:tcBorders>
          </w:tcPr>
          <w:p>
            <w:pPr>
              <w:jc w:val="right"/>
              <w:ind w:right="317"/>
              <w:spacing w:after="0" w:line="186" w:lineRule="exact"/>
              <w:rPr>
                <w:sz w:val="20"/>
                <w:szCs w:val="20"/>
                <w:color w:val="auto"/>
              </w:rPr>
            </w:pPr>
            <w:r>
              <w:rPr>
                <w:rFonts w:ascii="Arial" w:cs="Arial" w:eastAsia="Arial" w:hAnsi="Arial"/>
                <w:sz w:val="17"/>
                <w:szCs w:val="17"/>
                <w:color w:val="373535"/>
              </w:rPr>
              <w:t>0.3</w:t>
            </w:r>
          </w:p>
        </w:tc>
        <w:tc>
          <w:tcPr>
            <w:tcW w:w="82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29.5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line="185" w:lineRule="exact"/>
              <w:rPr>
                <w:sz w:val="20"/>
                <w:szCs w:val="20"/>
                <w:color w:val="auto"/>
              </w:rPr>
            </w:pPr>
            <w:r>
              <w:rPr>
                <w:rFonts w:ascii="Arial" w:cs="Arial" w:eastAsia="Arial" w:hAnsi="Arial"/>
                <w:sz w:val="17"/>
                <w:szCs w:val="17"/>
                <w:color w:val="373535"/>
              </w:rPr>
              <w:t>Southern Europe:</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198.9</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53.4</w:t>
            </w:r>
          </w:p>
        </w:tc>
        <w:tc>
          <w:tcPr>
            <w:tcW w:w="116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5.4</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48.0</w:t>
            </w:r>
          </w:p>
        </w:tc>
        <w:tc>
          <w:tcPr>
            <w:tcW w:w="1300" w:type="dxa"/>
            <w:vAlign w:val="bottom"/>
          </w:tcPr>
          <w:p>
            <w:pPr>
              <w:jc w:val="right"/>
              <w:ind w:right="257"/>
              <w:spacing w:after="0" w:line="194" w:lineRule="exact"/>
              <w:rPr>
                <w:sz w:val="20"/>
                <w:szCs w:val="20"/>
                <w:color w:val="auto"/>
              </w:rPr>
            </w:pPr>
            <w:r>
              <w:rPr>
                <w:rFonts w:ascii="Arial" w:cs="Arial" w:eastAsia="Arial" w:hAnsi="Arial"/>
                <w:sz w:val="17"/>
                <w:szCs w:val="17"/>
                <w:color w:val="373535"/>
              </w:rPr>
              <w:t>(0.1)</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373535"/>
              </w:rPr>
              <w:t>48.1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Italy</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53.8</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18.5</w:t>
            </w:r>
          </w:p>
        </w:tc>
        <w:tc>
          <w:tcPr>
            <w:tcW w:w="116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3.7</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14.8</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373535"/>
              </w:rPr>
              <w:t>14.8</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Southern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11.9</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18.1</w:t>
            </w:r>
          </w:p>
        </w:tc>
        <w:tc>
          <w:tcPr>
            <w:tcW w:w="116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6.5</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11.6</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9.3</w:t>
            </w:r>
          </w:p>
        </w:tc>
        <w:tc>
          <w:tcPr>
            <w:tcW w:w="820" w:type="dxa"/>
            <w:vAlign w:val="bottom"/>
          </w:tcPr>
          <w:p>
            <w:pPr>
              <w:jc w:val="right"/>
              <w:spacing w:after="0" w:line="194" w:lineRule="exact"/>
              <w:rPr>
                <w:sz w:val="20"/>
                <w:szCs w:val="20"/>
                <w:color w:val="auto"/>
              </w:rPr>
            </w:pPr>
            <w:r>
              <w:rPr>
                <w:rFonts w:ascii="Arial" w:cs="Arial" w:eastAsia="Arial" w:hAnsi="Arial"/>
                <w:sz w:val="17"/>
                <w:szCs w:val="17"/>
                <w:color w:val="373535"/>
              </w:rPr>
              <w:t>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Borders>
              <w:top w:val="single" w:sz="8" w:color="717073"/>
              <w:bottom w:val="single" w:sz="8" w:color="717073"/>
            </w:tcBorders>
          </w:tcPr>
          <w:p>
            <w:pPr>
              <w:spacing w:after="0"/>
              <w:rPr>
                <w:sz w:val="16"/>
                <w:szCs w:val="16"/>
                <w:color w:val="auto"/>
              </w:rPr>
            </w:pPr>
          </w:p>
        </w:tc>
        <w:tc>
          <w:tcPr>
            <w:tcW w:w="760" w:type="dxa"/>
            <w:vAlign w:val="bottom"/>
            <w:tcBorders>
              <w:top w:val="single" w:sz="8" w:color="717073"/>
              <w:bottom w:val="single" w:sz="8" w:color="717073"/>
            </w:tcBorders>
          </w:tcPr>
          <w:p>
            <w:pPr>
              <w:spacing w:after="0"/>
              <w:rPr>
                <w:sz w:val="16"/>
                <w:szCs w:val="16"/>
                <w:color w:val="auto"/>
              </w:rPr>
            </w:pPr>
          </w:p>
        </w:tc>
        <w:tc>
          <w:tcPr>
            <w:tcW w:w="1140" w:type="dxa"/>
            <w:vAlign w:val="bottom"/>
            <w:tcBorders>
              <w:top w:val="single" w:sz="8" w:color="717073"/>
              <w:bottom w:val="single" w:sz="8" w:color="717073"/>
            </w:tcBorders>
          </w:tcPr>
          <w:p>
            <w:pPr>
              <w:jc w:val="right"/>
              <w:ind w:right="256"/>
              <w:spacing w:after="0" w:line="186" w:lineRule="exact"/>
              <w:rPr>
                <w:sz w:val="20"/>
                <w:szCs w:val="20"/>
                <w:color w:val="auto"/>
              </w:rPr>
            </w:pPr>
            <w:r>
              <w:rPr>
                <w:rFonts w:ascii="Arial" w:cs="Arial" w:eastAsia="Arial" w:hAnsi="Arial"/>
                <w:sz w:val="17"/>
                <w:szCs w:val="17"/>
                <w:color w:val="373535"/>
              </w:rPr>
              <w:t>264.6</w:t>
            </w:r>
          </w:p>
        </w:tc>
        <w:tc>
          <w:tcPr>
            <w:tcW w:w="1340" w:type="dxa"/>
            <w:vAlign w:val="bottom"/>
            <w:tcBorders>
              <w:top w:val="single" w:sz="8" w:color="717073"/>
              <w:bottom w:val="single" w:sz="8" w:color="717073"/>
            </w:tcBorders>
          </w:tcPr>
          <w:p>
            <w:pPr>
              <w:jc w:val="right"/>
              <w:ind w:right="335"/>
              <w:spacing w:after="0" w:line="186" w:lineRule="exact"/>
              <w:rPr>
                <w:sz w:val="20"/>
                <w:szCs w:val="20"/>
                <w:color w:val="auto"/>
              </w:rPr>
            </w:pPr>
            <w:r>
              <w:rPr>
                <w:rFonts w:ascii="Arial" w:cs="Arial" w:eastAsia="Arial" w:hAnsi="Arial"/>
                <w:sz w:val="17"/>
                <w:szCs w:val="17"/>
                <w:color w:val="373535"/>
              </w:rPr>
              <w:t>42.9</w:t>
            </w:r>
          </w:p>
        </w:tc>
        <w:tc>
          <w:tcPr>
            <w:tcW w:w="1160" w:type="dxa"/>
            <w:vAlign w:val="bottom"/>
            <w:tcBorders>
              <w:top w:val="single" w:sz="8" w:color="717073"/>
              <w:bottom w:val="single" w:sz="8" w:color="717073"/>
            </w:tcBorders>
          </w:tcPr>
          <w:p>
            <w:pPr>
              <w:jc w:val="right"/>
              <w:ind w:right="275"/>
              <w:spacing w:after="0" w:line="186" w:lineRule="exact"/>
              <w:rPr>
                <w:sz w:val="20"/>
                <w:szCs w:val="20"/>
                <w:color w:val="auto"/>
              </w:rPr>
            </w:pPr>
            <w:r>
              <w:rPr>
                <w:rFonts w:ascii="Arial" w:cs="Arial" w:eastAsia="Arial" w:hAnsi="Arial"/>
                <w:sz w:val="17"/>
                <w:szCs w:val="17"/>
                <w:color w:val="373535"/>
              </w:rPr>
              <w:t>5.0</w:t>
            </w:r>
          </w:p>
        </w:tc>
        <w:tc>
          <w:tcPr>
            <w:tcW w:w="1200" w:type="dxa"/>
            <w:vAlign w:val="bottom"/>
            <w:tcBorders>
              <w:top w:val="single" w:sz="8" w:color="717073"/>
              <w:bottom w:val="single" w:sz="8" w:color="717073"/>
            </w:tcBorders>
          </w:tcPr>
          <w:p>
            <w:pPr>
              <w:jc w:val="right"/>
              <w:ind w:right="236"/>
              <w:spacing w:after="0" w:line="186" w:lineRule="exact"/>
              <w:rPr>
                <w:sz w:val="20"/>
                <w:szCs w:val="20"/>
                <w:color w:val="auto"/>
              </w:rPr>
            </w:pPr>
            <w:r>
              <w:rPr>
                <w:rFonts w:ascii="Arial" w:cs="Arial" w:eastAsia="Arial" w:hAnsi="Arial"/>
                <w:sz w:val="17"/>
                <w:szCs w:val="17"/>
                <w:color w:val="373535"/>
              </w:rPr>
              <w:t>37.9</w:t>
            </w:r>
          </w:p>
        </w:tc>
        <w:tc>
          <w:tcPr>
            <w:tcW w:w="1300" w:type="dxa"/>
            <w:vAlign w:val="bottom"/>
            <w:tcBorders>
              <w:top w:val="single" w:sz="8" w:color="717073"/>
              <w:bottom w:val="single" w:sz="8" w:color="717073"/>
            </w:tcBorders>
          </w:tcPr>
          <w:p>
            <w:pPr>
              <w:jc w:val="right"/>
              <w:ind w:right="317"/>
              <w:spacing w:after="0" w:line="186" w:lineRule="exact"/>
              <w:rPr>
                <w:sz w:val="20"/>
                <w:szCs w:val="20"/>
                <w:color w:val="auto"/>
              </w:rPr>
            </w:pPr>
            <w:r>
              <w:rPr>
                <w:rFonts w:ascii="Arial" w:cs="Arial" w:eastAsia="Arial" w:hAnsi="Arial"/>
                <w:sz w:val="17"/>
                <w:szCs w:val="17"/>
                <w:color w:val="373535"/>
              </w:rPr>
              <w:t>0.5</w:t>
            </w:r>
          </w:p>
        </w:tc>
        <w:tc>
          <w:tcPr>
            <w:tcW w:w="82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37.4</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85" w:lineRule="exact"/>
              <w:rPr>
                <w:sz w:val="20"/>
                <w:szCs w:val="20"/>
                <w:color w:val="auto"/>
              </w:rPr>
            </w:pPr>
            <w:r>
              <w:rPr>
                <w:rFonts w:ascii="Arial" w:cs="Arial" w:eastAsia="Arial" w:hAnsi="Arial"/>
                <w:sz w:val="17"/>
                <w:szCs w:val="17"/>
                <w:color w:val="373535"/>
              </w:rPr>
              <w:t>139.7</w:t>
            </w:r>
          </w:p>
        </w:tc>
        <w:tc>
          <w:tcPr>
            <w:tcW w:w="1340" w:type="dxa"/>
            <w:vAlign w:val="bottom"/>
          </w:tcPr>
          <w:p>
            <w:pPr>
              <w:jc w:val="right"/>
              <w:ind w:right="275"/>
              <w:spacing w:after="0" w:line="185" w:lineRule="exact"/>
              <w:rPr>
                <w:sz w:val="20"/>
                <w:szCs w:val="20"/>
                <w:color w:val="auto"/>
              </w:rPr>
            </w:pPr>
            <w:r>
              <w:rPr>
                <w:rFonts w:ascii="Arial" w:cs="Arial" w:eastAsia="Arial" w:hAnsi="Arial"/>
                <w:sz w:val="17"/>
                <w:szCs w:val="17"/>
                <w:color w:val="373535"/>
              </w:rPr>
              <w:t>(12.6)</w:t>
            </w:r>
          </w:p>
        </w:tc>
        <w:tc>
          <w:tcPr>
            <w:tcW w:w="1160" w:type="dxa"/>
            <w:vAlign w:val="bottom"/>
          </w:tcPr>
          <w:p>
            <w:pPr>
              <w:jc w:val="right"/>
              <w:ind w:right="275"/>
              <w:spacing w:after="0" w:line="185" w:lineRule="exact"/>
              <w:rPr>
                <w:sz w:val="20"/>
                <w:szCs w:val="20"/>
                <w:color w:val="auto"/>
              </w:rPr>
            </w:pPr>
            <w:r>
              <w:rPr>
                <w:rFonts w:ascii="Arial" w:cs="Arial" w:eastAsia="Arial" w:hAnsi="Arial"/>
                <w:sz w:val="17"/>
                <w:szCs w:val="17"/>
                <w:color w:val="373535"/>
              </w:rPr>
              <w:t>0.5</w:t>
            </w:r>
          </w:p>
        </w:tc>
        <w:tc>
          <w:tcPr>
            <w:tcW w:w="1200" w:type="dxa"/>
            <w:vAlign w:val="bottom"/>
          </w:tcPr>
          <w:p>
            <w:pPr>
              <w:jc w:val="right"/>
              <w:ind w:right="176"/>
              <w:spacing w:after="0" w:line="185" w:lineRule="exact"/>
              <w:rPr>
                <w:sz w:val="20"/>
                <w:szCs w:val="20"/>
                <w:color w:val="auto"/>
              </w:rPr>
            </w:pPr>
            <w:r>
              <w:rPr>
                <w:rFonts w:ascii="Arial" w:cs="Arial" w:eastAsia="Arial" w:hAnsi="Arial"/>
                <w:sz w:val="17"/>
                <w:szCs w:val="17"/>
                <w:color w:val="373535"/>
              </w:rPr>
              <w:t>(13.1)</w:t>
            </w:r>
          </w:p>
        </w:tc>
        <w:tc>
          <w:tcPr>
            <w:tcW w:w="1300" w:type="dxa"/>
            <w:vAlign w:val="bottom"/>
          </w:tcPr>
          <w:p>
            <w:pPr>
              <w:jc w:val="right"/>
              <w:ind w:right="317"/>
              <w:spacing w:after="0" w:line="185" w:lineRule="exact"/>
              <w:rPr>
                <w:sz w:val="20"/>
                <w:szCs w:val="20"/>
                <w:color w:val="auto"/>
              </w:rPr>
            </w:pPr>
            <w:r>
              <w:rPr>
                <w:rFonts w:ascii="Arial" w:cs="Arial" w:eastAsia="Arial" w:hAnsi="Arial"/>
                <w:sz w:val="17"/>
                <w:szCs w:val="17"/>
                <w:color w:val="373535"/>
              </w:rPr>
              <w:t>0.6</w:t>
            </w:r>
          </w:p>
        </w:tc>
        <w:tc>
          <w:tcPr>
            <w:tcW w:w="1040" w:type="dxa"/>
            <w:vAlign w:val="bottom"/>
            <w:gridSpan w:val="2"/>
          </w:tcPr>
          <w:p>
            <w:pPr>
              <w:jc w:val="right"/>
              <w:ind w:right="160"/>
              <w:spacing w:after="0" w:line="185" w:lineRule="exact"/>
              <w:rPr>
                <w:sz w:val="20"/>
                <w:szCs w:val="20"/>
                <w:color w:val="auto"/>
              </w:rPr>
            </w:pPr>
            <w:r>
              <w:rPr>
                <w:rFonts w:ascii="Arial" w:cs="Arial" w:eastAsia="Arial" w:hAnsi="Arial"/>
                <w:sz w:val="17"/>
                <w:szCs w:val="17"/>
                <w:color w:val="373535"/>
              </w:rPr>
              <w:t>(13.7)</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70.8</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(22.0)</w:t>
            </w:r>
          </w:p>
        </w:tc>
        <w:tc>
          <w:tcPr>
            <w:tcW w:w="116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(8.7)</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(13.3)</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373535"/>
              </w:rPr>
              <w:t>(13.3)</w:t>
            </w:r>
          </w:p>
        </w:tc>
        <w:tc>
          <w:tcPr>
            <w:tcW w:w="0" w:type="dxa"/>
            <w:vAlign w:val="bottom"/>
          </w:tcPr>
          <w:p>
            <w:pPr>
              <w:spacing w:after="0"/>
              <w:rPr>
                <w:sz w:val="1"/>
                <w:szCs w:val="1"/>
                <w:color w:val="auto"/>
              </w:rPr>
            </w:pPr>
          </w:p>
        </w:tc>
      </w:tr>
      <w:tr>
        <w:trPr>
          <w:trHeight w:val="172"/>
        </w:trPr>
        <w:tc>
          <w:tcPr>
            <w:tcW w:w="3480" w:type="dxa"/>
            <w:vAlign w:val="bottom"/>
            <w:gridSpan w:val="2"/>
          </w:tcPr>
          <w:p>
            <w:pPr>
              <w:spacing w:after="0" w:line="172" w:lineRule="exact"/>
              <w:rPr>
                <w:sz w:val="20"/>
                <w:szCs w:val="20"/>
                <w:color w:val="auto"/>
              </w:rPr>
            </w:pPr>
            <w:r>
              <w:rPr>
                <w:rFonts w:ascii="Arial" w:cs="Arial" w:eastAsia="Arial" w:hAnsi="Arial"/>
                <w:sz w:val="17"/>
                <w:szCs w:val="17"/>
                <w:color w:val="373535"/>
              </w:rPr>
              <w:t>Right Management</w:t>
            </w:r>
          </w:p>
        </w:tc>
        <w:tc>
          <w:tcPr>
            <w:tcW w:w="760" w:type="dxa"/>
            <w:vAlign w:val="bottom"/>
          </w:tcPr>
          <w:p>
            <w:pPr>
              <w:spacing w:after="0"/>
              <w:rPr>
                <w:sz w:val="14"/>
                <w:szCs w:val="14"/>
                <w:color w:val="auto"/>
              </w:rPr>
            </w:pPr>
          </w:p>
        </w:tc>
        <w:tc>
          <w:tcPr>
            <w:tcW w:w="1140" w:type="dxa"/>
            <w:vAlign w:val="bottom"/>
          </w:tcPr>
          <w:p>
            <w:pPr>
              <w:jc w:val="right"/>
              <w:ind w:right="256"/>
              <w:spacing w:after="0" w:line="172" w:lineRule="exact"/>
              <w:rPr>
                <w:sz w:val="20"/>
                <w:szCs w:val="20"/>
                <w:color w:val="auto"/>
              </w:rPr>
            </w:pPr>
            <w:r>
              <w:rPr>
                <w:rFonts w:ascii="Arial" w:cs="Arial" w:eastAsia="Arial" w:hAnsi="Arial"/>
                <w:sz w:val="17"/>
                <w:szCs w:val="17"/>
                <w:color w:val="373535"/>
              </w:rPr>
              <w:t>20.4</w:t>
            </w:r>
          </w:p>
        </w:tc>
        <w:tc>
          <w:tcPr>
            <w:tcW w:w="1340" w:type="dxa"/>
            <w:vAlign w:val="bottom"/>
          </w:tcPr>
          <w:p>
            <w:pPr>
              <w:jc w:val="right"/>
              <w:ind w:right="335"/>
              <w:spacing w:after="0" w:line="172" w:lineRule="exact"/>
              <w:rPr>
                <w:sz w:val="20"/>
                <w:szCs w:val="20"/>
                <w:color w:val="auto"/>
              </w:rPr>
            </w:pPr>
            <w:r>
              <w:rPr>
                <w:rFonts w:ascii="Arial" w:cs="Arial" w:eastAsia="Arial" w:hAnsi="Arial"/>
                <w:sz w:val="17"/>
                <w:szCs w:val="17"/>
                <w:color w:val="373535"/>
              </w:rPr>
              <w:t>52.3</w:t>
            </w:r>
          </w:p>
        </w:tc>
        <w:tc>
          <w:tcPr>
            <w:tcW w:w="1160" w:type="dxa"/>
            <w:vAlign w:val="bottom"/>
          </w:tcPr>
          <w:p>
            <w:pPr>
              <w:jc w:val="right"/>
              <w:ind w:right="215"/>
              <w:spacing w:after="0" w:line="172" w:lineRule="exact"/>
              <w:rPr>
                <w:sz w:val="20"/>
                <w:szCs w:val="20"/>
                <w:color w:val="auto"/>
              </w:rPr>
            </w:pPr>
            <w:r>
              <w:rPr>
                <w:rFonts w:ascii="Arial" w:cs="Arial" w:eastAsia="Arial" w:hAnsi="Arial"/>
                <w:sz w:val="17"/>
                <w:szCs w:val="17"/>
                <w:color w:val="373535"/>
              </w:rPr>
              <w:t>(7.3)</w:t>
            </w:r>
          </w:p>
        </w:tc>
        <w:tc>
          <w:tcPr>
            <w:tcW w:w="1200" w:type="dxa"/>
            <w:vAlign w:val="bottom"/>
          </w:tcPr>
          <w:p>
            <w:pPr>
              <w:jc w:val="right"/>
              <w:ind w:right="236"/>
              <w:spacing w:after="0" w:line="172" w:lineRule="exact"/>
              <w:rPr>
                <w:sz w:val="20"/>
                <w:szCs w:val="20"/>
                <w:color w:val="auto"/>
              </w:rPr>
            </w:pPr>
            <w:r>
              <w:rPr>
                <w:rFonts w:ascii="Arial" w:cs="Arial" w:eastAsia="Arial" w:hAnsi="Arial"/>
                <w:sz w:val="17"/>
                <w:szCs w:val="17"/>
                <w:color w:val="373535"/>
              </w:rPr>
              <w:t>59.6</w:t>
            </w:r>
          </w:p>
        </w:tc>
        <w:tc>
          <w:tcPr>
            <w:tcW w:w="1300" w:type="dxa"/>
            <w:vAlign w:val="bottom"/>
          </w:tcPr>
          <w:p>
            <w:pPr>
              <w:jc w:val="right"/>
              <w:ind w:right="317"/>
              <w:spacing w:after="0" w:line="172" w:lineRule="exact"/>
              <w:rPr>
                <w:sz w:val="20"/>
                <w:szCs w:val="20"/>
                <w:color w:val="auto"/>
              </w:rPr>
            </w:pPr>
            <w:r>
              <w:rPr>
                <w:rFonts w:ascii="Arial" w:cs="Arial" w:eastAsia="Arial" w:hAnsi="Arial"/>
                <w:sz w:val="17"/>
                <w:szCs w:val="17"/>
                <w:color w:val="373535"/>
              </w:rPr>
              <w:t>—</w:t>
            </w:r>
          </w:p>
        </w:tc>
        <w:tc>
          <w:tcPr>
            <w:tcW w:w="820" w:type="dxa"/>
            <w:vAlign w:val="bottom"/>
          </w:tcPr>
          <w:p>
            <w:pPr>
              <w:jc w:val="right"/>
              <w:spacing w:after="0" w:line="172" w:lineRule="exact"/>
              <w:rPr>
                <w:sz w:val="20"/>
                <w:szCs w:val="20"/>
                <w:color w:val="auto"/>
              </w:rPr>
            </w:pPr>
            <w:r>
              <w:rPr>
                <w:rFonts w:ascii="Arial" w:cs="Arial" w:eastAsia="Arial" w:hAnsi="Arial"/>
                <w:sz w:val="17"/>
                <w:szCs w:val="17"/>
                <w:color w:val="373535"/>
              </w:rPr>
              <w:t>59.6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b w:val="1"/>
                <w:bCs w:val="1"/>
                <w:color w:val="777679"/>
              </w:rPr>
              <w:t>Operating Profit — ManpowerGroup</w:t>
            </w:r>
          </w:p>
        </w:tc>
        <w:tc>
          <w:tcPr>
            <w:tcW w:w="76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rPr>
                <w:sz w:val="20"/>
                <w:szCs w:val="20"/>
                <w:color w:val="auto"/>
              </w:rPr>
            </w:pPr>
            <w:r>
              <w:rPr>
                <w:rFonts w:ascii="Arial" w:cs="Arial" w:eastAsia="Arial" w:hAnsi="Arial"/>
                <w:sz w:val="17"/>
                <w:szCs w:val="17"/>
                <w:color w:val="373535"/>
              </w:rPr>
              <w:t>511.9</w:t>
            </w:r>
          </w:p>
        </w:tc>
        <w:tc>
          <w:tcPr>
            <w:tcW w:w="1340" w:type="dxa"/>
            <w:vAlign w:val="bottom"/>
          </w:tcPr>
          <w:p>
            <w:pPr>
              <w:jc w:val="right"/>
              <w:ind w:right="175"/>
              <w:spacing w:after="0"/>
              <w:rPr>
                <w:sz w:val="20"/>
                <w:szCs w:val="20"/>
                <w:color w:val="auto"/>
              </w:rPr>
            </w:pPr>
            <w:r>
              <w:rPr>
                <w:rFonts w:ascii="Arial" w:cs="Arial" w:eastAsia="Arial" w:hAnsi="Arial"/>
                <w:sz w:val="17"/>
                <w:szCs w:val="17"/>
                <w:color w:val="373535"/>
              </w:rPr>
              <w:t>24.3%</w:t>
            </w:r>
          </w:p>
        </w:tc>
        <w:tc>
          <w:tcPr>
            <w:tcW w:w="1160" w:type="dxa"/>
            <w:vAlign w:val="bottom"/>
          </w:tcPr>
          <w:p>
            <w:pPr>
              <w:jc w:val="right"/>
              <w:ind w:right="115"/>
              <w:spacing w:after="0"/>
              <w:rPr>
                <w:sz w:val="20"/>
                <w:szCs w:val="20"/>
                <w:color w:val="auto"/>
              </w:rPr>
            </w:pPr>
            <w:r>
              <w:rPr>
                <w:rFonts w:ascii="Arial" w:cs="Arial" w:eastAsia="Arial" w:hAnsi="Arial"/>
                <w:sz w:val="17"/>
                <w:szCs w:val="17"/>
                <w:color w:val="373535"/>
              </w:rPr>
              <w:t>—%</w:t>
            </w:r>
          </w:p>
        </w:tc>
        <w:tc>
          <w:tcPr>
            <w:tcW w:w="1200" w:type="dxa"/>
            <w:vAlign w:val="bottom"/>
          </w:tcPr>
          <w:p>
            <w:pPr>
              <w:jc w:val="right"/>
              <w:ind w:right="96"/>
              <w:spacing w:after="0"/>
              <w:rPr>
                <w:sz w:val="20"/>
                <w:szCs w:val="20"/>
                <w:color w:val="auto"/>
              </w:rPr>
            </w:pPr>
            <w:r>
              <w:rPr>
                <w:rFonts w:ascii="Arial" w:cs="Arial" w:eastAsia="Arial" w:hAnsi="Arial"/>
                <w:sz w:val="17"/>
                <w:szCs w:val="17"/>
                <w:color w:val="373535"/>
              </w:rPr>
              <w:t>24.3%</w:t>
            </w:r>
          </w:p>
        </w:tc>
        <w:tc>
          <w:tcPr>
            <w:tcW w:w="1300" w:type="dxa"/>
            <w:vAlign w:val="bottom"/>
          </w:tcPr>
          <w:p>
            <w:pPr>
              <w:jc w:val="right"/>
              <w:ind w:right="157"/>
              <w:spacing w:after="0"/>
              <w:rPr>
                <w:sz w:val="20"/>
                <w:szCs w:val="20"/>
                <w:color w:val="auto"/>
              </w:rPr>
            </w:pPr>
            <w:r>
              <w:rPr>
                <w:rFonts w:ascii="Arial" w:cs="Arial" w:eastAsia="Arial" w:hAnsi="Arial"/>
                <w:sz w:val="17"/>
                <w:szCs w:val="17"/>
                <w:color w:val="373535"/>
              </w:rPr>
              <w:t>0.5%</w:t>
            </w:r>
          </w:p>
        </w:tc>
        <w:tc>
          <w:tcPr>
            <w:tcW w:w="1040" w:type="dxa"/>
            <w:vAlign w:val="bottom"/>
            <w:gridSpan w:val="2"/>
          </w:tcPr>
          <w:p>
            <w:pPr>
              <w:jc w:val="right"/>
              <w:ind w:right="60"/>
              <w:spacing w:after="0"/>
              <w:rPr>
                <w:sz w:val="20"/>
                <w:szCs w:val="20"/>
                <w:color w:val="auto"/>
              </w:rPr>
            </w:pPr>
            <w:r>
              <w:rPr>
                <w:rFonts w:ascii="Arial" w:cs="Arial" w:eastAsia="Arial" w:hAnsi="Arial"/>
                <w:sz w:val="17"/>
                <w:szCs w:val="17"/>
                <w:color w:val="373535"/>
              </w:rPr>
              <w:t>23.8%</w:t>
            </w:r>
          </w:p>
        </w:tc>
        <w:tc>
          <w:tcPr>
            <w:tcW w:w="0" w:type="dxa"/>
            <w:vAlign w:val="bottom"/>
          </w:tcPr>
          <w:p>
            <w:pPr>
              <w:spacing w:after="0"/>
              <w:rPr>
                <w:sz w:val="1"/>
                <w:szCs w:val="1"/>
                <w:color w:val="auto"/>
              </w:rPr>
            </w:pPr>
          </w:p>
        </w:tc>
      </w:tr>
      <w:tr>
        <w:trPr>
          <w:trHeight w:val="20"/>
        </w:trPr>
        <w:tc>
          <w:tcPr>
            <w:tcW w:w="20" w:type="dxa"/>
            <w:vAlign w:val="bottom"/>
            <w:shd w:val="clear" w:color="auto" w:fill="717073"/>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700" w:hanging="697"/>
        <w:spacing w:after="0"/>
        <w:tabs>
          <w:tab w:leader="none" w:pos="700" w:val="left"/>
        </w:tabs>
        <w:numPr>
          <w:ilvl w:val="0"/>
          <w:numId w:val="94"/>
        </w:numPr>
        <w:rPr>
          <w:rFonts w:ascii="Arial" w:cs="Arial" w:eastAsia="Arial" w:hAnsi="Arial"/>
          <w:sz w:val="14"/>
          <w:szCs w:val="14"/>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00" w:type="dxa"/>
            <w:vAlign w:val="bottom"/>
          </w:tcPr>
          <w:p>
            <w:pPr>
              <w:jc w:val="right"/>
              <w:ind w:right="357"/>
              <w:spacing w:after="0"/>
              <w:rPr>
                <w:sz w:val="20"/>
                <w:szCs w:val="20"/>
                <w:color w:val="auto"/>
              </w:rPr>
            </w:pPr>
            <w:r>
              <w:rPr>
                <w:rFonts w:ascii="Arial" w:cs="Arial" w:eastAsia="Arial" w:hAnsi="Arial"/>
                <w:sz w:val="14"/>
                <w:szCs w:val="14"/>
                <w:color w:val="76AD9A"/>
              </w:rPr>
              <w:t>Impact of</w:t>
            </w: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76AD9A"/>
              </w:rPr>
              <w:t>Organic</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4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Reported</w:t>
            </w:r>
          </w:p>
        </w:tc>
        <w:tc>
          <w:tcPr>
            <w:tcW w:w="1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Variance in</w:t>
            </w:r>
          </w:p>
        </w:tc>
        <w:tc>
          <w:tcPr>
            <w:tcW w:w="1300" w:type="dxa"/>
            <w:vAlign w:val="bottom"/>
          </w:tcPr>
          <w:p>
            <w:pPr>
              <w:jc w:val="right"/>
              <w:ind w:right="357"/>
              <w:spacing w:after="0" w:line="155" w:lineRule="exact"/>
              <w:rPr>
                <w:sz w:val="20"/>
                <w:szCs w:val="20"/>
                <w:color w:val="auto"/>
              </w:rPr>
            </w:pPr>
            <w:r>
              <w:rPr>
                <w:rFonts w:ascii="Arial" w:cs="Arial" w:eastAsia="Arial" w:hAnsi="Arial"/>
                <w:sz w:val="14"/>
                <w:szCs w:val="14"/>
                <w:color w:val="76AD9A"/>
              </w:rPr>
              <w:t>Acquisitions</w:t>
            </w:r>
          </w:p>
        </w:tc>
        <w:tc>
          <w:tcPr>
            <w:tcW w:w="104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76AD9A"/>
              </w:rPr>
              <w:t>Constant</w:t>
            </w:r>
          </w:p>
        </w:tc>
        <w:tc>
          <w:tcPr>
            <w:tcW w:w="0" w:type="dxa"/>
            <w:vAlign w:val="bottom"/>
          </w:tcPr>
          <w:p>
            <w:pPr>
              <w:spacing w:after="0"/>
              <w:rPr>
                <w:sz w:val="1"/>
                <w:szCs w:val="1"/>
                <w:color w:val="auto"/>
              </w:rPr>
            </w:pPr>
          </w:p>
        </w:tc>
      </w:tr>
      <w:tr>
        <w:trPr>
          <w:trHeight w:val="155"/>
        </w:trPr>
        <w:tc>
          <w:tcPr>
            <w:tcW w:w="3480" w:type="dxa"/>
            <w:vAlign w:val="bottom"/>
            <w:gridSpan w:val="2"/>
          </w:tcPr>
          <w:p>
            <w:pPr>
              <w:spacing w:after="0" w:line="155" w:lineRule="exact"/>
              <w:rPr>
                <w:sz w:val="20"/>
                <w:szCs w:val="20"/>
                <w:color w:val="auto"/>
              </w:rPr>
            </w:pPr>
            <w:r>
              <w:rPr>
                <w:rFonts w:ascii="Arial" w:cs="Arial" w:eastAsia="Arial" w:hAnsi="Arial"/>
                <w:sz w:val="14"/>
                <w:szCs w:val="14"/>
                <w:color w:val="76AD9A"/>
              </w:rPr>
              <w:t>Amounts represent 2012</w:t>
            </w:r>
          </w:p>
        </w:tc>
        <w:tc>
          <w:tcPr>
            <w:tcW w:w="760" w:type="dxa"/>
            <w:vAlign w:val="bottom"/>
          </w:tcPr>
          <w:p>
            <w:pPr>
              <w:spacing w:after="0"/>
              <w:rPr>
                <w:sz w:val="13"/>
                <w:szCs w:val="13"/>
                <w:color w:val="auto"/>
              </w:rPr>
            </w:pPr>
          </w:p>
        </w:tc>
        <w:tc>
          <w:tcPr>
            <w:tcW w:w="114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Amount</w:t>
            </w:r>
          </w:p>
        </w:tc>
        <w:tc>
          <w:tcPr>
            <w:tcW w:w="1340" w:type="dxa"/>
            <w:vAlign w:val="bottom"/>
          </w:tcPr>
          <w:p>
            <w:pPr>
              <w:jc w:val="right"/>
              <w:ind w:right="375"/>
              <w:spacing w:after="0" w:line="155" w:lineRule="exact"/>
              <w:rPr>
                <w:sz w:val="20"/>
                <w:szCs w:val="20"/>
                <w:color w:val="auto"/>
              </w:rPr>
            </w:pPr>
            <w:r>
              <w:rPr>
                <w:rFonts w:ascii="Arial" w:cs="Arial" w:eastAsia="Arial" w:hAnsi="Arial"/>
                <w:sz w:val="14"/>
                <w:szCs w:val="14"/>
                <w:color w:val="76AD9A"/>
              </w:rPr>
              <w:t>Reported</w:t>
            </w:r>
          </w:p>
        </w:tc>
        <w:tc>
          <w:tcPr>
            <w:tcW w:w="1160" w:type="dxa"/>
            <w:vAlign w:val="bottom"/>
          </w:tcPr>
          <w:p>
            <w:pPr>
              <w:ind w:left="200"/>
              <w:spacing w:after="0" w:line="155" w:lineRule="exact"/>
              <w:rPr>
                <w:sz w:val="20"/>
                <w:szCs w:val="20"/>
                <w:color w:val="auto"/>
              </w:rPr>
            </w:pPr>
            <w:r>
              <w:rPr>
                <w:rFonts w:ascii="Arial" w:cs="Arial" w:eastAsia="Arial" w:hAnsi="Arial"/>
                <w:sz w:val="14"/>
                <w:szCs w:val="14"/>
                <w:color w:val="76AD9A"/>
              </w:rPr>
              <w:t>Impact of</w:t>
            </w:r>
          </w:p>
        </w:tc>
        <w:tc>
          <w:tcPr>
            <w:tcW w:w="1200" w:type="dxa"/>
            <w:vAlign w:val="bottom"/>
          </w:tcPr>
          <w:p>
            <w:pPr>
              <w:jc w:val="right"/>
              <w:ind w:right="276"/>
              <w:spacing w:after="0" w:line="155" w:lineRule="exact"/>
              <w:rPr>
                <w:sz w:val="20"/>
                <w:szCs w:val="20"/>
                <w:color w:val="auto"/>
              </w:rPr>
            </w:pPr>
            <w:r>
              <w:rPr>
                <w:rFonts w:ascii="Arial" w:cs="Arial" w:eastAsia="Arial" w:hAnsi="Arial"/>
                <w:sz w:val="14"/>
                <w:szCs w:val="14"/>
                <w:color w:val="76AD9A"/>
              </w:rPr>
              <w:t>Constant</w:t>
            </w:r>
          </w:p>
        </w:tc>
        <w:tc>
          <w:tcPr>
            <w:tcW w:w="1300" w:type="dxa"/>
            <w:vAlign w:val="bottom"/>
          </w:tcPr>
          <w:p>
            <w:pPr>
              <w:jc w:val="right"/>
              <w:ind w:right="357"/>
              <w:spacing w:after="0" w:line="155" w:lineRule="exact"/>
              <w:rPr>
                <w:sz w:val="20"/>
                <w:szCs w:val="20"/>
                <w:color w:val="auto"/>
              </w:rPr>
            </w:pPr>
            <w:r>
              <w:rPr>
                <w:rFonts w:ascii="Arial" w:cs="Arial" w:eastAsia="Arial" w:hAnsi="Arial"/>
                <w:sz w:val="14"/>
                <w:szCs w:val="14"/>
                <w:color w:val="76AD9A"/>
              </w:rPr>
              <w:t>(in Constant</w:t>
            </w:r>
          </w:p>
        </w:tc>
        <w:tc>
          <w:tcPr>
            <w:tcW w:w="1040" w:type="dxa"/>
            <w:vAlign w:val="bottom"/>
            <w:gridSpan w:val="3"/>
          </w:tcPr>
          <w:p>
            <w:pPr>
              <w:jc w:val="right"/>
              <w:ind w:right="260"/>
              <w:spacing w:after="0" w:line="155" w:lineRule="exact"/>
              <w:rPr>
                <w:sz w:val="20"/>
                <w:szCs w:val="20"/>
                <w:color w:val="auto"/>
              </w:rPr>
            </w:pPr>
            <w:r>
              <w:rPr>
                <w:rFonts w:ascii="Arial" w:cs="Arial" w:eastAsia="Arial" w:hAnsi="Arial"/>
                <w:sz w:val="14"/>
                <w:szCs w:val="14"/>
                <w:color w:val="76AD9A"/>
              </w:rPr>
              <w:t>Currency</w:t>
            </w:r>
          </w:p>
        </w:tc>
        <w:tc>
          <w:tcPr>
            <w:tcW w:w="0" w:type="dxa"/>
            <w:vAlign w:val="bottom"/>
          </w:tcPr>
          <w:p>
            <w:pPr>
              <w:spacing w:after="0"/>
              <w:rPr>
                <w:sz w:val="1"/>
                <w:szCs w:val="1"/>
                <w:color w:val="auto"/>
              </w:rPr>
            </w:pPr>
          </w:p>
        </w:tc>
      </w:tr>
      <w:tr>
        <w:trPr>
          <w:trHeight w:val="150"/>
        </w:trPr>
        <w:tc>
          <w:tcPr>
            <w:tcW w:w="3480" w:type="dxa"/>
            <w:vAlign w:val="bottom"/>
            <w:gridSpan w:val="2"/>
          </w:tcPr>
          <w:p>
            <w:pPr>
              <w:spacing w:after="0" w:line="151" w:lineRule="exact"/>
              <w:rPr>
                <w:sz w:val="20"/>
                <w:szCs w:val="20"/>
                <w:color w:val="auto"/>
              </w:rPr>
            </w:pPr>
            <w:r>
              <w:rPr>
                <w:rFonts w:ascii="Arial" w:cs="Arial" w:eastAsia="Arial" w:hAnsi="Arial"/>
                <w:sz w:val="14"/>
                <w:szCs w:val="14"/>
                <w:color w:val="76AD9A"/>
              </w:rPr>
              <w:t>Percentages represent 2012 compared to 2011</w:t>
            </w:r>
          </w:p>
        </w:tc>
        <w:tc>
          <w:tcPr>
            <w:tcW w:w="760" w:type="dxa"/>
            <w:vAlign w:val="bottom"/>
          </w:tcPr>
          <w:p>
            <w:pPr>
              <w:spacing w:after="0"/>
              <w:rPr>
                <w:sz w:val="13"/>
                <w:szCs w:val="13"/>
                <w:color w:val="auto"/>
              </w:rPr>
            </w:pPr>
          </w:p>
        </w:tc>
        <w:tc>
          <w:tcPr>
            <w:tcW w:w="1140" w:type="dxa"/>
            <w:vAlign w:val="bottom"/>
          </w:tcPr>
          <w:p>
            <w:pPr>
              <w:jc w:val="right"/>
              <w:ind w:right="256"/>
              <w:spacing w:after="0" w:line="151" w:lineRule="exact"/>
              <w:rPr>
                <w:sz w:val="20"/>
                <w:szCs w:val="20"/>
                <w:color w:val="auto"/>
              </w:rPr>
            </w:pPr>
            <w:r>
              <w:rPr>
                <w:rFonts w:ascii="Arial" w:cs="Arial" w:eastAsia="Arial" w:hAnsi="Arial"/>
                <w:sz w:val="14"/>
                <w:szCs w:val="14"/>
                <w:color w:val="76AD9A"/>
              </w:rPr>
              <w:t>(in millions)</w:t>
            </w:r>
          </w:p>
        </w:tc>
        <w:tc>
          <w:tcPr>
            <w:tcW w:w="1340" w:type="dxa"/>
            <w:vAlign w:val="bottom"/>
          </w:tcPr>
          <w:p>
            <w:pPr>
              <w:jc w:val="right"/>
              <w:ind w:right="335"/>
              <w:spacing w:after="0" w:line="151" w:lineRule="exact"/>
              <w:rPr>
                <w:sz w:val="20"/>
                <w:szCs w:val="20"/>
                <w:color w:val="auto"/>
              </w:rPr>
            </w:pPr>
            <w:r>
              <w:rPr>
                <w:rFonts w:ascii="Arial" w:cs="Arial" w:eastAsia="Arial" w:hAnsi="Arial"/>
                <w:sz w:val="14"/>
                <w:szCs w:val="14"/>
                <w:color w:val="76AD9A"/>
              </w:rPr>
              <w:t>Variance</w:t>
            </w:r>
          </w:p>
        </w:tc>
        <w:tc>
          <w:tcPr>
            <w:tcW w:w="1160" w:type="dxa"/>
            <w:vAlign w:val="bottom"/>
          </w:tcPr>
          <w:p>
            <w:pPr>
              <w:ind w:left="240"/>
              <w:spacing w:after="0" w:line="151" w:lineRule="exact"/>
              <w:rPr>
                <w:sz w:val="20"/>
                <w:szCs w:val="20"/>
                <w:color w:val="auto"/>
              </w:rPr>
            </w:pPr>
            <w:r>
              <w:rPr>
                <w:rFonts w:ascii="Arial" w:cs="Arial" w:eastAsia="Arial" w:hAnsi="Arial"/>
                <w:sz w:val="14"/>
                <w:szCs w:val="14"/>
                <w:color w:val="76AD9A"/>
              </w:rPr>
              <w:t>Currency</w:t>
            </w:r>
          </w:p>
        </w:tc>
        <w:tc>
          <w:tcPr>
            <w:tcW w:w="1200" w:type="dxa"/>
            <w:vAlign w:val="bottom"/>
          </w:tcPr>
          <w:p>
            <w:pPr>
              <w:jc w:val="right"/>
              <w:ind w:right="236"/>
              <w:spacing w:after="0" w:line="151" w:lineRule="exact"/>
              <w:rPr>
                <w:sz w:val="20"/>
                <w:szCs w:val="20"/>
                <w:color w:val="auto"/>
              </w:rPr>
            </w:pPr>
            <w:r>
              <w:rPr>
                <w:rFonts w:ascii="Arial" w:cs="Arial" w:eastAsia="Arial" w:hAnsi="Arial"/>
                <w:sz w:val="14"/>
                <w:szCs w:val="14"/>
                <w:color w:val="76AD9A"/>
              </w:rPr>
              <w:t>Currency</w:t>
            </w:r>
          </w:p>
        </w:tc>
        <w:tc>
          <w:tcPr>
            <w:tcW w:w="1300" w:type="dxa"/>
            <w:vAlign w:val="bottom"/>
          </w:tcPr>
          <w:p>
            <w:pPr>
              <w:jc w:val="right"/>
              <w:ind w:right="317"/>
              <w:spacing w:after="0" w:line="151" w:lineRule="exact"/>
              <w:rPr>
                <w:sz w:val="20"/>
                <w:szCs w:val="20"/>
                <w:color w:val="auto"/>
              </w:rPr>
            </w:pPr>
            <w:r>
              <w:rPr>
                <w:rFonts w:ascii="Arial" w:cs="Arial" w:eastAsia="Arial" w:hAnsi="Arial"/>
                <w:sz w:val="14"/>
                <w:szCs w:val="14"/>
                <w:color w:val="76AD9A"/>
              </w:rPr>
              <w:t>Currency)</w:t>
            </w:r>
          </w:p>
        </w:tc>
        <w:tc>
          <w:tcPr>
            <w:tcW w:w="1040" w:type="dxa"/>
            <w:vAlign w:val="bottom"/>
            <w:gridSpan w:val="3"/>
          </w:tcPr>
          <w:p>
            <w:pPr>
              <w:jc w:val="right"/>
              <w:ind w:right="220"/>
              <w:spacing w:after="0" w:line="151" w:lineRule="exact"/>
              <w:rPr>
                <w:sz w:val="20"/>
                <w:szCs w:val="20"/>
                <w:color w:val="auto"/>
              </w:rPr>
            </w:pPr>
            <w:r>
              <w:rPr>
                <w:rFonts w:ascii="Arial" w:cs="Arial" w:eastAsia="Arial" w:hAnsi="Arial"/>
                <w:sz w:val="14"/>
                <w:szCs w:val="14"/>
                <w:color w:val="76AD9A"/>
              </w:rPr>
              <w:t>Variance</w:t>
            </w:r>
          </w:p>
        </w:tc>
        <w:tc>
          <w:tcPr>
            <w:tcW w:w="0" w:type="dxa"/>
            <w:vAlign w:val="bottom"/>
          </w:tcPr>
          <w:p>
            <w:pPr>
              <w:spacing w:after="0"/>
              <w:rPr>
                <w:sz w:val="1"/>
                <w:szCs w:val="1"/>
                <w:color w:val="auto"/>
              </w:rPr>
            </w:pPr>
          </w:p>
        </w:tc>
      </w:tr>
      <w:tr>
        <w:trPr>
          <w:trHeight w:val="186"/>
        </w:trPr>
        <w:tc>
          <w:tcPr>
            <w:tcW w:w="3480" w:type="dxa"/>
            <w:vAlign w:val="bottom"/>
            <w:tcBorders>
              <w:top w:val="single" w:sz="8" w:color="76AD9A"/>
            </w:tcBorders>
            <w:gridSpan w:val="2"/>
          </w:tcPr>
          <w:p>
            <w:pPr>
              <w:spacing w:after="0" w:line="185" w:lineRule="exact"/>
              <w:rPr>
                <w:sz w:val="20"/>
                <w:szCs w:val="20"/>
                <w:color w:val="auto"/>
              </w:rPr>
            </w:pPr>
            <w:r>
              <w:rPr>
                <w:rFonts w:ascii="Arial" w:cs="Arial" w:eastAsia="Arial" w:hAnsi="Arial"/>
                <w:sz w:val="17"/>
                <w:szCs w:val="17"/>
                <w:b w:val="1"/>
                <w:bCs w:val="1"/>
                <w:color w:val="777679"/>
              </w:rPr>
              <w:t>Revenues from Services</w:t>
            </w:r>
          </w:p>
        </w:tc>
        <w:tc>
          <w:tcPr>
            <w:tcW w:w="760" w:type="dxa"/>
            <w:vAlign w:val="bottom"/>
            <w:tcBorders>
              <w:top w:val="single" w:sz="8" w:color="76AD9A"/>
            </w:tcBorders>
          </w:tcPr>
          <w:p>
            <w:pPr>
              <w:spacing w:after="0"/>
              <w:rPr>
                <w:sz w:val="16"/>
                <w:szCs w:val="16"/>
                <w:color w:val="auto"/>
              </w:rPr>
            </w:pPr>
          </w:p>
        </w:tc>
        <w:tc>
          <w:tcPr>
            <w:tcW w:w="1140" w:type="dxa"/>
            <w:vAlign w:val="bottom"/>
            <w:tcBorders>
              <w:top w:val="single" w:sz="8" w:color="76AD9A"/>
            </w:tcBorders>
          </w:tcPr>
          <w:p>
            <w:pPr>
              <w:spacing w:after="0"/>
              <w:rPr>
                <w:sz w:val="16"/>
                <w:szCs w:val="16"/>
                <w:color w:val="auto"/>
              </w:rPr>
            </w:pPr>
          </w:p>
        </w:tc>
        <w:tc>
          <w:tcPr>
            <w:tcW w:w="1340" w:type="dxa"/>
            <w:vAlign w:val="bottom"/>
            <w:tcBorders>
              <w:top w:val="single" w:sz="8" w:color="76AD9A"/>
            </w:tcBorders>
          </w:tcPr>
          <w:p>
            <w:pPr>
              <w:spacing w:after="0"/>
              <w:rPr>
                <w:sz w:val="16"/>
                <w:szCs w:val="16"/>
                <w:color w:val="auto"/>
              </w:rPr>
            </w:pPr>
          </w:p>
        </w:tc>
        <w:tc>
          <w:tcPr>
            <w:tcW w:w="1160" w:type="dxa"/>
            <w:vAlign w:val="bottom"/>
            <w:tcBorders>
              <w:top w:val="single" w:sz="8" w:color="76AD9A"/>
            </w:tcBorders>
          </w:tcPr>
          <w:p>
            <w:pPr>
              <w:spacing w:after="0"/>
              <w:rPr>
                <w:sz w:val="16"/>
                <w:szCs w:val="16"/>
                <w:color w:val="auto"/>
              </w:rPr>
            </w:pPr>
          </w:p>
        </w:tc>
        <w:tc>
          <w:tcPr>
            <w:tcW w:w="1200" w:type="dxa"/>
            <w:vAlign w:val="bottom"/>
            <w:tcBorders>
              <w:top w:val="single" w:sz="8" w:color="76AD9A"/>
            </w:tcBorders>
          </w:tcPr>
          <w:p>
            <w:pPr>
              <w:spacing w:after="0"/>
              <w:rPr>
                <w:sz w:val="16"/>
                <w:szCs w:val="16"/>
                <w:color w:val="auto"/>
              </w:rPr>
            </w:pPr>
          </w:p>
        </w:tc>
        <w:tc>
          <w:tcPr>
            <w:tcW w:w="1300" w:type="dxa"/>
            <w:vAlign w:val="bottom"/>
            <w:tcBorders>
              <w:top w:val="single" w:sz="8" w:color="76AD9A"/>
            </w:tcBorders>
          </w:tcPr>
          <w:p>
            <w:pPr>
              <w:spacing w:after="0"/>
              <w:rPr>
                <w:sz w:val="16"/>
                <w:szCs w:val="16"/>
                <w:color w:val="auto"/>
              </w:rPr>
            </w:pPr>
          </w:p>
        </w:tc>
        <w:tc>
          <w:tcPr>
            <w:tcW w:w="82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United States</w:t>
            </w: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3,010.5</w:t>
            </w:r>
          </w:p>
        </w:tc>
        <w:tc>
          <w:tcPr>
            <w:tcW w:w="134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(4.0)%</w:t>
            </w:r>
          </w:p>
        </w:tc>
        <w:tc>
          <w:tcPr>
            <w:tcW w:w="1160" w:type="dxa"/>
            <w:vAlign w:val="bottom"/>
          </w:tcPr>
          <w:p>
            <w:pPr>
              <w:ind w:left="640"/>
              <w:spacing w:after="0" w:line="194" w:lineRule="exact"/>
              <w:rPr>
                <w:sz w:val="20"/>
                <w:szCs w:val="20"/>
                <w:color w:val="auto"/>
              </w:rPr>
            </w:pPr>
            <w:r>
              <w:rPr>
                <w:rFonts w:ascii="Arial" w:cs="Arial" w:eastAsia="Arial" w:hAnsi="Arial"/>
                <w:sz w:val="17"/>
                <w:szCs w:val="17"/>
                <w:color w:val="373535"/>
              </w:rPr>
              <w:t>—%</w:t>
            </w:r>
          </w:p>
        </w:tc>
        <w:tc>
          <w:tcPr>
            <w:tcW w:w="12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(4.0)%</w:t>
            </w:r>
          </w:p>
        </w:tc>
        <w:tc>
          <w:tcPr>
            <w:tcW w:w="1300" w:type="dxa"/>
            <w:vAlign w:val="bottom"/>
          </w:tcPr>
          <w:p>
            <w:pPr>
              <w:jc w:val="right"/>
              <w:ind w:right="15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spacing w:after="0" w:line="194" w:lineRule="exact"/>
              <w:rPr>
                <w:sz w:val="20"/>
                <w:szCs w:val="20"/>
                <w:color w:val="auto"/>
              </w:rPr>
            </w:pPr>
            <w:r>
              <w:rPr>
                <w:rFonts w:ascii="Arial" w:cs="Arial" w:eastAsia="Arial" w:hAnsi="Arial"/>
                <w:sz w:val="17"/>
                <w:szCs w:val="17"/>
                <w:color w:val="373535"/>
              </w:rPr>
              <w:t>(4.0)%</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Americas</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1,585.4</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4.8</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(5.1)</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9.9</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0.3</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9.6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Borders>
              <w:top w:val="single" w:sz="8" w:color="717073"/>
            </w:tcBorders>
          </w:tcPr>
          <w:p>
            <w:pPr>
              <w:spacing w:after="0"/>
              <w:rPr>
                <w:sz w:val="16"/>
                <w:szCs w:val="16"/>
                <w:color w:val="auto"/>
              </w:rPr>
            </w:pPr>
          </w:p>
        </w:tc>
        <w:tc>
          <w:tcPr>
            <w:tcW w:w="760" w:type="dxa"/>
            <w:vAlign w:val="bottom"/>
            <w:tcBorders>
              <w:top w:val="single" w:sz="8" w:color="717073"/>
            </w:tcBorders>
          </w:tcPr>
          <w:p>
            <w:pPr>
              <w:spacing w:after="0"/>
              <w:rPr>
                <w:sz w:val="16"/>
                <w:szCs w:val="16"/>
                <w:color w:val="auto"/>
              </w:rPr>
            </w:pPr>
          </w:p>
        </w:tc>
        <w:tc>
          <w:tcPr>
            <w:tcW w:w="1140" w:type="dxa"/>
            <w:vAlign w:val="bottom"/>
            <w:tcBorders>
              <w:top w:val="single" w:sz="8" w:color="717073"/>
            </w:tcBorders>
          </w:tcPr>
          <w:p>
            <w:pPr>
              <w:jc w:val="right"/>
              <w:ind w:right="256"/>
              <w:spacing w:after="0" w:line="186" w:lineRule="exact"/>
              <w:rPr>
                <w:sz w:val="20"/>
                <w:szCs w:val="20"/>
                <w:color w:val="auto"/>
              </w:rPr>
            </w:pPr>
            <w:r>
              <w:rPr>
                <w:rFonts w:ascii="Arial" w:cs="Arial" w:eastAsia="Arial" w:hAnsi="Arial"/>
                <w:sz w:val="17"/>
                <w:szCs w:val="17"/>
                <w:color w:val="373535"/>
              </w:rPr>
              <w:t>4,595.9</w:t>
            </w:r>
          </w:p>
        </w:tc>
        <w:tc>
          <w:tcPr>
            <w:tcW w:w="1340" w:type="dxa"/>
            <w:vAlign w:val="bottom"/>
            <w:tcBorders>
              <w:top w:val="single" w:sz="8" w:color="717073"/>
            </w:tcBorders>
          </w:tcPr>
          <w:p>
            <w:pPr>
              <w:jc w:val="right"/>
              <w:ind w:right="275"/>
              <w:spacing w:after="0" w:line="186" w:lineRule="exact"/>
              <w:rPr>
                <w:sz w:val="20"/>
                <w:szCs w:val="20"/>
                <w:color w:val="auto"/>
              </w:rPr>
            </w:pPr>
            <w:r>
              <w:rPr>
                <w:rFonts w:ascii="Arial" w:cs="Arial" w:eastAsia="Arial" w:hAnsi="Arial"/>
                <w:sz w:val="17"/>
                <w:szCs w:val="17"/>
                <w:color w:val="373535"/>
              </w:rPr>
              <w:t>(1.2)</w:t>
            </w:r>
          </w:p>
        </w:tc>
        <w:tc>
          <w:tcPr>
            <w:tcW w:w="1160" w:type="dxa"/>
            <w:vAlign w:val="bottom"/>
            <w:tcBorders>
              <w:top w:val="single" w:sz="8" w:color="717073"/>
            </w:tcBorders>
          </w:tcPr>
          <w:p>
            <w:pPr>
              <w:ind w:left="520"/>
              <w:spacing w:after="0" w:line="186" w:lineRule="exact"/>
              <w:rPr>
                <w:sz w:val="20"/>
                <w:szCs w:val="20"/>
                <w:color w:val="auto"/>
              </w:rPr>
            </w:pPr>
            <w:r>
              <w:rPr>
                <w:rFonts w:ascii="Arial" w:cs="Arial" w:eastAsia="Arial" w:hAnsi="Arial"/>
                <w:sz w:val="17"/>
                <w:szCs w:val="17"/>
                <w:color w:val="373535"/>
              </w:rPr>
              <w:t>(1.7)</w:t>
            </w:r>
          </w:p>
        </w:tc>
        <w:tc>
          <w:tcPr>
            <w:tcW w:w="1200" w:type="dxa"/>
            <w:vAlign w:val="bottom"/>
            <w:tcBorders>
              <w:top w:val="single" w:sz="8" w:color="717073"/>
            </w:tcBorders>
          </w:tcPr>
          <w:p>
            <w:pPr>
              <w:jc w:val="right"/>
              <w:ind w:right="236"/>
              <w:spacing w:after="0" w:line="186" w:lineRule="exact"/>
              <w:rPr>
                <w:sz w:val="20"/>
                <w:szCs w:val="20"/>
                <w:color w:val="auto"/>
              </w:rPr>
            </w:pPr>
            <w:r>
              <w:rPr>
                <w:rFonts w:ascii="Arial" w:cs="Arial" w:eastAsia="Arial" w:hAnsi="Arial"/>
                <w:sz w:val="17"/>
                <w:szCs w:val="17"/>
                <w:color w:val="373535"/>
              </w:rPr>
              <w:t>0.5</w:t>
            </w:r>
          </w:p>
        </w:tc>
        <w:tc>
          <w:tcPr>
            <w:tcW w:w="1300" w:type="dxa"/>
            <w:vAlign w:val="bottom"/>
            <w:tcBorders>
              <w:top w:val="single" w:sz="8" w:color="717073"/>
            </w:tcBorders>
          </w:tcPr>
          <w:p>
            <w:pPr>
              <w:jc w:val="right"/>
              <w:ind w:right="317"/>
              <w:spacing w:after="0" w:line="186" w:lineRule="exact"/>
              <w:rPr>
                <w:sz w:val="20"/>
                <w:szCs w:val="20"/>
                <w:color w:val="auto"/>
              </w:rPr>
            </w:pPr>
            <w:r>
              <w:rPr>
                <w:rFonts w:ascii="Arial" w:cs="Arial" w:eastAsia="Arial" w:hAnsi="Arial"/>
                <w:sz w:val="17"/>
                <w:szCs w:val="17"/>
                <w:color w:val="373535"/>
              </w:rPr>
              <w:t>0.1</w:t>
            </w:r>
          </w:p>
        </w:tc>
        <w:tc>
          <w:tcPr>
            <w:tcW w:w="840" w:type="dxa"/>
            <w:vAlign w:val="bottom"/>
            <w:tcBorders>
              <w:top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0.4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760" w:type="dxa"/>
            <w:vAlign w:val="bottom"/>
            <w:tcBorders>
              <w:top w:val="single" w:sz="8" w:color="717073"/>
            </w:tcBorders>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1340" w:type="dxa"/>
            <w:vAlign w:val="bottom"/>
            <w:tcBorders>
              <w:top w:val="single" w:sz="8" w:color="717073"/>
            </w:tcBorders>
          </w:tcPr>
          <w:p>
            <w:pPr>
              <w:spacing w:after="0"/>
              <w:rPr>
                <w:sz w:val="16"/>
                <w:szCs w:val="16"/>
                <w:color w:val="auto"/>
              </w:rPr>
            </w:pPr>
          </w:p>
        </w:tc>
        <w:tc>
          <w:tcPr>
            <w:tcW w:w="1160" w:type="dxa"/>
            <w:vAlign w:val="bottom"/>
            <w:tcBorders>
              <w:top w:val="single" w:sz="8" w:color="717073"/>
            </w:tcBorders>
          </w:tcPr>
          <w:p>
            <w:pPr>
              <w:spacing w:after="0"/>
              <w:rPr>
                <w:sz w:val="16"/>
                <w:szCs w:val="16"/>
                <w:color w:val="auto"/>
              </w:rPr>
            </w:pPr>
          </w:p>
        </w:tc>
        <w:tc>
          <w:tcPr>
            <w:tcW w:w="1200" w:type="dxa"/>
            <w:vAlign w:val="bottom"/>
            <w:tcBorders>
              <w:top w:val="single" w:sz="8" w:color="717073"/>
            </w:tcBorders>
          </w:tcPr>
          <w:p>
            <w:pPr>
              <w:spacing w:after="0"/>
              <w:rPr>
                <w:sz w:val="16"/>
                <w:szCs w:val="16"/>
                <w:color w:val="auto"/>
              </w:rPr>
            </w:pPr>
          </w:p>
        </w:tc>
        <w:tc>
          <w:tcPr>
            <w:tcW w:w="1300" w:type="dxa"/>
            <w:vAlign w:val="bottom"/>
            <w:tcBorders>
              <w:top w:val="single" w:sz="8" w:color="717073"/>
            </w:tcBorders>
          </w:tcPr>
          <w:p>
            <w:pPr>
              <w:spacing w:after="0"/>
              <w:rPr>
                <w:sz w:val="16"/>
                <w:szCs w:val="16"/>
                <w:color w:val="auto"/>
              </w:rPr>
            </w:pPr>
          </w:p>
        </w:tc>
        <w:tc>
          <w:tcPr>
            <w:tcW w:w="82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5,425.6</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(12.2)</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(7.6)</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(4.6)</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1.5</w:t>
            </w:r>
          </w:p>
        </w:tc>
        <w:tc>
          <w:tcPr>
            <w:tcW w:w="104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373535"/>
              </w:rPr>
              <w:t>(6.1)</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Italy</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1,056.8</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(15.8)</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(6.9)</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(8.9)</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373535"/>
              </w:rPr>
              <w:t>(8.9)</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Southern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768.5</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(1.1)</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(8.0)</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6.9</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6.9</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40" w:type="dxa"/>
            <w:vAlign w:val="bottom"/>
            <w:gridSpan w:val="2"/>
            <w:shd w:val="clear" w:color="auto" w:fill="71707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7,250.9</w:t>
            </w:r>
          </w:p>
        </w:tc>
        <w:tc>
          <w:tcPr>
            <w:tcW w:w="1340" w:type="dxa"/>
            <w:vAlign w:val="bottom"/>
          </w:tcPr>
          <w:p>
            <w:pPr>
              <w:jc w:val="right"/>
              <w:ind w:right="275"/>
              <w:spacing w:after="0" w:line="186" w:lineRule="exact"/>
              <w:rPr>
                <w:sz w:val="20"/>
                <w:szCs w:val="20"/>
                <w:color w:val="auto"/>
              </w:rPr>
            </w:pPr>
            <w:r>
              <w:rPr>
                <w:rFonts w:ascii="Arial" w:cs="Arial" w:eastAsia="Arial" w:hAnsi="Arial"/>
                <w:sz w:val="17"/>
                <w:szCs w:val="17"/>
                <w:color w:val="373535"/>
              </w:rPr>
              <w:t>(11.7)</w:t>
            </w:r>
          </w:p>
        </w:tc>
        <w:tc>
          <w:tcPr>
            <w:tcW w:w="1160" w:type="dxa"/>
            <w:vAlign w:val="bottom"/>
          </w:tcPr>
          <w:p>
            <w:pPr>
              <w:ind w:left="520"/>
              <w:spacing w:after="0" w:line="186" w:lineRule="exact"/>
              <w:rPr>
                <w:sz w:val="20"/>
                <w:szCs w:val="20"/>
                <w:color w:val="auto"/>
              </w:rPr>
            </w:pPr>
            <w:r>
              <w:rPr>
                <w:rFonts w:ascii="Arial" w:cs="Arial" w:eastAsia="Arial" w:hAnsi="Arial"/>
                <w:sz w:val="17"/>
                <w:szCs w:val="17"/>
                <w:color w:val="373535"/>
              </w:rPr>
              <w:t>(7.5)</w:t>
            </w:r>
          </w:p>
        </w:tc>
        <w:tc>
          <w:tcPr>
            <w:tcW w:w="1200" w:type="dxa"/>
            <w:vAlign w:val="bottom"/>
          </w:tcPr>
          <w:p>
            <w:pPr>
              <w:jc w:val="right"/>
              <w:ind w:right="176"/>
              <w:spacing w:after="0" w:line="186" w:lineRule="exact"/>
              <w:rPr>
                <w:sz w:val="20"/>
                <w:szCs w:val="20"/>
                <w:color w:val="auto"/>
              </w:rPr>
            </w:pPr>
            <w:r>
              <w:rPr>
                <w:rFonts w:ascii="Arial" w:cs="Arial" w:eastAsia="Arial" w:hAnsi="Arial"/>
                <w:sz w:val="17"/>
                <w:szCs w:val="17"/>
                <w:color w:val="373535"/>
              </w:rPr>
              <w:t>(4.2)</w:t>
            </w:r>
          </w:p>
        </w:tc>
        <w:tc>
          <w:tcPr>
            <w:tcW w:w="1300" w:type="dxa"/>
            <w:vAlign w:val="bottom"/>
          </w:tcPr>
          <w:p>
            <w:pPr>
              <w:jc w:val="right"/>
              <w:ind w:right="317"/>
              <w:spacing w:after="0" w:line="186" w:lineRule="exact"/>
              <w:rPr>
                <w:sz w:val="20"/>
                <w:szCs w:val="20"/>
                <w:color w:val="auto"/>
              </w:rPr>
            </w:pPr>
            <w:r>
              <w:rPr>
                <w:rFonts w:ascii="Arial" w:cs="Arial" w:eastAsia="Arial" w:hAnsi="Arial"/>
                <w:sz w:val="17"/>
                <w:szCs w:val="17"/>
                <w:color w:val="373535"/>
              </w:rPr>
              <w:t>1.1</w:t>
            </w:r>
          </w:p>
        </w:tc>
        <w:tc>
          <w:tcPr>
            <w:tcW w:w="1040" w:type="dxa"/>
            <w:vAlign w:val="bottom"/>
            <w:gridSpan w:val="3"/>
          </w:tcPr>
          <w:p>
            <w:pPr>
              <w:jc w:val="right"/>
              <w:ind w:right="160"/>
              <w:spacing w:after="0" w:line="186" w:lineRule="exact"/>
              <w:rPr>
                <w:sz w:val="20"/>
                <w:szCs w:val="20"/>
                <w:color w:val="auto"/>
              </w:rPr>
            </w:pPr>
            <w:r>
              <w:rPr>
                <w:rFonts w:ascii="Arial" w:cs="Arial" w:eastAsia="Arial" w:hAnsi="Arial"/>
                <w:sz w:val="17"/>
                <w:szCs w:val="17"/>
                <w:color w:val="373535"/>
              </w:rPr>
              <w:t>(5.3)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46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85" w:lineRule="exact"/>
              <w:rPr>
                <w:sz w:val="20"/>
                <w:szCs w:val="20"/>
                <w:color w:val="auto"/>
              </w:rPr>
            </w:pPr>
            <w:r>
              <w:rPr>
                <w:rFonts w:ascii="Arial" w:cs="Arial" w:eastAsia="Arial" w:hAnsi="Arial"/>
                <w:sz w:val="17"/>
                <w:szCs w:val="17"/>
                <w:color w:val="373535"/>
              </w:rPr>
              <w:t>5,773.9</w:t>
            </w:r>
          </w:p>
        </w:tc>
        <w:tc>
          <w:tcPr>
            <w:tcW w:w="1340" w:type="dxa"/>
            <w:vAlign w:val="bottom"/>
          </w:tcPr>
          <w:p>
            <w:pPr>
              <w:jc w:val="right"/>
              <w:ind w:right="275"/>
              <w:spacing w:after="0" w:line="185" w:lineRule="exact"/>
              <w:rPr>
                <w:sz w:val="20"/>
                <w:szCs w:val="20"/>
                <w:color w:val="auto"/>
              </w:rPr>
            </w:pPr>
            <w:r>
              <w:rPr>
                <w:rFonts w:ascii="Arial" w:cs="Arial" w:eastAsia="Arial" w:hAnsi="Arial"/>
                <w:sz w:val="17"/>
                <w:szCs w:val="17"/>
                <w:color w:val="373535"/>
              </w:rPr>
              <w:t>(6.3)</w:t>
            </w:r>
          </w:p>
        </w:tc>
        <w:tc>
          <w:tcPr>
            <w:tcW w:w="1160" w:type="dxa"/>
            <w:vAlign w:val="bottom"/>
          </w:tcPr>
          <w:p>
            <w:pPr>
              <w:ind w:left="520"/>
              <w:spacing w:after="0" w:line="185" w:lineRule="exact"/>
              <w:rPr>
                <w:sz w:val="20"/>
                <w:szCs w:val="20"/>
                <w:color w:val="auto"/>
              </w:rPr>
            </w:pPr>
            <w:r>
              <w:rPr>
                <w:rFonts w:ascii="Arial" w:cs="Arial" w:eastAsia="Arial" w:hAnsi="Arial"/>
                <w:sz w:val="17"/>
                <w:szCs w:val="17"/>
                <w:color w:val="373535"/>
              </w:rPr>
              <w:t>(5.0)</w:t>
            </w:r>
          </w:p>
        </w:tc>
        <w:tc>
          <w:tcPr>
            <w:tcW w:w="1200" w:type="dxa"/>
            <w:vAlign w:val="bottom"/>
          </w:tcPr>
          <w:p>
            <w:pPr>
              <w:jc w:val="right"/>
              <w:ind w:right="176"/>
              <w:spacing w:after="0" w:line="185" w:lineRule="exact"/>
              <w:rPr>
                <w:sz w:val="20"/>
                <w:szCs w:val="20"/>
                <w:color w:val="auto"/>
              </w:rPr>
            </w:pPr>
            <w:r>
              <w:rPr>
                <w:rFonts w:ascii="Arial" w:cs="Arial" w:eastAsia="Arial" w:hAnsi="Arial"/>
                <w:sz w:val="17"/>
                <w:szCs w:val="17"/>
                <w:color w:val="373535"/>
              </w:rPr>
              <w:t>(1.3)</w:t>
            </w:r>
          </w:p>
        </w:tc>
        <w:tc>
          <w:tcPr>
            <w:tcW w:w="1300" w:type="dxa"/>
            <w:vAlign w:val="bottom"/>
          </w:tcPr>
          <w:p>
            <w:pPr>
              <w:jc w:val="right"/>
              <w:ind w:right="317"/>
              <w:spacing w:after="0" w:line="185"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ind w:right="160"/>
              <w:spacing w:after="0" w:line="185" w:lineRule="exact"/>
              <w:rPr>
                <w:sz w:val="20"/>
                <w:szCs w:val="20"/>
                <w:color w:val="auto"/>
              </w:rPr>
            </w:pPr>
            <w:r>
              <w:rPr>
                <w:rFonts w:ascii="Arial" w:cs="Arial" w:eastAsia="Arial" w:hAnsi="Arial"/>
                <w:sz w:val="17"/>
                <w:szCs w:val="17"/>
                <w:color w:val="373535"/>
              </w:rPr>
              <w:t>(1.3)</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2,728.8</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2.5</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(0.6)</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3.1</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1.5</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760" w:type="dxa"/>
            <w:vAlign w:val="bottom"/>
            <w:tcBorders>
              <w:bottom w:val="single" w:sz="8" w:color="717073"/>
            </w:tcBorders>
          </w:tcPr>
          <w:p>
            <w:pPr>
              <w:spacing w:after="0"/>
              <w:rPr>
                <w:sz w:val="16"/>
                <w:szCs w:val="16"/>
                <w:color w:val="auto"/>
              </w:rPr>
            </w:pPr>
          </w:p>
        </w:tc>
        <w:tc>
          <w:tcPr>
            <w:tcW w:w="1140" w:type="dxa"/>
            <w:vAlign w:val="bottom"/>
            <w:tcBorders>
              <w:bottom w:val="single" w:sz="8" w:color="717073"/>
            </w:tcBorders>
          </w:tcPr>
          <w:p>
            <w:pPr>
              <w:jc w:val="right"/>
              <w:ind w:right="256"/>
              <w:spacing w:after="0" w:line="194" w:lineRule="exact"/>
              <w:rPr>
                <w:sz w:val="20"/>
                <w:szCs w:val="20"/>
                <w:color w:val="auto"/>
              </w:rPr>
            </w:pPr>
            <w:r>
              <w:rPr>
                <w:rFonts w:ascii="Arial" w:cs="Arial" w:eastAsia="Arial" w:hAnsi="Arial"/>
                <w:sz w:val="17"/>
                <w:szCs w:val="17"/>
                <w:color w:val="373535"/>
              </w:rPr>
              <w:t>328.5</w:t>
            </w:r>
          </w:p>
        </w:tc>
        <w:tc>
          <w:tcPr>
            <w:tcW w:w="1340" w:type="dxa"/>
            <w:vAlign w:val="bottom"/>
            <w:tcBorders>
              <w:bottom w:val="single" w:sz="8" w:color="717073"/>
            </w:tcBorders>
          </w:tcPr>
          <w:p>
            <w:pPr>
              <w:jc w:val="right"/>
              <w:ind w:right="335"/>
              <w:spacing w:after="0" w:line="194" w:lineRule="exact"/>
              <w:rPr>
                <w:sz w:val="20"/>
                <w:szCs w:val="20"/>
                <w:color w:val="auto"/>
              </w:rPr>
            </w:pPr>
            <w:r>
              <w:rPr>
                <w:rFonts w:ascii="Arial" w:cs="Arial" w:eastAsia="Arial" w:hAnsi="Arial"/>
                <w:sz w:val="17"/>
                <w:szCs w:val="17"/>
                <w:color w:val="373535"/>
              </w:rPr>
              <w:t>1.5</w:t>
            </w:r>
          </w:p>
        </w:tc>
        <w:tc>
          <w:tcPr>
            <w:tcW w:w="1160" w:type="dxa"/>
            <w:vAlign w:val="bottom"/>
            <w:tcBorders>
              <w:bottom w:val="single" w:sz="8" w:color="717073"/>
            </w:tcBorders>
          </w:tcPr>
          <w:p>
            <w:pPr>
              <w:ind w:left="520"/>
              <w:spacing w:after="0" w:line="194" w:lineRule="exact"/>
              <w:rPr>
                <w:sz w:val="20"/>
                <w:szCs w:val="20"/>
                <w:color w:val="auto"/>
              </w:rPr>
            </w:pPr>
            <w:r>
              <w:rPr>
                <w:rFonts w:ascii="Arial" w:cs="Arial" w:eastAsia="Arial" w:hAnsi="Arial"/>
                <w:sz w:val="17"/>
                <w:szCs w:val="17"/>
                <w:color w:val="373535"/>
              </w:rPr>
              <w:t>(1.9)</w:t>
            </w:r>
          </w:p>
        </w:tc>
        <w:tc>
          <w:tcPr>
            <w:tcW w:w="1200" w:type="dxa"/>
            <w:vAlign w:val="bottom"/>
            <w:tcBorders>
              <w:bottom w:val="single" w:sz="8" w:color="717073"/>
            </w:tcBorders>
          </w:tcPr>
          <w:p>
            <w:pPr>
              <w:jc w:val="right"/>
              <w:ind w:right="236"/>
              <w:spacing w:after="0" w:line="194" w:lineRule="exact"/>
              <w:rPr>
                <w:sz w:val="20"/>
                <w:szCs w:val="20"/>
                <w:color w:val="auto"/>
              </w:rPr>
            </w:pPr>
            <w:r>
              <w:rPr>
                <w:rFonts w:ascii="Arial" w:cs="Arial" w:eastAsia="Arial" w:hAnsi="Arial"/>
                <w:sz w:val="17"/>
                <w:szCs w:val="17"/>
                <w:color w:val="373535"/>
              </w:rPr>
              <w:t>3.4</w:t>
            </w:r>
          </w:p>
        </w:tc>
        <w:tc>
          <w:tcPr>
            <w:tcW w:w="1300" w:type="dxa"/>
            <w:vAlign w:val="bottom"/>
            <w:tcBorders>
              <w:bottom w:val="single" w:sz="8" w:color="717073"/>
            </w:tcBorders>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84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3.4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80" w:type="dxa"/>
            <w:vAlign w:val="bottom"/>
            <w:gridSpan w:val="2"/>
          </w:tcPr>
          <w:p>
            <w:pPr>
              <w:spacing w:after="0" w:line="186" w:lineRule="exact"/>
              <w:rPr>
                <w:sz w:val="20"/>
                <w:szCs w:val="20"/>
                <w:color w:val="auto"/>
              </w:rPr>
            </w:pPr>
            <w:r>
              <w:rPr>
                <w:rFonts w:ascii="Arial" w:cs="Arial" w:eastAsia="Arial" w:hAnsi="Arial"/>
                <w:sz w:val="17"/>
                <w:szCs w:val="17"/>
                <w:color w:val="373535"/>
              </w:rPr>
              <w:t>ManpowerGroup</w:t>
            </w:r>
          </w:p>
        </w:tc>
        <w:tc>
          <w:tcPr>
            <w:tcW w:w="760" w:type="dxa"/>
            <w:vAlign w:val="bottom"/>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20,678.0</w:t>
            </w:r>
          </w:p>
        </w:tc>
        <w:tc>
          <w:tcPr>
            <w:tcW w:w="1340" w:type="dxa"/>
            <w:vAlign w:val="bottom"/>
          </w:tcPr>
          <w:p>
            <w:pPr>
              <w:jc w:val="right"/>
              <w:ind w:right="115"/>
              <w:spacing w:after="0" w:line="186" w:lineRule="exact"/>
              <w:rPr>
                <w:sz w:val="20"/>
                <w:szCs w:val="20"/>
                <w:color w:val="auto"/>
              </w:rPr>
            </w:pPr>
            <w:r>
              <w:rPr>
                <w:rFonts w:ascii="Arial" w:cs="Arial" w:eastAsia="Arial" w:hAnsi="Arial"/>
                <w:sz w:val="17"/>
                <w:szCs w:val="17"/>
                <w:color w:val="373535"/>
              </w:rPr>
              <w:t>(6.0)%</w:t>
            </w:r>
          </w:p>
        </w:tc>
        <w:tc>
          <w:tcPr>
            <w:tcW w:w="1160" w:type="dxa"/>
            <w:vAlign w:val="bottom"/>
          </w:tcPr>
          <w:p>
            <w:pPr>
              <w:ind w:left="520"/>
              <w:spacing w:after="0" w:line="186" w:lineRule="exact"/>
              <w:rPr>
                <w:sz w:val="20"/>
                <w:szCs w:val="20"/>
                <w:color w:val="auto"/>
              </w:rPr>
            </w:pPr>
            <w:r>
              <w:rPr>
                <w:rFonts w:ascii="Arial" w:cs="Arial" w:eastAsia="Arial" w:hAnsi="Arial"/>
                <w:sz w:val="17"/>
                <w:szCs w:val="17"/>
                <w:color w:val="373535"/>
              </w:rPr>
              <w:t>(4.6)%</w:t>
            </w:r>
          </w:p>
        </w:tc>
        <w:tc>
          <w:tcPr>
            <w:tcW w:w="1200" w:type="dxa"/>
            <w:vAlign w:val="bottom"/>
          </w:tcPr>
          <w:p>
            <w:pPr>
              <w:jc w:val="right"/>
              <w:ind w:right="36"/>
              <w:spacing w:after="0" w:line="186" w:lineRule="exact"/>
              <w:rPr>
                <w:sz w:val="20"/>
                <w:szCs w:val="20"/>
                <w:color w:val="auto"/>
              </w:rPr>
            </w:pPr>
            <w:r>
              <w:rPr>
                <w:rFonts w:ascii="Arial" w:cs="Arial" w:eastAsia="Arial" w:hAnsi="Arial"/>
                <w:sz w:val="17"/>
                <w:szCs w:val="17"/>
                <w:color w:val="373535"/>
              </w:rPr>
              <w:t>(1.4)%</w:t>
            </w:r>
          </w:p>
        </w:tc>
        <w:tc>
          <w:tcPr>
            <w:tcW w:w="1300" w:type="dxa"/>
            <w:vAlign w:val="bottom"/>
          </w:tcPr>
          <w:p>
            <w:pPr>
              <w:jc w:val="right"/>
              <w:ind w:right="157"/>
              <w:spacing w:after="0" w:line="186" w:lineRule="exact"/>
              <w:rPr>
                <w:sz w:val="20"/>
                <w:szCs w:val="20"/>
                <w:color w:val="auto"/>
              </w:rPr>
            </w:pPr>
            <w:r>
              <w:rPr>
                <w:rFonts w:ascii="Arial" w:cs="Arial" w:eastAsia="Arial" w:hAnsi="Arial"/>
                <w:sz w:val="17"/>
                <w:szCs w:val="17"/>
                <w:color w:val="373535"/>
              </w:rPr>
              <w:t>0.6%</w:t>
            </w:r>
          </w:p>
        </w:tc>
        <w:tc>
          <w:tcPr>
            <w:tcW w:w="1040" w:type="dxa"/>
            <w:vAlign w:val="bottom"/>
            <w:gridSpan w:val="3"/>
          </w:tcPr>
          <w:p>
            <w:pPr>
              <w:jc w:val="right"/>
              <w:spacing w:after="0" w:line="186" w:lineRule="exact"/>
              <w:rPr>
                <w:sz w:val="20"/>
                <w:szCs w:val="20"/>
                <w:color w:val="auto"/>
              </w:rPr>
            </w:pPr>
            <w:r>
              <w:rPr>
                <w:rFonts w:ascii="Arial" w:cs="Arial" w:eastAsia="Arial" w:hAnsi="Arial"/>
                <w:sz w:val="17"/>
                <w:szCs w:val="17"/>
                <w:color w:val="373535"/>
              </w:rPr>
              <w:t>(2.0)%</w:t>
            </w:r>
          </w:p>
        </w:tc>
        <w:tc>
          <w:tcPr>
            <w:tcW w:w="0" w:type="dxa"/>
            <w:vAlign w:val="bottom"/>
          </w:tcPr>
          <w:p>
            <w:pPr>
              <w:spacing w:after="0"/>
              <w:rPr>
                <w:sz w:val="1"/>
                <w:szCs w:val="1"/>
                <w:color w:val="auto"/>
              </w:rPr>
            </w:pPr>
          </w:p>
        </w:tc>
      </w:tr>
      <w:tr>
        <w:trPr>
          <w:trHeight w:val="20"/>
        </w:trPr>
        <w:tc>
          <w:tcPr>
            <w:tcW w:w="3480" w:type="dxa"/>
            <w:vAlign w:val="bottom"/>
            <w:gridSpan w:val="2"/>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80" w:type="dxa"/>
            <w:vAlign w:val="bottom"/>
            <w:gridSpan w:val="2"/>
          </w:tcPr>
          <w:p>
            <w:pPr>
              <w:spacing w:after="0" w:line="163" w:lineRule="exact"/>
              <w:rPr>
                <w:sz w:val="20"/>
                <w:szCs w:val="20"/>
                <w:color w:val="auto"/>
              </w:rPr>
            </w:pPr>
            <w:r>
              <w:rPr>
                <w:rFonts w:ascii="Arial" w:cs="Arial" w:eastAsia="Arial" w:hAnsi="Arial"/>
                <w:sz w:val="17"/>
                <w:szCs w:val="17"/>
                <w:b w:val="1"/>
                <w:bCs w:val="1"/>
                <w:color w:val="777679"/>
              </w:rPr>
              <w:t>Gross Profit — ManpowerGroup</w:t>
            </w:r>
          </w:p>
        </w:tc>
        <w:tc>
          <w:tcPr>
            <w:tcW w:w="760" w:type="dxa"/>
            <w:vAlign w:val="bottom"/>
          </w:tcPr>
          <w:p>
            <w:pPr>
              <w:jc w:val="right"/>
              <w:ind w:right="34"/>
              <w:spacing w:after="0" w:line="163"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63" w:lineRule="exact"/>
              <w:rPr>
                <w:sz w:val="20"/>
                <w:szCs w:val="20"/>
                <w:color w:val="auto"/>
              </w:rPr>
            </w:pPr>
            <w:r>
              <w:rPr>
                <w:rFonts w:ascii="Arial" w:cs="Arial" w:eastAsia="Arial" w:hAnsi="Arial"/>
                <w:sz w:val="17"/>
                <w:szCs w:val="17"/>
                <w:color w:val="373535"/>
              </w:rPr>
              <w:t>3,442.0</w:t>
            </w:r>
          </w:p>
        </w:tc>
        <w:tc>
          <w:tcPr>
            <w:tcW w:w="1340" w:type="dxa"/>
            <w:vAlign w:val="bottom"/>
          </w:tcPr>
          <w:p>
            <w:pPr>
              <w:jc w:val="right"/>
              <w:ind w:right="115"/>
              <w:spacing w:after="0" w:line="163" w:lineRule="exact"/>
              <w:rPr>
                <w:sz w:val="20"/>
                <w:szCs w:val="20"/>
                <w:color w:val="auto"/>
              </w:rPr>
            </w:pPr>
            <w:r>
              <w:rPr>
                <w:rFonts w:ascii="Arial" w:cs="Arial" w:eastAsia="Arial" w:hAnsi="Arial"/>
                <w:sz w:val="17"/>
                <w:szCs w:val="17"/>
                <w:color w:val="373535"/>
              </w:rPr>
              <w:t>(7.1)%</w:t>
            </w:r>
          </w:p>
        </w:tc>
        <w:tc>
          <w:tcPr>
            <w:tcW w:w="1160" w:type="dxa"/>
            <w:vAlign w:val="bottom"/>
          </w:tcPr>
          <w:p>
            <w:pPr>
              <w:ind w:left="520"/>
              <w:spacing w:after="0" w:line="163" w:lineRule="exact"/>
              <w:rPr>
                <w:sz w:val="20"/>
                <w:szCs w:val="20"/>
                <w:color w:val="auto"/>
              </w:rPr>
            </w:pPr>
            <w:r>
              <w:rPr>
                <w:rFonts w:ascii="Arial" w:cs="Arial" w:eastAsia="Arial" w:hAnsi="Arial"/>
                <w:sz w:val="17"/>
                <w:szCs w:val="17"/>
                <w:color w:val="373535"/>
              </w:rPr>
              <w:t>(4.1)%</w:t>
            </w:r>
          </w:p>
        </w:tc>
        <w:tc>
          <w:tcPr>
            <w:tcW w:w="1200" w:type="dxa"/>
            <w:vAlign w:val="bottom"/>
          </w:tcPr>
          <w:p>
            <w:pPr>
              <w:jc w:val="right"/>
              <w:ind w:right="36"/>
              <w:spacing w:after="0" w:line="163" w:lineRule="exact"/>
              <w:rPr>
                <w:sz w:val="20"/>
                <w:szCs w:val="20"/>
                <w:color w:val="auto"/>
              </w:rPr>
            </w:pPr>
            <w:r>
              <w:rPr>
                <w:rFonts w:ascii="Arial" w:cs="Arial" w:eastAsia="Arial" w:hAnsi="Arial"/>
                <w:sz w:val="17"/>
                <w:szCs w:val="17"/>
                <w:color w:val="373535"/>
              </w:rPr>
              <w:t>(3.0)%</w:t>
            </w:r>
          </w:p>
        </w:tc>
        <w:tc>
          <w:tcPr>
            <w:tcW w:w="1300" w:type="dxa"/>
            <w:vAlign w:val="bottom"/>
          </w:tcPr>
          <w:p>
            <w:pPr>
              <w:jc w:val="right"/>
              <w:ind w:right="157"/>
              <w:spacing w:after="0" w:line="163" w:lineRule="exact"/>
              <w:rPr>
                <w:sz w:val="20"/>
                <w:szCs w:val="20"/>
                <w:color w:val="auto"/>
              </w:rPr>
            </w:pPr>
            <w:r>
              <w:rPr>
                <w:rFonts w:ascii="Arial" w:cs="Arial" w:eastAsia="Arial" w:hAnsi="Arial"/>
                <w:sz w:val="17"/>
                <w:szCs w:val="17"/>
                <w:color w:val="373535"/>
              </w:rPr>
              <w:t>0.7%</w:t>
            </w:r>
          </w:p>
        </w:tc>
        <w:tc>
          <w:tcPr>
            <w:tcW w:w="1040" w:type="dxa"/>
            <w:vAlign w:val="bottom"/>
            <w:gridSpan w:val="3"/>
          </w:tcPr>
          <w:p>
            <w:pPr>
              <w:jc w:val="right"/>
              <w:spacing w:after="0" w:line="163" w:lineRule="exact"/>
              <w:rPr>
                <w:sz w:val="20"/>
                <w:szCs w:val="20"/>
                <w:color w:val="auto"/>
              </w:rPr>
            </w:pPr>
            <w:r>
              <w:rPr>
                <w:rFonts w:ascii="Arial" w:cs="Arial" w:eastAsia="Arial" w:hAnsi="Arial"/>
                <w:sz w:val="17"/>
                <w:szCs w:val="17"/>
                <w:color w:val="373535"/>
              </w:rPr>
              <w:t>(3.7)%</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b w:val="1"/>
                <w:bCs w:val="1"/>
                <w:color w:val="777679"/>
              </w:rPr>
              <w:t>Operating Unit Profit</w:t>
            </w: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United States</w:t>
            </w: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60.8</w:t>
            </w:r>
          </w:p>
        </w:tc>
        <w:tc>
          <w:tcPr>
            <w:tcW w:w="134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(35.4)%</w:t>
            </w:r>
          </w:p>
        </w:tc>
        <w:tc>
          <w:tcPr>
            <w:tcW w:w="1160" w:type="dxa"/>
            <w:vAlign w:val="bottom"/>
          </w:tcPr>
          <w:p>
            <w:pPr>
              <w:ind w:left="640"/>
              <w:spacing w:after="0" w:line="194" w:lineRule="exact"/>
              <w:rPr>
                <w:sz w:val="20"/>
                <w:szCs w:val="20"/>
                <w:color w:val="auto"/>
              </w:rPr>
            </w:pPr>
            <w:r>
              <w:rPr>
                <w:rFonts w:ascii="Arial" w:cs="Arial" w:eastAsia="Arial" w:hAnsi="Arial"/>
                <w:sz w:val="17"/>
                <w:szCs w:val="17"/>
                <w:color w:val="373535"/>
              </w:rPr>
              <w:t>—%</w:t>
            </w:r>
          </w:p>
        </w:tc>
        <w:tc>
          <w:tcPr>
            <w:tcW w:w="12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(35.4)%</w:t>
            </w:r>
          </w:p>
        </w:tc>
        <w:tc>
          <w:tcPr>
            <w:tcW w:w="1300" w:type="dxa"/>
            <w:vAlign w:val="bottom"/>
          </w:tcPr>
          <w:p>
            <w:pPr>
              <w:jc w:val="right"/>
              <w:ind w:right="15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spacing w:after="0" w:line="194" w:lineRule="exact"/>
              <w:rPr>
                <w:sz w:val="20"/>
                <w:szCs w:val="20"/>
                <w:color w:val="auto"/>
              </w:rPr>
            </w:pPr>
            <w:r>
              <w:rPr>
                <w:rFonts w:ascii="Arial" w:cs="Arial" w:eastAsia="Arial" w:hAnsi="Arial"/>
                <w:sz w:val="17"/>
                <w:szCs w:val="17"/>
                <w:color w:val="373535"/>
              </w:rPr>
              <w:t>(35.4)%</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Americas</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50.6</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5.7</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(3.4)</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9.1</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1.1</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8.0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40" w:type="dxa"/>
            <w:vAlign w:val="bottom"/>
            <w:gridSpan w:val="2"/>
            <w:shd w:val="clear" w:color="auto" w:fill="71707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111.4</w:t>
            </w:r>
          </w:p>
        </w:tc>
        <w:tc>
          <w:tcPr>
            <w:tcW w:w="1340" w:type="dxa"/>
            <w:vAlign w:val="bottom"/>
          </w:tcPr>
          <w:p>
            <w:pPr>
              <w:jc w:val="right"/>
              <w:ind w:right="275"/>
              <w:spacing w:after="0" w:line="186" w:lineRule="exact"/>
              <w:rPr>
                <w:sz w:val="20"/>
                <w:szCs w:val="20"/>
                <w:color w:val="auto"/>
              </w:rPr>
            </w:pPr>
            <w:r>
              <w:rPr>
                <w:rFonts w:ascii="Arial" w:cs="Arial" w:eastAsia="Arial" w:hAnsi="Arial"/>
                <w:sz w:val="17"/>
                <w:szCs w:val="17"/>
                <w:color w:val="373535"/>
              </w:rPr>
              <w:t>(21.6)</w:t>
            </w:r>
          </w:p>
        </w:tc>
        <w:tc>
          <w:tcPr>
            <w:tcW w:w="1160" w:type="dxa"/>
            <w:vAlign w:val="bottom"/>
          </w:tcPr>
          <w:p>
            <w:pPr>
              <w:ind w:left="520"/>
              <w:spacing w:after="0" w:line="186" w:lineRule="exact"/>
              <w:rPr>
                <w:sz w:val="20"/>
                <w:szCs w:val="20"/>
                <w:color w:val="auto"/>
              </w:rPr>
            </w:pPr>
            <w:r>
              <w:rPr>
                <w:rFonts w:ascii="Arial" w:cs="Arial" w:eastAsia="Arial" w:hAnsi="Arial"/>
                <w:sz w:val="17"/>
                <w:szCs w:val="17"/>
                <w:color w:val="373535"/>
              </w:rPr>
              <w:t>(1.2)</w:t>
            </w:r>
          </w:p>
        </w:tc>
        <w:tc>
          <w:tcPr>
            <w:tcW w:w="1200" w:type="dxa"/>
            <w:vAlign w:val="bottom"/>
          </w:tcPr>
          <w:p>
            <w:pPr>
              <w:jc w:val="right"/>
              <w:ind w:right="176"/>
              <w:spacing w:after="0" w:line="186" w:lineRule="exact"/>
              <w:rPr>
                <w:sz w:val="20"/>
                <w:szCs w:val="20"/>
                <w:color w:val="auto"/>
              </w:rPr>
            </w:pPr>
            <w:r>
              <w:rPr>
                <w:rFonts w:ascii="Arial" w:cs="Arial" w:eastAsia="Arial" w:hAnsi="Arial"/>
                <w:sz w:val="17"/>
                <w:szCs w:val="17"/>
                <w:color w:val="373535"/>
              </w:rPr>
              <w:t>(20.4)</w:t>
            </w:r>
          </w:p>
        </w:tc>
        <w:tc>
          <w:tcPr>
            <w:tcW w:w="1300" w:type="dxa"/>
            <w:vAlign w:val="bottom"/>
          </w:tcPr>
          <w:p>
            <w:pPr>
              <w:jc w:val="right"/>
              <w:ind w:right="317"/>
              <w:spacing w:after="0" w:line="186" w:lineRule="exact"/>
              <w:rPr>
                <w:sz w:val="20"/>
                <w:szCs w:val="20"/>
                <w:color w:val="auto"/>
              </w:rPr>
            </w:pPr>
            <w:r>
              <w:rPr>
                <w:rFonts w:ascii="Arial" w:cs="Arial" w:eastAsia="Arial" w:hAnsi="Arial"/>
                <w:sz w:val="17"/>
                <w:szCs w:val="17"/>
                <w:color w:val="373535"/>
              </w:rPr>
              <w:t>0.4</w:t>
            </w:r>
          </w:p>
        </w:tc>
        <w:tc>
          <w:tcPr>
            <w:tcW w:w="1040" w:type="dxa"/>
            <w:vAlign w:val="bottom"/>
            <w:gridSpan w:val="3"/>
          </w:tcPr>
          <w:p>
            <w:pPr>
              <w:jc w:val="right"/>
              <w:ind w:right="160"/>
              <w:spacing w:after="0" w:line="186" w:lineRule="exact"/>
              <w:rPr>
                <w:sz w:val="20"/>
                <w:szCs w:val="20"/>
                <w:color w:val="auto"/>
              </w:rPr>
            </w:pPr>
            <w:r>
              <w:rPr>
                <w:rFonts w:ascii="Arial" w:cs="Arial" w:eastAsia="Arial" w:hAnsi="Arial"/>
                <w:sz w:val="17"/>
                <w:szCs w:val="17"/>
                <w:color w:val="373535"/>
              </w:rPr>
              <w:t>(20.8)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760" w:type="dxa"/>
            <w:vAlign w:val="bottom"/>
            <w:tcBorders>
              <w:top w:val="single" w:sz="8" w:color="717073"/>
            </w:tcBorders>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1340" w:type="dxa"/>
            <w:vAlign w:val="bottom"/>
            <w:tcBorders>
              <w:top w:val="single" w:sz="8" w:color="717073"/>
            </w:tcBorders>
          </w:tcPr>
          <w:p>
            <w:pPr>
              <w:spacing w:after="0"/>
              <w:rPr>
                <w:sz w:val="16"/>
                <w:szCs w:val="16"/>
                <w:color w:val="auto"/>
              </w:rPr>
            </w:pPr>
          </w:p>
        </w:tc>
        <w:tc>
          <w:tcPr>
            <w:tcW w:w="1160" w:type="dxa"/>
            <w:vAlign w:val="bottom"/>
            <w:tcBorders>
              <w:top w:val="single" w:sz="8" w:color="717073"/>
            </w:tcBorders>
          </w:tcPr>
          <w:p>
            <w:pPr>
              <w:spacing w:after="0"/>
              <w:rPr>
                <w:sz w:val="16"/>
                <w:szCs w:val="16"/>
                <w:color w:val="auto"/>
              </w:rPr>
            </w:pPr>
          </w:p>
        </w:tc>
        <w:tc>
          <w:tcPr>
            <w:tcW w:w="1200" w:type="dxa"/>
            <w:vAlign w:val="bottom"/>
            <w:tcBorders>
              <w:top w:val="single" w:sz="8" w:color="717073"/>
            </w:tcBorders>
          </w:tcPr>
          <w:p>
            <w:pPr>
              <w:spacing w:after="0"/>
              <w:rPr>
                <w:sz w:val="16"/>
                <w:szCs w:val="16"/>
                <w:color w:val="auto"/>
              </w:rPr>
            </w:pPr>
          </w:p>
        </w:tc>
        <w:tc>
          <w:tcPr>
            <w:tcW w:w="1300" w:type="dxa"/>
            <w:vAlign w:val="bottom"/>
            <w:tcBorders>
              <w:top w:val="single" w:sz="8" w:color="717073"/>
            </w:tcBorders>
          </w:tcPr>
          <w:p>
            <w:pPr>
              <w:spacing w:after="0"/>
              <w:rPr>
                <w:sz w:val="16"/>
                <w:szCs w:val="16"/>
                <w:color w:val="auto"/>
              </w:rPr>
            </w:pPr>
          </w:p>
        </w:tc>
        <w:tc>
          <w:tcPr>
            <w:tcW w:w="82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129.6</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(23.5)</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(7.2)</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(16.3)</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1.1</w:t>
            </w:r>
          </w:p>
        </w:tc>
        <w:tc>
          <w:tcPr>
            <w:tcW w:w="104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373535"/>
              </w:rPr>
              <w:t>(17.4)</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Italy</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45.4</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(38.7)</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(5.3)</w:t>
            </w:r>
          </w:p>
        </w:tc>
        <w:tc>
          <w:tcPr>
            <w:tcW w:w="1200" w:type="dxa"/>
            <w:vAlign w:val="bottom"/>
          </w:tcPr>
          <w:p>
            <w:pPr>
              <w:jc w:val="right"/>
              <w:ind w:right="176"/>
              <w:spacing w:after="0" w:line="194" w:lineRule="exact"/>
              <w:rPr>
                <w:sz w:val="20"/>
                <w:szCs w:val="20"/>
                <w:color w:val="auto"/>
              </w:rPr>
            </w:pPr>
            <w:r>
              <w:rPr>
                <w:rFonts w:ascii="Arial" w:cs="Arial" w:eastAsia="Arial" w:hAnsi="Arial"/>
                <w:sz w:val="17"/>
                <w:szCs w:val="17"/>
                <w:color w:val="373535"/>
              </w:rPr>
              <w:t>(33.4)</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373535"/>
              </w:rPr>
              <w:t>(33.4)</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Other Southern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10.1</w:t>
            </w:r>
          </w:p>
        </w:tc>
        <w:tc>
          <w:tcPr>
            <w:tcW w:w="1340" w:type="dxa"/>
            <w:vAlign w:val="bottom"/>
          </w:tcPr>
          <w:p>
            <w:pPr>
              <w:jc w:val="right"/>
              <w:ind w:right="275"/>
              <w:spacing w:after="0" w:line="194" w:lineRule="exact"/>
              <w:rPr>
                <w:sz w:val="20"/>
                <w:szCs w:val="20"/>
                <w:color w:val="auto"/>
              </w:rPr>
            </w:pPr>
            <w:r>
              <w:rPr>
                <w:rFonts w:ascii="Arial" w:cs="Arial" w:eastAsia="Arial" w:hAnsi="Arial"/>
                <w:sz w:val="17"/>
                <w:szCs w:val="17"/>
                <w:color w:val="373535"/>
              </w:rPr>
              <w:t>(6.8)</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(7.8)</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1.0</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40" w:type="dxa"/>
            <w:vAlign w:val="bottom"/>
            <w:gridSpan w:val="2"/>
            <w:shd w:val="clear" w:color="auto" w:fill="71707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40" w:type="dxa"/>
            <w:vAlign w:val="bottom"/>
          </w:tcPr>
          <w:p>
            <w:pPr>
              <w:jc w:val="right"/>
              <w:ind w:right="256"/>
              <w:spacing w:after="0" w:line="186" w:lineRule="exact"/>
              <w:rPr>
                <w:sz w:val="20"/>
                <w:szCs w:val="20"/>
                <w:color w:val="auto"/>
              </w:rPr>
            </w:pPr>
            <w:r>
              <w:rPr>
                <w:rFonts w:ascii="Arial" w:cs="Arial" w:eastAsia="Arial" w:hAnsi="Arial"/>
                <w:sz w:val="17"/>
                <w:szCs w:val="17"/>
                <w:color w:val="373535"/>
              </w:rPr>
              <w:t>185.1</w:t>
            </w:r>
          </w:p>
        </w:tc>
        <w:tc>
          <w:tcPr>
            <w:tcW w:w="1340" w:type="dxa"/>
            <w:vAlign w:val="bottom"/>
          </w:tcPr>
          <w:p>
            <w:pPr>
              <w:jc w:val="right"/>
              <w:ind w:right="275"/>
              <w:spacing w:after="0" w:line="186" w:lineRule="exact"/>
              <w:rPr>
                <w:sz w:val="20"/>
                <w:szCs w:val="20"/>
                <w:color w:val="auto"/>
              </w:rPr>
            </w:pPr>
            <w:r>
              <w:rPr>
                <w:rFonts w:ascii="Arial" w:cs="Arial" w:eastAsia="Arial" w:hAnsi="Arial"/>
                <w:sz w:val="17"/>
                <w:szCs w:val="17"/>
                <w:color w:val="373535"/>
              </w:rPr>
              <w:t>(27.2)</w:t>
            </w:r>
          </w:p>
        </w:tc>
        <w:tc>
          <w:tcPr>
            <w:tcW w:w="1160" w:type="dxa"/>
            <w:vAlign w:val="bottom"/>
          </w:tcPr>
          <w:p>
            <w:pPr>
              <w:ind w:left="520"/>
              <w:spacing w:after="0" w:line="186" w:lineRule="exact"/>
              <w:rPr>
                <w:sz w:val="20"/>
                <w:szCs w:val="20"/>
                <w:color w:val="auto"/>
              </w:rPr>
            </w:pPr>
            <w:r>
              <w:rPr>
                <w:rFonts w:ascii="Arial" w:cs="Arial" w:eastAsia="Arial" w:hAnsi="Arial"/>
                <w:sz w:val="17"/>
                <w:szCs w:val="17"/>
                <w:color w:val="373535"/>
              </w:rPr>
              <w:t>(6.6)</w:t>
            </w:r>
          </w:p>
        </w:tc>
        <w:tc>
          <w:tcPr>
            <w:tcW w:w="1200" w:type="dxa"/>
            <w:vAlign w:val="bottom"/>
          </w:tcPr>
          <w:p>
            <w:pPr>
              <w:jc w:val="right"/>
              <w:ind w:right="176"/>
              <w:spacing w:after="0" w:line="186" w:lineRule="exact"/>
              <w:rPr>
                <w:sz w:val="20"/>
                <w:szCs w:val="20"/>
                <w:color w:val="auto"/>
              </w:rPr>
            </w:pPr>
            <w:r>
              <w:rPr>
                <w:rFonts w:ascii="Arial" w:cs="Arial" w:eastAsia="Arial" w:hAnsi="Arial"/>
                <w:sz w:val="17"/>
                <w:szCs w:val="17"/>
                <w:color w:val="373535"/>
              </w:rPr>
              <w:t>(20.6)</w:t>
            </w:r>
          </w:p>
        </w:tc>
        <w:tc>
          <w:tcPr>
            <w:tcW w:w="1300" w:type="dxa"/>
            <w:vAlign w:val="bottom"/>
          </w:tcPr>
          <w:p>
            <w:pPr>
              <w:jc w:val="right"/>
              <w:ind w:right="317"/>
              <w:spacing w:after="0" w:line="186" w:lineRule="exact"/>
              <w:rPr>
                <w:sz w:val="20"/>
                <w:szCs w:val="20"/>
                <w:color w:val="auto"/>
              </w:rPr>
            </w:pPr>
            <w:r>
              <w:rPr>
                <w:rFonts w:ascii="Arial" w:cs="Arial" w:eastAsia="Arial" w:hAnsi="Arial"/>
                <w:sz w:val="17"/>
                <w:szCs w:val="17"/>
                <w:color w:val="373535"/>
              </w:rPr>
              <w:t>0.7</w:t>
            </w:r>
          </w:p>
        </w:tc>
        <w:tc>
          <w:tcPr>
            <w:tcW w:w="1040" w:type="dxa"/>
            <w:vAlign w:val="bottom"/>
            <w:gridSpan w:val="3"/>
          </w:tcPr>
          <w:p>
            <w:pPr>
              <w:jc w:val="right"/>
              <w:ind w:right="160"/>
              <w:spacing w:after="0" w:line="186" w:lineRule="exact"/>
              <w:rPr>
                <w:sz w:val="20"/>
                <w:szCs w:val="20"/>
                <w:color w:val="auto"/>
              </w:rPr>
            </w:pPr>
            <w:r>
              <w:rPr>
                <w:rFonts w:ascii="Arial" w:cs="Arial" w:eastAsia="Arial" w:hAnsi="Arial"/>
                <w:sz w:val="17"/>
                <w:szCs w:val="17"/>
                <w:color w:val="373535"/>
              </w:rPr>
              <w:t>(21.3)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346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760" w:type="dxa"/>
            <w:vAlign w:val="bottom"/>
          </w:tcPr>
          <w:p>
            <w:pPr>
              <w:spacing w:after="0"/>
              <w:rPr>
                <w:sz w:val="16"/>
                <w:szCs w:val="16"/>
                <w:color w:val="auto"/>
              </w:rPr>
            </w:pPr>
          </w:p>
        </w:tc>
        <w:tc>
          <w:tcPr>
            <w:tcW w:w="1140" w:type="dxa"/>
            <w:vAlign w:val="bottom"/>
          </w:tcPr>
          <w:p>
            <w:pPr>
              <w:jc w:val="right"/>
              <w:ind w:right="256"/>
              <w:spacing w:after="0" w:line="185" w:lineRule="exact"/>
              <w:rPr>
                <w:sz w:val="20"/>
                <w:szCs w:val="20"/>
                <w:color w:val="auto"/>
              </w:rPr>
            </w:pPr>
            <w:r>
              <w:rPr>
                <w:rFonts w:ascii="Arial" w:cs="Arial" w:eastAsia="Arial" w:hAnsi="Arial"/>
                <w:sz w:val="17"/>
                <w:szCs w:val="17"/>
                <w:color w:val="373535"/>
              </w:rPr>
              <w:t>159.8</w:t>
            </w:r>
          </w:p>
        </w:tc>
        <w:tc>
          <w:tcPr>
            <w:tcW w:w="1340" w:type="dxa"/>
            <w:vAlign w:val="bottom"/>
          </w:tcPr>
          <w:p>
            <w:pPr>
              <w:jc w:val="right"/>
              <w:ind w:right="275"/>
              <w:spacing w:after="0" w:line="185" w:lineRule="exact"/>
              <w:rPr>
                <w:sz w:val="20"/>
                <w:szCs w:val="20"/>
                <w:color w:val="auto"/>
              </w:rPr>
            </w:pPr>
            <w:r>
              <w:rPr>
                <w:rFonts w:ascii="Arial" w:cs="Arial" w:eastAsia="Arial" w:hAnsi="Arial"/>
                <w:sz w:val="17"/>
                <w:szCs w:val="17"/>
                <w:color w:val="373535"/>
              </w:rPr>
              <w:t>(24.8)</w:t>
            </w:r>
          </w:p>
        </w:tc>
        <w:tc>
          <w:tcPr>
            <w:tcW w:w="1160" w:type="dxa"/>
            <w:vAlign w:val="bottom"/>
          </w:tcPr>
          <w:p>
            <w:pPr>
              <w:ind w:left="520"/>
              <w:spacing w:after="0" w:line="185" w:lineRule="exact"/>
              <w:rPr>
                <w:sz w:val="20"/>
                <w:szCs w:val="20"/>
                <w:color w:val="auto"/>
              </w:rPr>
            </w:pPr>
            <w:r>
              <w:rPr>
                <w:rFonts w:ascii="Arial" w:cs="Arial" w:eastAsia="Arial" w:hAnsi="Arial"/>
                <w:sz w:val="17"/>
                <w:szCs w:val="17"/>
                <w:color w:val="373535"/>
              </w:rPr>
              <w:t>(3.8)</w:t>
            </w:r>
          </w:p>
        </w:tc>
        <w:tc>
          <w:tcPr>
            <w:tcW w:w="1200" w:type="dxa"/>
            <w:vAlign w:val="bottom"/>
          </w:tcPr>
          <w:p>
            <w:pPr>
              <w:jc w:val="right"/>
              <w:ind w:right="176"/>
              <w:spacing w:after="0" w:line="185" w:lineRule="exact"/>
              <w:rPr>
                <w:sz w:val="20"/>
                <w:szCs w:val="20"/>
                <w:color w:val="auto"/>
              </w:rPr>
            </w:pPr>
            <w:r>
              <w:rPr>
                <w:rFonts w:ascii="Arial" w:cs="Arial" w:eastAsia="Arial" w:hAnsi="Arial"/>
                <w:sz w:val="17"/>
                <w:szCs w:val="17"/>
                <w:color w:val="373535"/>
              </w:rPr>
              <w:t>(21.0)</w:t>
            </w:r>
          </w:p>
        </w:tc>
        <w:tc>
          <w:tcPr>
            <w:tcW w:w="1300" w:type="dxa"/>
            <w:vAlign w:val="bottom"/>
          </w:tcPr>
          <w:p>
            <w:pPr>
              <w:jc w:val="right"/>
              <w:ind w:right="317"/>
              <w:spacing w:after="0" w:line="185"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ind w:right="160"/>
              <w:spacing w:after="0" w:line="185" w:lineRule="exact"/>
              <w:rPr>
                <w:sz w:val="20"/>
                <w:szCs w:val="20"/>
                <w:color w:val="auto"/>
              </w:rPr>
            </w:pPr>
            <w:r>
              <w:rPr>
                <w:rFonts w:ascii="Arial" w:cs="Arial" w:eastAsia="Arial" w:hAnsi="Arial"/>
                <w:sz w:val="17"/>
                <w:szCs w:val="17"/>
                <w:color w:val="373535"/>
              </w:rPr>
              <w:t>(21.0)</w:t>
            </w:r>
          </w:p>
        </w:tc>
        <w:tc>
          <w:tcPr>
            <w:tcW w:w="0" w:type="dxa"/>
            <w:vAlign w:val="bottom"/>
          </w:tcPr>
          <w:p>
            <w:pPr>
              <w:spacing w:after="0"/>
              <w:rPr>
                <w:sz w:val="1"/>
                <w:szCs w:val="1"/>
                <w:color w:val="auto"/>
              </w:rPr>
            </w:pPr>
          </w:p>
        </w:tc>
      </w:tr>
      <w:tr>
        <w:trPr>
          <w:trHeight w:val="194"/>
        </w:trPr>
        <w:tc>
          <w:tcPr>
            <w:tcW w:w="348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760" w:type="dxa"/>
            <w:vAlign w:val="bottom"/>
          </w:tcPr>
          <w:p>
            <w:pPr>
              <w:spacing w:after="0"/>
              <w:rPr>
                <w:sz w:val="16"/>
                <w:szCs w:val="16"/>
                <w:color w:val="auto"/>
              </w:rPr>
            </w:pPr>
          </w:p>
        </w:tc>
        <w:tc>
          <w:tcPr>
            <w:tcW w:w="1140" w:type="dxa"/>
            <w:vAlign w:val="bottom"/>
          </w:tcPr>
          <w:p>
            <w:pPr>
              <w:jc w:val="right"/>
              <w:ind w:right="256"/>
              <w:spacing w:after="0" w:line="194" w:lineRule="exact"/>
              <w:rPr>
                <w:sz w:val="20"/>
                <w:szCs w:val="20"/>
                <w:color w:val="auto"/>
              </w:rPr>
            </w:pPr>
            <w:r>
              <w:rPr>
                <w:rFonts w:ascii="Arial" w:cs="Arial" w:eastAsia="Arial" w:hAnsi="Arial"/>
                <w:sz w:val="17"/>
                <w:szCs w:val="17"/>
                <w:color w:val="373535"/>
              </w:rPr>
              <w:t>90.7</w:t>
            </w:r>
          </w:p>
        </w:tc>
        <w:tc>
          <w:tcPr>
            <w:tcW w:w="1340" w:type="dxa"/>
            <w:vAlign w:val="bottom"/>
          </w:tcPr>
          <w:p>
            <w:pPr>
              <w:jc w:val="right"/>
              <w:ind w:right="335"/>
              <w:spacing w:after="0" w:line="194" w:lineRule="exact"/>
              <w:rPr>
                <w:sz w:val="20"/>
                <w:szCs w:val="20"/>
                <w:color w:val="auto"/>
              </w:rPr>
            </w:pPr>
            <w:r>
              <w:rPr>
                <w:rFonts w:ascii="Arial" w:cs="Arial" w:eastAsia="Arial" w:hAnsi="Arial"/>
                <w:sz w:val="17"/>
                <w:szCs w:val="17"/>
                <w:color w:val="373535"/>
              </w:rPr>
              <w:t>15.2</w:t>
            </w:r>
          </w:p>
        </w:tc>
        <w:tc>
          <w:tcPr>
            <w:tcW w:w="1160" w:type="dxa"/>
            <w:vAlign w:val="bottom"/>
          </w:tcPr>
          <w:p>
            <w:pPr>
              <w:ind w:left="520"/>
              <w:spacing w:after="0" w:line="194" w:lineRule="exact"/>
              <w:rPr>
                <w:sz w:val="20"/>
                <w:szCs w:val="20"/>
                <w:color w:val="auto"/>
              </w:rPr>
            </w:pPr>
            <w:r>
              <w:rPr>
                <w:rFonts w:ascii="Arial" w:cs="Arial" w:eastAsia="Arial" w:hAnsi="Arial"/>
                <w:sz w:val="17"/>
                <w:szCs w:val="17"/>
                <w:color w:val="373535"/>
              </w:rPr>
              <w:t>(1.0)</w:t>
            </w:r>
          </w:p>
        </w:tc>
        <w:tc>
          <w:tcPr>
            <w:tcW w:w="1200" w:type="dxa"/>
            <w:vAlign w:val="bottom"/>
          </w:tcPr>
          <w:p>
            <w:pPr>
              <w:jc w:val="right"/>
              <w:ind w:right="236"/>
              <w:spacing w:after="0" w:line="194" w:lineRule="exact"/>
              <w:rPr>
                <w:sz w:val="20"/>
                <w:szCs w:val="20"/>
                <w:color w:val="auto"/>
              </w:rPr>
            </w:pPr>
            <w:r>
              <w:rPr>
                <w:rFonts w:ascii="Arial" w:cs="Arial" w:eastAsia="Arial" w:hAnsi="Arial"/>
                <w:sz w:val="17"/>
                <w:szCs w:val="17"/>
                <w:color w:val="373535"/>
              </w:rPr>
              <w:t>16.2</w:t>
            </w:r>
          </w:p>
        </w:tc>
        <w:tc>
          <w:tcPr>
            <w:tcW w:w="1300" w:type="dxa"/>
            <w:vAlign w:val="bottom"/>
          </w:tcPr>
          <w:p>
            <w:pPr>
              <w:jc w:val="right"/>
              <w:ind w:right="317"/>
              <w:spacing w:after="0" w:line="194" w:lineRule="exact"/>
              <w:rPr>
                <w:sz w:val="20"/>
                <w:szCs w:val="20"/>
                <w:color w:val="auto"/>
              </w:rPr>
            </w:pPr>
            <w:r>
              <w:rPr>
                <w:rFonts w:ascii="Arial" w:cs="Arial" w:eastAsia="Arial" w:hAnsi="Arial"/>
                <w:sz w:val="17"/>
                <w:szCs w:val="17"/>
                <w:color w:val="373535"/>
              </w:rPr>
              <w:t>1.6</w:t>
            </w:r>
          </w:p>
        </w:tc>
        <w:tc>
          <w:tcPr>
            <w:tcW w:w="8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14.6</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480" w:type="dxa"/>
            <w:vAlign w:val="bottom"/>
            <w:gridSpan w:val="2"/>
          </w:tcPr>
          <w:p>
            <w:pPr>
              <w:spacing w:after="0" w:line="172" w:lineRule="exact"/>
              <w:rPr>
                <w:sz w:val="20"/>
                <w:szCs w:val="20"/>
                <w:color w:val="auto"/>
              </w:rPr>
            </w:pPr>
            <w:r>
              <w:rPr>
                <w:rFonts w:ascii="Arial" w:cs="Arial" w:eastAsia="Arial" w:hAnsi="Arial"/>
                <w:sz w:val="17"/>
                <w:szCs w:val="17"/>
                <w:color w:val="373535"/>
              </w:rPr>
              <w:t>Right Management</w:t>
            </w:r>
          </w:p>
        </w:tc>
        <w:tc>
          <w:tcPr>
            <w:tcW w:w="760" w:type="dxa"/>
            <w:vAlign w:val="bottom"/>
          </w:tcPr>
          <w:p>
            <w:pPr>
              <w:spacing w:after="0"/>
              <w:rPr>
                <w:sz w:val="14"/>
                <w:szCs w:val="14"/>
                <w:color w:val="auto"/>
              </w:rPr>
            </w:pPr>
          </w:p>
        </w:tc>
        <w:tc>
          <w:tcPr>
            <w:tcW w:w="1140" w:type="dxa"/>
            <w:vAlign w:val="bottom"/>
          </w:tcPr>
          <w:p>
            <w:pPr>
              <w:jc w:val="right"/>
              <w:ind w:right="256"/>
              <w:spacing w:after="0" w:line="172" w:lineRule="exact"/>
              <w:rPr>
                <w:sz w:val="20"/>
                <w:szCs w:val="20"/>
                <w:color w:val="auto"/>
              </w:rPr>
            </w:pPr>
            <w:r>
              <w:rPr>
                <w:rFonts w:ascii="Arial" w:cs="Arial" w:eastAsia="Arial" w:hAnsi="Arial"/>
                <w:sz w:val="17"/>
                <w:szCs w:val="17"/>
                <w:color w:val="373535"/>
              </w:rPr>
              <w:t>13.4</w:t>
            </w:r>
          </w:p>
        </w:tc>
        <w:tc>
          <w:tcPr>
            <w:tcW w:w="1340" w:type="dxa"/>
            <w:vAlign w:val="bottom"/>
          </w:tcPr>
          <w:p>
            <w:pPr>
              <w:jc w:val="right"/>
              <w:ind w:right="335"/>
              <w:spacing w:after="0" w:line="172" w:lineRule="exact"/>
              <w:rPr>
                <w:sz w:val="20"/>
                <w:szCs w:val="20"/>
                <w:color w:val="auto"/>
              </w:rPr>
            </w:pPr>
            <w:r>
              <w:rPr>
                <w:rFonts w:ascii="Arial" w:cs="Arial" w:eastAsia="Arial" w:hAnsi="Arial"/>
                <w:sz w:val="17"/>
                <w:szCs w:val="17"/>
                <w:color w:val="373535"/>
              </w:rPr>
              <w:t>N/A</w:t>
            </w:r>
          </w:p>
        </w:tc>
        <w:tc>
          <w:tcPr>
            <w:tcW w:w="1160" w:type="dxa"/>
            <w:vAlign w:val="bottom"/>
          </w:tcPr>
          <w:p>
            <w:pPr>
              <w:ind w:left="520"/>
              <w:spacing w:after="0" w:line="172" w:lineRule="exact"/>
              <w:rPr>
                <w:sz w:val="20"/>
                <w:szCs w:val="20"/>
                <w:color w:val="auto"/>
              </w:rPr>
            </w:pPr>
            <w:r>
              <w:rPr>
                <w:rFonts w:ascii="Arial" w:cs="Arial" w:eastAsia="Arial" w:hAnsi="Arial"/>
                <w:sz w:val="17"/>
                <w:szCs w:val="17"/>
                <w:color w:val="373535"/>
              </w:rPr>
              <w:t>N/A</w:t>
            </w:r>
          </w:p>
        </w:tc>
        <w:tc>
          <w:tcPr>
            <w:tcW w:w="1200" w:type="dxa"/>
            <w:vAlign w:val="bottom"/>
          </w:tcPr>
          <w:p>
            <w:pPr>
              <w:jc w:val="right"/>
              <w:ind w:right="236"/>
              <w:spacing w:after="0" w:line="172" w:lineRule="exact"/>
              <w:rPr>
                <w:sz w:val="20"/>
                <w:szCs w:val="20"/>
                <w:color w:val="auto"/>
              </w:rPr>
            </w:pPr>
            <w:r>
              <w:rPr>
                <w:rFonts w:ascii="Arial" w:cs="Arial" w:eastAsia="Arial" w:hAnsi="Arial"/>
                <w:sz w:val="17"/>
                <w:szCs w:val="17"/>
                <w:color w:val="373535"/>
              </w:rPr>
              <w:t>N/A</w:t>
            </w:r>
          </w:p>
        </w:tc>
        <w:tc>
          <w:tcPr>
            <w:tcW w:w="1300" w:type="dxa"/>
            <w:vAlign w:val="bottom"/>
          </w:tcPr>
          <w:p>
            <w:pPr>
              <w:jc w:val="right"/>
              <w:ind w:right="317"/>
              <w:spacing w:after="0" w:line="172" w:lineRule="exact"/>
              <w:rPr>
                <w:sz w:val="20"/>
                <w:szCs w:val="20"/>
                <w:color w:val="auto"/>
              </w:rPr>
            </w:pPr>
            <w:r>
              <w:rPr>
                <w:rFonts w:ascii="Arial" w:cs="Arial" w:eastAsia="Arial" w:hAnsi="Arial"/>
                <w:sz w:val="17"/>
                <w:szCs w:val="17"/>
                <w:color w:val="373535"/>
              </w:rPr>
              <w:t>—</w:t>
            </w:r>
          </w:p>
        </w:tc>
        <w:tc>
          <w:tcPr>
            <w:tcW w:w="1040" w:type="dxa"/>
            <w:vAlign w:val="bottom"/>
            <w:gridSpan w:val="3"/>
          </w:tcPr>
          <w:p>
            <w:pPr>
              <w:jc w:val="right"/>
              <w:ind w:right="220"/>
              <w:spacing w:after="0" w:line="172" w:lineRule="exact"/>
              <w:rPr>
                <w:sz w:val="20"/>
                <w:szCs w:val="20"/>
                <w:color w:val="auto"/>
              </w:rPr>
            </w:pPr>
            <w:r>
              <w:rPr>
                <w:rFonts w:ascii="Arial" w:cs="Arial" w:eastAsia="Arial" w:hAnsi="Arial"/>
                <w:sz w:val="17"/>
                <w:szCs w:val="17"/>
                <w:color w:val="373535"/>
              </w:rPr>
              <w:t>N/A</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7"/>
                <w:szCs w:val="17"/>
                <w:b w:val="1"/>
                <w:bCs w:val="1"/>
                <w:color w:val="777679"/>
              </w:rPr>
              <w:t>Operating Profit — ManpowerGroup</w:t>
            </w:r>
          </w:p>
        </w:tc>
        <w:tc>
          <w:tcPr>
            <w:tcW w:w="76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1140" w:type="dxa"/>
            <w:vAlign w:val="bottom"/>
          </w:tcPr>
          <w:p>
            <w:pPr>
              <w:jc w:val="right"/>
              <w:ind w:right="256"/>
              <w:spacing w:after="0"/>
              <w:rPr>
                <w:sz w:val="20"/>
                <w:szCs w:val="20"/>
                <w:color w:val="auto"/>
              </w:rPr>
            </w:pPr>
            <w:r>
              <w:rPr>
                <w:rFonts w:ascii="Arial" w:cs="Arial" w:eastAsia="Arial" w:hAnsi="Arial"/>
                <w:sz w:val="17"/>
                <w:szCs w:val="17"/>
                <w:color w:val="373535"/>
              </w:rPr>
              <w:t>411.7</w:t>
            </w:r>
          </w:p>
        </w:tc>
        <w:tc>
          <w:tcPr>
            <w:tcW w:w="1340" w:type="dxa"/>
            <w:vAlign w:val="bottom"/>
          </w:tcPr>
          <w:p>
            <w:pPr>
              <w:jc w:val="right"/>
              <w:ind w:right="115"/>
              <w:spacing w:after="0"/>
              <w:rPr>
                <w:sz w:val="20"/>
                <w:szCs w:val="20"/>
                <w:color w:val="auto"/>
              </w:rPr>
            </w:pPr>
            <w:r>
              <w:rPr>
                <w:rFonts w:ascii="Arial" w:cs="Arial" w:eastAsia="Arial" w:hAnsi="Arial"/>
                <w:sz w:val="17"/>
                <w:szCs w:val="17"/>
                <w:color w:val="373535"/>
              </w:rPr>
              <w:t>(21.5)%</w:t>
            </w:r>
          </w:p>
        </w:tc>
        <w:tc>
          <w:tcPr>
            <w:tcW w:w="1160" w:type="dxa"/>
            <w:vAlign w:val="bottom"/>
          </w:tcPr>
          <w:p>
            <w:pPr>
              <w:ind w:left="520"/>
              <w:spacing w:after="0"/>
              <w:rPr>
                <w:sz w:val="20"/>
                <w:szCs w:val="20"/>
                <w:color w:val="auto"/>
              </w:rPr>
            </w:pPr>
            <w:r>
              <w:rPr>
                <w:rFonts w:ascii="Arial" w:cs="Arial" w:eastAsia="Arial" w:hAnsi="Arial"/>
                <w:sz w:val="17"/>
                <w:szCs w:val="17"/>
                <w:color w:val="373535"/>
              </w:rPr>
              <w:t>(5.0)%</w:t>
            </w:r>
          </w:p>
        </w:tc>
        <w:tc>
          <w:tcPr>
            <w:tcW w:w="1200" w:type="dxa"/>
            <w:vAlign w:val="bottom"/>
          </w:tcPr>
          <w:p>
            <w:pPr>
              <w:jc w:val="right"/>
              <w:ind w:right="36"/>
              <w:spacing w:after="0"/>
              <w:rPr>
                <w:sz w:val="20"/>
                <w:szCs w:val="20"/>
                <w:color w:val="auto"/>
              </w:rPr>
            </w:pPr>
            <w:r>
              <w:rPr>
                <w:rFonts w:ascii="Arial" w:cs="Arial" w:eastAsia="Arial" w:hAnsi="Arial"/>
                <w:sz w:val="17"/>
                <w:szCs w:val="17"/>
                <w:color w:val="373535"/>
              </w:rPr>
              <w:t>(16.5)%</w:t>
            </w:r>
          </w:p>
        </w:tc>
        <w:tc>
          <w:tcPr>
            <w:tcW w:w="1300" w:type="dxa"/>
            <w:vAlign w:val="bottom"/>
          </w:tcPr>
          <w:p>
            <w:pPr>
              <w:jc w:val="right"/>
              <w:ind w:right="157"/>
              <w:spacing w:after="0"/>
              <w:rPr>
                <w:sz w:val="20"/>
                <w:szCs w:val="20"/>
                <w:color w:val="auto"/>
              </w:rPr>
            </w:pPr>
            <w:r>
              <w:rPr>
                <w:rFonts w:ascii="Arial" w:cs="Arial" w:eastAsia="Arial" w:hAnsi="Arial"/>
                <w:sz w:val="17"/>
                <w:szCs w:val="17"/>
                <w:color w:val="373535"/>
              </w:rPr>
              <w:t>0.7%</w:t>
            </w:r>
          </w:p>
        </w:tc>
        <w:tc>
          <w:tcPr>
            <w:tcW w:w="1040" w:type="dxa"/>
            <w:vAlign w:val="bottom"/>
            <w:gridSpan w:val="3"/>
          </w:tcPr>
          <w:p>
            <w:pPr>
              <w:jc w:val="right"/>
              <w:spacing w:after="0"/>
              <w:rPr>
                <w:sz w:val="20"/>
                <w:szCs w:val="20"/>
                <w:color w:val="auto"/>
              </w:rPr>
            </w:pPr>
            <w:r>
              <w:rPr>
                <w:rFonts w:ascii="Arial" w:cs="Arial" w:eastAsia="Arial" w:hAnsi="Arial"/>
                <w:sz w:val="17"/>
                <w:szCs w:val="17"/>
                <w:color w:val="373535"/>
              </w:rPr>
              <w:t>(17.2)%</w:t>
            </w:r>
          </w:p>
        </w:tc>
        <w:tc>
          <w:tcPr>
            <w:tcW w:w="0" w:type="dxa"/>
            <w:vAlign w:val="bottom"/>
          </w:tcPr>
          <w:p>
            <w:pPr>
              <w:spacing w:after="0"/>
              <w:rPr>
                <w:sz w:val="1"/>
                <w:szCs w:val="1"/>
                <w:color w:val="auto"/>
              </w:rPr>
            </w:pPr>
          </w:p>
        </w:tc>
      </w:tr>
      <w:tr>
        <w:trPr>
          <w:trHeight w:val="20"/>
        </w:trPr>
        <w:tc>
          <w:tcPr>
            <w:tcW w:w="20" w:type="dxa"/>
            <w:vAlign w:val="bottom"/>
            <w:shd w:val="clear" w:color="auto" w:fill="717073"/>
          </w:tcPr>
          <w:p>
            <w:pPr>
              <w:spacing w:after="0" w:line="20" w:lineRule="exact"/>
              <w:rPr>
                <w:sz w:val="1"/>
                <w:szCs w:val="1"/>
                <w:color w:val="auto"/>
              </w:rPr>
            </w:pPr>
          </w:p>
        </w:tc>
        <w:tc>
          <w:tcPr>
            <w:tcW w:w="346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1200" w:type="dxa"/>
            <w:vAlign w:val="bottom"/>
            <w:shd w:val="clear" w:color="auto" w:fill="717073"/>
          </w:tcPr>
          <w:p>
            <w:pPr>
              <w:spacing w:after="0" w:line="20" w:lineRule="exact"/>
              <w:rPr>
                <w:sz w:val="1"/>
                <w:szCs w:val="1"/>
                <w:color w:val="auto"/>
              </w:rPr>
            </w:pPr>
          </w:p>
        </w:tc>
        <w:tc>
          <w:tcPr>
            <w:tcW w:w="13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76AD9A"/>
        </w:rPr>
        <w:t>Cash Sources and Uses</w:t>
      </w:r>
    </w:p>
    <w:p>
      <w:pPr>
        <w:spacing w:after="0" w:line="7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Cash used to fund our operations is primarily generated through operating activities and provided by our existing credit facilities. We believe that our available cash and our existing credit facilities are sufficient to cover our cash needs for the foreseeable future. We assess and monitor our liquidity and capital resources globally. We use a global cash pooling arrangement, intercompany lending, and some local credit lines to meet funding needs and allocate our capital resources among our various entities. During 2013, we repatriated $ 136.2 million of our foreign earnings. As of December 31, 2013, we had an additional $446.3 million of cash held by foreign subsidiaries that was not available to fund domestic operations unless repatriated. We anticipate cash repatriations to the United States from certain international subsidiaries and have provided for deferred taxes related to those foreign earnings not considered to be permanently invested. As of December 31, 2013 and 2012, we identified approximately $264.3 million and $341.1 million, respectively, of non-United States funds that are not permanently invested. Related to these non-United States earnings that may be remitted, we recorded a deferred tax liability of $16.7 million and $15.7 million as of December 31, 2013 and 2012,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color w:val="373535"/>
              </w:rPr>
              <w:t>37</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67" w:right="239" w:bottom="1440" w:gutter="0" w:footer="0" w:header="0"/>
        </w:sectPr>
      </w:pPr>
    </w:p>
    <w:bookmarkStart w:id="75" w:name="page76"/>
    <w:bookmarkEnd w:id="75"/>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Our principal ongoing cash needs are to finance working capital, capital expenditures, debt payments, interest expense, share repurchases, dividends and acquisitions. Working capital is primarily in the form of trade receivables, which generally increase as revenues increase. The amount of financing necessary to support revenue growth depends on receivables turnover, which differs in each market where we operate.</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Cash provided by operating activities was $396.7 million, $331.6 million and $69.2 million for 2013, 2012 and 2011, respectively. The increase in cash generated from operating activities in 2013 from 2012 is primarily attributable to the higher operating earnings in 2013. The increase in 2012 compared to 2011 was primarily attributable to decreased working capital needs as a result of the declining revenues and a 1.2 day decrease in our Days Sales Outstanding (“DSO”). Changes in operating assets and liabilities utilized $50.9 million of cash in 2013 as compared to $13.8 million in 2012 and $367.6 million in 2011.</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Accounts receivable increased to $4,277.9 million as of December 31, 2013 from $4,179.0 million as of December 31, 2012, primarily due to increased business volume and the change in exchange rates. Utilizing exchange rates as of December 31, 2012, the December 31, 2013 balance would have been approximately $32.8 million lower than reported.</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Capital expenditures were $44.7 million, $72.0 million and $64.9 million during 2013, 2012 and 2011, respectively. These expenditures were primarily comprised of purchases of computer equipment, office furniture and other costs related to office openings and refurbishments, as well as capitalized software costs of $0.5 million, $3.3 million and $0.4 million in 2013, 2012 and 2011, respectively.</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From time to time, we acquire and invest in companies throughout the world, including franchises. The total cash consideration paid for acquisitions, net of cash acquired, for the years ended December 31, 2013, 2012 and 2011 was $ 46.3 million, $49.0 million and $49.0 million, respectively. Goodwill and intangible assets resulting from the 2013 acquisitions, the majority of which took place in the United Kingdom and Norway, were $52.2 million and $10.1 million, respectively, as of December 31, 2013. Goodwill and intangible assets resulting from the 2012 acquisitions were $46.2 million and $7.6 million as of December 31, 2012, respectively.</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On April 16, 2012, we acquired Damilo Group (“Damilo”), a French firm specializing in IT design solutions, for total consideration, net of cash acquired, of €21.2 ($28.0) million. Goodwill arising from this transaction was €30.8 ($40.6) million. The assumed liabilities and acquired assets, net of goodwill, related intangible assets and cash arising from the transaction were €33.8 ($ 44.6) million and €17.9 ($23.6) million, respectively. The related intangible assets were €6.3 ($8.0) million, €5.8 ($7.6) million and €5.0 ($6.8) million as of April 16, 2012, December 31, 2012 and December 31, 2013, respectively.</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2011, we acquired the shares and voting rights of Proservia SA (“Proservia”), a provider of information technology and systems engineering solutions in France. The purchase price was €14.89 ($ 19.93) per share. The total consideration, net of cash acquired, was € 21.6 ($29.4) million. Goodwill arising from this transaction was €20.7 ($27.7) million. The related intangible assets were €9.4 ($12.4) million and €8.1 ($11.2) million as of December 31, 2012 and 2013, respectively.</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Net debt payments were $ 271.3 million for 2013, as compared to net borrowings of $41.7 million and $15.3 million in 2012 and 2011, respectively. In June 2013, we paid off our €200.0 million 4.75% notes with available cash upon maturity. We use excess cash to pay down borrowings under facilities when appropriate.</w:t>
      </w:r>
    </w:p>
    <w:p>
      <w:pPr>
        <w:spacing w:after="0" w:line="15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December 2012 and November 2011, the Board of Directors authorized the repurchase of 8.0 million and 3.0 million shares of our common stock, respectively. Share repurchases may be made from time to time through a variety of methods, including open market purchases, block transactions, privately negotiated transactions, accelerated share repurchase programs, forward repurchase agreements or similar facilities. No repurchases were made in 2013. In 2012, we repurchased a total of 3.6 million shares, comprised of 0.6 million shares under a previous authorization and 3.0 million shares under the 2011 authorization, at a total cost of $138.2 million. In 2011, we repurchased a total of 2.6 million shares under previous authorizations at a total cost of $104.5 million. As of December 31, 2013, there were 8.0 million shares remaining authorized for repurchase under the 2012 authorization and no shares remaining under any previous authorizations.</w:t>
      </w:r>
    </w:p>
    <w:p>
      <w:pPr>
        <w:spacing w:after="0" w:line="150" w:lineRule="exact"/>
        <w:rPr>
          <w:sz w:val="20"/>
          <w:szCs w:val="20"/>
          <w:color w:val="auto"/>
        </w:rPr>
      </w:pPr>
    </w:p>
    <w:p>
      <w:pPr>
        <w:ind w:left="580" w:hanging="577"/>
        <w:spacing w:after="0"/>
        <w:tabs>
          <w:tab w:leader="none" w:pos="580" w:val="left"/>
        </w:tabs>
        <w:numPr>
          <w:ilvl w:val="0"/>
          <w:numId w:val="95"/>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76" w:name="page77"/>
    <w:bookmarkEnd w:id="76"/>
    <w:p>
      <w:pPr>
        <w:jc w:val="both"/>
        <w:spacing w:after="0" w:line="250" w:lineRule="auto"/>
        <w:rPr>
          <w:sz w:val="20"/>
          <w:szCs w:val="20"/>
          <w:color w:val="auto"/>
        </w:rPr>
      </w:pPr>
      <w:r>
        <w:rPr>
          <w:rFonts w:ascii="Arial" w:cs="Arial" w:eastAsia="Arial" w:hAnsi="Arial"/>
          <w:sz w:val="17"/>
          <w:szCs w:val="17"/>
          <w:color w:val="373535"/>
        </w:rPr>
        <w:t>We have aggregate commitments of $1,543.2 million related to debt, operating leases, severances and office closure costs, and certain other commitments,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Borders>
              <w:bottom w:val="single" w:sz="8" w:color="76AD9A"/>
            </w:tcBorders>
          </w:tcPr>
          <w:p>
            <w:pPr>
              <w:spacing w:after="0"/>
              <w:rPr>
                <w:sz w:val="20"/>
                <w:szCs w:val="20"/>
                <w:color w:val="auto"/>
              </w:rPr>
            </w:pPr>
            <w:r>
              <w:rPr>
                <w:rFonts w:ascii="Arial" w:cs="Arial" w:eastAsia="Arial" w:hAnsi="Arial"/>
                <w:sz w:val="14"/>
                <w:szCs w:val="14"/>
                <w:color w:val="76AD9A"/>
              </w:rPr>
              <w:t>(in millions)</w:t>
            </w:r>
          </w:p>
        </w:tc>
        <w:tc>
          <w:tcPr>
            <w:tcW w:w="1780" w:type="dxa"/>
            <w:vAlign w:val="bottom"/>
            <w:tcBorders>
              <w:bottom w:val="single" w:sz="8" w:color="76AD9A"/>
            </w:tcBorders>
          </w:tcPr>
          <w:p>
            <w:pPr>
              <w:spacing w:after="0"/>
              <w:rPr>
                <w:sz w:val="14"/>
                <w:szCs w:val="14"/>
                <w:color w:val="auto"/>
              </w:rPr>
            </w:pPr>
          </w:p>
        </w:tc>
        <w:tc>
          <w:tcPr>
            <w:tcW w:w="760" w:type="dxa"/>
            <w:vAlign w:val="bottom"/>
            <w:tcBorders>
              <w:bottom w:val="single" w:sz="8" w:color="76AD9A"/>
            </w:tcBorders>
          </w:tcPr>
          <w:p>
            <w:pPr>
              <w:jc w:val="right"/>
              <w:ind w:right="36"/>
              <w:spacing w:after="0"/>
              <w:rPr>
                <w:sz w:val="20"/>
                <w:szCs w:val="20"/>
                <w:color w:val="auto"/>
              </w:rPr>
            </w:pPr>
            <w:r>
              <w:rPr>
                <w:rFonts w:ascii="Arial" w:cs="Arial" w:eastAsia="Arial" w:hAnsi="Arial"/>
                <w:sz w:val="14"/>
                <w:szCs w:val="14"/>
                <w:color w:val="76AD9A"/>
              </w:rPr>
              <w:t>Total</w:t>
            </w:r>
          </w:p>
        </w:tc>
        <w:tc>
          <w:tcPr>
            <w:tcW w:w="340" w:type="dxa"/>
            <w:vAlign w:val="bottom"/>
            <w:tcBorders>
              <w:bottom w:val="single" w:sz="8" w:color="76AD9A"/>
            </w:tcBorders>
          </w:tcPr>
          <w:p>
            <w:pPr>
              <w:spacing w:after="0"/>
              <w:rPr>
                <w:sz w:val="14"/>
                <w:szCs w:val="14"/>
                <w:color w:val="auto"/>
              </w:rPr>
            </w:pPr>
          </w:p>
        </w:tc>
        <w:tc>
          <w:tcPr>
            <w:tcW w:w="700" w:type="dxa"/>
            <w:vAlign w:val="bottom"/>
            <w:tcBorders>
              <w:bottom w:val="single" w:sz="8" w:color="76AD9A"/>
            </w:tcBorders>
          </w:tcPr>
          <w:p>
            <w:pPr>
              <w:jc w:val="right"/>
              <w:ind w:right="36"/>
              <w:spacing w:after="0"/>
              <w:rPr>
                <w:sz w:val="20"/>
                <w:szCs w:val="20"/>
                <w:color w:val="auto"/>
              </w:rPr>
            </w:pPr>
            <w:r>
              <w:rPr>
                <w:rFonts w:ascii="Arial" w:cs="Arial" w:eastAsia="Arial" w:hAnsi="Arial"/>
                <w:sz w:val="14"/>
                <w:szCs w:val="14"/>
                <w:color w:val="76AD9A"/>
              </w:rPr>
              <w:t>2014</w:t>
            </w:r>
          </w:p>
        </w:tc>
        <w:tc>
          <w:tcPr>
            <w:tcW w:w="220" w:type="dxa"/>
            <w:vAlign w:val="bottom"/>
            <w:tcBorders>
              <w:bottom w:val="single" w:sz="8" w:color="76AD9A"/>
            </w:tcBorders>
          </w:tcPr>
          <w:p>
            <w:pPr>
              <w:spacing w:after="0"/>
              <w:rPr>
                <w:sz w:val="14"/>
                <w:szCs w:val="14"/>
                <w:color w:val="auto"/>
              </w:rPr>
            </w:pPr>
          </w:p>
        </w:tc>
        <w:tc>
          <w:tcPr>
            <w:tcW w:w="820" w:type="dxa"/>
            <w:vAlign w:val="bottom"/>
            <w:tcBorders>
              <w:bottom w:val="single" w:sz="8" w:color="76AD9A"/>
            </w:tcBorders>
          </w:tcPr>
          <w:p>
            <w:pPr>
              <w:jc w:val="right"/>
              <w:ind w:right="36"/>
              <w:spacing w:after="0"/>
              <w:rPr>
                <w:sz w:val="20"/>
                <w:szCs w:val="20"/>
                <w:color w:val="auto"/>
              </w:rPr>
            </w:pPr>
            <w:r>
              <w:rPr>
                <w:rFonts w:ascii="Arial" w:cs="Arial" w:eastAsia="Arial" w:hAnsi="Arial"/>
                <w:sz w:val="14"/>
                <w:szCs w:val="14"/>
                <w:color w:val="76AD9A"/>
                <w:w w:val="96"/>
              </w:rPr>
              <w:t>2015–2016</w:t>
            </w:r>
          </w:p>
        </w:tc>
        <w:tc>
          <w:tcPr>
            <w:tcW w:w="200" w:type="dxa"/>
            <w:vAlign w:val="bottom"/>
            <w:tcBorders>
              <w:bottom w:val="single" w:sz="8" w:color="76AD9A"/>
            </w:tcBorders>
          </w:tcPr>
          <w:p>
            <w:pPr>
              <w:spacing w:after="0"/>
              <w:rPr>
                <w:sz w:val="14"/>
                <w:szCs w:val="14"/>
                <w:color w:val="auto"/>
              </w:rPr>
            </w:pPr>
          </w:p>
        </w:tc>
        <w:tc>
          <w:tcPr>
            <w:tcW w:w="800" w:type="dxa"/>
            <w:vAlign w:val="bottom"/>
            <w:tcBorders>
              <w:bottom w:val="single" w:sz="8" w:color="76AD9A"/>
            </w:tcBorders>
          </w:tcPr>
          <w:p>
            <w:pPr>
              <w:jc w:val="right"/>
              <w:ind w:right="16"/>
              <w:spacing w:after="0"/>
              <w:rPr>
                <w:sz w:val="20"/>
                <w:szCs w:val="20"/>
                <w:color w:val="auto"/>
              </w:rPr>
            </w:pPr>
            <w:r>
              <w:rPr>
                <w:rFonts w:ascii="Arial" w:cs="Arial" w:eastAsia="Arial" w:hAnsi="Arial"/>
                <w:sz w:val="14"/>
                <w:szCs w:val="14"/>
                <w:color w:val="76AD9A"/>
                <w:w w:val="96"/>
              </w:rPr>
              <w:t>2017–2018</w:t>
            </w:r>
          </w:p>
        </w:tc>
        <w:tc>
          <w:tcPr>
            <w:tcW w:w="240" w:type="dxa"/>
            <w:vAlign w:val="bottom"/>
            <w:tcBorders>
              <w:bottom w:val="single" w:sz="8" w:color="76AD9A"/>
            </w:tcBorders>
          </w:tcPr>
          <w:p>
            <w:pPr>
              <w:spacing w:after="0"/>
              <w:rPr>
                <w:sz w:val="14"/>
                <w:szCs w:val="14"/>
                <w:color w:val="auto"/>
              </w:rPr>
            </w:pPr>
          </w:p>
        </w:tc>
        <w:tc>
          <w:tcPr>
            <w:tcW w:w="660" w:type="dxa"/>
            <w:vAlign w:val="bottom"/>
            <w:tcBorders>
              <w:bottom w:val="single" w:sz="8" w:color="76AD9A"/>
            </w:tcBorders>
          </w:tcPr>
          <w:p>
            <w:pPr>
              <w:jc w:val="right"/>
              <w:spacing w:after="0"/>
              <w:rPr>
                <w:sz w:val="20"/>
                <w:szCs w:val="20"/>
                <w:color w:val="auto"/>
              </w:rPr>
            </w:pPr>
            <w:r>
              <w:rPr>
                <w:rFonts w:ascii="Arial" w:cs="Arial" w:eastAsia="Arial" w:hAnsi="Arial"/>
                <w:sz w:val="14"/>
                <w:szCs w:val="14"/>
                <w:color w:val="76AD9A"/>
                <w:w w:val="99"/>
              </w:rPr>
              <w:t>Thereafter</w:t>
            </w:r>
          </w:p>
        </w:tc>
      </w:tr>
      <w:tr>
        <w:trPr>
          <w:trHeight w:val="186"/>
        </w:trPr>
        <w:tc>
          <w:tcPr>
            <w:tcW w:w="4800" w:type="dxa"/>
            <w:vAlign w:val="bottom"/>
          </w:tcPr>
          <w:p>
            <w:pPr>
              <w:spacing w:after="0" w:line="185" w:lineRule="exact"/>
              <w:rPr>
                <w:sz w:val="20"/>
                <w:szCs w:val="20"/>
                <w:color w:val="auto"/>
              </w:rPr>
            </w:pPr>
            <w:r>
              <w:rPr>
                <w:rFonts w:ascii="Arial" w:cs="Arial" w:eastAsia="Arial" w:hAnsi="Arial"/>
                <w:sz w:val="17"/>
                <w:szCs w:val="17"/>
                <w:color w:val="373535"/>
              </w:rPr>
              <w:t>Long-term debt including interest</w:t>
            </w:r>
          </w:p>
        </w:tc>
        <w:tc>
          <w:tcPr>
            <w:tcW w:w="178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760" w:type="dxa"/>
            <w:vAlign w:val="bottom"/>
          </w:tcPr>
          <w:p>
            <w:pPr>
              <w:jc w:val="right"/>
              <w:ind w:right="36"/>
              <w:spacing w:after="0" w:line="185" w:lineRule="exact"/>
              <w:rPr>
                <w:sz w:val="20"/>
                <w:szCs w:val="20"/>
                <w:color w:val="auto"/>
              </w:rPr>
            </w:pPr>
            <w:r>
              <w:rPr>
                <w:rFonts w:ascii="Arial" w:cs="Arial" w:eastAsia="Arial" w:hAnsi="Arial"/>
                <w:sz w:val="17"/>
                <w:szCs w:val="17"/>
                <w:color w:val="373535"/>
              </w:rPr>
              <w:t>580.0</w:t>
            </w:r>
          </w:p>
        </w:tc>
        <w:tc>
          <w:tcPr>
            <w:tcW w:w="340" w:type="dxa"/>
            <w:vAlign w:val="bottom"/>
          </w:tcPr>
          <w:p>
            <w:pPr>
              <w:jc w:val="right"/>
              <w:ind w:right="54"/>
              <w:spacing w:after="0" w:line="185" w:lineRule="exact"/>
              <w:rPr>
                <w:sz w:val="20"/>
                <w:szCs w:val="20"/>
                <w:color w:val="auto"/>
              </w:rPr>
            </w:pPr>
            <w:r>
              <w:rPr>
                <w:rFonts w:ascii="Arial" w:cs="Arial" w:eastAsia="Arial" w:hAnsi="Arial"/>
                <w:sz w:val="17"/>
                <w:szCs w:val="17"/>
                <w:color w:val="373535"/>
              </w:rPr>
              <w:t>$</w:t>
            </w:r>
          </w:p>
        </w:tc>
        <w:tc>
          <w:tcPr>
            <w:tcW w:w="700" w:type="dxa"/>
            <w:vAlign w:val="bottom"/>
          </w:tcPr>
          <w:p>
            <w:pPr>
              <w:jc w:val="right"/>
              <w:ind w:right="36"/>
              <w:spacing w:after="0" w:line="185" w:lineRule="exact"/>
              <w:rPr>
                <w:sz w:val="20"/>
                <w:szCs w:val="20"/>
                <w:color w:val="auto"/>
              </w:rPr>
            </w:pPr>
            <w:r>
              <w:rPr>
                <w:rFonts w:ascii="Arial" w:cs="Arial" w:eastAsia="Arial" w:hAnsi="Arial"/>
                <w:sz w:val="17"/>
                <w:szCs w:val="17"/>
                <w:color w:val="373535"/>
              </w:rPr>
              <w:t>23.4</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820" w:type="dxa"/>
            <w:vAlign w:val="bottom"/>
          </w:tcPr>
          <w:p>
            <w:pPr>
              <w:jc w:val="right"/>
              <w:ind w:right="36"/>
              <w:spacing w:after="0" w:line="185" w:lineRule="exact"/>
              <w:rPr>
                <w:sz w:val="20"/>
                <w:szCs w:val="20"/>
                <w:color w:val="auto"/>
              </w:rPr>
            </w:pPr>
            <w:r>
              <w:rPr>
                <w:rFonts w:ascii="Arial" w:cs="Arial" w:eastAsia="Arial" w:hAnsi="Arial"/>
                <w:sz w:val="17"/>
                <w:szCs w:val="17"/>
                <w:color w:val="373535"/>
              </w:rPr>
              <w:t>44.2</w:t>
            </w:r>
          </w:p>
        </w:tc>
        <w:tc>
          <w:tcPr>
            <w:tcW w:w="20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800" w:type="dxa"/>
            <w:vAlign w:val="bottom"/>
          </w:tcPr>
          <w:p>
            <w:pPr>
              <w:jc w:val="right"/>
              <w:ind w:right="16"/>
              <w:spacing w:after="0" w:line="185" w:lineRule="exact"/>
              <w:rPr>
                <w:sz w:val="20"/>
                <w:szCs w:val="20"/>
                <w:color w:val="auto"/>
              </w:rPr>
            </w:pPr>
            <w:r>
              <w:rPr>
                <w:rFonts w:ascii="Arial" w:cs="Arial" w:eastAsia="Arial" w:hAnsi="Arial"/>
                <w:sz w:val="17"/>
                <w:szCs w:val="17"/>
                <w:color w:val="373535"/>
              </w:rPr>
              <w:t>512.4</w:t>
            </w:r>
          </w:p>
        </w:tc>
        <w:tc>
          <w:tcPr>
            <w:tcW w:w="24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373535"/>
              </w:rPr>
              <w:t>Short-term borrowings</w:t>
            </w:r>
          </w:p>
        </w:tc>
        <w:tc>
          <w:tcPr>
            <w:tcW w:w="1780" w:type="dxa"/>
            <w:vAlign w:val="bottom"/>
          </w:tcPr>
          <w:p>
            <w:pPr>
              <w:spacing w:after="0"/>
              <w:rPr>
                <w:sz w:val="16"/>
                <w:szCs w:val="16"/>
                <w:color w:val="auto"/>
              </w:rPr>
            </w:pPr>
          </w:p>
        </w:tc>
        <w:tc>
          <w:tcPr>
            <w:tcW w:w="76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34.2</w:t>
            </w:r>
          </w:p>
        </w:tc>
        <w:tc>
          <w:tcPr>
            <w:tcW w:w="340" w:type="dxa"/>
            <w:vAlign w:val="bottom"/>
          </w:tcPr>
          <w:p>
            <w:pPr>
              <w:spacing w:after="0"/>
              <w:rPr>
                <w:sz w:val="16"/>
                <w:szCs w:val="16"/>
                <w:color w:val="auto"/>
              </w:rPr>
            </w:pPr>
          </w:p>
        </w:tc>
        <w:tc>
          <w:tcPr>
            <w:tcW w:w="7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34.2</w:t>
            </w:r>
          </w:p>
        </w:tc>
        <w:tc>
          <w:tcPr>
            <w:tcW w:w="220" w:type="dxa"/>
            <w:vAlign w:val="bottom"/>
          </w:tcPr>
          <w:p>
            <w:pPr>
              <w:spacing w:after="0"/>
              <w:rPr>
                <w:sz w:val="16"/>
                <w:szCs w:val="16"/>
                <w:color w:val="auto"/>
              </w:rPr>
            </w:pPr>
          </w:p>
        </w:tc>
        <w:tc>
          <w:tcPr>
            <w:tcW w:w="8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w:t>
            </w:r>
          </w:p>
        </w:tc>
        <w:tc>
          <w:tcPr>
            <w:tcW w:w="200" w:type="dxa"/>
            <w:vAlign w:val="bottom"/>
          </w:tcPr>
          <w:p>
            <w:pPr>
              <w:spacing w:after="0"/>
              <w:rPr>
                <w:sz w:val="16"/>
                <w:szCs w:val="16"/>
                <w:color w:val="auto"/>
              </w:rPr>
            </w:pPr>
          </w:p>
        </w:tc>
        <w:tc>
          <w:tcPr>
            <w:tcW w:w="80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w:t>
            </w:r>
          </w:p>
        </w:tc>
        <w:tc>
          <w:tcPr>
            <w:tcW w:w="24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373535"/>
              </w:rPr>
              <w:t>Operating leases</w:t>
            </w:r>
          </w:p>
        </w:tc>
        <w:tc>
          <w:tcPr>
            <w:tcW w:w="1780" w:type="dxa"/>
            <w:vAlign w:val="bottom"/>
          </w:tcPr>
          <w:p>
            <w:pPr>
              <w:spacing w:after="0"/>
              <w:rPr>
                <w:sz w:val="16"/>
                <w:szCs w:val="16"/>
                <w:color w:val="auto"/>
              </w:rPr>
            </w:pPr>
          </w:p>
        </w:tc>
        <w:tc>
          <w:tcPr>
            <w:tcW w:w="76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688.4</w:t>
            </w:r>
          </w:p>
        </w:tc>
        <w:tc>
          <w:tcPr>
            <w:tcW w:w="340" w:type="dxa"/>
            <w:vAlign w:val="bottom"/>
          </w:tcPr>
          <w:p>
            <w:pPr>
              <w:spacing w:after="0"/>
              <w:rPr>
                <w:sz w:val="16"/>
                <w:szCs w:val="16"/>
                <w:color w:val="auto"/>
              </w:rPr>
            </w:pPr>
          </w:p>
        </w:tc>
        <w:tc>
          <w:tcPr>
            <w:tcW w:w="7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186.2</w:t>
            </w:r>
          </w:p>
        </w:tc>
        <w:tc>
          <w:tcPr>
            <w:tcW w:w="220" w:type="dxa"/>
            <w:vAlign w:val="bottom"/>
          </w:tcPr>
          <w:p>
            <w:pPr>
              <w:spacing w:after="0"/>
              <w:rPr>
                <w:sz w:val="16"/>
                <w:szCs w:val="16"/>
                <w:color w:val="auto"/>
              </w:rPr>
            </w:pPr>
          </w:p>
        </w:tc>
        <w:tc>
          <w:tcPr>
            <w:tcW w:w="8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245.7</w:t>
            </w:r>
          </w:p>
        </w:tc>
        <w:tc>
          <w:tcPr>
            <w:tcW w:w="200" w:type="dxa"/>
            <w:vAlign w:val="bottom"/>
          </w:tcPr>
          <w:p>
            <w:pPr>
              <w:spacing w:after="0"/>
              <w:rPr>
                <w:sz w:val="16"/>
                <w:szCs w:val="16"/>
                <w:color w:val="auto"/>
              </w:rPr>
            </w:pPr>
          </w:p>
        </w:tc>
        <w:tc>
          <w:tcPr>
            <w:tcW w:w="80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136.8</w:t>
            </w:r>
          </w:p>
        </w:tc>
        <w:tc>
          <w:tcPr>
            <w:tcW w:w="24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119.7</w:t>
            </w:r>
          </w:p>
        </w:tc>
      </w:tr>
      <w:tr>
        <w:trPr>
          <w:trHeight w:val="194"/>
        </w:trPr>
        <w:tc>
          <w:tcPr>
            <w:tcW w:w="4800" w:type="dxa"/>
            <w:vAlign w:val="bottom"/>
          </w:tcPr>
          <w:p>
            <w:pPr>
              <w:spacing w:after="0" w:line="194" w:lineRule="exact"/>
              <w:rPr>
                <w:sz w:val="20"/>
                <w:szCs w:val="20"/>
                <w:color w:val="auto"/>
              </w:rPr>
            </w:pPr>
            <w:r>
              <w:rPr>
                <w:rFonts w:ascii="Arial" w:cs="Arial" w:eastAsia="Arial" w:hAnsi="Arial"/>
                <w:sz w:val="17"/>
                <w:szCs w:val="17"/>
                <w:color w:val="373535"/>
              </w:rPr>
              <w:t>Severances and other office closure costs</w:t>
            </w:r>
          </w:p>
        </w:tc>
        <w:tc>
          <w:tcPr>
            <w:tcW w:w="1780" w:type="dxa"/>
            <w:vAlign w:val="bottom"/>
          </w:tcPr>
          <w:p>
            <w:pPr>
              <w:spacing w:after="0"/>
              <w:rPr>
                <w:sz w:val="16"/>
                <w:szCs w:val="16"/>
                <w:color w:val="auto"/>
              </w:rPr>
            </w:pPr>
          </w:p>
        </w:tc>
        <w:tc>
          <w:tcPr>
            <w:tcW w:w="76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48.4</w:t>
            </w:r>
          </w:p>
        </w:tc>
        <w:tc>
          <w:tcPr>
            <w:tcW w:w="340" w:type="dxa"/>
            <w:vAlign w:val="bottom"/>
          </w:tcPr>
          <w:p>
            <w:pPr>
              <w:spacing w:after="0"/>
              <w:rPr>
                <w:sz w:val="16"/>
                <w:szCs w:val="16"/>
                <w:color w:val="auto"/>
              </w:rPr>
            </w:pPr>
          </w:p>
        </w:tc>
        <w:tc>
          <w:tcPr>
            <w:tcW w:w="7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36.9</w:t>
            </w:r>
          </w:p>
        </w:tc>
        <w:tc>
          <w:tcPr>
            <w:tcW w:w="220" w:type="dxa"/>
            <w:vAlign w:val="bottom"/>
          </w:tcPr>
          <w:p>
            <w:pPr>
              <w:spacing w:after="0"/>
              <w:rPr>
                <w:sz w:val="16"/>
                <w:szCs w:val="16"/>
                <w:color w:val="auto"/>
              </w:rPr>
            </w:pPr>
          </w:p>
        </w:tc>
        <w:tc>
          <w:tcPr>
            <w:tcW w:w="8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8.3</w:t>
            </w:r>
          </w:p>
        </w:tc>
        <w:tc>
          <w:tcPr>
            <w:tcW w:w="200" w:type="dxa"/>
            <w:vAlign w:val="bottom"/>
          </w:tcPr>
          <w:p>
            <w:pPr>
              <w:spacing w:after="0"/>
              <w:rPr>
                <w:sz w:val="16"/>
                <w:szCs w:val="16"/>
                <w:color w:val="auto"/>
              </w:rPr>
            </w:pPr>
          </w:p>
        </w:tc>
        <w:tc>
          <w:tcPr>
            <w:tcW w:w="80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3.2</w:t>
            </w:r>
          </w:p>
        </w:tc>
        <w:tc>
          <w:tcPr>
            <w:tcW w:w="24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4800" w:type="dxa"/>
            <w:vAlign w:val="bottom"/>
            <w:tcBorders>
              <w:bottom w:val="single" w:sz="8" w:color="717073"/>
            </w:tcBorders>
          </w:tcPr>
          <w:p>
            <w:pPr>
              <w:spacing w:after="0" w:line="194" w:lineRule="exact"/>
              <w:rPr>
                <w:sz w:val="20"/>
                <w:szCs w:val="20"/>
                <w:color w:val="auto"/>
              </w:rPr>
            </w:pPr>
            <w:r>
              <w:rPr>
                <w:rFonts w:ascii="Arial" w:cs="Arial" w:eastAsia="Arial" w:hAnsi="Arial"/>
                <w:sz w:val="17"/>
                <w:szCs w:val="17"/>
                <w:color w:val="373535"/>
              </w:rPr>
              <w:t>Other</w:t>
            </w:r>
          </w:p>
        </w:tc>
        <w:tc>
          <w:tcPr>
            <w:tcW w:w="1780" w:type="dxa"/>
            <w:vAlign w:val="bottom"/>
            <w:tcBorders>
              <w:bottom w:val="single" w:sz="8" w:color="717073"/>
            </w:tcBorders>
          </w:tcPr>
          <w:p>
            <w:pPr>
              <w:spacing w:after="0"/>
              <w:rPr>
                <w:sz w:val="16"/>
                <w:szCs w:val="16"/>
                <w:color w:val="auto"/>
              </w:rPr>
            </w:pPr>
          </w:p>
        </w:tc>
        <w:tc>
          <w:tcPr>
            <w:tcW w:w="76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192.2</w:t>
            </w:r>
          </w:p>
        </w:tc>
        <w:tc>
          <w:tcPr>
            <w:tcW w:w="340" w:type="dxa"/>
            <w:vAlign w:val="bottom"/>
            <w:tcBorders>
              <w:bottom w:val="single" w:sz="8" w:color="717073"/>
            </w:tcBorders>
          </w:tcPr>
          <w:p>
            <w:pPr>
              <w:spacing w:after="0"/>
              <w:rPr>
                <w:sz w:val="16"/>
                <w:szCs w:val="16"/>
                <w:color w:val="auto"/>
              </w:rPr>
            </w:pPr>
          </w:p>
        </w:tc>
        <w:tc>
          <w:tcPr>
            <w:tcW w:w="70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63.9</w:t>
            </w:r>
          </w:p>
        </w:tc>
        <w:tc>
          <w:tcPr>
            <w:tcW w:w="220" w:type="dxa"/>
            <w:vAlign w:val="bottom"/>
            <w:tcBorders>
              <w:bottom w:val="single" w:sz="8" w:color="717073"/>
            </w:tcBorders>
          </w:tcPr>
          <w:p>
            <w:pPr>
              <w:spacing w:after="0"/>
              <w:rPr>
                <w:sz w:val="16"/>
                <w:szCs w:val="16"/>
                <w:color w:val="auto"/>
              </w:rPr>
            </w:pPr>
          </w:p>
        </w:tc>
        <w:tc>
          <w:tcPr>
            <w:tcW w:w="82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72.9</w:t>
            </w:r>
          </w:p>
        </w:tc>
        <w:tc>
          <w:tcPr>
            <w:tcW w:w="20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ind w:right="16"/>
              <w:spacing w:after="0" w:line="194" w:lineRule="exact"/>
              <w:rPr>
                <w:sz w:val="20"/>
                <w:szCs w:val="20"/>
                <w:color w:val="auto"/>
              </w:rPr>
            </w:pPr>
            <w:r>
              <w:rPr>
                <w:rFonts w:ascii="Arial" w:cs="Arial" w:eastAsia="Arial" w:hAnsi="Arial"/>
                <w:sz w:val="17"/>
                <w:szCs w:val="17"/>
                <w:color w:val="373535"/>
              </w:rPr>
              <w:t>30.0</w:t>
            </w:r>
          </w:p>
        </w:tc>
        <w:tc>
          <w:tcPr>
            <w:tcW w:w="24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25.4</w:t>
            </w:r>
          </w:p>
        </w:tc>
      </w:tr>
      <w:tr>
        <w:trPr>
          <w:trHeight w:val="186"/>
        </w:trPr>
        <w:tc>
          <w:tcPr>
            <w:tcW w:w="4800" w:type="dxa"/>
            <w:vAlign w:val="bottom"/>
            <w:tcBorders>
              <w:bottom w:val="single" w:sz="8" w:color="717073"/>
            </w:tcBorders>
          </w:tcPr>
          <w:p>
            <w:pPr>
              <w:spacing w:after="0"/>
              <w:rPr>
                <w:sz w:val="16"/>
                <w:szCs w:val="16"/>
                <w:color w:val="auto"/>
              </w:rPr>
            </w:pPr>
          </w:p>
        </w:tc>
        <w:tc>
          <w:tcPr>
            <w:tcW w:w="17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76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1,543.2</w:t>
            </w:r>
          </w:p>
        </w:tc>
        <w:tc>
          <w:tcPr>
            <w:tcW w:w="340" w:type="dxa"/>
            <w:vAlign w:val="bottom"/>
            <w:tcBorders>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344.6</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8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371.1</w:t>
            </w:r>
          </w:p>
        </w:tc>
        <w:tc>
          <w:tcPr>
            <w:tcW w:w="2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tcPr>
          <w:p>
            <w:pPr>
              <w:jc w:val="right"/>
              <w:ind w:right="16"/>
              <w:spacing w:after="0" w:line="186" w:lineRule="exact"/>
              <w:rPr>
                <w:sz w:val="20"/>
                <w:szCs w:val="20"/>
                <w:color w:val="auto"/>
              </w:rPr>
            </w:pPr>
            <w:r>
              <w:rPr>
                <w:rFonts w:ascii="Arial" w:cs="Arial" w:eastAsia="Arial" w:hAnsi="Arial"/>
                <w:sz w:val="17"/>
                <w:szCs w:val="17"/>
                <w:color w:val="373535"/>
              </w:rPr>
              <w:t>682.4</w:t>
            </w:r>
          </w:p>
        </w:tc>
        <w:tc>
          <w:tcPr>
            <w:tcW w:w="2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145.1</w:t>
            </w:r>
          </w:p>
        </w:tc>
      </w:tr>
    </w:tbl>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Our liability for unrecognized tax benefits, including related interest and penalties, of $30.4 million is excluded from the commitments above as we cannot determine the years in which these positions might ultimately be settled.</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recorded net restructuring costs of $89.4 million, $48.8 million and $23.1 million in 2013, 2012 and 2011, respectively, in selling and administrative expenses, primarily related to severances and office closures and consolidations in multiple countries. These expenses are net of reversals of previous accruals resulting mainly from larger-than-estimated cost savings from subleasing and lease buyouts. During 2013, we made payments of $82.4 million out of our restructuring reserve. We expect a majority of the remaining $48.4 million reserve will be paid in 2014. (See Note 1 to the Consolidated Financial Statements for further information.)</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have entered into guarantee contracts and stand-by letters of credit that total approximately $156.5 million and $166.8 million as of December 31, 2013 and 2012, respectively ($118.2 million and $128.9 million for guarantees, respectively, and $38.3 million and $37.9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identified above. The cost of these guarantees and letters of credit was $1.8 million and $1.7 million in 2013 and 2012,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102235</wp:posOffset>
            </wp:positionV>
            <wp:extent cx="1966595" cy="10655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66595" cy="1065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Total capitalization as of December 31, 2013 was $3,432.1 million, comprised of $ 517.9 million in debt and $2,914.2 million in equity. Debt as a percentage of total capitalization was 15%, 24% and 22% as of December 31, 2013, 2012 and 2011, respectively. The decrease in 2013 in debt as a percentage of total capitalization is primarily due to the repayment of the euro-denominated notes with available cash.</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EURO NOTES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On June 14, 2013, upon maturity, we paid off our €200.0 million aggregate principal amount of 4.75% notes with available cash.</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On June 22, 2012, we offered and sold € 350.0 million aggregate principal amount of the Company’s 4.50% notes due June 22, 2018 (the “€350.0 million Notes”). The net proceeds from the €350.0 million Notes of €348.7 million were used to repay borrowings under our revolving credit facility that were drawn in May 2012 to repay our €300.0 million notes that matured on June 1, 2012 and for general corporate purposes. The €350.0 million Notes were issued at a price of 99.974% to yield an effective interest rate of 4.505%. Interest on the €350.0 million Notes is payable in arrears on June 22 of each year. The €350.0 million Notes are unsecured senior obligations and rank equally with all of our existing and future senior unsecured debt and other liabilities. We may redeem the €350.0 million Notes, in whole but not in part, at our option at any time for a redemption price determined in accordance with the term of the €350.0 million Notes. The notes also contain certain customary non-financial restrictive covenants and events of default.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color w:val="373535"/>
              </w:rPr>
              <w:t>39</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When the €350.0 million Notes mature, we plan to repay the amount with available cash,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million Notes.</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€350.0 million Notes have been designated as a hedge of our net investment in subsidiaries with a euro-functional currency. Since our net investment in these subsidiaries exceeds the respective amount of the designated borrowings, translation gains or losses related to these borrowings are included as a component of accumulated other comprehensive income. (See Significant Matters Affecting Results of Operations and Notes 7 and 12 to the Consolidated Financial Statements for further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REVOLVING CREDIT AGREEMENT</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On October 15, 2013, we amended and restated our Five-Year Credit Agreement (“the Amended Agreement”) with a syndicate of commercial banks to, among other things: decrease the revolving commitments from $800.0 million to $600.0 million, revise the termination date of the facility from October 5, 2016 to October 15, 2018, and permit the termination date of the facility to be extended by an additional year twice during the term of the Amended Agreement. The remaining material terms and conditions of the Amended Agreement are substantially similar to the material terms and conditions of our Five-Year Credit Agreement dated October 5, 2011.</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Amended Agreement allows for borrowing in various currencies and up to $150.0 million may be used for the issuance of stand-by letters of credit. We had no borrowings under this facility as of December 31, 2013 or 2012. Outstanding letters of credit issued under the Amended Agreement totaled $0.9 million as of both December 31, 2013 and 2012. Additional borrowings of $599.1 million and $799.1 million were available to us under the facility as of December 31, 2013 and 2012, respectively.</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Under the Amended Agreement, a credit ratings-based pricing grid determines the facility fee and the credit spread that we add to the applicable interbank borrowing rate on all borrowings. At our current credit rating, the annual facility fee is 22.5 bps paid on the entire $600.0 million facility and the credit spread is 127.5 bps on any borrowings. Any downgrades from the credit rating agencies would unfavorably impact our facility fees and result in additional costs ranging from approximately $0.2 million to $0.3 million annually.</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 Amended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Amended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69"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As defined in the Amended Agreement, we had a net Debt-to-EBITDA ratio of 0.28 to 1 (compared to the maximum allowable ratio of 3.5 to 1) and a Fixed Charge Coverage ratio of 3.29 to 1 (compared to the minimum required ratio of 1.5 to 1) as of December 31, 2013. Based on our current forecast, we expect to be in compliance with our financial covenants for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OTHER</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In addition to the previously mentioned facilities, we maintain separate bank credit lines with financial institutions to meet working capital needs of our subsidiary operations. As of December 31, 2013, such uncommitted credit lines totaled $376.9 million, of which $339.9 million was unused. Under the Amended Agreement, total subsidiary borrowings cannot exceed $300.0 million in the first, second and fourth quarters, and $600.0 million in the third quarter of each year. Due to these limitations, additional borrowings of $263.0 million could have been made under these lines as of December 31, 2013.</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January 2013, Moody’s Investors Services lowered our credit outlook from positive to stable, while maintaining the Baa3 credit rating. Our credit rating from Standard and Poor’s is BBB- with a stable outlook. The rating agencies use a proprietary methodology in determining their ratings and outlook which includes, among other things, financial ratios based upon debt levels and earnings performance. Both of the current credit ratings are investment grade.</w:t>
      </w:r>
    </w:p>
    <w:p>
      <w:pPr>
        <w:spacing w:after="0" w:line="146" w:lineRule="exact"/>
        <w:rPr>
          <w:sz w:val="20"/>
          <w:szCs w:val="20"/>
          <w:color w:val="auto"/>
        </w:rPr>
      </w:pPr>
    </w:p>
    <w:p>
      <w:pPr>
        <w:ind w:left="800" w:hanging="797"/>
        <w:spacing w:after="0"/>
        <w:tabs>
          <w:tab w:leader="none" w:pos="800" w:val="left"/>
        </w:tabs>
        <w:numPr>
          <w:ilvl w:val="0"/>
          <w:numId w:val="96"/>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76AD9A"/>
        </w:rPr>
        <w:t>Application of Critical Accounting Policies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preparation of our financial statements in conformity with accounting principles generally accepted in the United States requires us to make estimates and assumptions that affect the reported amounts. A discussion of the more significant estimates follows. Management has discussed the development, selection and disclosure of these estimates and assumptions with the Audit Committee of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ALLOWANCE FOR DOUBTFUL ACCOUNTS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write-offs of accounts receivable balances.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Bad debt expense, which increases our allowance for doubtful accounts, is recorded as a selling and administrative expense and was $24.1 million, $29.2 million and $25.9 million for 2013, 2012 and 2011,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Write-offs, which decrease our allowance for doubtful accounts, are recorded as a reduction to our accounts receivable balance and were $26.4 million, $23.2 million and $25.0 million for 2013, 2012 and 2011,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EMPLOYMENT-RELATED ITEMS</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employment of contingent workers and permanent staff throughout the world results in the recognition of liabilities related to defined benefit pension plans, self-insured workers’ compensation, social program remittances and payroll tax audit exposures that require us to make estimates and assumptions in determining the proper reserve levels. These reserves involve significant estimates or judgments that are material to our financial statements.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777679"/>
        </w:rPr>
        <w:t>Defined Benefit Pension Plans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sponsor several qualified and nonqualified pension plans covering permanent employees. The most significant plans are located in the United Kingdom, the United States, Norway and other European countries. Annual expense relating to these plans is recorded as selling and administrative expense and is estimated to be approximately $12.6 million in 2014, compared to $11.8 million, $12.6 million and $9.7 million in 2013, 2012 and 2011, respectively. Included in the 2013 expense was a $2.3 million curtailment gain resulting from an amendment to a defined benefit plan in the Netherlands. Effective January 1, 2013, the Netherlands’ defined benefit plan was frozen, and the participants were transitioned to a defined contribution plan.</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The calculations of annual pension expense and the pension liability required at year-end include various actuarial assumptions such as discount rates, expected rate of return on plan assets, compensation increases and employee turnover rates. We review the actuarial assumptions on an annual basis and make modifications to the assumptions as necessary. We review market data and historical rates, on a country-by-country basis, to check for reasonableness in setting both the discount rate and the expected return on plan assets. We determine the discount rate based on an index of high-quality corporate bond yields and matched-funding yield curve analysis as of the end of each fiscal year. The expected return on plan assets is determined based on the expected returns of the various investment asset classes held in the plans. We estimate compensation increases and employee turnover rates for each plan based on the historical rates and the expected future rates for each respective country. Changes to any of these assumptions will impact the level of annual expense recorded related to the plans.</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used a weighted -average discount rate of 4.6% for the United States plans and 4.1% for non-United States plans in determining the estimated pension expense for 2014. These rates compare to the weighted-average discount rate of 3.7% for the United States plans and 4.2% for non-United States plans in determining the estimated pension expense for 2013, and reflect the current interest rate environment. Absent any other changes, a 25 basis point increase and decrease in the weighted-average discount rate would impact 2014 consolidated pension expense by approximately $0.1 million and $0.8 million for the United States plans and non-United States plans, respectively. We have selected a weighted-average expected return on plan assets of 6.0% for the United States plans and 4.5% for the non-United States plans in determining the estimated pension expense for 2014. The comparable rates used for the calculation of the 2013 pension expense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41</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79" w:name="page80"/>
    <w:bookmarkEnd w:id="79"/>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6.0% and 4.0% for the United States plans and non-United States plans, respectively. A 25 basis point change in the weighted-average expected return on plan assets would impact 2014 consolidated pension expense by approximately $0.1 million for the United States plans and $0.8 million for the non-United States plans. Changes to these assumptions have historically not been significant in any jurisdiction for any reporting period, and no significant adjustments to the amounts recorded have been required in the past or are expected in the future. (See Note 8 to the Consolidated Financial Statements for further information.)</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777679"/>
        </w:rPr>
        <w:t>United States Workers’ Compensation</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the United States, we are under a self-insured retention program in most states covering workers’ compensation claims for our contingent workers. We determine the proper reserve balance using an actuarial valuation, which considers our historical payment experience and current employee demographics. Our reserve for such claims as of December 31, 2013 and 2012 was $75.3 million and $74.8 million, respectively. Workers’ compensation expense is recorded as a component of cost of services.</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There are two main factors that impact workers’ compensation expense: the number of claims and the cost per claim. The number of claims is driven by the volume of hours worked, the business mix which reflects the type of work performed (for example, office and professional work have fewer claims than industrial work), and the safety of the environment where the work is performed. The cost per claim is driven primarily by the severity of the injury, related medical costs and lost-time wage costs. A 10% change in the number of claims or cost per claim would impact workers’ compensation expense in the United States by approximately $3.0 million.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Historically, we have not had significant changes in our assumptions used in calculating our reserve balance or significant adjustments to our reserve level. We continue our focus on safety, which includes training of contingent workers and client site reviews. Given our current claims experience and cost per claim, we do not expect a significant change in our workers’ compensation reserve in the near future.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777679"/>
        </w:rPr>
        <w:t>Social Program Remittances and Payroll Tax Audit Exposure</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On a routine basis, various governmental agencies in some of the countries and territories in which we operate audit our payroll tax calculations and our compliance with other payroll-related regulations. These audits focus primarily on documentation requirements and our support for our payroll tax remittances. Due to the nature of our business, the number of people that we employ, and the complexity of some payroll tax regulations, we may have some adjustments to the payroll tax remittances as a result of these audits.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make an estimate of the additional remittances that may be required on a country-by-country basis, and record the estimate as a component of cost of services or selling and administrative expenses, as appropriate. Each country’s estimate is based on the results of past audits and the number of years that have not yet been audited, with consideration for changing business volumes and changes to the payroll tax regulations. To the extent that our actual experience differs from our estimates, we will need to make adjustments to our reserve balance, which will impact the results of the related operation and the operating segment in which it is reported. Other than France, we have not had any significant adjustments to the amounts recorded as a result of any payroll tax audits, and we do not expect any significant adjustments to the recorded amounts in the near term.</w:t>
      </w:r>
    </w:p>
    <w:p>
      <w:pPr>
        <w:spacing w:after="0" w:line="15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particular, the French government has various social programs that are aimed at reducing the cost of labor and encouraging employment, particularly for low-wage workers, through the reduction of payroll taxes (or social contribution). Due to the number of new programs or program changes, and the complexity of compliance, we may have adjustments to the amount of reductions claimed as a result of the audits.</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France, we currently maintain a reserve related to these programs for 2007 through 2013, which has been estimated based on the results of past audits, changes in business volumes and the assessments related to the audit of 2009 through 2011. While some adjustment may be appropriate as we finalize the audits, we do not expect any significant adjustments to the recorded amount in the near term.</w:t>
      </w:r>
    </w:p>
    <w:p>
      <w:pPr>
        <w:spacing w:after="0" w:line="16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French government passed legislation effective January 1, 2013 to improve the competitiveness and reduce employment costs by offering payroll tax credits to most French and foreign enterprises subject to corporate tax in France. This law, Credit d’Impôt pour la Compétitivité et l’Emploi (“CICE”), provides credits based on a percentage of wages paid to employees receiving less than two-and-a-half times the French minimum wage. The payroll tax credit is equal to 4% of</w:t>
      </w:r>
    </w:p>
    <w:p>
      <w:pPr>
        <w:spacing w:after="0" w:line="146" w:lineRule="exact"/>
        <w:rPr>
          <w:sz w:val="20"/>
          <w:szCs w:val="20"/>
          <w:color w:val="auto"/>
        </w:rPr>
      </w:pPr>
    </w:p>
    <w:p>
      <w:pPr>
        <w:ind w:left="580" w:hanging="577"/>
        <w:spacing w:after="0"/>
        <w:tabs>
          <w:tab w:leader="none" w:pos="580" w:val="left"/>
        </w:tabs>
        <w:numPr>
          <w:ilvl w:val="0"/>
          <w:numId w:val="97"/>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80" w:name="page81"/>
    <w:bookmarkEnd w:id="80"/>
    <w:p>
      <w:pPr>
        <w:jc w:val="both"/>
        <w:spacing w:after="0"/>
        <w:rPr>
          <w:sz w:val="20"/>
          <w:szCs w:val="20"/>
          <w:color w:val="auto"/>
        </w:rPr>
      </w:pPr>
      <w:r>
        <w:rPr>
          <w:rFonts w:ascii="Arial" w:cs="Arial" w:eastAsia="Arial" w:hAnsi="Arial"/>
          <w:sz w:val="17"/>
          <w:szCs w:val="17"/>
          <w:color w:val="373535"/>
        </w:rPr>
        <w:t>eligible wages in 2013 and increases to 6% of eligible wages starting in 2014. We intend to use the credit to invest in employment opportunities and to improve our competitiveness, as required by the law. We are uncertain what impact, if any, this credit will have on overall market pricing or on client requests for pricing concessions, either of which could reduce the net benefit we receive from these credits. Due to the complexity of compliance with this law, we may have adjustments to the payroll tax credit amount as a result of any audits. The CICE credit is accounted for as a reduction of our cost of services in the period earned, and has had a favorable impact on our consolidated gross profit margin, as well as margins in France and Southern Europe.</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 payroll tax credit is creditable against our current income tax payable, with any remaining amount being paid after three years. Given the amount of our current income taxes payable, we would generally receive the vast majority of the CICE credits after the three-year period. However, we entered into an agreement in December 2013 to sell a portion of the credits earned in 2013 for net proceeds of $104.0 million. We derecognized these receivables upon sale date as the terms of the agreement are such that the transaction qualifies for sale treatment according to the accounting guidance on the transfer and servicing of assets. The discount on the sale of this receivable was recorded as a reduction of the payroll tax credits in cost of services. We received the cash from the sale in December, which improved our operating cash flows in the fourth quarter of 2013.</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In France, during the second quarter of 2013, a number of clients asserted claims against us, requesting refunds for various payroll tax subsidies that we have received dating back to 2003 related to our French temporary associates. While we receive claims in the normal course of business, there was a significant increase in claims made during the second quarter due to an impending change in the French statute of limitations that reduced the claims period from 10 to 5 years for claims filed after June 2013. We did not receive any claims in the remainder of 2013. We believe the claims against us are without merit as a matter of French law. Payroll tax subsidies have historically been for the benefit of the direct employer of the temporary associates. As such, our pricing practices implicitly consider all direct costs of employing our temporary associates, and factor in the benefit provided by these payroll tax subsidies. The French Supreme Court has been asked to confirm that, as a matter of law, the benefit of the payroll tax subsidies belongs to the direct employer, with a ruling expected during 2014. We believe the likelihood of any loss to be remote and do not expect the resolution of these claims to have a material impact on our consolidated financial statements or the results of our France and Southern Europe segments.</w:t>
      </w: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DEFERRED REVENUE</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recognize revenues under the current accounting guidance on revenue recognition. The accounting guidance generally provides that revenues for time-based services be recognized over the average length of the services being provided. For the outplacement line of business, we recognize revenues from individual programs and for larger projects over the estimated period in which services are rendered to candidates. In our consulting business, revenues are recognized upon the performance of the service under the consulting service contract. For performance-based contracts, we defer recognizing revenues until the performance criteria have been met.</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Significant factors impacting deferred revenue are the type of programs and projects sold and the volume of current billings for new programs and projects. Over time, an increasing volume of new billings will generally result in higher amounts of deferred revenue, while decreasing levels of new billings will generally result in lower amounts of deferred revenue. As of December 31, 2013 and 2012, the current portion of deferred revenue was $48.5 million and $55.7 million, respectively, and the long-term portion of deferred revenue was $10.0 million and $17.1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INCOME TAXES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960" w:type="dxa"/>
            <w:vAlign w:val="bottom"/>
          </w:tcPr>
          <w:p>
            <w:pPr>
              <w:ind w:left="58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373535"/>
              </w:rPr>
              <w:t>43</w:t>
            </w:r>
          </w:p>
        </w:tc>
      </w:tr>
      <w:tr>
        <w:trPr>
          <w:trHeight w:val="418"/>
        </w:trPr>
        <w:tc>
          <w:tcPr>
            <w:tcW w:w="1096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accounting guidance related to uncertain tax positions requires an evaluation process for all tax positions taken that involves a review of probability for sustaining a tax position. If the probability for sustaining a tax position is more likely than not, which is a 50% threshold, then the tax position is warranted and the largest amount that would be realized upon ultimate settlement is recognized. An uncertain tax position, one which does not meet the 50% threshold, will not be recognized in the financial statements.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judgment is required in determining our deferred tax assets and liabilities, and any valuation allowances recorded. Our net deferred tax assets may need to be adjusted in the event that tax rates are modified, or our estimates of future taxable income change, such that deferred tax assets or liabilities are expected to be recovered or settled at a different tax rate than currently estimated. In addition, valuation allowances may need to be adjusted in the event that our estimate of future taxable income changes from the amounts currently estimated. We have unrecognized tax benefits related to items in various countries and territories. To the extent these items are settled for an amount different than we currently expect, the unrecognized tax benefit will be adjusted.</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provide for income taxes on a quarterly basis based on an estimated annual tax rate. In determining this rate, we make estimates about taxable income for each of our largest locations worldwide, as well as the tax rate that will be in effect for each location. To the extent these estimates change during the year, or actual results differ from these estimates, our estimated annual tax rate may change between quarterly periods and may differ from the actual effective tax rate for the year.</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GOODWILL AND INDEFINITE-LIVED INTANGIBLE ASSET IMPAIRMENT</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performed our annual impairment test of our goodwill and indefinite-lived intangible assets during the third quarter of 2013 and 2012, and there was no impairment of our goodwill or our indefinite-lived intangible assets.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Significant assumptions used in our annual goodwill impairment test during the third quarter of 2013 included: expected future revenue growth rates, operating unit profit margins, working capital levels, discount rates ranging from 11.7% to 16.5%, and a terminal value multiple. The expected future revenue growth rates and operating unit profit margins were determined after taking into consideration our historical revenue growth rates and operating unit profit margins, our assessment of future market potential, and our expectations of future business performance, including the effects of the simplification and cost recalibration plan.</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table below provides a sample of our reporting units’ estimated fair values and carrying values, which were determined as part of our annual goodwill impairment test performed in the third quarter ended September 30, 2013. The reporting units included below represented approximately 70% of our consolidated goodwill balance as of September 30, 2013.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76AD9A"/>
              </w:rPr>
              <w:t>Right</w:t>
            </w:r>
          </w:p>
        </w:tc>
      </w:tr>
      <w:tr>
        <w:trPr>
          <w:trHeight w:val="150"/>
        </w:trPr>
        <w:tc>
          <w:tcPr>
            <w:tcW w:w="4060" w:type="dxa"/>
            <w:vAlign w:val="bottom"/>
            <w:tcBorders>
              <w:bottom w:val="single" w:sz="8" w:color="76AD9A"/>
            </w:tcBorders>
          </w:tcPr>
          <w:p>
            <w:pPr>
              <w:spacing w:after="0" w:line="151" w:lineRule="exact"/>
              <w:rPr>
                <w:sz w:val="20"/>
                <w:szCs w:val="20"/>
                <w:color w:val="auto"/>
              </w:rPr>
            </w:pPr>
            <w:r>
              <w:rPr>
                <w:rFonts w:ascii="Arial" w:cs="Arial" w:eastAsia="Arial" w:hAnsi="Arial"/>
                <w:sz w:val="14"/>
                <w:szCs w:val="14"/>
                <w:color w:val="76AD9A"/>
              </w:rPr>
              <w:t>(in millions)</w:t>
            </w:r>
          </w:p>
        </w:tc>
        <w:tc>
          <w:tcPr>
            <w:tcW w:w="2620" w:type="dxa"/>
            <w:vAlign w:val="bottom"/>
            <w:tcBorders>
              <w:bottom w:val="single" w:sz="8" w:color="76AD9A"/>
            </w:tcBorders>
          </w:tcPr>
          <w:p>
            <w:pPr>
              <w:spacing w:after="0"/>
              <w:rPr>
                <w:sz w:val="13"/>
                <w:szCs w:val="13"/>
                <w:color w:val="auto"/>
              </w:rPr>
            </w:pPr>
          </w:p>
        </w:tc>
        <w:tc>
          <w:tcPr>
            <w:tcW w:w="980" w:type="dxa"/>
            <w:vAlign w:val="bottom"/>
            <w:tcBorders>
              <w:bottom w:val="single" w:sz="8" w:color="76AD9A"/>
            </w:tcBorders>
          </w:tcPr>
          <w:p>
            <w:pPr>
              <w:jc w:val="right"/>
              <w:ind w:right="20"/>
              <w:spacing w:after="0" w:line="151" w:lineRule="exact"/>
              <w:rPr>
                <w:sz w:val="20"/>
                <w:szCs w:val="20"/>
                <w:color w:val="auto"/>
              </w:rPr>
            </w:pPr>
            <w:r>
              <w:rPr>
                <w:rFonts w:ascii="Arial" w:cs="Arial" w:eastAsia="Arial" w:hAnsi="Arial"/>
                <w:sz w:val="14"/>
                <w:szCs w:val="14"/>
                <w:color w:val="76AD9A"/>
              </w:rPr>
              <w:t>United States</w:t>
            </w:r>
          </w:p>
        </w:tc>
        <w:tc>
          <w:tcPr>
            <w:tcW w:w="320" w:type="dxa"/>
            <w:vAlign w:val="bottom"/>
            <w:tcBorders>
              <w:bottom w:val="single" w:sz="8" w:color="76AD9A"/>
            </w:tcBorders>
          </w:tcPr>
          <w:p>
            <w:pPr>
              <w:spacing w:after="0"/>
              <w:rPr>
                <w:sz w:val="13"/>
                <w:szCs w:val="13"/>
                <w:color w:val="auto"/>
              </w:rPr>
            </w:pPr>
          </w:p>
        </w:tc>
        <w:tc>
          <w:tcPr>
            <w:tcW w:w="960" w:type="dxa"/>
            <w:vAlign w:val="bottom"/>
            <w:tcBorders>
              <w:bottom w:val="single" w:sz="8" w:color="76AD9A"/>
            </w:tcBorders>
          </w:tcPr>
          <w:p>
            <w:pPr>
              <w:jc w:val="right"/>
              <w:ind w:right="40"/>
              <w:spacing w:after="0" w:line="151" w:lineRule="exact"/>
              <w:rPr>
                <w:sz w:val="20"/>
                <w:szCs w:val="20"/>
                <w:color w:val="auto"/>
              </w:rPr>
            </w:pPr>
            <w:r>
              <w:rPr>
                <w:rFonts w:ascii="Arial" w:cs="Arial" w:eastAsia="Arial" w:hAnsi="Arial"/>
                <w:sz w:val="14"/>
                <w:szCs w:val="14"/>
                <w:color w:val="76AD9A"/>
              </w:rPr>
              <w:t>Netherlands</w:t>
            </w:r>
          </w:p>
        </w:tc>
        <w:tc>
          <w:tcPr>
            <w:tcW w:w="380" w:type="dxa"/>
            <w:vAlign w:val="bottom"/>
            <w:tcBorders>
              <w:bottom w:val="single" w:sz="8" w:color="76AD9A"/>
            </w:tcBorders>
          </w:tcPr>
          <w:p>
            <w:pPr>
              <w:spacing w:after="0"/>
              <w:rPr>
                <w:sz w:val="13"/>
                <w:szCs w:val="13"/>
                <w:color w:val="auto"/>
              </w:rPr>
            </w:pPr>
          </w:p>
        </w:tc>
        <w:tc>
          <w:tcPr>
            <w:tcW w:w="880" w:type="dxa"/>
            <w:vAlign w:val="bottom"/>
            <w:tcBorders>
              <w:bottom w:val="single" w:sz="8" w:color="76AD9A"/>
            </w:tcBorders>
          </w:tcPr>
          <w:p>
            <w:pPr>
              <w:jc w:val="right"/>
              <w:ind w:right="40"/>
              <w:spacing w:after="0" w:line="151" w:lineRule="exact"/>
              <w:rPr>
                <w:sz w:val="20"/>
                <w:szCs w:val="20"/>
                <w:color w:val="auto"/>
              </w:rPr>
            </w:pPr>
            <w:r>
              <w:rPr>
                <w:rFonts w:ascii="Arial" w:cs="Arial" w:eastAsia="Arial" w:hAnsi="Arial"/>
                <w:sz w:val="14"/>
                <w:szCs w:val="14"/>
                <w:color w:val="76AD9A"/>
              </w:rPr>
              <w:t>France</w:t>
            </w:r>
          </w:p>
        </w:tc>
        <w:tc>
          <w:tcPr>
            <w:tcW w:w="260" w:type="dxa"/>
            <w:vAlign w:val="bottom"/>
            <w:tcBorders>
              <w:bottom w:val="single" w:sz="8" w:color="76AD9A"/>
            </w:tcBorders>
          </w:tcPr>
          <w:p>
            <w:pPr>
              <w:spacing w:after="0"/>
              <w:rPr>
                <w:sz w:val="13"/>
                <w:szCs w:val="13"/>
                <w:color w:val="auto"/>
              </w:rPr>
            </w:pPr>
          </w:p>
        </w:tc>
        <w:tc>
          <w:tcPr>
            <w:tcW w:w="86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Management</w:t>
            </w:r>
          </w:p>
        </w:tc>
      </w:tr>
      <w:tr>
        <w:trPr>
          <w:trHeight w:val="186"/>
        </w:trPr>
        <w:tc>
          <w:tcPr>
            <w:tcW w:w="4060" w:type="dxa"/>
            <w:vAlign w:val="bottom"/>
          </w:tcPr>
          <w:p>
            <w:pPr>
              <w:spacing w:after="0" w:line="185" w:lineRule="exact"/>
              <w:rPr>
                <w:sz w:val="20"/>
                <w:szCs w:val="20"/>
                <w:color w:val="auto"/>
              </w:rPr>
            </w:pPr>
            <w:r>
              <w:rPr>
                <w:rFonts w:ascii="Arial" w:cs="Arial" w:eastAsia="Arial" w:hAnsi="Arial"/>
                <w:sz w:val="17"/>
                <w:szCs w:val="17"/>
                <w:color w:val="373535"/>
              </w:rPr>
              <w:t>Estimated fair values</w:t>
            </w:r>
          </w:p>
        </w:tc>
        <w:tc>
          <w:tcPr>
            <w:tcW w:w="26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980" w:type="dxa"/>
            <w:vAlign w:val="bottom"/>
          </w:tcPr>
          <w:p>
            <w:pPr>
              <w:jc w:val="right"/>
              <w:ind w:right="20"/>
              <w:spacing w:after="0" w:line="185" w:lineRule="exact"/>
              <w:rPr>
                <w:sz w:val="20"/>
                <w:szCs w:val="20"/>
                <w:color w:val="auto"/>
              </w:rPr>
            </w:pPr>
            <w:r>
              <w:rPr>
                <w:rFonts w:ascii="Arial" w:cs="Arial" w:eastAsia="Arial" w:hAnsi="Arial"/>
                <w:sz w:val="17"/>
                <w:szCs w:val="17"/>
                <w:color w:val="373535"/>
              </w:rPr>
              <w:t>1,143.0</w:t>
            </w:r>
          </w:p>
        </w:tc>
        <w:tc>
          <w:tcPr>
            <w:tcW w:w="320" w:type="dxa"/>
            <w:vAlign w:val="bottom"/>
          </w:tcPr>
          <w:p>
            <w:pPr>
              <w:jc w:val="right"/>
              <w:ind w:right="14"/>
              <w:spacing w:after="0" w:line="185" w:lineRule="exact"/>
              <w:rPr>
                <w:sz w:val="20"/>
                <w:szCs w:val="20"/>
                <w:color w:val="auto"/>
              </w:rPr>
            </w:pPr>
            <w:r>
              <w:rPr>
                <w:rFonts w:ascii="Arial" w:cs="Arial" w:eastAsia="Arial" w:hAnsi="Arial"/>
                <w:sz w:val="17"/>
                <w:szCs w:val="17"/>
                <w:color w:val="373535"/>
              </w:rPr>
              <w:t>$</w:t>
            </w:r>
          </w:p>
        </w:tc>
        <w:tc>
          <w:tcPr>
            <w:tcW w:w="960" w:type="dxa"/>
            <w:vAlign w:val="bottom"/>
          </w:tcPr>
          <w:p>
            <w:pPr>
              <w:jc w:val="right"/>
              <w:ind w:right="40"/>
              <w:spacing w:after="0" w:line="185" w:lineRule="exact"/>
              <w:rPr>
                <w:sz w:val="20"/>
                <w:szCs w:val="20"/>
                <w:color w:val="auto"/>
              </w:rPr>
            </w:pPr>
            <w:r>
              <w:rPr>
                <w:rFonts w:ascii="Arial" w:cs="Arial" w:eastAsia="Arial" w:hAnsi="Arial"/>
                <w:sz w:val="17"/>
                <w:szCs w:val="17"/>
                <w:color w:val="373535"/>
              </w:rPr>
              <w:t>148.9</w:t>
            </w:r>
          </w:p>
        </w:tc>
        <w:tc>
          <w:tcPr>
            <w:tcW w:w="380" w:type="dxa"/>
            <w:vAlign w:val="bottom"/>
          </w:tcPr>
          <w:p>
            <w:pPr>
              <w:jc w:val="right"/>
              <w:ind w:right="94"/>
              <w:spacing w:after="0" w:line="185" w:lineRule="exact"/>
              <w:rPr>
                <w:sz w:val="20"/>
                <w:szCs w:val="20"/>
                <w:color w:val="auto"/>
              </w:rPr>
            </w:pPr>
            <w:r>
              <w:rPr>
                <w:rFonts w:ascii="Arial" w:cs="Arial" w:eastAsia="Arial" w:hAnsi="Arial"/>
                <w:sz w:val="17"/>
                <w:szCs w:val="17"/>
                <w:color w:val="373535"/>
              </w:rPr>
              <w:t>$</w:t>
            </w:r>
          </w:p>
        </w:tc>
        <w:tc>
          <w:tcPr>
            <w:tcW w:w="880" w:type="dxa"/>
            <w:vAlign w:val="bottom"/>
          </w:tcPr>
          <w:p>
            <w:pPr>
              <w:jc w:val="right"/>
              <w:ind w:right="40"/>
              <w:spacing w:after="0" w:line="185" w:lineRule="exact"/>
              <w:rPr>
                <w:sz w:val="20"/>
                <w:szCs w:val="20"/>
                <w:color w:val="auto"/>
              </w:rPr>
            </w:pPr>
            <w:r>
              <w:rPr>
                <w:rFonts w:ascii="Arial" w:cs="Arial" w:eastAsia="Arial" w:hAnsi="Arial"/>
                <w:sz w:val="17"/>
                <w:szCs w:val="17"/>
                <w:color w:val="373535"/>
              </w:rPr>
              <w:t>1,577.0</w:t>
            </w:r>
          </w:p>
        </w:tc>
        <w:tc>
          <w:tcPr>
            <w:tcW w:w="26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860" w:type="dxa"/>
            <w:vAlign w:val="bottom"/>
          </w:tcPr>
          <w:p>
            <w:pPr>
              <w:jc w:val="right"/>
              <w:spacing w:after="0" w:line="185" w:lineRule="exact"/>
              <w:rPr>
                <w:sz w:val="20"/>
                <w:szCs w:val="20"/>
                <w:color w:val="auto"/>
              </w:rPr>
            </w:pPr>
            <w:r>
              <w:rPr>
                <w:rFonts w:ascii="Arial" w:cs="Arial" w:eastAsia="Arial" w:hAnsi="Arial"/>
                <w:sz w:val="17"/>
                <w:szCs w:val="17"/>
                <w:color w:val="373535"/>
              </w:rPr>
              <w:t>258.8</w:t>
            </w:r>
          </w:p>
        </w:tc>
      </w:tr>
      <w:tr>
        <w:trPr>
          <w:trHeight w:val="194"/>
        </w:trPr>
        <w:tc>
          <w:tcPr>
            <w:tcW w:w="4060" w:type="dxa"/>
            <w:vAlign w:val="bottom"/>
            <w:tcBorders>
              <w:bottom w:val="single" w:sz="8" w:color="717073"/>
            </w:tcBorders>
          </w:tcPr>
          <w:p>
            <w:pPr>
              <w:spacing w:after="0" w:line="194" w:lineRule="exact"/>
              <w:rPr>
                <w:sz w:val="20"/>
                <w:szCs w:val="20"/>
                <w:color w:val="auto"/>
              </w:rPr>
            </w:pPr>
            <w:r>
              <w:rPr>
                <w:rFonts w:ascii="Arial" w:cs="Arial" w:eastAsia="Arial" w:hAnsi="Arial"/>
                <w:sz w:val="17"/>
                <w:szCs w:val="17"/>
                <w:color w:val="373535"/>
              </w:rPr>
              <w:t>Carrying values</w:t>
            </w:r>
          </w:p>
        </w:tc>
        <w:tc>
          <w:tcPr>
            <w:tcW w:w="26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20"/>
              <w:spacing w:after="0" w:line="194" w:lineRule="exact"/>
              <w:rPr>
                <w:sz w:val="20"/>
                <w:szCs w:val="20"/>
                <w:color w:val="auto"/>
              </w:rPr>
            </w:pPr>
            <w:r>
              <w:rPr>
                <w:rFonts w:ascii="Arial" w:cs="Arial" w:eastAsia="Arial" w:hAnsi="Arial"/>
                <w:sz w:val="17"/>
                <w:szCs w:val="17"/>
                <w:color w:val="373535"/>
              </w:rPr>
              <w:t>977.8</w:t>
            </w:r>
          </w:p>
        </w:tc>
        <w:tc>
          <w:tcPr>
            <w:tcW w:w="320" w:type="dxa"/>
            <w:vAlign w:val="bottom"/>
            <w:tcBorders>
              <w:bottom w:val="single" w:sz="8" w:color="717073"/>
            </w:tcBorders>
          </w:tcPr>
          <w:p>
            <w:pPr>
              <w:spacing w:after="0"/>
              <w:rPr>
                <w:sz w:val="16"/>
                <w:szCs w:val="16"/>
                <w:color w:val="auto"/>
              </w:rPr>
            </w:pPr>
          </w:p>
        </w:tc>
        <w:tc>
          <w:tcPr>
            <w:tcW w:w="960" w:type="dxa"/>
            <w:vAlign w:val="bottom"/>
            <w:tcBorders>
              <w:bottom w:val="single" w:sz="8" w:color="717073"/>
            </w:tcBorders>
          </w:tcPr>
          <w:p>
            <w:pPr>
              <w:jc w:val="right"/>
              <w:ind w:right="40"/>
              <w:spacing w:after="0" w:line="194" w:lineRule="exact"/>
              <w:rPr>
                <w:sz w:val="20"/>
                <w:szCs w:val="20"/>
                <w:color w:val="auto"/>
              </w:rPr>
            </w:pPr>
            <w:r>
              <w:rPr>
                <w:rFonts w:ascii="Arial" w:cs="Arial" w:eastAsia="Arial" w:hAnsi="Arial"/>
                <w:sz w:val="17"/>
                <w:szCs w:val="17"/>
                <w:color w:val="373535"/>
              </w:rPr>
              <w:t>110.9</w:t>
            </w:r>
          </w:p>
        </w:tc>
        <w:tc>
          <w:tcPr>
            <w:tcW w:w="380" w:type="dxa"/>
            <w:vAlign w:val="bottom"/>
            <w:tcBorders>
              <w:bottom w:val="single" w:sz="8" w:color="717073"/>
            </w:tcBorders>
          </w:tcPr>
          <w:p>
            <w:pPr>
              <w:spacing w:after="0"/>
              <w:rPr>
                <w:sz w:val="16"/>
                <w:szCs w:val="16"/>
                <w:color w:val="auto"/>
              </w:rPr>
            </w:pPr>
          </w:p>
        </w:tc>
        <w:tc>
          <w:tcPr>
            <w:tcW w:w="880" w:type="dxa"/>
            <w:vAlign w:val="bottom"/>
            <w:tcBorders>
              <w:bottom w:val="single" w:sz="8" w:color="717073"/>
            </w:tcBorders>
          </w:tcPr>
          <w:p>
            <w:pPr>
              <w:jc w:val="right"/>
              <w:ind w:right="40"/>
              <w:spacing w:after="0" w:line="194" w:lineRule="exact"/>
              <w:rPr>
                <w:sz w:val="20"/>
                <w:szCs w:val="20"/>
                <w:color w:val="auto"/>
              </w:rPr>
            </w:pPr>
            <w:r>
              <w:rPr>
                <w:rFonts w:ascii="Arial" w:cs="Arial" w:eastAsia="Arial" w:hAnsi="Arial"/>
                <w:sz w:val="17"/>
                <w:szCs w:val="17"/>
                <w:color w:val="373535"/>
              </w:rPr>
              <w:t>537.6</w:t>
            </w:r>
          </w:p>
        </w:tc>
        <w:tc>
          <w:tcPr>
            <w:tcW w:w="260" w:type="dxa"/>
            <w:vAlign w:val="bottom"/>
            <w:tcBorders>
              <w:bottom w:val="single" w:sz="8" w:color="717073"/>
            </w:tcBorders>
          </w:tcPr>
          <w:p>
            <w:pPr>
              <w:spacing w:after="0"/>
              <w:rPr>
                <w:sz w:val="16"/>
                <w:szCs w:val="16"/>
                <w:color w:val="auto"/>
              </w:rPr>
            </w:pPr>
          </w:p>
        </w:tc>
        <w:tc>
          <w:tcPr>
            <w:tcW w:w="8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137.8</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76AD9A"/>
        </w:rPr>
        <w:t>Significant Matters Affecting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MARKET RISKS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373535"/>
        </w:rPr>
        <w:t>We are exposed to the impact of foreign currency exchange rate fluctuations and interest rate changes.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777679"/>
        </w:rPr>
        <w:t xml:space="preserve">Exchange Rates </w:t>
      </w:r>
      <w:r>
        <w:rPr>
          <w:rFonts w:ascii="Arial" w:cs="Arial" w:eastAsia="Arial" w:hAnsi="Arial"/>
          <w:sz w:val="17"/>
          <w:szCs w:val="17"/>
          <w:color w:val="373535"/>
        </w:rPr>
        <w:t>— Our exposure to foreign currency exchange rates relates primarily to our foreign subsidiaries and our euro-denominated</w:t>
      </w:r>
      <w:r>
        <w:rPr>
          <w:rFonts w:ascii="Arial" w:cs="Arial" w:eastAsia="Arial" w:hAnsi="Arial"/>
          <w:sz w:val="17"/>
          <w:szCs w:val="17"/>
          <w:color w:val="777679"/>
        </w:rPr>
        <w:t xml:space="preserve"> </w:t>
      </w:r>
      <w:r>
        <w:rPr>
          <w:rFonts w:ascii="Arial" w:cs="Arial" w:eastAsia="Arial" w:hAnsi="Arial"/>
          <w:sz w:val="17"/>
          <w:szCs w:val="17"/>
          <w:color w:val="373535"/>
        </w:rPr>
        <w:t>borrowings. For our foreign subsidiaries, exchange rates impact the United States dollar value of our reported earnings, our investments in the subsidiaries and the intercompany transactions with the subsidiaries.</w:t>
      </w:r>
    </w:p>
    <w:p>
      <w:pPr>
        <w:spacing w:after="0" w:line="144" w:lineRule="exact"/>
        <w:rPr>
          <w:sz w:val="20"/>
          <w:szCs w:val="20"/>
          <w:color w:val="auto"/>
        </w:rPr>
      </w:pPr>
    </w:p>
    <w:p>
      <w:pPr>
        <w:ind w:left="580" w:hanging="577"/>
        <w:spacing w:after="0"/>
        <w:tabs>
          <w:tab w:leader="none" w:pos="580" w:val="left"/>
        </w:tabs>
        <w:numPr>
          <w:ilvl w:val="0"/>
          <w:numId w:val="98"/>
        </w:numPr>
        <w:rPr>
          <w:rFonts w:ascii="Arial" w:cs="Arial" w:eastAsia="Arial" w:hAnsi="Arial"/>
          <w:sz w:val="14"/>
          <w:szCs w:val="14"/>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82" w:name="page83"/>
    <w:bookmarkEnd w:id="82"/>
    <w:p>
      <w:pPr>
        <w:jc w:val="both"/>
        <w:spacing w:after="0"/>
        <w:rPr>
          <w:sz w:val="20"/>
          <w:szCs w:val="20"/>
          <w:color w:val="auto"/>
        </w:rPr>
      </w:pPr>
      <w:r>
        <w:rPr>
          <w:rFonts w:ascii="Arial" w:cs="Arial" w:eastAsia="Arial" w:hAnsi="Arial"/>
          <w:sz w:val="17"/>
          <w:szCs w:val="17"/>
          <w:color w:val="373535"/>
        </w:rPr>
        <w:t>Approximately 85% of our revenues and profits are generated outside of the United States, with approximately 45% generated from our European operations with a euro-functional currency. As a result, fluctuations in the value of foreign currencies against the United States dollar, particularly the euro, may have a significant impact on our reported results. Revenues and expenses denominated in foreign currencies are translated into United States dollars at the monthly weighted-average exchange rates for the year. Consequently, as the value of the United States dollar changes relative to the currencies of our major markets, our reported results vary.</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Throughout 2013, the United States dollar was volatile against many of the currencies of our major markets; however, the fluctuations resulted in no impact to our consolidated revenues from services. In 2012, revenues from services in constant currency were approximately 5.0% higher than reported. In both 2013 and 2012, a change in the strength of the United States dollar by 10% would have impacted our revenues from services by approximately 8.5% from the amounts reported.</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Fluctuations in currency exchange rates also impact the United States dollar amount of our shareholders’ equity. The assets and liabilities of our non-United States subsidiaries are translated into United States dollars at the exchange rates in effect at year-end. The resulting translation adjustments are recorded in shareholders’ equity as a component of accumulated other comprehensive income. The United States dollar weakened relative to many foreign currencies as of December 31, 2013 compared to December 31, 2012. Consequently, shareholders’ equity increased by $ 43.0 million as a result of the foreign currency translation as of December 31, 2013. If the United States dollar had weakened an additional 10% as of December 31, 2013, resulting translation adjustments recorded in shareholders’ equity would have increased by approximately $85.5 million from the amounts reported.</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As of December 31, 2012, the United States dollar had weakened relative to many foreign currencies compared to December 31, 2011. Consequently, shareholders’ equity increased by $ 8.0 million as a result of the foreign currency translation as of December 31, 2012. If the United States dollar had weakened an additional 10% as of December 31, 2012, resulting translation adjustments recorded in shareholders’ equity would have increased by approximately $47.0 million from the amounts reported.</w:t>
      </w:r>
    </w:p>
    <w:p>
      <w:pPr>
        <w:spacing w:after="0" w:line="15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Although currency fluctuations impact our reported results and shareholders’ equity, such fluctuations generally do not affect our cash flow or result in actual economic gains or losses. Substantially all of our subsidiaries derive revenues and incur expenses within a single country and, consequently, do not generally incur currency risks in connection with the conduct of their normal business operations. We generally have few cross-border transfers of funds, except for transfers to the United States for payment of license fees and interest expense on intercompany loans, working capital loans made between the United States and our foreign subsidiaries, dividends from our foreign subsidiaries, and payments between certain countries and territories for services provided. To reduce the currency risk related to these transactions, we may borrow funds in the relevant foreign currency under our revolving credit agreement or we may enter into a forward contract to hedge the transfer.</w:t>
      </w:r>
    </w:p>
    <w:p>
      <w:pPr>
        <w:spacing w:after="0" w:line="17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As of December 31, 2013, there were £7.8 ($12.5) million of forward contracts that relate to cash flows owed to our foreign subsidiaries in 2014. Our forward contracts are not designated as hedges. Consequently, any gain or loss resulting from the change in fair value is recognized in the current period earnings as is the currency gain or loss on the amounts owed.</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As of December 31, 2013, we had outstanding $480.9 million in principal amount of euro-denominated notes (€350.0 million). The note has been designated as a hedge of our net investment in subsidiaries with a euro-functional currency. Since our net investment in these subsidiaries exceeds the respective amount of the designated borrowing, translation gains or losses related to the borrowing is included as a component of accumulated other comprehensive income. Shareholders’ equity decreased by $9.5 million, net of tax, due to changes in accumulated other comprehensive income during the year due to the currency impact on these designated borrowings.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45</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448"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777679"/>
        </w:rPr>
        <w:t xml:space="preserve">Interest Rates </w:t>
      </w:r>
      <w:r>
        <w:rPr>
          <w:rFonts w:ascii="Arial" w:cs="Arial" w:eastAsia="Arial" w:hAnsi="Arial"/>
          <w:sz w:val="17"/>
          <w:szCs w:val="17"/>
          <w:color w:val="373535"/>
        </w:rPr>
        <w:t>— Our exposure to market risk for changes in interest rates relates primarily to our variable rate long-term debt obligations. We have</w:t>
      </w:r>
      <w:r>
        <w:rPr>
          <w:rFonts w:ascii="Arial" w:cs="Arial" w:eastAsia="Arial" w:hAnsi="Arial"/>
          <w:sz w:val="17"/>
          <w:szCs w:val="17"/>
          <w:color w:val="777679"/>
        </w:rPr>
        <w:t xml:space="preserve"> </w:t>
      </w:r>
      <w:r>
        <w:rPr>
          <w:rFonts w:ascii="Arial" w:cs="Arial" w:eastAsia="Arial" w:hAnsi="Arial"/>
          <w:sz w:val="17"/>
          <w:szCs w:val="17"/>
          <w:color w:val="373535"/>
        </w:rPr>
        <w:t>historically managed interest rates through the use of a combination of fixed- and variable-rate borrowings and interest rate swap agreements. As of December 31, 2013, we had the following fixed- and variable- rate borrowings: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4"/>
                <w:szCs w:val="14"/>
                <w:color w:val="76AD9A"/>
              </w:rPr>
              <w:t>Weighted-</w:t>
            </w:r>
          </w:p>
        </w:tc>
      </w:tr>
      <w:tr>
        <w:trPr>
          <w:trHeight w:val="154"/>
        </w:trPr>
        <w:tc>
          <w:tcPr>
            <w:tcW w:w="546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20" w:type="dxa"/>
            <w:vAlign w:val="bottom"/>
            <w:gridSpan w:val="3"/>
          </w:tcPr>
          <w:p>
            <w:pPr>
              <w:jc w:val="right"/>
              <w:ind w:right="180"/>
              <w:spacing w:after="0" w:line="153" w:lineRule="exact"/>
              <w:rPr>
                <w:sz w:val="20"/>
                <w:szCs w:val="20"/>
                <w:color w:val="auto"/>
              </w:rPr>
            </w:pPr>
            <w:r>
              <w:rPr>
                <w:rFonts w:ascii="Arial" w:cs="Arial" w:eastAsia="Arial" w:hAnsi="Arial"/>
                <w:sz w:val="14"/>
                <w:szCs w:val="14"/>
                <w:color w:val="76AD9A"/>
              </w:rPr>
              <w:t>Average</w:t>
            </w:r>
          </w:p>
        </w:tc>
      </w:tr>
      <w:tr>
        <w:trPr>
          <w:trHeight w:val="152"/>
        </w:trPr>
        <w:tc>
          <w:tcPr>
            <w:tcW w:w="5460" w:type="dxa"/>
            <w:vAlign w:val="bottom"/>
            <w:tcBorders>
              <w:bottom w:val="single" w:sz="8" w:color="76AD9A"/>
            </w:tcBorders>
          </w:tcPr>
          <w:p>
            <w:pPr>
              <w:spacing w:after="0" w:line="152" w:lineRule="exact"/>
              <w:rPr>
                <w:sz w:val="20"/>
                <w:szCs w:val="20"/>
                <w:color w:val="auto"/>
              </w:rPr>
            </w:pPr>
            <w:r>
              <w:rPr>
                <w:rFonts w:ascii="Arial" w:cs="Arial" w:eastAsia="Arial" w:hAnsi="Arial"/>
                <w:sz w:val="14"/>
                <w:szCs w:val="14"/>
                <w:color w:val="76AD9A"/>
              </w:rPr>
              <w:t>(in millions)</w:t>
            </w:r>
          </w:p>
        </w:tc>
        <w:tc>
          <w:tcPr>
            <w:tcW w:w="3900" w:type="dxa"/>
            <w:vAlign w:val="bottom"/>
            <w:tcBorders>
              <w:bottom w:val="single" w:sz="8" w:color="76AD9A"/>
            </w:tcBorders>
          </w:tcPr>
          <w:p>
            <w:pPr>
              <w:spacing w:after="0"/>
              <w:rPr>
                <w:sz w:val="13"/>
                <w:szCs w:val="13"/>
                <w:color w:val="auto"/>
              </w:rPr>
            </w:pPr>
          </w:p>
        </w:tc>
        <w:tc>
          <w:tcPr>
            <w:tcW w:w="840" w:type="dxa"/>
            <w:vAlign w:val="bottom"/>
            <w:tcBorders>
              <w:bottom w:val="single" w:sz="8" w:color="76AD9A"/>
            </w:tcBorders>
          </w:tcPr>
          <w:p>
            <w:pPr>
              <w:jc w:val="right"/>
              <w:ind w:right="78"/>
              <w:spacing w:after="0" w:line="152" w:lineRule="exact"/>
              <w:rPr>
                <w:sz w:val="20"/>
                <w:szCs w:val="20"/>
                <w:color w:val="auto"/>
              </w:rPr>
            </w:pPr>
            <w:r>
              <w:rPr>
                <w:rFonts w:ascii="Arial" w:cs="Arial" w:eastAsia="Arial" w:hAnsi="Arial"/>
                <w:sz w:val="14"/>
                <w:szCs w:val="14"/>
                <w:color w:val="76AD9A"/>
              </w:rPr>
              <w:t>Amount</w:t>
            </w:r>
          </w:p>
        </w:tc>
        <w:tc>
          <w:tcPr>
            <w:tcW w:w="1080" w:type="dxa"/>
            <w:vAlign w:val="bottom"/>
            <w:tcBorders>
              <w:bottom w:val="single" w:sz="8" w:color="76AD9A"/>
            </w:tcBorders>
            <w:gridSpan w:val="2"/>
          </w:tcPr>
          <w:p>
            <w:pPr>
              <w:jc w:val="right"/>
              <w:spacing w:after="0" w:line="152" w:lineRule="exact"/>
              <w:rPr>
                <w:sz w:val="20"/>
                <w:szCs w:val="20"/>
                <w:color w:val="auto"/>
              </w:rPr>
            </w:pPr>
            <w:r>
              <w:rPr>
                <w:rFonts w:ascii="Arial" w:cs="Arial" w:eastAsia="Arial" w:hAnsi="Arial"/>
                <w:sz w:val="12"/>
                <w:szCs w:val="12"/>
                <w:color w:val="76AD9A"/>
              </w:rPr>
              <w:t>Interest Rate</w:t>
            </w:r>
            <w:r>
              <w:rPr>
                <w:rFonts w:ascii="Arial" w:cs="Arial" w:eastAsia="Arial" w:hAnsi="Arial"/>
                <w:sz w:val="17"/>
                <w:szCs w:val="17"/>
                <w:color w:val="76AD9A"/>
                <w:vertAlign w:val="superscript"/>
              </w:rPr>
              <w:t>(1)</w:t>
            </w:r>
          </w:p>
        </w:tc>
        <w:tc>
          <w:tcPr>
            <w:tcW w:w="140" w:type="dxa"/>
            <w:vAlign w:val="bottom"/>
          </w:tcPr>
          <w:p>
            <w:pPr>
              <w:spacing w:after="0"/>
              <w:rPr>
                <w:sz w:val="13"/>
                <w:szCs w:val="13"/>
                <w:color w:val="auto"/>
              </w:rPr>
            </w:pPr>
          </w:p>
        </w:tc>
      </w:tr>
      <w:tr>
        <w:trPr>
          <w:trHeight w:val="186"/>
        </w:trPr>
        <w:tc>
          <w:tcPr>
            <w:tcW w:w="5460" w:type="dxa"/>
            <w:vAlign w:val="bottom"/>
          </w:tcPr>
          <w:p>
            <w:pPr>
              <w:spacing w:after="0" w:line="185" w:lineRule="exact"/>
              <w:rPr>
                <w:sz w:val="20"/>
                <w:szCs w:val="20"/>
                <w:color w:val="auto"/>
              </w:rPr>
            </w:pPr>
            <w:r>
              <w:rPr>
                <w:rFonts w:ascii="Arial" w:cs="Arial" w:eastAsia="Arial" w:hAnsi="Arial"/>
                <w:sz w:val="17"/>
                <w:szCs w:val="17"/>
                <w:color w:val="373535"/>
              </w:rPr>
              <w:t>Variable-rate borrowings</w:t>
            </w:r>
          </w:p>
        </w:tc>
        <w:tc>
          <w:tcPr>
            <w:tcW w:w="3900" w:type="dxa"/>
            <w:vAlign w:val="bottom"/>
          </w:tcPr>
          <w:p>
            <w:pPr>
              <w:jc w:val="right"/>
              <w:ind w:right="134"/>
              <w:spacing w:after="0" w:line="185" w:lineRule="exact"/>
              <w:rPr>
                <w:sz w:val="20"/>
                <w:szCs w:val="20"/>
                <w:color w:val="auto"/>
              </w:rPr>
            </w:pPr>
            <w:r>
              <w:rPr>
                <w:rFonts w:ascii="Arial" w:cs="Arial" w:eastAsia="Arial" w:hAnsi="Arial"/>
                <w:sz w:val="17"/>
                <w:szCs w:val="17"/>
                <w:color w:val="373535"/>
              </w:rPr>
              <w:t>$</w:t>
            </w:r>
          </w:p>
        </w:tc>
        <w:tc>
          <w:tcPr>
            <w:tcW w:w="840" w:type="dxa"/>
            <w:vAlign w:val="bottom"/>
          </w:tcPr>
          <w:p>
            <w:pPr>
              <w:jc w:val="right"/>
              <w:ind w:right="78"/>
              <w:spacing w:after="0" w:line="185" w:lineRule="exact"/>
              <w:rPr>
                <w:sz w:val="20"/>
                <w:szCs w:val="20"/>
                <w:color w:val="auto"/>
              </w:rPr>
            </w:pPr>
            <w:r>
              <w:rPr>
                <w:rFonts w:ascii="Arial" w:cs="Arial" w:eastAsia="Arial" w:hAnsi="Arial"/>
                <w:sz w:val="17"/>
                <w:szCs w:val="17"/>
                <w:color w:val="373535"/>
              </w:rPr>
              <w:t>34.2</w:t>
            </w:r>
          </w:p>
        </w:tc>
        <w:tc>
          <w:tcPr>
            <w:tcW w:w="1220" w:type="dxa"/>
            <w:vAlign w:val="bottom"/>
            <w:gridSpan w:val="3"/>
          </w:tcPr>
          <w:p>
            <w:pPr>
              <w:jc w:val="right"/>
              <w:spacing w:after="0" w:line="185" w:lineRule="exact"/>
              <w:rPr>
                <w:sz w:val="20"/>
                <w:szCs w:val="20"/>
                <w:color w:val="auto"/>
              </w:rPr>
            </w:pPr>
            <w:r>
              <w:rPr>
                <w:rFonts w:ascii="Arial" w:cs="Arial" w:eastAsia="Arial" w:hAnsi="Arial"/>
                <w:sz w:val="17"/>
                <w:szCs w:val="17"/>
                <w:color w:val="373535"/>
              </w:rPr>
              <w:t>12.5%</w:t>
            </w:r>
          </w:p>
        </w:tc>
      </w:tr>
      <w:tr>
        <w:trPr>
          <w:trHeight w:val="194"/>
        </w:trPr>
        <w:tc>
          <w:tcPr>
            <w:tcW w:w="5460" w:type="dxa"/>
            <w:vAlign w:val="bottom"/>
            <w:tcBorders>
              <w:bottom w:val="single" w:sz="8" w:color="717073"/>
            </w:tcBorders>
          </w:tcPr>
          <w:p>
            <w:pPr>
              <w:spacing w:after="0" w:line="194" w:lineRule="exact"/>
              <w:rPr>
                <w:sz w:val="20"/>
                <w:szCs w:val="20"/>
                <w:color w:val="auto"/>
              </w:rPr>
            </w:pPr>
            <w:r>
              <w:rPr>
                <w:rFonts w:ascii="Arial" w:cs="Arial" w:eastAsia="Arial" w:hAnsi="Arial"/>
                <w:sz w:val="17"/>
                <w:szCs w:val="17"/>
                <w:color w:val="373535"/>
              </w:rPr>
              <w:t>Fixed-rate borrowings</w:t>
            </w:r>
          </w:p>
        </w:tc>
        <w:tc>
          <w:tcPr>
            <w:tcW w:w="3900" w:type="dxa"/>
            <w:vAlign w:val="bottom"/>
            <w:tcBorders>
              <w:bottom w:val="single" w:sz="8" w:color="717073"/>
            </w:tcBorders>
          </w:tcPr>
          <w:p>
            <w:pPr>
              <w:spacing w:after="0"/>
              <w:rPr>
                <w:sz w:val="16"/>
                <w:szCs w:val="16"/>
                <w:color w:val="auto"/>
              </w:rPr>
            </w:pPr>
          </w:p>
        </w:tc>
        <w:tc>
          <w:tcPr>
            <w:tcW w:w="840" w:type="dxa"/>
            <w:vAlign w:val="bottom"/>
            <w:tcBorders>
              <w:bottom w:val="single" w:sz="8" w:color="717073"/>
            </w:tcBorders>
          </w:tcPr>
          <w:p>
            <w:pPr>
              <w:jc w:val="right"/>
              <w:ind w:right="78"/>
              <w:spacing w:after="0" w:line="194" w:lineRule="exact"/>
              <w:rPr>
                <w:sz w:val="20"/>
                <w:szCs w:val="20"/>
                <w:color w:val="auto"/>
              </w:rPr>
            </w:pPr>
            <w:r>
              <w:rPr>
                <w:rFonts w:ascii="Arial" w:cs="Arial" w:eastAsia="Arial" w:hAnsi="Arial"/>
                <w:sz w:val="17"/>
                <w:szCs w:val="17"/>
                <w:color w:val="373535"/>
              </w:rPr>
              <w:t>483.7</w:t>
            </w:r>
          </w:p>
        </w:tc>
        <w:tc>
          <w:tcPr>
            <w:tcW w:w="1080" w:type="dxa"/>
            <w:vAlign w:val="bottom"/>
            <w:tcBorders>
              <w:bottom w:val="single" w:sz="8" w:color="717073"/>
            </w:tcBorders>
            <w:gridSpan w:val="2"/>
          </w:tcPr>
          <w:p>
            <w:pPr>
              <w:jc w:val="right"/>
              <w:spacing w:after="0" w:line="194" w:lineRule="exact"/>
              <w:rPr>
                <w:sz w:val="20"/>
                <w:szCs w:val="20"/>
                <w:color w:val="auto"/>
              </w:rPr>
            </w:pPr>
            <w:r>
              <w:rPr>
                <w:rFonts w:ascii="Arial" w:cs="Arial" w:eastAsia="Arial" w:hAnsi="Arial"/>
                <w:sz w:val="17"/>
                <w:szCs w:val="17"/>
                <w:color w:val="373535"/>
              </w:rPr>
              <w:t>4.5</w:t>
            </w:r>
          </w:p>
        </w:tc>
        <w:tc>
          <w:tcPr>
            <w:tcW w:w="140" w:type="dxa"/>
            <w:vAlign w:val="bottom"/>
          </w:tcPr>
          <w:p>
            <w:pPr>
              <w:spacing w:after="0"/>
              <w:rPr>
                <w:sz w:val="16"/>
                <w:szCs w:val="16"/>
                <w:color w:val="auto"/>
              </w:rPr>
            </w:pPr>
          </w:p>
        </w:tc>
      </w:tr>
      <w:tr>
        <w:trPr>
          <w:trHeight w:val="186"/>
        </w:trPr>
        <w:tc>
          <w:tcPr>
            <w:tcW w:w="5460" w:type="dxa"/>
            <w:vAlign w:val="bottom"/>
          </w:tcPr>
          <w:p>
            <w:pPr>
              <w:spacing w:after="0" w:line="186" w:lineRule="exact"/>
              <w:rPr>
                <w:sz w:val="20"/>
                <w:szCs w:val="20"/>
                <w:color w:val="auto"/>
              </w:rPr>
            </w:pPr>
            <w:r>
              <w:rPr>
                <w:rFonts w:ascii="Arial" w:cs="Arial" w:eastAsia="Arial" w:hAnsi="Arial"/>
                <w:sz w:val="17"/>
                <w:szCs w:val="17"/>
                <w:color w:val="373535"/>
              </w:rPr>
              <w:t>Total debt</w:t>
            </w:r>
          </w:p>
        </w:tc>
        <w:tc>
          <w:tcPr>
            <w:tcW w:w="3900" w:type="dxa"/>
            <w:vAlign w:val="bottom"/>
          </w:tcPr>
          <w:p>
            <w:pPr>
              <w:jc w:val="right"/>
              <w:ind w:right="134"/>
              <w:spacing w:after="0" w:line="186" w:lineRule="exact"/>
              <w:rPr>
                <w:sz w:val="20"/>
                <w:szCs w:val="20"/>
                <w:color w:val="auto"/>
              </w:rPr>
            </w:pPr>
            <w:r>
              <w:rPr>
                <w:rFonts w:ascii="Arial" w:cs="Arial" w:eastAsia="Arial" w:hAnsi="Arial"/>
                <w:sz w:val="17"/>
                <w:szCs w:val="17"/>
                <w:color w:val="373535"/>
              </w:rPr>
              <w:t>$</w:t>
            </w:r>
          </w:p>
        </w:tc>
        <w:tc>
          <w:tcPr>
            <w:tcW w:w="840" w:type="dxa"/>
            <w:vAlign w:val="bottom"/>
          </w:tcPr>
          <w:p>
            <w:pPr>
              <w:jc w:val="right"/>
              <w:ind w:right="78"/>
              <w:spacing w:after="0" w:line="186" w:lineRule="exact"/>
              <w:rPr>
                <w:sz w:val="20"/>
                <w:szCs w:val="20"/>
                <w:color w:val="auto"/>
              </w:rPr>
            </w:pPr>
            <w:r>
              <w:rPr>
                <w:rFonts w:ascii="Arial" w:cs="Arial" w:eastAsia="Arial" w:hAnsi="Arial"/>
                <w:sz w:val="17"/>
                <w:szCs w:val="17"/>
                <w:color w:val="373535"/>
              </w:rPr>
              <w:t>517.9</w:t>
            </w:r>
          </w:p>
        </w:tc>
        <w:tc>
          <w:tcPr>
            <w:tcW w:w="1220" w:type="dxa"/>
            <w:vAlign w:val="bottom"/>
            <w:gridSpan w:val="3"/>
          </w:tcPr>
          <w:p>
            <w:pPr>
              <w:jc w:val="right"/>
              <w:spacing w:after="0" w:line="186" w:lineRule="exact"/>
              <w:rPr>
                <w:sz w:val="20"/>
                <w:szCs w:val="20"/>
                <w:color w:val="auto"/>
              </w:rPr>
            </w:pPr>
            <w:r>
              <w:rPr>
                <w:rFonts w:ascii="Arial" w:cs="Arial" w:eastAsia="Arial" w:hAnsi="Arial"/>
                <w:sz w:val="17"/>
                <w:szCs w:val="17"/>
                <w:color w:val="373535"/>
              </w:rPr>
              <w:t>5.0%</w:t>
            </w:r>
          </w:p>
        </w:tc>
      </w:tr>
      <w:tr>
        <w:trPr>
          <w:trHeight w:val="20"/>
        </w:trPr>
        <w:tc>
          <w:tcPr>
            <w:tcW w:w="5460" w:type="dxa"/>
            <w:vAlign w:val="bottom"/>
            <w:shd w:val="clear" w:color="auto" w:fill="717073"/>
          </w:tcPr>
          <w:p>
            <w:pPr>
              <w:spacing w:after="0" w:line="20" w:lineRule="exact"/>
              <w:rPr>
                <w:sz w:val="1"/>
                <w:szCs w:val="1"/>
                <w:color w:val="auto"/>
              </w:rPr>
            </w:pPr>
          </w:p>
        </w:tc>
        <w:tc>
          <w:tcPr>
            <w:tcW w:w="3900" w:type="dxa"/>
            <w:vAlign w:val="bottom"/>
            <w:shd w:val="clear" w:color="auto" w:fill="717073"/>
          </w:tcPr>
          <w:p>
            <w:pPr>
              <w:spacing w:after="0" w:line="20" w:lineRule="exact"/>
              <w:rPr>
                <w:sz w:val="1"/>
                <w:szCs w:val="1"/>
                <w:color w:val="auto"/>
              </w:rPr>
            </w:pPr>
          </w:p>
        </w:tc>
        <w:tc>
          <w:tcPr>
            <w:tcW w:w="840" w:type="dxa"/>
            <w:vAlign w:val="bottom"/>
            <w:shd w:val="clear" w:color="auto" w:fill="717073"/>
          </w:tcPr>
          <w:p>
            <w:pPr>
              <w:spacing w:after="0" w:line="20" w:lineRule="exact"/>
              <w:rPr>
                <w:sz w:val="1"/>
                <w:szCs w:val="1"/>
                <w:color w:val="auto"/>
              </w:rPr>
            </w:pPr>
          </w:p>
        </w:tc>
        <w:tc>
          <w:tcPr>
            <w:tcW w:w="106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373535"/>
        </w:rPr>
        <w:t>(1) The rates are impacted by currency exchange rate movements.</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777679"/>
        </w:rPr>
        <w:t xml:space="preserve">Sensitivity analysis </w:t>
      </w:r>
      <w:r>
        <w:rPr>
          <w:rFonts w:ascii="Arial" w:cs="Arial" w:eastAsia="Arial" w:hAnsi="Arial"/>
          <w:sz w:val="17"/>
          <w:szCs w:val="17"/>
          <w:color w:val="373535"/>
        </w:rPr>
        <w:t>— The following tables summarize our debt and derivative instruments that are sensitive to foreign currency exchange rate and</w:t>
      </w:r>
      <w:r>
        <w:rPr>
          <w:rFonts w:ascii="Arial" w:cs="Arial" w:eastAsia="Arial" w:hAnsi="Arial"/>
          <w:sz w:val="17"/>
          <w:szCs w:val="17"/>
          <w:color w:val="777679"/>
        </w:rPr>
        <w:t xml:space="preserve"> </w:t>
      </w:r>
      <w:r>
        <w:rPr>
          <w:rFonts w:ascii="Arial" w:cs="Arial" w:eastAsia="Arial" w:hAnsi="Arial"/>
          <w:sz w:val="17"/>
          <w:szCs w:val="17"/>
          <w:color w:val="373535"/>
        </w:rPr>
        <w:t>interest rate movements. All computations below are based on the United States dollar spot rate as of December 31, 2013 and 2012. The exchange rate computations assume a 10% appreciation or 10% depreciation of the euro and British pound to the United States dollar.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373535"/>
        </w:rPr>
        <w:t>The hypothetical impact on 2013 and 2012 earnings and accumulated other comprehensive income of the stated change in rates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Borders>
              <w:bottom w:val="single" w:sz="8" w:color="717073"/>
            </w:tcBorders>
          </w:tcPr>
          <w:p>
            <w:pPr>
              <w:spacing w:after="0"/>
              <w:rPr>
                <w:sz w:val="20"/>
                <w:szCs w:val="20"/>
                <w:color w:val="auto"/>
              </w:rPr>
            </w:pPr>
            <w:r>
              <w:rPr>
                <w:rFonts w:ascii="Arial" w:cs="Arial" w:eastAsia="Arial" w:hAnsi="Arial"/>
                <w:sz w:val="14"/>
                <w:szCs w:val="14"/>
                <w:color w:val="76AD9A"/>
              </w:rPr>
              <w:t>2013 (in millions)</w:t>
            </w:r>
          </w:p>
        </w:tc>
        <w:tc>
          <w:tcPr>
            <w:tcW w:w="3300" w:type="dxa"/>
            <w:vAlign w:val="bottom"/>
            <w:tcBorders>
              <w:bottom w:val="single" w:sz="8" w:color="717073"/>
            </w:tcBorders>
          </w:tcPr>
          <w:p>
            <w:pPr>
              <w:spacing w:after="0"/>
              <w:rPr>
                <w:sz w:val="14"/>
                <w:szCs w:val="14"/>
                <w:color w:val="auto"/>
              </w:rPr>
            </w:pPr>
          </w:p>
        </w:tc>
        <w:tc>
          <w:tcPr>
            <w:tcW w:w="2180" w:type="dxa"/>
            <w:vAlign w:val="bottom"/>
            <w:tcBorders>
              <w:bottom w:val="single" w:sz="8" w:color="717073"/>
            </w:tcBorders>
            <w:gridSpan w:val="3"/>
          </w:tcPr>
          <w:p>
            <w:pPr>
              <w:jc w:val="right"/>
              <w:spacing w:after="0"/>
              <w:rPr>
                <w:sz w:val="20"/>
                <w:szCs w:val="20"/>
                <w:color w:val="auto"/>
              </w:rPr>
            </w:pPr>
            <w:r>
              <w:rPr>
                <w:rFonts w:ascii="Arial" w:cs="Arial" w:eastAsia="Arial" w:hAnsi="Arial"/>
                <w:sz w:val="14"/>
                <w:szCs w:val="14"/>
                <w:color w:val="76AD9A"/>
              </w:rPr>
              <w:t>Movements In Exchange Rates</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8" w:lineRule="exact"/>
              <w:rPr>
                <w:sz w:val="20"/>
                <w:szCs w:val="20"/>
                <w:color w:val="auto"/>
              </w:rPr>
            </w:pPr>
            <w:r>
              <w:rPr>
                <w:rFonts w:ascii="Arial" w:cs="Arial" w:eastAsia="Arial" w:hAnsi="Arial"/>
                <w:sz w:val="14"/>
                <w:szCs w:val="14"/>
                <w:color w:val="76AD9A"/>
              </w:rPr>
              <w:t>Market Sensitive Instrument</w:t>
            </w:r>
          </w:p>
        </w:tc>
        <w:tc>
          <w:tcPr>
            <w:tcW w:w="4320" w:type="dxa"/>
            <w:vAlign w:val="bottom"/>
            <w:gridSpan w:val="2"/>
          </w:tcPr>
          <w:p>
            <w:pPr>
              <w:jc w:val="right"/>
              <w:ind w:right="159"/>
              <w:spacing w:after="0" w:line="148" w:lineRule="exact"/>
              <w:rPr>
                <w:sz w:val="20"/>
                <w:szCs w:val="20"/>
                <w:color w:val="auto"/>
              </w:rPr>
            </w:pPr>
            <w:r>
              <w:rPr>
                <w:rFonts w:ascii="Arial" w:cs="Arial" w:eastAsia="Arial" w:hAnsi="Arial"/>
                <w:sz w:val="14"/>
                <w:szCs w:val="14"/>
                <w:color w:val="76AD9A"/>
              </w:rPr>
              <w:t>10% Depreciation</w:t>
            </w:r>
          </w:p>
        </w:tc>
        <w:tc>
          <w:tcPr>
            <w:tcW w:w="1360" w:type="dxa"/>
            <w:vAlign w:val="bottom"/>
            <w:gridSpan w:val="3"/>
          </w:tcPr>
          <w:p>
            <w:pPr>
              <w:jc w:val="right"/>
              <w:ind w:right="200"/>
              <w:spacing w:after="0" w:line="148" w:lineRule="exact"/>
              <w:rPr>
                <w:sz w:val="20"/>
                <w:szCs w:val="20"/>
                <w:color w:val="auto"/>
              </w:rPr>
            </w:pPr>
            <w:r>
              <w:rPr>
                <w:rFonts w:ascii="Arial" w:cs="Arial" w:eastAsia="Arial" w:hAnsi="Arial"/>
                <w:sz w:val="14"/>
                <w:szCs w:val="14"/>
                <w:color w:val="76AD9A"/>
              </w:rPr>
              <w:t>10% Appreciation</w:t>
            </w:r>
          </w:p>
        </w:tc>
        <w:tc>
          <w:tcPr>
            <w:tcW w:w="0" w:type="dxa"/>
            <w:vAlign w:val="bottom"/>
          </w:tcPr>
          <w:p>
            <w:pPr>
              <w:spacing w:after="0"/>
              <w:rPr>
                <w:sz w:val="1"/>
                <w:szCs w:val="1"/>
                <w:color w:val="auto"/>
              </w:rPr>
            </w:pPr>
          </w:p>
        </w:tc>
      </w:tr>
      <w:tr>
        <w:trPr>
          <w:trHeight w:val="20"/>
        </w:trPr>
        <w:tc>
          <w:tcPr>
            <w:tcW w:w="5740" w:type="dxa"/>
            <w:vAlign w:val="bottom"/>
            <w:shd w:val="clear" w:color="auto" w:fill="76AD9A"/>
          </w:tcPr>
          <w:p>
            <w:pPr>
              <w:spacing w:after="0" w:line="20" w:lineRule="exact"/>
              <w:rPr>
                <w:sz w:val="1"/>
                <w:szCs w:val="1"/>
                <w:color w:val="auto"/>
              </w:rPr>
            </w:pPr>
          </w:p>
        </w:tc>
        <w:tc>
          <w:tcPr>
            <w:tcW w:w="3300" w:type="dxa"/>
            <w:vAlign w:val="bottom"/>
            <w:shd w:val="clear" w:color="auto" w:fill="76AD9A"/>
          </w:tcPr>
          <w:p>
            <w:pPr>
              <w:spacing w:after="0" w:line="20" w:lineRule="exact"/>
              <w:rPr>
                <w:sz w:val="1"/>
                <w:szCs w:val="1"/>
                <w:color w:val="auto"/>
              </w:rPr>
            </w:pPr>
          </w:p>
        </w:tc>
        <w:tc>
          <w:tcPr>
            <w:tcW w:w="1020" w:type="dxa"/>
            <w:vAlign w:val="bottom"/>
            <w:shd w:val="clear" w:color="auto" w:fill="76AD9A"/>
          </w:tcPr>
          <w:p>
            <w:pPr>
              <w:spacing w:after="0" w:line="20" w:lineRule="exact"/>
              <w:rPr>
                <w:sz w:val="1"/>
                <w:szCs w:val="1"/>
                <w:color w:val="auto"/>
              </w:rPr>
            </w:pPr>
          </w:p>
        </w:tc>
        <w:tc>
          <w:tcPr>
            <w:tcW w:w="480" w:type="dxa"/>
            <w:vAlign w:val="bottom"/>
            <w:shd w:val="clear" w:color="auto" w:fill="76AD9A"/>
          </w:tcPr>
          <w:p>
            <w:pPr>
              <w:spacing w:after="0" w:line="20" w:lineRule="exact"/>
              <w:rPr>
                <w:sz w:val="1"/>
                <w:szCs w:val="1"/>
                <w:color w:val="auto"/>
              </w:rPr>
            </w:pPr>
          </w:p>
        </w:tc>
        <w:tc>
          <w:tcPr>
            <w:tcW w:w="680" w:type="dxa"/>
            <w:vAlign w:val="bottom"/>
            <w:shd w:val="clear" w:color="auto" w:fill="76AD9A"/>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40" w:type="dxa"/>
            <w:vAlign w:val="bottom"/>
          </w:tcPr>
          <w:p>
            <w:pPr>
              <w:spacing w:after="0" w:line="185" w:lineRule="exact"/>
              <w:rPr>
                <w:sz w:val="20"/>
                <w:szCs w:val="20"/>
                <w:color w:val="auto"/>
              </w:rPr>
            </w:pPr>
            <w:r>
              <w:rPr>
                <w:rFonts w:ascii="Arial" w:cs="Arial" w:eastAsia="Arial" w:hAnsi="Arial"/>
                <w:sz w:val="17"/>
                <w:szCs w:val="17"/>
                <w:color w:val="777679"/>
              </w:rPr>
              <w:t>Euro notes:</w:t>
            </w:r>
          </w:p>
        </w:tc>
        <w:tc>
          <w:tcPr>
            <w:tcW w:w="3300" w:type="dxa"/>
            <w:vAlign w:val="bottom"/>
          </w:tcPr>
          <w:p>
            <w:pPr>
              <w:spacing w:after="0"/>
              <w:rPr>
                <w:sz w:val="16"/>
                <w:szCs w:val="16"/>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7"/>
                <w:szCs w:val="17"/>
                <w:color w:val="373535"/>
              </w:rPr>
              <w:t>48.1</w:t>
            </w:r>
            <w:r>
              <w:rPr>
                <w:rFonts w:ascii="Arial" w:cs="Arial" w:eastAsia="Arial" w:hAnsi="Arial"/>
                <w:sz w:val="24"/>
                <w:szCs w:val="24"/>
                <w:color w:val="373535"/>
                <w:vertAlign w:val="superscript"/>
              </w:rPr>
              <w:t>(1)</w:t>
            </w:r>
          </w:p>
        </w:tc>
        <w:tc>
          <w:tcPr>
            <w:tcW w:w="48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373535"/>
              </w:rPr>
              <w:t>(48.1)</w:t>
            </w:r>
            <w:r>
              <w:rPr>
                <w:rFonts w:ascii="Arial" w:cs="Arial" w:eastAsia="Arial" w:hAnsi="Arial"/>
                <w:sz w:val="24"/>
                <w:szCs w:val="24"/>
                <w:color w:val="373535"/>
                <w:vertAlign w:val="superscript"/>
              </w:rPr>
              <w:t>(1)</w:t>
            </w: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7"/>
                <w:szCs w:val="17"/>
                <w:color w:val="373535"/>
              </w:rPr>
              <w:t>€350.0, 4.51% Notes due June 2018</w:t>
            </w:r>
          </w:p>
        </w:tc>
        <w:tc>
          <w:tcPr>
            <w:tcW w:w="3300" w:type="dxa"/>
            <w:vAlign w:val="bottom"/>
          </w:tcPr>
          <w:p>
            <w:pPr>
              <w:ind w:left="2940"/>
              <w:spacing w:after="0" w:line="194" w:lineRule="exact"/>
              <w:rPr>
                <w:sz w:val="20"/>
                <w:szCs w:val="20"/>
                <w:color w:val="auto"/>
              </w:rPr>
            </w:pPr>
            <w:r>
              <w:rPr>
                <w:rFonts w:ascii="Arial" w:cs="Arial" w:eastAsia="Arial" w:hAnsi="Arial"/>
                <w:sz w:val="17"/>
                <w:szCs w:val="17"/>
                <w:color w:val="373535"/>
              </w:rPr>
              <w:t>$</w:t>
            </w:r>
          </w:p>
        </w:tc>
        <w:tc>
          <w:tcPr>
            <w:tcW w:w="1020" w:type="dxa"/>
            <w:vAlign w:val="bottom"/>
            <w:vMerge w:val="continue"/>
          </w:tcPr>
          <w:p>
            <w:pPr>
              <w:spacing w:after="0"/>
              <w:rPr>
                <w:sz w:val="16"/>
                <w:szCs w:val="16"/>
                <w:color w:val="auto"/>
              </w:rPr>
            </w:pPr>
          </w:p>
        </w:tc>
        <w:tc>
          <w:tcPr>
            <w:tcW w:w="480" w:type="dxa"/>
            <w:vAlign w:val="bottom"/>
          </w:tcPr>
          <w:p>
            <w:pPr>
              <w:jc w:val="right"/>
              <w:ind w:right="223"/>
              <w:spacing w:after="0" w:line="194" w:lineRule="exact"/>
              <w:rPr>
                <w:sz w:val="20"/>
                <w:szCs w:val="20"/>
                <w:color w:val="auto"/>
              </w:rPr>
            </w:pPr>
            <w:r>
              <w:rPr>
                <w:rFonts w:ascii="Arial" w:cs="Arial" w:eastAsia="Arial" w:hAnsi="Arial"/>
                <w:sz w:val="17"/>
                <w:szCs w:val="17"/>
                <w:color w:val="373535"/>
              </w:rPr>
              <w:t>$</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7"/>
                <w:szCs w:val="17"/>
                <w:color w:val="777679"/>
              </w:rPr>
              <w:t>Forward contracts:</w:t>
            </w:r>
          </w:p>
        </w:tc>
        <w:tc>
          <w:tcPr>
            <w:tcW w:w="3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7"/>
                <w:szCs w:val="17"/>
                <w:color w:val="373535"/>
              </w:rPr>
              <w:t>£7.8 to $12.5</w:t>
            </w:r>
          </w:p>
        </w:tc>
        <w:tc>
          <w:tcPr>
            <w:tcW w:w="3300" w:type="dxa"/>
            <w:vAlign w:val="bottom"/>
          </w:tcPr>
          <w:p>
            <w:pPr>
              <w:spacing w:after="0"/>
              <w:rPr>
                <w:sz w:val="16"/>
                <w:szCs w:val="16"/>
                <w:color w:val="auto"/>
              </w:rPr>
            </w:pPr>
          </w:p>
        </w:tc>
        <w:tc>
          <w:tcPr>
            <w:tcW w:w="1020" w:type="dxa"/>
            <w:vAlign w:val="bottom"/>
          </w:tcPr>
          <w:p>
            <w:pPr>
              <w:jc w:val="right"/>
              <w:ind w:right="159"/>
              <w:spacing w:after="0" w:line="194" w:lineRule="exact"/>
              <w:rPr>
                <w:sz w:val="20"/>
                <w:szCs w:val="20"/>
                <w:color w:val="auto"/>
              </w:rPr>
            </w:pPr>
            <w:r>
              <w:rPr>
                <w:rFonts w:ascii="Arial" w:cs="Arial" w:eastAsia="Arial" w:hAnsi="Arial"/>
                <w:sz w:val="17"/>
                <w:szCs w:val="17"/>
                <w:color w:val="373535"/>
              </w:rPr>
              <w:t>1.3</w:t>
            </w:r>
          </w:p>
        </w:tc>
        <w:tc>
          <w:tcPr>
            <w:tcW w:w="480" w:type="dxa"/>
            <w:vAlign w:val="bottom"/>
          </w:tcPr>
          <w:p>
            <w:pPr>
              <w:spacing w:after="0"/>
              <w:rPr>
                <w:sz w:val="16"/>
                <w:szCs w:val="16"/>
                <w:color w:val="auto"/>
              </w:rPr>
            </w:pPr>
          </w:p>
        </w:tc>
        <w:tc>
          <w:tcPr>
            <w:tcW w:w="8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373535"/>
              </w:rPr>
              <w:t>(1.3)</w:t>
            </w:r>
          </w:p>
        </w:tc>
        <w:tc>
          <w:tcPr>
            <w:tcW w:w="0" w:type="dxa"/>
            <w:vAlign w:val="bottom"/>
          </w:tcPr>
          <w:p>
            <w:pPr>
              <w:spacing w:after="0"/>
              <w:rPr>
                <w:sz w:val="1"/>
                <w:szCs w:val="1"/>
                <w:color w:val="auto"/>
              </w:rPr>
            </w:pPr>
          </w:p>
        </w:tc>
      </w:tr>
      <w:tr>
        <w:trPr>
          <w:trHeight w:val="341"/>
        </w:trPr>
        <w:tc>
          <w:tcPr>
            <w:tcW w:w="5740" w:type="dxa"/>
            <w:vAlign w:val="bottom"/>
            <w:tcBorders>
              <w:top w:val="single" w:sz="8" w:color="717073"/>
              <w:bottom w:val="single" w:sz="8" w:color="717073"/>
            </w:tcBorders>
          </w:tcPr>
          <w:p>
            <w:pPr>
              <w:spacing w:after="0"/>
              <w:rPr>
                <w:sz w:val="20"/>
                <w:szCs w:val="20"/>
                <w:color w:val="auto"/>
              </w:rPr>
            </w:pPr>
            <w:r>
              <w:rPr>
                <w:rFonts w:ascii="Arial" w:cs="Arial" w:eastAsia="Arial" w:hAnsi="Arial"/>
                <w:sz w:val="14"/>
                <w:szCs w:val="14"/>
                <w:color w:val="76AD9A"/>
              </w:rPr>
              <w:t>2012 (in millions)</w:t>
            </w:r>
          </w:p>
        </w:tc>
        <w:tc>
          <w:tcPr>
            <w:tcW w:w="3300" w:type="dxa"/>
            <w:vAlign w:val="bottom"/>
            <w:tcBorders>
              <w:top w:val="single" w:sz="8" w:color="717073"/>
              <w:bottom w:val="single" w:sz="8" w:color="717073"/>
            </w:tcBorders>
          </w:tcPr>
          <w:p>
            <w:pPr>
              <w:spacing w:after="0"/>
              <w:rPr>
                <w:sz w:val="24"/>
                <w:szCs w:val="24"/>
                <w:color w:val="auto"/>
              </w:rPr>
            </w:pPr>
          </w:p>
        </w:tc>
        <w:tc>
          <w:tcPr>
            <w:tcW w:w="2180" w:type="dxa"/>
            <w:vAlign w:val="bottom"/>
            <w:tcBorders>
              <w:top w:val="single" w:sz="8" w:color="717073"/>
              <w:bottom w:val="single" w:sz="8" w:color="717073"/>
            </w:tcBorders>
            <w:gridSpan w:val="3"/>
          </w:tcPr>
          <w:p>
            <w:pPr>
              <w:jc w:val="right"/>
              <w:spacing w:after="0"/>
              <w:rPr>
                <w:sz w:val="20"/>
                <w:szCs w:val="20"/>
                <w:color w:val="auto"/>
              </w:rPr>
            </w:pPr>
            <w:r>
              <w:rPr>
                <w:rFonts w:ascii="Arial" w:cs="Arial" w:eastAsia="Arial" w:hAnsi="Arial"/>
                <w:sz w:val="14"/>
                <w:szCs w:val="14"/>
                <w:color w:val="76AD9A"/>
              </w:rPr>
              <w:t>Movements In Exchange Rates</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8" w:lineRule="exact"/>
              <w:rPr>
                <w:sz w:val="20"/>
                <w:szCs w:val="20"/>
                <w:color w:val="auto"/>
              </w:rPr>
            </w:pPr>
            <w:r>
              <w:rPr>
                <w:rFonts w:ascii="Arial" w:cs="Arial" w:eastAsia="Arial" w:hAnsi="Arial"/>
                <w:sz w:val="14"/>
                <w:szCs w:val="14"/>
                <w:color w:val="76AD9A"/>
              </w:rPr>
              <w:t>Market Sensitive Instrument</w:t>
            </w:r>
          </w:p>
        </w:tc>
        <w:tc>
          <w:tcPr>
            <w:tcW w:w="4320" w:type="dxa"/>
            <w:vAlign w:val="bottom"/>
            <w:gridSpan w:val="2"/>
          </w:tcPr>
          <w:p>
            <w:pPr>
              <w:ind w:left="2940"/>
              <w:spacing w:after="0" w:line="148" w:lineRule="exact"/>
              <w:rPr>
                <w:sz w:val="20"/>
                <w:szCs w:val="20"/>
                <w:color w:val="auto"/>
              </w:rPr>
            </w:pPr>
            <w:r>
              <w:rPr>
                <w:rFonts w:ascii="Arial" w:cs="Arial" w:eastAsia="Arial" w:hAnsi="Arial"/>
                <w:sz w:val="14"/>
                <w:szCs w:val="14"/>
                <w:color w:val="76AD9A"/>
              </w:rPr>
              <w:t>10 % Depreciation</w:t>
            </w:r>
          </w:p>
        </w:tc>
        <w:tc>
          <w:tcPr>
            <w:tcW w:w="1360" w:type="dxa"/>
            <w:vAlign w:val="bottom"/>
            <w:gridSpan w:val="3"/>
          </w:tcPr>
          <w:p>
            <w:pPr>
              <w:jc w:val="right"/>
              <w:ind w:right="200"/>
              <w:spacing w:after="0" w:line="148" w:lineRule="exact"/>
              <w:rPr>
                <w:sz w:val="20"/>
                <w:szCs w:val="20"/>
                <w:color w:val="auto"/>
              </w:rPr>
            </w:pPr>
            <w:r>
              <w:rPr>
                <w:rFonts w:ascii="Arial" w:cs="Arial" w:eastAsia="Arial" w:hAnsi="Arial"/>
                <w:sz w:val="14"/>
                <w:szCs w:val="14"/>
                <w:color w:val="76AD9A"/>
              </w:rPr>
              <w:t>10% Appreciation</w:t>
            </w:r>
          </w:p>
        </w:tc>
        <w:tc>
          <w:tcPr>
            <w:tcW w:w="0" w:type="dxa"/>
            <w:vAlign w:val="bottom"/>
          </w:tcPr>
          <w:p>
            <w:pPr>
              <w:spacing w:after="0"/>
              <w:rPr>
                <w:sz w:val="1"/>
                <w:szCs w:val="1"/>
                <w:color w:val="auto"/>
              </w:rPr>
            </w:pPr>
          </w:p>
        </w:tc>
      </w:tr>
      <w:tr>
        <w:trPr>
          <w:trHeight w:val="20"/>
        </w:trPr>
        <w:tc>
          <w:tcPr>
            <w:tcW w:w="5740" w:type="dxa"/>
            <w:vAlign w:val="bottom"/>
            <w:shd w:val="clear" w:color="auto" w:fill="76AD9A"/>
          </w:tcPr>
          <w:p>
            <w:pPr>
              <w:spacing w:after="0" w:line="20" w:lineRule="exact"/>
              <w:rPr>
                <w:sz w:val="1"/>
                <w:szCs w:val="1"/>
                <w:color w:val="auto"/>
              </w:rPr>
            </w:pPr>
          </w:p>
        </w:tc>
        <w:tc>
          <w:tcPr>
            <w:tcW w:w="3300" w:type="dxa"/>
            <w:vAlign w:val="bottom"/>
            <w:shd w:val="clear" w:color="auto" w:fill="76AD9A"/>
          </w:tcPr>
          <w:p>
            <w:pPr>
              <w:spacing w:after="0" w:line="20" w:lineRule="exact"/>
              <w:rPr>
                <w:sz w:val="1"/>
                <w:szCs w:val="1"/>
                <w:color w:val="auto"/>
              </w:rPr>
            </w:pPr>
          </w:p>
        </w:tc>
        <w:tc>
          <w:tcPr>
            <w:tcW w:w="1020" w:type="dxa"/>
            <w:vAlign w:val="bottom"/>
            <w:shd w:val="clear" w:color="auto" w:fill="76AD9A"/>
          </w:tcPr>
          <w:p>
            <w:pPr>
              <w:spacing w:after="0" w:line="20" w:lineRule="exact"/>
              <w:rPr>
                <w:sz w:val="1"/>
                <w:szCs w:val="1"/>
                <w:color w:val="auto"/>
              </w:rPr>
            </w:pPr>
          </w:p>
        </w:tc>
        <w:tc>
          <w:tcPr>
            <w:tcW w:w="480" w:type="dxa"/>
            <w:vAlign w:val="bottom"/>
            <w:shd w:val="clear" w:color="auto" w:fill="76AD9A"/>
          </w:tcPr>
          <w:p>
            <w:pPr>
              <w:spacing w:after="0" w:line="20" w:lineRule="exact"/>
              <w:rPr>
                <w:sz w:val="1"/>
                <w:szCs w:val="1"/>
                <w:color w:val="auto"/>
              </w:rPr>
            </w:pPr>
          </w:p>
        </w:tc>
        <w:tc>
          <w:tcPr>
            <w:tcW w:w="680" w:type="dxa"/>
            <w:vAlign w:val="bottom"/>
            <w:shd w:val="clear" w:color="auto" w:fill="76AD9A"/>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40" w:type="dxa"/>
            <w:vAlign w:val="bottom"/>
          </w:tcPr>
          <w:p>
            <w:pPr>
              <w:spacing w:after="0" w:line="185" w:lineRule="exact"/>
              <w:rPr>
                <w:sz w:val="20"/>
                <w:szCs w:val="20"/>
                <w:color w:val="auto"/>
              </w:rPr>
            </w:pPr>
            <w:r>
              <w:rPr>
                <w:rFonts w:ascii="Arial" w:cs="Arial" w:eastAsia="Arial" w:hAnsi="Arial"/>
                <w:sz w:val="17"/>
                <w:szCs w:val="17"/>
                <w:color w:val="777679"/>
              </w:rPr>
              <w:t>Euro notes:</w:t>
            </w:r>
          </w:p>
        </w:tc>
        <w:tc>
          <w:tcPr>
            <w:tcW w:w="3300" w:type="dxa"/>
            <w:vAlign w:val="bottom"/>
          </w:tcPr>
          <w:p>
            <w:pPr>
              <w:spacing w:after="0"/>
              <w:rPr>
                <w:sz w:val="16"/>
                <w:szCs w:val="16"/>
                <w:color w:val="auto"/>
              </w:rPr>
            </w:pPr>
          </w:p>
        </w:tc>
        <w:tc>
          <w:tcPr>
            <w:tcW w:w="1020" w:type="dxa"/>
            <w:vAlign w:val="bottom"/>
            <w:vMerge w:val="restart"/>
          </w:tcPr>
          <w:p>
            <w:pPr>
              <w:jc w:val="right"/>
              <w:ind w:right="19"/>
              <w:spacing w:after="0"/>
              <w:rPr>
                <w:sz w:val="20"/>
                <w:szCs w:val="20"/>
                <w:color w:val="auto"/>
              </w:rPr>
            </w:pPr>
            <w:r>
              <w:rPr>
                <w:rFonts w:ascii="Arial" w:cs="Arial" w:eastAsia="Arial" w:hAnsi="Arial"/>
                <w:sz w:val="17"/>
                <w:szCs w:val="17"/>
                <w:color w:val="373535"/>
              </w:rPr>
              <w:t>26.4</w:t>
            </w:r>
            <w:r>
              <w:rPr>
                <w:rFonts w:ascii="Arial" w:cs="Arial" w:eastAsia="Arial" w:hAnsi="Arial"/>
                <w:sz w:val="24"/>
                <w:szCs w:val="24"/>
                <w:color w:val="373535"/>
                <w:vertAlign w:val="superscript"/>
              </w:rPr>
              <w:t>(1)</w:t>
            </w:r>
          </w:p>
        </w:tc>
        <w:tc>
          <w:tcPr>
            <w:tcW w:w="480" w:type="dxa"/>
            <w:vAlign w:val="bottom"/>
          </w:tcPr>
          <w:p>
            <w:pPr>
              <w:spacing w:after="0"/>
              <w:rPr>
                <w:sz w:val="16"/>
                <w:szCs w:val="16"/>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7"/>
                <w:szCs w:val="17"/>
                <w:color w:val="373535"/>
              </w:rPr>
              <w:t>(26.4)</w:t>
            </w:r>
            <w:r>
              <w:rPr>
                <w:rFonts w:ascii="Arial" w:cs="Arial" w:eastAsia="Arial" w:hAnsi="Arial"/>
                <w:sz w:val="24"/>
                <w:szCs w:val="24"/>
                <w:color w:val="373535"/>
                <w:vertAlign w:val="superscript"/>
              </w:rPr>
              <w:t>(1)</w:t>
            </w:r>
          </w:p>
        </w:tc>
        <w:tc>
          <w:tcPr>
            <w:tcW w:w="0" w:type="dxa"/>
            <w:vAlign w:val="bottom"/>
          </w:tcPr>
          <w:p>
            <w:pPr>
              <w:spacing w:after="0"/>
              <w:rPr>
                <w:sz w:val="1"/>
                <w:szCs w:val="1"/>
                <w:color w:val="auto"/>
              </w:rPr>
            </w:pPr>
          </w:p>
        </w:tc>
      </w:tr>
      <w:tr>
        <w:trPr>
          <w:trHeight w:val="189"/>
        </w:trPr>
        <w:tc>
          <w:tcPr>
            <w:tcW w:w="5740" w:type="dxa"/>
            <w:vAlign w:val="bottom"/>
          </w:tcPr>
          <w:p>
            <w:pPr>
              <w:spacing w:after="0" w:line="189" w:lineRule="exact"/>
              <w:rPr>
                <w:sz w:val="20"/>
                <w:szCs w:val="20"/>
                <w:color w:val="auto"/>
              </w:rPr>
            </w:pPr>
            <w:r>
              <w:rPr>
                <w:rFonts w:ascii="Arial" w:cs="Arial" w:eastAsia="Arial" w:hAnsi="Arial"/>
                <w:sz w:val="17"/>
                <w:szCs w:val="17"/>
                <w:color w:val="373535"/>
              </w:rPr>
              <w:t>€200.0, 4.86% Notes due June 2013</w:t>
            </w:r>
          </w:p>
        </w:tc>
        <w:tc>
          <w:tcPr>
            <w:tcW w:w="3300" w:type="dxa"/>
            <w:vAlign w:val="bottom"/>
          </w:tcPr>
          <w:p>
            <w:pPr>
              <w:ind w:left="2940"/>
              <w:spacing w:after="0" w:line="189" w:lineRule="exact"/>
              <w:rPr>
                <w:sz w:val="20"/>
                <w:szCs w:val="20"/>
                <w:color w:val="auto"/>
              </w:rPr>
            </w:pPr>
            <w:r>
              <w:rPr>
                <w:rFonts w:ascii="Arial" w:cs="Arial" w:eastAsia="Arial" w:hAnsi="Arial"/>
                <w:sz w:val="17"/>
                <w:szCs w:val="17"/>
                <w:color w:val="373535"/>
              </w:rPr>
              <w:t>$</w:t>
            </w:r>
          </w:p>
        </w:tc>
        <w:tc>
          <w:tcPr>
            <w:tcW w:w="1020" w:type="dxa"/>
            <w:vAlign w:val="bottom"/>
            <w:vMerge w:val="continue"/>
          </w:tcPr>
          <w:p>
            <w:pPr>
              <w:spacing w:after="0"/>
              <w:rPr>
                <w:sz w:val="16"/>
                <w:szCs w:val="16"/>
                <w:color w:val="auto"/>
              </w:rPr>
            </w:pPr>
          </w:p>
        </w:tc>
        <w:tc>
          <w:tcPr>
            <w:tcW w:w="480" w:type="dxa"/>
            <w:vAlign w:val="bottom"/>
          </w:tcPr>
          <w:p>
            <w:pPr>
              <w:jc w:val="right"/>
              <w:ind w:right="223"/>
              <w:spacing w:after="0" w:line="189" w:lineRule="exact"/>
              <w:rPr>
                <w:sz w:val="20"/>
                <w:szCs w:val="20"/>
                <w:color w:val="auto"/>
              </w:rPr>
            </w:pPr>
            <w:r>
              <w:rPr>
                <w:rFonts w:ascii="Arial" w:cs="Arial" w:eastAsia="Arial" w:hAnsi="Arial"/>
                <w:sz w:val="17"/>
                <w:szCs w:val="17"/>
                <w:color w:val="373535"/>
              </w:rPr>
              <w:t>$</w:t>
            </w: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20"/>
                <w:szCs w:val="20"/>
                <w:color w:val="auto"/>
              </w:rPr>
            </w:pPr>
            <w:r>
              <w:rPr>
                <w:rFonts w:ascii="Arial" w:cs="Arial" w:eastAsia="Arial" w:hAnsi="Arial"/>
                <w:sz w:val="17"/>
                <w:szCs w:val="17"/>
                <w:color w:val="373535"/>
              </w:rPr>
              <w:t>€350.0, 4.51% Notes due June 2018</w:t>
            </w:r>
          </w:p>
        </w:tc>
        <w:tc>
          <w:tcPr>
            <w:tcW w:w="3300" w:type="dxa"/>
            <w:vAlign w:val="bottom"/>
          </w:tcPr>
          <w:p>
            <w:pPr>
              <w:spacing w:after="0"/>
              <w:rPr>
                <w:sz w:val="17"/>
                <w:szCs w:val="17"/>
                <w:color w:val="auto"/>
              </w:rPr>
            </w:pPr>
          </w:p>
        </w:tc>
        <w:tc>
          <w:tcPr>
            <w:tcW w:w="1020" w:type="dxa"/>
            <w:vAlign w:val="bottom"/>
          </w:tcPr>
          <w:p>
            <w:pPr>
              <w:jc w:val="right"/>
              <w:ind w:right="19"/>
              <w:spacing w:after="0" w:line="199" w:lineRule="exact"/>
              <w:rPr>
                <w:sz w:val="20"/>
                <w:szCs w:val="20"/>
                <w:color w:val="auto"/>
              </w:rPr>
            </w:pPr>
            <w:r>
              <w:rPr>
                <w:rFonts w:ascii="Arial" w:cs="Arial" w:eastAsia="Arial" w:hAnsi="Arial"/>
                <w:sz w:val="17"/>
                <w:szCs w:val="17"/>
                <w:color w:val="373535"/>
              </w:rPr>
              <w:t>46.2</w:t>
            </w:r>
            <w:r>
              <w:rPr>
                <w:rFonts w:ascii="Arial" w:cs="Arial" w:eastAsia="Arial" w:hAnsi="Arial"/>
                <w:sz w:val="23"/>
                <w:szCs w:val="23"/>
                <w:color w:val="373535"/>
                <w:vertAlign w:val="superscript"/>
              </w:rPr>
              <w:t>(1)</w:t>
            </w:r>
          </w:p>
        </w:tc>
        <w:tc>
          <w:tcPr>
            <w:tcW w:w="480" w:type="dxa"/>
            <w:vAlign w:val="bottom"/>
          </w:tcPr>
          <w:p>
            <w:pPr>
              <w:spacing w:after="0"/>
              <w:rPr>
                <w:sz w:val="17"/>
                <w:szCs w:val="17"/>
                <w:color w:val="auto"/>
              </w:rPr>
            </w:pPr>
          </w:p>
        </w:tc>
        <w:tc>
          <w:tcPr>
            <w:tcW w:w="880" w:type="dxa"/>
            <w:vAlign w:val="bottom"/>
            <w:gridSpan w:val="2"/>
          </w:tcPr>
          <w:p>
            <w:pPr>
              <w:jc w:val="right"/>
              <w:spacing w:after="0" w:line="199" w:lineRule="exact"/>
              <w:rPr>
                <w:sz w:val="20"/>
                <w:szCs w:val="20"/>
                <w:color w:val="auto"/>
              </w:rPr>
            </w:pPr>
            <w:r>
              <w:rPr>
                <w:rFonts w:ascii="Arial" w:cs="Arial" w:eastAsia="Arial" w:hAnsi="Arial"/>
                <w:sz w:val="17"/>
                <w:szCs w:val="17"/>
                <w:color w:val="373535"/>
              </w:rPr>
              <w:t>(46.2)</w:t>
            </w:r>
            <w:r>
              <w:rPr>
                <w:rFonts w:ascii="Arial" w:cs="Arial" w:eastAsia="Arial" w:hAnsi="Arial"/>
                <w:sz w:val="23"/>
                <w:szCs w:val="23"/>
                <w:color w:val="373535"/>
                <w:vertAlign w:val="superscript"/>
              </w:rPr>
              <w:t>(1)</w:t>
            </w: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7"/>
                <w:szCs w:val="17"/>
                <w:color w:val="777679"/>
              </w:rPr>
              <w:t>Forward contracts:</w:t>
            </w:r>
          </w:p>
        </w:tc>
        <w:tc>
          <w:tcPr>
            <w:tcW w:w="3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740" w:type="dxa"/>
            <w:vAlign w:val="bottom"/>
          </w:tcPr>
          <w:p>
            <w:pPr>
              <w:spacing w:after="0" w:line="194" w:lineRule="exact"/>
              <w:rPr>
                <w:sz w:val="20"/>
                <w:szCs w:val="20"/>
                <w:color w:val="auto"/>
              </w:rPr>
            </w:pPr>
            <w:r>
              <w:rPr>
                <w:rFonts w:ascii="Arial" w:cs="Arial" w:eastAsia="Arial" w:hAnsi="Arial"/>
                <w:sz w:val="17"/>
                <w:szCs w:val="17"/>
                <w:color w:val="373535"/>
              </w:rPr>
              <w:t>£4.0 to $6.4</w:t>
            </w:r>
          </w:p>
        </w:tc>
        <w:tc>
          <w:tcPr>
            <w:tcW w:w="3300" w:type="dxa"/>
            <w:vAlign w:val="bottom"/>
          </w:tcPr>
          <w:p>
            <w:pPr>
              <w:spacing w:after="0"/>
              <w:rPr>
                <w:sz w:val="16"/>
                <w:szCs w:val="16"/>
                <w:color w:val="auto"/>
              </w:rPr>
            </w:pPr>
          </w:p>
        </w:tc>
        <w:tc>
          <w:tcPr>
            <w:tcW w:w="1020" w:type="dxa"/>
            <w:vAlign w:val="bottom"/>
          </w:tcPr>
          <w:p>
            <w:pPr>
              <w:jc w:val="right"/>
              <w:ind w:right="159"/>
              <w:spacing w:after="0" w:line="194" w:lineRule="exact"/>
              <w:rPr>
                <w:sz w:val="20"/>
                <w:szCs w:val="20"/>
                <w:color w:val="auto"/>
              </w:rPr>
            </w:pPr>
            <w:r>
              <w:rPr>
                <w:rFonts w:ascii="Arial" w:cs="Arial" w:eastAsia="Arial" w:hAnsi="Arial"/>
                <w:sz w:val="17"/>
                <w:szCs w:val="17"/>
                <w:color w:val="373535"/>
              </w:rPr>
              <w:t>0.6</w:t>
            </w:r>
          </w:p>
        </w:tc>
        <w:tc>
          <w:tcPr>
            <w:tcW w:w="480" w:type="dxa"/>
            <w:vAlign w:val="bottom"/>
          </w:tcPr>
          <w:p>
            <w:pPr>
              <w:spacing w:after="0"/>
              <w:rPr>
                <w:sz w:val="16"/>
                <w:szCs w:val="16"/>
                <w:color w:val="auto"/>
              </w:rPr>
            </w:pPr>
          </w:p>
        </w:tc>
        <w:tc>
          <w:tcPr>
            <w:tcW w:w="8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373535"/>
              </w:rPr>
              <w:t>(0.6)</w:t>
            </w:r>
          </w:p>
        </w:tc>
        <w:tc>
          <w:tcPr>
            <w:tcW w:w="0" w:type="dxa"/>
            <w:vAlign w:val="bottom"/>
          </w:tcPr>
          <w:p>
            <w:pPr>
              <w:spacing w:after="0"/>
              <w:rPr>
                <w:sz w:val="1"/>
                <w:szCs w:val="1"/>
                <w:color w:val="auto"/>
              </w:rPr>
            </w:pPr>
          </w:p>
        </w:tc>
      </w:tr>
      <w:tr>
        <w:trPr>
          <w:trHeight w:val="20"/>
        </w:trPr>
        <w:tc>
          <w:tcPr>
            <w:tcW w:w="5740" w:type="dxa"/>
            <w:vAlign w:val="bottom"/>
            <w:shd w:val="clear" w:color="auto" w:fill="717073"/>
          </w:tcPr>
          <w:p>
            <w:pPr>
              <w:spacing w:after="0" w:line="20" w:lineRule="exact"/>
              <w:rPr>
                <w:sz w:val="1"/>
                <w:szCs w:val="1"/>
                <w:color w:val="auto"/>
              </w:rPr>
            </w:pPr>
          </w:p>
        </w:tc>
        <w:tc>
          <w:tcPr>
            <w:tcW w:w="3300" w:type="dxa"/>
            <w:vAlign w:val="bottom"/>
            <w:shd w:val="clear" w:color="auto" w:fill="717073"/>
          </w:tcPr>
          <w:p>
            <w:pPr>
              <w:spacing w:after="0" w:line="20" w:lineRule="exact"/>
              <w:rPr>
                <w:sz w:val="1"/>
                <w:szCs w:val="1"/>
                <w:color w:val="auto"/>
              </w:rPr>
            </w:pPr>
          </w:p>
        </w:tc>
        <w:tc>
          <w:tcPr>
            <w:tcW w:w="1020" w:type="dxa"/>
            <w:vAlign w:val="bottom"/>
            <w:shd w:val="clear" w:color="auto" w:fill="717073"/>
          </w:tcPr>
          <w:p>
            <w:pPr>
              <w:spacing w:after="0" w:line="20" w:lineRule="exact"/>
              <w:rPr>
                <w:sz w:val="1"/>
                <w:szCs w:val="1"/>
                <w:color w:val="auto"/>
              </w:rPr>
            </w:pPr>
          </w:p>
        </w:tc>
        <w:tc>
          <w:tcPr>
            <w:tcW w:w="480" w:type="dxa"/>
            <w:vAlign w:val="bottom"/>
            <w:shd w:val="clear" w:color="auto" w:fill="717073"/>
          </w:tcPr>
          <w:p>
            <w:pPr>
              <w:spacing w:after="0" w:line="20" w:lineRule="exact"/>
              <w:rPr>
                <w:sz w:val="1"/>
                <w:szCs w:val="1"/>
                <w:color w:val="auto"/>
              </w:rPr>
            </w:pPr>
          </w:p>
        </w:tc>
        <w:tc>
          <w:tcPr>
            <w:tcW w:w="680" w:type="dxa"/>
            <w:vAlign w:val="bottom"/>
            <w:shd w:val="clear" w:color="auto" w:fill="71707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60" w:hanging="357"/>
        <w:spacing w:after="0" w:line="250" w:lineRule="auto"/>
        <w:tabs>
          <w:tab w:leader="none" w:pos="360" w:val="left"/>
        </w:tabs>
        <w:numPr>
          <w:ilvl w:val="0"/>
          <w:numId w:val="99"/>
        </w:numPr>
        <w:rPr>
          <w:rFonts w:ascii="Arial" w:cs="Arial" w:eastAsia="Arial" w:hAnsi="Arial"/>
          <w:sz w:val="17"/>
          <w:szCs w:val="17"/>
          <w:color w:val="373535"/>
        </w:rPr>
      </w:pPr>
      <w:r>
        <w:rPr>
          <w:rFonts w:ascii="Arial" w:cs="Arial" w:eastAsia="Arial" w:hAnsi="Arial"/>
          <w:sz w:val="17"/>
          <w:szCs w:val="17"/>
          <w:color w:val="373535"/>
        </w:rPr>
        <w:t>Exchange rate movements are recorded through accumulated other comprehensive income as these instruments have been designated as an economic hedge of our net investment in subsidiaries with a euro-functional currency.</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The hypothetical changes in the fair value of our market sensitive instruments due to changes in interest rates, and changes in foreign currency exchange rates for the forward contracts, are as follows: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76AD9A"/>
        </w:rPr>
        <w:t>As of December 31, 2013</w:t>
      </w:r>
    </w:p>
    <w:p>
      <w:pPr>
        <w:sectPr>
          <w:pgSz w:w="11900" w:h="16838" w:orient="portrait"/>
          <w:cols w:equalWidth="0" w:num="1">
            <w:col w:w="11420"/>
          </w:cols>
          <w:pgMar w:left="240" w:top="653"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76AD9A"/>
        </w:rPr>
        <w:t>Market Sensitive Instrument (in millions)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76AD9A"/>
        </w:rPr>
        <w:t>10% Decrease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76AD9A"/>
        </w:rPr>
        <w:t>10% Increase</w:t>
      </w:r>
    </w:p>
    <w:p>
      <w:pPr>
        <w:spacing w:after="0" w:line="25" w:lineRule="exact"/>
        <w:rPr>
          <w:sz w:val="20"/>
          <w:szCs w:val="20"/>
          <w:color w:val="auto"/>
        </w:rPr>
      </w:pPr>
    </w:p>
    <w:p>
      <w:pPr>
        <w:sectPr>
          <w:pgSz w:w="11900" w:h="16838" w:orient="portrait"/>
          <w:cols w:equalWidth="0" w:num="3">
            <w:col w:w="8260" w:space="720"/>
            <w:col w:w="900" w:space="500"/>
            <w:col w:w="1040"/>
          </w:cols>
          <w:pgMar w:left="240" w:top="653"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840" w:type="dxa"/>
            <w:vAlign w:val="bottom"/>
            <w:shd w:val="clear" w:color="auto" w:fill="76AD9A"/>
          </w:tcPr>
          <w:p>
            <w:pPr>
              <w:spacing w:after="0" w:line="20" w:lineRule="exact"/>
              <w:rPr>
                <w:sz w:val="1"/>
                <w:szCs w:val="1"/>
                <w:color w:val="auto"/>
              </w:rPr>
            </w:pPr>
          </w:p>
        </w:tc>
        <w:tc>
          <w:tcPr>
            <w:tcW w:w="3120" w:type="dxa"/>
            <w:vAlign w:val="bottom"/>
            <w:shd w:val="clear" w:color="auto" w:fill="76AD9A"/>
          </w:tcPr>
          <w:p>
            <w:pPr>
              <w:spacing w:after="0" w:line="20" w:lineRule="exact"/>
              <w:rPr>
                <w:sz w:val="1"/>
                <w:szCs w:val="1"/>
                <w:color w:val="auto"/>
              </w:rPr>
            </w:pPr>
          </w:p>
        </w:tc>
        <w:tc>
          <w:tcPr>
            <w:tcW w:w="1160" w:type="dxa"/>
            <w:vAlign w:val="bottom"/>
            <w:shd w:val="clear" w:color="auto" w:fill="76AD9A"/>
          </w:tcPr>
          <w:p>
            <w:pPr>
              <w:spacing w:after="0" w:line="20" w:lineRule="exact"/>
              <w:rPr>
                <w:sz w:val="1"/>
                <w:szCs w:val="1"/>
                <w:color w:val="auto"/>
              </w:rPr>
            </w:pPr>
          </w:p>
        </w:tc>
        <w:tc>
          <w:tcPr>
            <w:tcW w:w="220" w:type="dxa"/>
            <w:vAlign w:val="bottom"/>
            <w:shd w:val="clear" w:color="auto" w:fill="76AD9A"/>
          </w:tcPr>
          <w:p>
            <w:pPr>
              <w:spacing w:after="0" w:line="20" w:lineRule="exact"/>
              <w:rPr>
                <w:sz w:val="1"/>
                <w:szCs w:val="1"/>
                <w:color w:val="auto"/>
              </w:rPr>
            </w:pPr>
          </w:p>
        </w:tc>
        <w:tc>
          <w:tcPr>
            <w:tcW w:w="880" w:type="dxa"/>
            <w:vAlign w:val="bottom"/>
            <w:shd w:val="clear" w:color="auto" w:fill="76AD9A"/>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40" w:type="dxa"/>
            <w:vAlign w:val="bottom"/>
          </w:tcPr>
          <w:p>
            <w:pPr>
              <w:spacing w:after="0" w:line="151" w:lineRule="exact"/>
              <w:rPr>
                <w:sz w:val="20"/>
                <w:szCs w:val="20"/>
                <w:color w:val="auto"/>
              </w:rPr>
            </w:pPr>
            <w:r>
              <w:rPr>
                <w:rFonts w:ascii="Arial" w:cs="Arial" w:eastAsia="Arial" w:hAnsi="Arial"/>
                <w:sz w:val="17"/>
                <w:szCs w:val="17"/>
                <w:color w:val="777679"/>
              </w:rPr>
              <w:t>Fixed-rate debt:</w:t>
            </w:r>
          </w:p>
        </w:tc>
        <w:tc>
          <w:tcPr>
            <w:tcW w:w="3120" w:type="dxa"/>
            <w:vAlign w:val="bottom"/>
          </w:tcPr>
          <w:p>
            <w:pPr>
              <w:spacing w:after="0"/>
              <w:rPr>
                <w:sz w:val="13"/>
                <w:szCs w:val="13"/>
                <w:color w:val="auto"/>
              </w:rPr>
            </w:pPr>
          </w:p>
        </w:tc>
        <w:tc>
          <w:tcPr>
            <w:tcW w:w="1160" w:type="dxa"/>
            <w:vAlign w:val="bottom"/>
            <w:vMerge w:val="restart"/>
          </w:tcPr>
          <w:p>
            <w:pPr>
              <w:jc w:val="right"/>
              <w:ind w:right="17"/>
              <w:spacing w:after="0"/>
              <w:rPr>
                <w:sz w:val="20"/>
                <w:szCs w:val="20"/>
                <w:color w:val="auto"/>
              </w:rPr>
            </w:pPr>
            <w:r>
              <w:rPr>
                <w:rFonts w:ascii="Arial" w:cs="Arial" w:eastAsia="Arial" w:hAnsi="Arial"/>
                <w:sz w:val="17"/>
                <w:szCs w:val="17"/>
                <w:color w:val="373535"/>
              </w:rPr>
              <w:t>52.0</w:t>
            </w:r>
            <w:r>
              <w:rPr>
                <w:rFonts w:ascii="Arial" w:cs="Arial" w:eastAsia="Arial" w:hAnsi="Arial"/>
                <w:sz w:val="24"/>
                <w:szCs w:val="24"/>
                <w:color w:val="373535"/>
                <w:vertAlign w:val="superscript"/>
              </w:rPr>
              <w:t>(1)</w:t>
            </w:r>
          </w:p>
        </w:tc>
        <w:tc>
          <w:tcPr>
            <w:tcW w:w="220" w:type="dxa"/>
            <w:vAlign w:val="bottom"/>
          </w:tcPr>
          <w:p>
            <w:pPr>
              <w:spacing w:after="0"/>
              <w:rPr>
                <w:sz w:val="13"/>
                <w:szCs w:val="13"/>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373535"/>
              </w:rPr>
              <w:t>(52.0)</w:t>
            </w:r>
            <w:r>
              <w:rPr>
                <w:rFonts w:ascii="Arial" w:cs="Arial" w:eastAsia="Arial" w:hAnsi="Arial"/>
                <w:sz w:val="24"/>
                <w:szCs w:val="24"/>
                <w:color w:val="373535"/>
                <w:vertAlign w:val="superscript"/>
              </w:rPr>
              <w:t>(1)</w:t>
            </w:r>
          </w:p>
        </w:tc>
        <w:tc>
          <w:tcPr>
            <w:tcW w:w="0" w:type="dxa"/>
            <w:vAlign w:val="bottom"/>
          </w:tcPr>
          <w:p>
            <w:pPr>
              <w:spacing w:after="0"/>
              <w:rPr>
                <w:sz w:val="1"/>
                <w:szCs w:val="1"/>
                <w:color w:val="auto"/>
              </w:rPr>
            </w:pPr>
          </w:p>
        </w:tc>
      </w:tr>
      <w:tr>
        <w:trPr>
          <w:trHeight w:val="194"/>
        </w:trPr>
        <w:tc>
          <w:tcPr>
            <w:tcW w:w="5840" w:type="dxa"/>
            <w:vAlign w:val="bottom"/>
          </w:tcPr>
          <w:p>
            <w:pPr>
              <w:spacing w:after="0" w:line="194" w:lineRule="exact"/>
              <w:rPr>
                <w:sz w:val="20"/>
                <w:szCs w:val="20"/>
                <w:color w:val="auto"/>
              </w:rPr>
            </w:pPr>
            <w:r>
              <w:rPr>
                <w:rFonts w:ascii="Arial" w:cs="Arial" w:eastAsia="Arial" w:hAnsi="Arial"/>
                <w:sz w:val="17"/>
                <w:szCs w:val="17"/>
                <w:color w:val="373535"/>
              </w:rPr>
              <w:t>€350.0, 4.51% Notes due June 2018</w:t>
            </w:r>
          </w:p>
        </w:tc>
        <w:tc>
          <w:tcPr>
            <w:tcW w:w="312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1160" w:type="dxa"/>
            <w:vAlign w:val="bottom"/>
            <w:vMerge w:val="continue"/>
          </w:tcPr>
          <w:p>
            <w:pPr>
              <w:spacing w:after="0"/>
              <w:rPr>
                <w:sz w:val="16"/>
                <w:szCs w:val="16"/>
                <w:color w:val="auto"/>
              </w:rPr>
            </w:pPr>
          </w:p>
        </w:tc>
        <w:tc>
          <w:tcPr>
            <w:tcW w:w="22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Arial" w:cs="Arial" w:eastAsia="Arial" w:hAnsi="Arial"/>
                <w:sz w:val="17"/>
                <w:szCs w:val="17"/>
                <w:color w:val="777679"/>
              </w:rPr>
              <w:t>Forward contracts:</w:t>
            </w:r>
          </w:p>
        </w:tc>
        <w:tc>
          <w:tcPr>
            <w:tcW w:w="3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373535"/>
              </w:rPr>
              <w:t>(1.3)</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20"/>
                <w:szCs w:val="20"/>
                <w:color w:val="auto"/>
              </w:rPr>
            </w:pPr>
            <w:r>
              <w:rPr>
                <w:rFonts w:ascii="Arial" w:cs="Arial" w:eastAsia="Arial" w:hAnsi="Arial"/>
                <w:sz w:val="17"/>
                <w:szCs w:val="17"/>
                <w:color w:val="373535"/>
              </w:rPr>
              <w:t>£7.8 to $12.5</w:t>
            </w:r>
          </w:p>
        </w:tc>
        <w:tc>
          <w:tcPr>
            <w:tcW w:w="3120" w:type="dxa"/>
            <w:vAlign w:val="bottom"/>
          </w:tcPr>
          <w:p>
            <w:pPr>
              <w:spacing w:after="0"/>
              <w:rPr>
                <w:sz w:val="16"/>
                <w:szCs w:val="16"/>
                <w:color w:val="auto"/>
              </w:rPr>
            </w:pPr>
          </w:p>
        </w:tc>
        <w:tc>
          <w:tcPr>
            <w:tcW w:w="1160" w:type="dxa"/>
            <w:vAlign w:val="bottom"/>
          </w:tcPr>
          <w:p>
            <w:pPr>
              <w:jc w:val="right"/>
              <w:ind w:right="157"/>
              <w:spacing w:after="0"/>
              <w:rPr>
                <w:sz w:val="20"/>
                <w:szCs w:val="20"/>
                <w:color w:val="auto"/>
              </w:rPr>
            </w:pPr>
            <w:r>
              <w:rPr>
                <w:rFonts w:ascii="Arial" w:cs="Arial" w:eastAsia="Arial" w:hAnsi="Arial"/>
                <w:sz w:val="17"/>
                <w:szCs w:val="17"/>
                <w:color w:val="373535"/>
              </w:rPr>
              <w:t>1.3</w:t>
            </w: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5840" w:type="dxa"/>
            <w:vAlign w:val="bottom"/>
            <w:tcBorders>
              <w:top w:val="single" w:sz="8" w:color="717073"/>
            </w:tcBorders>
          </w:tcPr>
          <w:p>
            <w:pPr>
              <w:spacing w:after="0"/>
              <w:rPr>
                <w:sz w:val="20"/>
                <w:szCs w:val="20"/>
                <w:color w:val="auto"/>
              </w:rPr>
            </w:pPr>
            <w:r>
              <w:rPr>
                <w:rFonts w:ascii="Arial" w:cs="Arial" w:eastAsia="Arial" w:hAnsi="Arial"/>
                <w:sz w:val="14"/>
                <w:szCs w:val="14"/>
                <w:color w:val="76AD9A"/>
              </w:rPr>
              <w:t>As of December 31, 2012</w:t>
            </w:r>
          </w:p>
        </w:tc>
        <w:tc>
          <w:tcPr>
            <w:tcW w:w="3120" w:type="dxa"/>
            <w:vAlign w:val="bottom"/>
            <w:tcBorders>
              <w:top w:val="single" w:sz="8" w:color="717073"/>
            </w:tcBorders>
          </w:tcPr>
          <w:p>
            <w:pPr>
              <w:spacing w:after="0"/>
              <w:rPr>
                <w:sz w:val="24"/>
                <w:szCs w:val="24"/>
                <w:color w:val="auto"/>
              </w:rPr>
            </w:pPr>
          </w:p>
        </w:tc>
        <w:tc>
          <w:tcPr>
            <w:tcW w:w="1160" w:type="dxa"/>
            <w:vAlign w:val="bottom"/>
            <w:tcBorders>
              <w:top w:val="single" w:sz="8" w:color="717073"/>
            </w:tcBorders>
          </w:tcPr>
          <w:p>
            <w:pPr>
              <w:spacing w:after="0"/>
              <w:rPr>
                <w:sz w:val="24"/>
                <w:szCs w:val="24"/>
                <w:color w:val="auto"/>
              </w:rPr>
            </w:pPr>
          </w:p>
        </w:tc>
        <w:tc>
          <w:tcPr>
            <w:tcW w:w="220" w:type="dxa"/>
            <w:vAlign w:val="bottom"/>
            <w:tcBorders>
              <w:top w:val="single" w:sz="8" w:color="717073"/>
            </w:tcBorders>
          </w:tcPr>
          <w:p>
            <w:pPr>
              <w:spacing w:after="0"/>
              <w:rPr>
                <w:sz w:val="24"/>
                <w:szCs w:val="24"/>
                <w:color w:val="auto"/>
              </w:rPr>
            </w:pPr>
          </w:p>
        </w:tc>
        <w:tc>
          <w:tcPr>
            <w:tcW w:w="880" w:type="dxa"/>
            <w:vAlign w:val="bottom"/>
            <w:tcBorders>
              <w:top w:val="single" w:sz="8" w:color="717073"/>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840" w:type="dxa"/>
            <w:vAlign w:val="bottom"/>
            <w:tcBorders>
              <w:bottom w:val="single" w:sz="8" w:color="76AD9A"/>
            </w:tcBorders>
          </w:tcPr>
          <w:p>
            <w:pPr>
              <w:spacing w:after="0" w:line="151" w:lineRule="exact"/>
              <w:rPr>
                <w:sz w:val="20"/>
                <w:szCs w:val="20"/>
                <w:color w:val="auto"/>
              </w:rPr>
            </w:pPr>
            <w:r>
              <w:rPr>
                <w:rFonts w:ascii="Arial" w:cs="Arial" w:eastAsia="Arial" w:hAnsi="Arial"/>
                <w:sz w:val="14"/>
                <w:szCs w:val="14"/>
                <w:color w:val="76AD9A"/>
              </w:rPr>
              <w:t>Market Sensitive Instrument (in millions)</w:t>
            </w:r>
          </w:p>
        </w:tc>
        <w:tc>
          <w:tcPr>
            <w:tcW w:w="3120" w:type="dxa"/>
            <w:vAlign w:val="bottom"/>
            <w:tcBorders>
              <w:bottom w:val="single" w:sz="8" w:color="76AD9A"/>
            </w:tcBorders>
          </w:tcPr>
          <w:p>
            <w:pPr>
              <w:spacing w:after="0"/>
              <w:rPr>
                <w:sz w:val="13"/>
                <w:szCs w:val="13"/>
                <w:color w:val="auto"/>
              </w:rPr>
            </w:pPr>
          </w:p>
        </w:tc>
        <w:tc>
          <w:tcPr>
            <w:tcW w:w="1160" w:type="dxa"/>
            <w:vAlign w:val="bottom"/>
            <w:tcBorders>
              <w:bottom w:val="single" w:sz="8" w:color="76AD9A"/>
            </w:tcBorders>
          </w:tcPr>
          <w:p>
            <w:pPr>
              <w:jc w:val="right"/>
              <w:ind w:right="157"/>
              <w:spacing w:after="0" w:line="151" w:lineRule="exact"/>
              <w:rPr>
                <w:sz w:val="20"/>
                <w:szCs w:val="20"/>
                <w:color w:val="auto"/>
              </w:rPr>
            </w:pPr>
            <w:r>
              <w:rPr>
                <w:rFonts w:ascii="Arial" w:cs="Arial" w:eastAsia="Arial" w:hAnsi="Arial"/>
                <w:sz w:val="14"/>
                <w:szCs w:val="14"/>
                <w:color w:val="76AD9A"/>
                <w:w w:val="97"/>
              </w:rPr>
              <w:t>10% Decrease</w:t>
            </w:r>
          </w:p>
        </w:tc>
        <w:tc>
          <w:tcPr>
            <w:tcW w:w="220" w:type="dxa"/>
            <w:vAlign w:val="bottom"/>
            <w:tcBorders>
              <w:bottom w:val="single" w:sz="8" w:color="76AD9A"/>
            </w:tcBorders>
          </w:tcPr>
          <w:p>
            <w:pPr>
              <w:spacing w:after="0"/>
              <w:rPr>
                <w:sz w:val="13"/>
                <w:szCs w:val="13"/>
                <w:color w:val="auto"/>
              </w:rPr>
            </w:pPr>
          </w:p>
        </w:tc>
        <w:tc>
          <w:tcPr>
            <w:tcW w:w="880" w:type="dxa"/>
            <w:vAlign w:val="bottom"/>
            <w:tcBorders>
              <w:bottom w:val="single" w:sz="8" w:color="76AD9A"/>
            </w:tcBorders>
          </w:tcPr>
          <w:p>
            <w:pPr>
              <w:ind w:left="40"/>
              <w:spacing w:after="0" w:line="151" w:lineRule="exact"/>
              <w:rPr>
                <w:sz w:val="20"/>
                <w:szCs w:val="20"/>
                <w:color w:val="auto"/>
              </w:rPr>
            </w:pPr>
            <w:r>
              <w:rPr>
                <w:rFonts w:ascii="Arial" w:cs="Arial" w:eastAsia="Arial" w:hAnsi="Arial"/>
                <w:sz w:val="14"/>
                <w:szCs w:val="14"/>
                <w:color w:val="76AD9A"/>
                <w:w w:val="95"/>
              </w:rPr>
              <w:t>10% Increase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840" w:type="dxa"/>
            <w:vAlign w:val="bottom"/>
          </w:tcPr>
          <w:p>
            <w:pPr>
              <w:spacing w:after="0" w:line="185" w:lineRule="exact"/>
              <w:rPr>
                <w:sz w:val="20"/>
                <w:szCs w:val="20"/>
                <w:color w:val="auto"/>
              </w:rPr>
            </w:pPr>
            <w:r>
              <w:rPr>
                <w:rFonts w:ascii="Arial" w:cs="Arial" w:eastAsia="Arial" w:hAnsi="Arial"/>
                <w:sz w:val="17"/>
                <w:szCs w:val="17"/>
                <w:color w:val="777679"/>
              </w:rPr>
              <w:t>Fixed-rate debt:</w:t>
            </w:r>
          </w:p>
        </w:tc>
        <w:tc>
          <w:tcPr>
            <w:tcW w:w="3120" w:type="dxa"/>
            <w:vAlign w:val="bottom"/>
          </w:tcPr>
          <w:p>
            <w:pPr>
              <w:spacing w:after="0"/>
              <w:rPr>
                <w:sz w:val="16"/>
                <w:szCs w:val="16"/>
                <w:color w:val="auto"/>
              </w:rPr>
            </w:pPr>
          </w:p>
        </w:tc>
        <w:tc>
          <w:tcPr>
            <w:tcW w:w="1160" w:type="dxa"/>
            <w:vAlign w:val="bottom"/>
            <w:vMerge w:val="restart"/>
          </w:tcPr>
          <w:p>
            <w:pPr>
              <w:jc w:val="right"/>
              <w:ind w:right="17"/>
              <w:spacing w:after="0"/>
              <w:rPr>
                <w:sz w:val="20"/>
                <w:szCs w:val="20"/>
                <w:color w:val="auto"/>
              </w:rPr>
            </w:pPr>
            <w:r>
              <w:rPr>
                <w:rFonts w:ascii="Arial" w:cs="Arial" w:eastAsia="Arial" w:hAnsi="Arial"/>
                <w:sz w:val="17"/>
                <w:szCs w:val="17"/>
                <w:color w:val="373535"/>
              </w:rPr>
              <w:t>26.8</w:t>
            </w:r>
            <w:r>
              <w:rPr>
                <w:rFonts w:ascii="Arial" w:cs="Arial" w:eastAsia="Arial" w:hAnsi="Arial"/>
                <w:sz w:val="24"/>
                <w:szCs w:val="24"/>
                <w:color w:val="373535"/>
                <w:vertAlign w:val="superscript"/>
              </w:rPr>
              <w:t>(1)</w:t>
            </w:r>
          </w:p>
        </w:tc>
        <w:tc>
          <w:tcPr>
            <w:tcW w:w="220" w:type="dxa"/>
            <w:vAlign w:val="bottom"/>
          </w:tcPr>
          <w:p>
            <w:pPr>
              <w:spacing w:after="0"/>
              <w:rPr>
                <w:sz w:val="16"/>
                <w:szCs w:val="16"/>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7"/>
                <w:szCs w:val="17"/>
                <w:color w:val="373535"/>
              </w:rPr>
              <w:t>(26.8)</w:t>
            </w:r>
            <w:r>
              <w:rPr>
                <w:rFonts w:ascii="Arial" w:cs="Arial" w:eastAsia="Arial" w:hAnsi="Arial"/>
                <w:sz w:val="24"/>
                <w:szCs w:val="24"/>
                <w:color w:val="373535"/>
                <w:vertAlign w:val="superscript"/>
              </w:rPr>
              <w:t>(1)</w:t>
            </w: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7"/>
                <w:szCs w:val="17"/>
                <w:color w:val="373535"/>
              </w:rPr>
              <w:t>€200.0, 4.86% Notes due June 2013</w:t>
            </w:r>
          </w:p>
        </w:tc>
        <w:tc>
          <w:tcPr>
            <w:tcW w:w="3120" w:type="dxa"/>
            <w:vAlign w:val="bottom"/>
          </w:tcPr>
          <w:p>
            <w:pPr>
              <w:jc w:val="right"/>
              <w:spacing w:after="0" w:line="189" w:lineRule="exact"/>
              <w:rPr>
                <w:sz w:val="20"/>
                <w:szCs w:val="20"/>
                <w:color w:val="auto"/>
              </w:rPr>
            </w:pPr>
            <w:r>
              <w:rPr>
                <w:rFonts w:ascii="Arial" w:cs="Arial" w:eastAsia="Arial" w:hAnsi="Arial"/>
                <w:sz w:val="17"/>
                <w:szCs w:val="17"/>
                <w:color w:val="373535"/>
              </w:rPr>
              <w:t>$</w:t>
            </w:r>
          </w:p>
        </w:tc>
        <w:tc>
          <w:tcPr>
            <w:tcW w:w="1160" w:type="dxa"/>
            <w:vAlign w:val="bottom"/>
            <w:vMerge w:val="continue"/>
          </w:tcPr>
          <w:p>
            <w:pPr>
              <w:spacing w:after="0"/>
              <w:rPr>
                <w:sz w:val="16"/>
                <w:szCs w:val="16"/>
                <w:color w:val="auto"/>
              </w:rPr>
            </w:pPr>
          </w:p>
        </w:tc>
        <w:tc>
          <w:tcPr>
            <w:tcW w:w="220" w:type="dxa"/>
            <w:vAlign w:val="bottom"/>
          </w:tcPr>
          <w:p>
            <w:pPr>
              <w:jc w:val="right"/>
              <w:spacing w:after="0" w:line="189" w:lineRule="exact"/>
              <w:rPr>
                <w:sz w:val="20"/>
                <w:szCs w:val="20"/>
                <w:color w:val="auto"/>
              </w:rPr>
            </w:pPr>
            <w:r>
              <w:rPr>
                <w:rFonts w:ascii="Arial" w:cs="Arial" w:eastAsia="Arial" w:hAnsi="Arial"/>
                <w:sz w:val="17"/>
                <w:szCs w:val="17"/>
                <w:color w:val="373535"/>
              </w:rPr>
              <w:t>$</w:t>
            </w: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40" w:type="dxa"/>
            <w:vAlign w:val="bottom"/>
          </w:tcPr>
          <w:p>
            <w:pPr>
              <w:spacing w:after="0"/>
              <w:rPr>
                <w:sz w:val="20"/>
                <w:szCs w:val="20"/>
                <w:color w:val="auto"/>
              </w:rPr>
            </w:pPr>
            <w:r>
              <w:rPr>
                <w:rFonts w:ascii="Arial" w:cs="Arial" w:eastAsia="Arial" w:hAnsi="Arial"/>
                <w:sz w:val="17"/>
                <w:szCs w:val="17"/>
                <w:color w:val="373535"/>
              </w:rPr>
              <w:t>€350.0, 4.51% Notes due June 2018</w:t>
            </w:r>
          </w:p>
        </w:tc>
        <w:tc>
          <w:tcPr>
            <w:tcW w:w="3120" w:type="dxa"/>
            <w:vAlign w:val="bottom"/>
          </w:tcPr>
          <w:p>
            <w:pPr>
              <w:spacing w:after="0"/>
              <w:rPr>
                <w:sz w:val="17"/>
                <w:szCs w:val="17"/>
                <w:color w:val="auto"/>
              </w:rPr>
            </w:pPr>
          </w:p>
        </w:tc>
        <w:tc>
          <w:tcPr>
            <w:tcW w:w="1160" w:type="dxa"/>
            <w:vAlign w:val="bottom"/>
          </w:tcPr>
          <w:p>
            <w:pPr>
              <w:jc w:val="right"/>
              <w:ind w:right="17"/>
              <w:spacing w:after="0" w:line="199" w:lineRule="exact"/>
              <w:rPr>
                <w:sz w:val="20"/>
                <w:szCs w:val="20"/>
                <w:color w:val="auto"/>
              </w:rPr>
            </w:pPr>
            <w:r>
              <w:rPr>
                <w:rFonts w:ascii="Arial" w:cs="Arial" w:eastAsia="Arial" w:hAnsi="Arial"/>
                <w:sz w:val="17"/>
                <w:szCs w:val="17"/>
                <w:color w:val="373535"/>
              </w:rPr>
              <w:t>51.1</w:t>
            </w:r>
            <w:r>
              <w:rPr>
                <w:rFonts w:ascii="Arial" w:cs="Arial" w:eastAsia="Arial" w:hAnsi="Arial"/>
                <w:sz w:val="23"/>
                <w:szCs w:val="23"/>
                <w:color w:val="373535"/>
                <w:vertAlign w:val="superscript"/>
              </w:rPr>
              <w:t>(1)</w:t>
            </w:r>
          </w:p>
        </w:tc>
        <w:tc>
          <w:tcPr>
            <w:tcW w:w="220" w:type="dxa"/>
            <w:vAlign w:val="bottom"/>
          </w:tcPr>
          <w:p>
            <w:pPr>
              <w:spacing w:after="0"/>
              <w:rPr>
                <w:sz w:val="17"/>
                <w:szCs w:val="17"/>
                <w:color w:val="auto"/>
              </w:rPr>
            </w:pPr>
          </w:p>
        </w:tc>
        <w:tc>
          <w:tcPr>
            <w:tcW w:w="1080" w:type="dxa"/>
            <w:vAlign w:val="bottom"/>
            <w:gridSpan w:val="2"/>
          </w:tcPr>
          <w:p>
            <w:pPr>
              <w:jc w:val="right"/>
              <w:spacing w:after="0" w:line="199" w:lineRule="exact"/>
              <w:rPr>
                <w:sz w:val="20"/>
                <w:szCs w:val="20"/>
                <w:color w:val="auto"/>
              </w:rPr>
            </w:pPr>
            <w:r>
              <w:rPr>
                <w:rFonts w:ascii="Arial" w:cs="Arial" w:eastAsia="Arial" w:hAnsi="Arial"/>
                <w:sz w:val="17"/>
                <w:szCs w:val="17"/>
                <w:color w:val="373535"/>
              </w:rPr>
              <w:t>(51.1)</w:t>
            </w:r>
            <w:r>
              <w:rPr>
                <w:rFonts w:ascii="Arial" w:cs="Arial" w:eastAsia="Arial" w:hAnsi="Arial"/>
                <w:sz w:val="23"/>
                <w:szCs w:val="23"/>
                <w:color w:val="373535"/>
                <w:vertAlign w:val="superscript"/>
              </w:rPr>
              <w:t>(1)</w:t>
            </w:r>
          </w:p>
        </w:tc>
        <w:tc>
          <w:tcPr>
            <w:tcW w:w="0" w:type="dxa"/>
            <w:vAlign w:val="bottom"/>
          </w:tcPr>
          <w:p>
            <w:pPr>
              <w:spacing w:after="0"/>
              <w:rPr>
                <w:sz w:val="1"/>
                <w:szCs w:val="1"/>
                <w:color w:val="auto"/>
              </w:rPr>
            </w:pPr>
          </w:p>
        </w:tc>
      </w:tr>
      <w:tr>
        <w:trPr>
          <w:trHeight w:val="206"/>
        </w:trPr>
        <w:tc>
          <w:tcPr>
            <w:tcW w:w="5840" w:type="dxa"/>
            <w:vAlign w:val="bottom"/>
          </w:tcPr>
          <w:p>
            <w:pPr>
              <w:spacing w:after="0"/>
              <w:rPr>
                <w:sz w:val="20"/>
                <w:szCs w:val="20"/>
                <w:color w:val="auto"/>
              </w:rPr>
            </w:pPr>
            <w:r>
              <w:rPr>
                <w:rFonts w:ascii="Arial" w:cs="Arial" w:eastAsia="Arial" w:hAnsi="Arial"/>
                <w:sz w:val="17"/>
                <w:szCs w:val="17"/>
                <w:color w:val="777679"/>
              </w:rPr>
              <w:t>Forward contracts:</w:t>
            </w:r>
          </w:p>
        </w:tc>
        <w:tc>
          <w:tcPr>
            <w:tcW w:w="3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373535"/>
              </w:rPr>
              <w:t>(0.6)</w:t>
            </w:r>
          </w:p>
        </w:tc>
        <w:tc>
          <w:tcPr>
            <w:tcW w:w="0" w:type="dxa"/>
            <w:vAlign w:val="bottom"/>
          </w:tcPr>
          <w:p>
            <w:pPr>
              <w:spacing w:after="0"/>
              <w:rPr>
                <w:sz w:val="1"/>
                <w:szCs w:val="1"/>
                <w:color w:val="auto"/>
              </w:rPr>
            </w:pPr>
          </w:p>
        </w:tc>
      </w:tr>
      <w:tr>
        <w:trPr>
          <w:trHeight w:val="195"/>
        </w:trPr>
        <w:tc>
          <w:tcPr>
            <w:tcW w:w="5840" w:type="dxa"/>
            <w:vAlign w:val="bottom"/>
          </w:tcPr>
          <w:p>
            <w:pPr>
              <w:spacing w:after="0"/>
              <w:rPr>
                <w:sz w:val="20"/>
                <w:szCs w:val="20"/>
                <w:color w:val="auto"/>
              </w:rPr>
            </w:pPr>
            <w:r>
              <w:rPr>
                <w:rFonts w:ascii="Arial" w:cs="Arial" w:eastAsia="Arial" w:hAnsi="Arial"/>
                <w:sz w:val="17"/>
                <w:szCs w:val="17"/>
                <w:color w:val="373535"/>
              </w:rPr>
              <w:t>£4.0 to $6.4</w:t>
            </w:r>
          </w:p>
        </w:tc>
        <w:tc>
          <w:tcPr>
            <w:tcW w:w="3120" w:type="dxa"/>
            <w:vAlign w:val="bottom"/>
          </w:tcPr>
          <w:p>
            <w:pPr>
              <w:spacing w:after="0"/>
              <w:rPr>
                <w:sz w:val="16"/>
                <w:szCs w:val="16"/>
                <w:color w:val="auto"/>
              </w:rPr>
            </w:pPr>
          </w:p>
        </w:tc>
        <w:tc>
          <w:tcPr>
            <w:tcW w:w="1160" w:type="dxa"/>
            <w:vAlign w:val="bottom"/>
          </w:tcPr>
          <w:p>
            <w:pPr>
              <w:jc w:val="right"/>
              <w:ind w:right="157"/>
              <w:spacing w:after="0"/>
              <w:rPr>
                <w:sz w:val="20"/>
                <w:szCs w:val="20"/>
                <w:color w:val="auto"/>
              </w:rPr>
            </w:pPr>
            <w:r>
              <w:rPr>
                <w:rFonts w:ascii="Arial" w:cs="Arial" w:eastAsia="Arial" w:hAnsi="Arial"/>
                <w:sz w:val="17"/>
                <w:szCs w:val="17"/>
                <w:color w:val="373535"/>
              </w:rPr>
              <w:t>0.6</w:t>
            </w: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40" w:type="dxa"/>
            <w:vAlign w:val="bottom"/>
            <w:shd w:val="clear" w:color="auto" w:fill="717073"/>
          </w:tcPr>
          <w:p>
            <w:pPr>
              <w:spacing w:after="0" w:line="20" w:lineRule="exact"/>
              <w:rPr>
                <w:sz w:val="1"/>
                <w:szCs w:val="1"/>
                <w:color w:val="auto"/>
              </w:rPr>
            </w:pPr>
          </w:p>
        </w:tc>
        <w:tc>
          <w:tcPr>
            <w:tcW w:w="3120" w:type="dxa"/>
            <w:vAlign w:val="bottom"/>
            <w:shd w:val="clear" w:color="auto" w:fill="717073"/>
          </w:tcPr>
          <w:p>
            <w:pPr>
              <w:spacing w:after="0" w:line="20" w:lineRule="exact"/>
              <w:rPr>
                <w:sz w:val="1"/>
                <w:szCs w:val="1"/>
                <w:color w:val="auto"/>
              </w:rPr>
            </w:pPr>
          </w:p>
        </w:tc>
        <w:tc>
          <w:tcPr>
            <w:tcW w:w="116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880" w:type="dxa"/>
            <w:vAlign w:val="bottom"/>
            <w:shd w:val="clear" w:color="auto" w:fill="71707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60" w:hanging="357"/>
        <w:spacing w:after="0" w:line="250" w:lineRule="auto"/>
        <w:tabs>
          <w:tab w:leader="none" w:pos="360" w:val="left"/>
        </w:tabs>
        <w:numPr>
          <w:ilvl w:val="0"/>
          <w:numId w:val="100"/>
        </w:numPr>
        <w:rPr>
          <w:rFonts w:ascii="Arial" w:cs="Arial" w:eastAsia="Arial" w:hAnsi="Arial"/>
          <w:sz w:val="17"/>
          <w:szCs w:val="17"/>
          <w:color w:val="373535"/>
        </w:rPr>
      </w:pPr>
      <w:r>
        <w:rPr>
          <w:rFonts w:ascii="Arial" w:cs="Arial" w:eastAsia="Arial" w:hAnsi="Arial"/>
          <w:sz w:val="17"/>
          <w:szCs w:val="17"/>
          <w:color w:val="373535"/>
        </w:rPr>
        <w:t>This change in fair value is not recorded in the Consolidated Financial Statements, however disclosure of the fair value is included in Note 1 to the Consolidated Financial Statements.</w:t>
      </w:r>
    </w:p>
    <w:p>
      <w:pPr>
        <w:spacing w:after="0" w:line="150" w:lineRule="exact"/>
        <w:rPr>
          <w:sz w:val="20"/>
          <w:szCs w:val="20"/>
          <w:color w:val="auto"/>
        </w:rPr>
      </w:pPr>
    </w:p>
    <w:p>
      <w:pPr>
        <w:ind w:left="580" w:hanging="577"/>
        <w:spacing w:after="0"/>
        <w:tabs>
          <w:tab w:leader="none" w:pos="580" w:val="left"/>
        </w:tabs>
        <w:numPr>
          <w:ilvl w:val="0"/>
          <w:numId w:val="101"/>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52970" cy="247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7"/>
          <w:szCs w:val="17"/>
          <w:b w:val="1"/>
          <w:bCs w:val="1"/>
          <w:color w:val="4C8ABF"/>
        </w:rPr>
        <w:t>IMPACT OF ECONOMIC CONDITIONS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One of the principal attractions of using workforce solutions and service providers is to maintain a flexible supply of labor to meet changing economic conditions. Therefore, the industry has been and remains sensitive to economic cycles. To help minimize the effects of these economic cycles, we offer clients a continuum of services to meet their needs throughout the business cycle. We believe that the breadth of our operations and the diversity of our service mix cushion us against the impact of an adverse economic cycle in any single country or industry. However, adverse economic conditions in any of our largest markets, or in several markets simultaneously, would have a material impact on our consolidated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LEGAL REGULATIONS</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The workforce solutions and services industry is closely regulated in all of the major markets in which we operate except the United States and Canada. Many countries and territories impose licensing or registration requirements and substantive restrictions on employment services, either on the provider of recruitment services or the ultimate client company, or minimum benefits to be paid to the temporary employee either during or following the temporary assignment. Regulations also may restrict the length of assignments, the type of work permitted or the occasions on which contingent workers may be used. Changes in applicable laws or regulations have occurred in the past and are expected in the future to affect the extent to which workforce solutions and services firms may operate. These changes could impose additional costs, taxes, record keeping or reporting requirements; restrict the tasks to which contingent workers may be assigned; limit the duration of or otherwise impose restrictions on the nature of the relationship (with us or the client); or otherwise adversely affect the industry. All of our other service lines are currently not regulated.</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many markets, the existence or absence of collective bargaining agreements with labor organizations has a significant impact on our operations and the ability of clients to utilize our services. In some markets, labor agreements are structured on a national or industry-wide (rather than a company-by-company) basis. Changes in these collective bargaining agreements have occurred in the past, are expected to occur in the future, and may have a material impact on the operations of workforce solutions and services firms, including us.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Germany, the Confederation of German Trade Unions (representing eight German trade unions and over six million people) and the Employer’s Association of the Temporary Staffing Industry (representing two major temporary worker employers’ associations) entered into a new Collective Labor Agreement effective November 2013. The agreement required higher wages to temporary employees and higher cost for vacation, sick pay and temporary staff time accounts, and took effect between November 2013 and January 2014. This agreement is similar to nine other Collective Labor Agreements which became effective between November 2012 and July 2013. These changes will all have an unfavorable impact on our gross profit margin in Germany, as we pass on many of these additional costs to the client without a mark-up. However, we currently do not expect a significant impact on our consolidated or Northern Europe financial results.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 Agency Workers Directive (“AWD”) impacts all EU member states and was passed to ensure “equal treatment” for agency (temporary) workers. It also requires all member states to review and address unnecessary prohibitions and restrictions on the use of agency workers. Equal treatment had been in place by law in many countries; therefore, we have not seen any significant changes. We have seen a decline in gross profit margin in some countries, as any cost increases could not always be passed on with a normal mark-up, but no other significant impact on our business from these changes.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In June 2013, the employer mandate provisions of the new U.S. healthcare legislation, Patient Protection and Affordable Care Act (PPACA), were delayed until 2015 from the original effective date of 2014. The employer mandate provisions of PPACA are expected to have the greatest financial impact on us and our clients with U.S.-based employees. We expect this legislation will increase the employment costs of our permanent employees and our associates, but we continue to assess the potential impact. Our intention is to pass on to our U.S. clients any cost increases related to our associates, however there is no assurance that we will be fully successful.</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6060"/>
              <w:spacing w:after="0"/>
              <w:rPr>
                <w:sz w:val="20"/>
                <w:szCs w:val="20"/>
                <w:color w:val="auto"/>
              </w:rPr>
            </w:pPr>
            <w:r>
              <w:rPr>
                <w:rFonts w:ascii="Arial" w:cs="Arial" w:eastAsia="Arial" w:hAnsi="Arial"/>
                <w:sz w:val="14"/>
                <w:szCs w:val="14"/>
                <w:b w:val="1"/>
                <w:bCs w:val="1"/>
                <w:color w:val="777679"/>
              </w:rPr>
              <w:t xml:space="preserve">Management’s Discussion &amp; Analysis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47</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33" w:right="23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4C8ABF"/>
        </w:rPr>
        <w:t>MANAGEMENT’S DISCUSSION &amp; ANALYSIS</w:t>
      </w:r>
    </w:p>
    <w:p>
      <w:pPr>
        <w:spacing w:after="0"/>
        <w:rPr>
          <w:sz w:val="20"/>
          <w:szCs w:val="20"/>
          <w:color w:val="auto"/>
        </w:rPr>
      </w:pPr>
      <w:r>
        <w:rPr>
          <w:rFonts w:ascii="Arial" w:cs="Arial" w:eastAsia="Arial" w:hAnsi="Arial"/>
          <w:sz w:val="17"/>
          <w:szCs w:val="17"/>
          <w:color w:val="4C8ABF"/>
        </w:rPr>
        <w:t>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RECENTLY ISSUED ACCOUNTING STANDARDS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373535"/>
        </w:rPr>
        <w:t>See Note 1 to the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FORWARD-LOOKING STATEMENTS</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Statements made in this annual report that are not statements of historical fact are forward-looking statements. All forward-looking statements involve risks and uncertainties. The information under the heading “Forward-Looking Statements” in our annual report on Form 10-K for the year ended December 31, 2013,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161" w:lineRule="exact"/>
        <w:rPr>
          <w:sz w:val="20"/>
          <w:szCs w:val="20"/>
          <w:color w:val="auto"/>
        </w:rPr>
      </w:pPr>
    </w:p>
    <w:p>
      <w:pPr>
        <w:ind w:left="580" w:hanging="577"/>
        <w:spacing w:after="0"/>
        <w:tabs>
          <w:tab w:leader="none" w:pos="580" w:val="left"/>
        </w:tabs>
        <w:numPr>
          <w:ilvl w:val="0"/>
          <w:numId w:val="102"/>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Management's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52970" cy="247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86" w:name="page87"/>
    <w:bookmarkEnd w:id="86"/>
    <w:p>
      <w:pPr>
        <w:spacing w:after="0"/>
        <w:rPr>
          <w:sz w:val="20"/>
          <w:szCs w:val="20"/>
          <w:color w:val="auto"/>
        </w:rPr>
      </w:pPr>
      <w:r>
        <w:rPr>
          <w:rFonts w:ascii="Arial" w:cs="Arial" w:eastAsia="Arial" w:hAnsi="Arial"/>
          <w:sz w:val="17"/>
          <w:szCs w:val="17"/>
          <w:color w:val="76AD9A"/>
        </w:rPr>
        <w:t>Management Report on Internal Control Over Financial Reporting</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are responsible for establishing and maintaining effective internal control over financial reporting as defined in Rule 13a-15(f) under the Securities Exchange Act of 1934. Our internal control over financial reporting is a process designed to provide reasonable assurance to management and the Board of Directors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 xml:space="preserve">Under the supervision and with the participation of management, including our Chairman and Chief Executive Officer and our Executive Vice President and Chief Financial Officer, we conducted an evaluation of the effectiveness of our internal control over financial reporting based on the framework in </w:t>
      </w:r>
      <w:r>
        <w:rPr>
          <w:rFonts w:ascii="Arial" w:cs="Arial" w:eastAsia="Arial" w:hAnsi="Arial"/>
          <w:sz w:val="17"/>
          <w:szCs w:val="17"/>
          <w:i w:val="1"/>
          <w:iCs w:val="1"/>
          <w:color w:val="373535"/>
        </w:rPr>
        <w:t>Internal Control — Integrated Framework (1992)</w:t>
      </w:r>
      <w:r>
        <w:rPr>
          <w:rFonts w:ascii="Arial" w:cs="Arial" w:eastAsia="Arial" w:hAnsi="Arial"/>
          <w:sz w:val="17"/>
          <w:szCs w:val="17"/>
          <w:color w:val="373535"/>
        </w:rPr>
        <w:t xml:space="preserve">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Deloitte &amp; Touche LLP, our independent registered public accounting firm, issued an attestation report on the effectiveness of our internal control over financial reporting as of December 31, 2013, which is included herein. Based on our evaluation we have concluded that our internal control over financial reporting was effective as of December 31, 2013.</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373535"/>
        </w:rPr>
        <w:t>February 21, 2014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4260"/>
              <w:spacing w:after="0"/>
              <w:rPr>
                <w:sz w:val="20"/>
                <w:szCs w:val="20"/>
                <w:color w:val="auto"/>
              </w:rPr>
            </w:pPr>
            <w:r>
              <w:rPr>
                <w:rFonts w:ascii="Arial" w:cs="Arial" w:eastAsia="Arial" w:hAnsi="Arial"/>
                <w:sz w:val="14"/>
                <w:szCs w:val="14"/>
                <w:b w:val="1"/>
                <w:bCs w:val="1"/>
                <w:color w:val="777679"/>
              </w:rPr>
              <w:t xml:space="preserve">Management Report on Internal Control Over Financial Reporting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49</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76AD9A"/>
        </w:rPr>
        <w:t>Report of Independent Registered Public Accounting Firm</w:t>
      </w:r>
    </w:p>
    <w:p>
      <w:pPr>
        <w:spacing w:after="0"/>
        <w:rPr>
          <w:sz w:val="20"/>
          <w:szCs w:val="20"/>
          <w:color w:val="auto"/>
        </w:rPr>
      </w:pPr>
      <w:r>
        <w:rPr>
          <w:rFonts w:ascii="Arial" w:cs="Arial" w:eastAsia="Arial" w:hAnsi="Arial"/>
          <w:sz w:val="17"/>
          <w:szCs w:val="17"/>
          <w:color w:val="76AD9A"/>
        </w:rPr>
        <w:t>To the Board of Directors and Shareholders of ManpowerGroup Inc.</w:t>
      </w:r>
    </w:p>
    <w:p>
      <w:pPr>
        <w:spacing w:after="0" w:line="63"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have audited the accompanying consolidated balance sheets of ManpowerGroup Inc. and subsidiaries (the “Company”) as of December 31, 2013 and 2012, and the related consolidated statements of operations, comprehensive income, shareholders’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our opinion, such consolidated financial statements present fairly, in all material respects, the financial position of the Company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 xml:space="preserve">We have also audited, in accordance with the standards of the Public Company Accounting Oversight Board (United States), the Company’s internal control over financial reporting as of December 31, 2013, based on criteria established in </w:t>
      </w:r>
      <w:r>
        <w:rPr>
          <w:rFonts w:ascii="Arial" w:cs="Arial" w:eastAsia="Arial" w:hAnsi="Arial"/>
          <w:sz w:val="17"/>
          <w:szCs w:val="17"/>
          <w:i w:val="1"/>
          <w:iCs w:val="1"/>
          <w:color w:val="373535"/>
        </w:rPr>
        <w:t>Internal Control — Integrated Framework (1992)</w:t>
      </w:r>
      <w:r>
        <w:rPr>
          <w:rFonts w:ascii="Arial" w:cs="Arial" w:eastAsia="Arial" w:hAnsi="Arial"/>
          <w:sz w:val="17"/>
          <w:szCs w:val="17"/>
          <w:color w:val="373535"/>
        </w:rPr>
        <w:t xml:space="preserve"> issued by the Committee of Sponsoring Organizations of the Treadway Commission and our report dated February 21, 2014 expressed an unqualified opinion on the Company’s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108585</wp:posOffset>
            </wp:positionV>
            <wp:extent cx="2704465" cy="4673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04465" cy="467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373535"/>
        </w:rPr>
        <w:t>Milwaukee, Wisconsin</w:t>
      </w:r>
    </w:p>
    <w:p>
      <w:pPr>
        <w:spacing w:after="0"/>
        <w:rPr>
          <w:sz w:val="20"/>
          <w:szCs w:val="20"/>
          <w:color w:val="auto"/>
        </w:rPr>
      </w:pPr>
      <w:r>
        <w:rPr>
          <w:rFonts w:ascii="Arial" w:cs="Arial" w:eastAsia="Arial" w:hAnsi="Arial"/>
          <w:sz w:val="17"/>
          <w:szCs w:val="17"/>
          <w:color w:val="373535"/>
        </w:rPr>
        <w:t>February 21, 2014</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373535"/>
        </w:rPr>
        <w:t>50</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76AD9A"/>
        </w:rPr>
        <w:t>Report of Independent Registered Public Accounting Firm</w:t>
      </w:r>
    </w:p>
    <w:p>
      <w:pPr>
        <w:spacing w:after="0"/>
        <w:rPr>
          <w:sz w:val="20"/>
          <w:szCs w:val="20"/>
          <w:color w:val="auto"/>
        </w:rPr>
      </w:pPr>
      <w:r>
        <w:rPr>
          <w:rFonts w:ascii="Arial" w:cs="Arial" w:eastAsia="Arial" w:hAnsi="Arial"/>
          <w:sz w:val="17"/>
          <w:szCs w:val="17"/>
          <w:color w:val="76AD9A"/>
        </w:rPr>
        <w:t>To the Board of Directors and Shareholders of ManpowerGroup Inc.</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 xml:space="preserve">We have audited the internal control over financial reporting of ManpowerGroup Inc. and subsidiaries (the “Company”) as of December 31, 2013, based on criteria established in </w:t>
      </w:r>
      <w:r>
        <w:rPr>
          <w:rFonts w:ascii="Arial" w:cs="Arial" w:eastAsia="Arial" w:hAnsi="Arial"/>
          <w:sz w:val="17"/>
          <w:szCs w:val="17"/>
          <w:i w:val="1"/>
          <w:iCs w:val="1"/>
          <w:color w:val="373535"/>
        </w:rPr>
        <w:t>Internal Control — Integrated Framework (1992)</w:t>
      </w:r>
      <w:r>
        <w:rPr>
          <w:rFonts w:ascii="Arial" w:cs="Arial" w:eastAsia="Arial" w:hAnsi="Arial"/>
          <w:sz w:val="17"/>
          <w:szCs w:val="17"/>
          <w:color w:val="373535"/>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 xml:space="preserve">In our opinion, the Company maintained, in all material respects, effective internal control over financial reporting as of December 31, 2013, based on the criteria established in </w:t>
      </w:r>
      <w:r>
        <w:rPr>
          <w:rFonts w:ascii="Arial" w:cs="Arial" w:eastAsia="Arial" w:hAnsi="Arial"/>
          <w:sz w:val="17"/>
          <w:szCs w:val="17"/>
          <w:i w:val="1"/>
          <w:iCs w:val="1"/>
          <w:color w:val="373535"/>
        </w:rPr>
        <w:t>Internal Control — Integrated Framework (1992)</w:t>
      </w:r>
      <w:r>
        <w:rPr>
          <w:rFonts w:ascii="Arial" w:cs="Arial" w:eastAsia="Arial" w:hAnsi="Arial"/>
          <w:sz w:val="17"/>
          <w:szCs w:val="17"/>
          <w:color w:val="373535"/>
        </w:rPr>
        <w:t xml:space="preserve"> issued by the Committee of Sponsoring Organizations of the Treadway Commission.</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have also audited, in accordance with the standards of the Public Company Accounting Oversight Board (United States), the consolidated financial statements as of and for the year ended December 31, 2013 of the Company and our report dated February 21, 2014 expressed an unqualified opinion on those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622550" cy="4914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22550" cy="49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7"/>
          <w:szCs w:val="17"/>
          <w:color w:val="373535"/>
        </w:rPr>
        <w:t>Milwaukee, Wisconsin</w:t>
      </w:r>
    </w:p>
    <w:p>
      <w:pPr>
        <w:spacing w:after="0"/>
        <w:rPr>
          <w:sz w:val="20"/>
          <w:szCs w:val="20"/>
          <w:color w:val="auto"/>
        </w:rPr>
      </w:pPr>
      <w:r>
        <w:rPr>
          <w:rFonts w:ascii="Arial" w:cs="Arial" w:eastAsia="Arial" w:hAnsi="Arial"/>
          <w:sz w:val="17"/>
          <w:szCs w:val="17"/>
          <w:color w:val="373535"/>
        </w:rPr>
        <w:t>February 21,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4740"/>
              <w:spacing w:after="0"/>
              <w:rPr>
                <w:sz w:val="20"/>
                <w:szCs w:val="20"/>
                <w:color w:val="auto"/>
              </w:rPr>
            </w:pPr>
            <w:r>
              <w:rPr>
                <w:rFonts w:ascii="Arial" w:cs="Arial" w:eastAsia="Arial" w:hAnsi="Arial"/>
                <w:sz w:val="14"/>
                <w:szCs w:val="14"/>
                <w:b w:val="1"/>
                <w:bCs w:val="1"/>
                <w:color w:val="777679"/>
              </w:rPr>
              <w:t xml:space="preserve">Report of Independent Registered Public Accounting Firm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51</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89" w:name="page90"/>
    <w:bookmarkEnd w:id="89"/>
    <w:p>
      <w:pPr>
        <w:spacing w:after="0"/>
        <w:rPr>
          <w:sz w:val="20"/>
          <w:szCs w:val="20"/>
          <w:color w:val="auto"/>
        </w:rPr>
      </w:pPr>
      <w:r>
        <w:rPr>
          <w:rFonts w:ascii="Arial" w:cs="Arial" w:eastAsia="Arial" w:hAnsi="Arial"/>
          <w:sz w:val="17"/>
          <w:szCs w:val="17"/>
          <w:color w:val="4C8ABF"/>
        </w:rPr>
        <w:t>CONSOLIDATED STATEMENTS OF OPERATIONS</w:t>
      </w:r>
    </w:p>
    <w:p>
      <w:pPr>
        <w:spacing w:after="0"/>
        <w:rPr>
          <w:sz w:val="20"/>
          <w:szCs w:val="20"/>
          <w:color w:val="auto"/>
        </w:rPr>
      </w:pPr>
      <w:r>
        <w:rPr>
          <w:rFonts w:ascii="Arial" w:cs="Arial" w:eastAsia="Arial" w:hAnsi="Arial"/>
          <w:sz w:val="17"/>
          <w:szCs w:val="17"/>
          <w:color w:val="4C8ABF"/>
        </w:rPr>
        <w:t>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6"/>
                <w:szCs w:val="16"/>
                <w:color w:val="auto"/>
              </w:rPr>
            </w:pPr>
          </w:p>
        </w:tc>
        <w:tc>
          <w:tcPr>
            <w:tcW w:w="1040" w:type="dxa"/>
            <w:vAlign w:val="bottom"/>
            <w:shd w:val="clear" w:color="auto" w:fill="76AD9A"/>
          </w:tcPr>
          <w:p>
            <w:pPr>
              <w:jc w:val="right"/>
              <w:ind w:right="35"/>
              <w:spacing w:after="0"/>
              <w:rPr>
                <w:sz w:val="20"/>
                <w:szCs w:val="20"/>
                <w:color w:val="auto"/>
              </w:rPr>
            </w:pPr>
            <w:r>
              <w:rPr>
                <w:rFonts w:ascii="Arial" w:cs="Arial" w:eastAsia="Arial" w:hAnsi="Arial"/>
                <w:sz w:val="14"/>
                <w:szCs w:val="14"/>
                <w:color w:val="FFFFFF"/>
              </w:rPr>
              <w:t>2013</w:t>
            </w:r>
          </w:p>
        </w:tc>
        <w:tc>
          <w:tcPr>
            <w:tcW w:w="460" w:type="dxa"/>
            <w:vAlign w:val="bottom"/>
          </w:tcPr>
          <w:p>
            <w:pPr>
              <w:spacing w:after="0"/>
              <w:rPr>
                <w:sz w:val="16"/>
                <w:szCs w:val="16"/>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color w:val="76AD9A"/>
              </w:rPr>
              <w:t>2012</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Revenues from services</w:t>
            </w:r>
          </w:p>
        </w:tc>
        <w:tc>
          <w:tcPr>
            <w:tcW w:w="22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6AD9A"/>
            </w:tcBorders>
            <w:shd w:val="clear" w:color="auto" w:fill="EEF5F2"/>
          </w:tcPr>
          <w:p>
            <w:pPr>
              <w:jc w:val="right"/>
              <w:ind w:right="35"/>
              <w:spacing w:after="0" w:line="185" w:lineRule="exact"/>
              <w:rPr>
                <w:sz w:val="20"/>
                <w:szCs w:val="20"/>
                <w:color w:val="auto"/>
              </w:rPr>
            </w:pPr>
            <w:r>
              <w:rPr>
                <w:rFonts w:ascii="Arial" w:cs="Arial" w:eastAsia="Arial" w:hAnsi="Arial"/>
                <w:sz w:val="17"/>
                <w:szCs w:val="17"/>
                <w:color w:val="76AD9A"/>
              </w:rPr>
              <w:t>20,250.5</w:t>
            </w:r>
          </w:p>
        </w:tc>
        <w:tc>
          <w:tcPr>
            <w:tcW w:w="460" w:type="dxa"/>
            <w:vAlign w:val="bottom"/>
            <w:tcBorders>
              <w:top w:val="single" w:sz="8" w:color="76AD9A"/>
            </w:tcBorders>
          </w:tcPr>
          <w:p>
            <w:pPr>
              <w:jc w:val="right"/>
              <w:ind w:right="54"/>
              <w:spacing w:after="0" w:line="185"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6AD9A"/>
            </w:tcBorders>
          </w:tcPr>
          <w:p>
            <w:pPr>
              <w:jc w:val="right"/>
              <w:ind w:right="55"/>
              <w:spacing w:after="0" w:line="185" w:lineRule="exact"/>
              <w:rPr>
                <w:sz w:val="20"/>
                <w:szCs w:val="20"/>
                <w:color w:val="auto"/>
              </w:rPr>
            </w:pPr>
            <w:r>
              <w:rPr>
                <w:rFonts w:ascii="Arial" w:cs="Arial" w:eastAsia="Arial" w:hAnsi="Arial"/>
                <w:sz w:val="17"/>
                <w:szCs w:val="17"/>
                <w:color w:val="373535"/>
              </w:rPr>
              <w:t>20,678.0</w:t>
            </w:r>
          </w:p>
        </w:tc>
        <w:tc>
          <w:tcPr>
            <w:tcW w:w="32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7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22,006.0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Cost of services</w:t>
            </w:r>
          </w:p>
        </w:tc>
        <w:tc>
          <w:tcPr>
            <w:tcW w:w="22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16,883.8</w:t>
            </w:r>
          </w:p>
        </w:tc>
        <w:tc>
          <w:tcPr>
            <w:tcW w:w="460" w:type="dxa"/>
            <w:vAlign w:val="bottom"/>
          </w:tcPr>
          <w:p>
            <w:pPr>
              <w:spacing w:after="0"/>
              <w:rPr>
                <w:sz w:val="16"/>
                <w:szCs w:val="16"/>
                <w:color w:val="auto"/>
              </w:rPr>
            </w:pPr>
          </w:p>
        </w:tc>
        <w:tc>
          <w:tcPr>
            <w:tcW w:w="9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17,236.0</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18,299.7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17073"/>
            </w:tcBorders>
          </w:tcPr>
          <w:p>
            <w:pPr>
              <w:ind w:left="140"/>
              <w:spacing w:after="0" w:line="185" w:lineRule="exact"/>
              <w:rPr>
                <w:sz w:val="20"/>
                <w:szCs w:val="20"/>
                <w:color w:val="auto"/>
              </w:rPr>
            </w:pPr>
            <w:r>
              <w:rPr>
                <w:rFonts w:ascii="Arial" w:cs="Arial" w:eastAsia="Arial" w:hAnsi="Arial"/>
                <w:sz w:val="17"/>
                <w:szCs w:val="17"/>
                <w:color w:val="373535"/>
              </w:rPr>
              <w:t>Gross profit</w:t>
            </w:r>
          </w:p>
        </w:tc>
        <w:tc>
          <w:tcPr>
            <w:tcW w:w="220" w:type="dxa"/>
            <w:vAlign w:val="bottom"/>
            <w:tcBorders>
              <w:top w:val="single" w:sz="8" w:color="717073"/>
            </w:tcBorders>
            <w:shd w:val="clear" w:color="auto" w:fill="EEF5F2"/>
          </w:tcPr>
          <w:p>
            <w:pPr>
              <w:spacing w:after="0"/>
              <w:rPr>
                <w:sz w:val="16"/>
                <w:szCs w:val="16"/>
                <w:color w:val="auto"/>
              </w:rPr>
            </w:pPr>
          </w:p>
        </w:tc>
        <w:tc>
          <w:tcPr>
            <w:tcW w:w="1040" w:type="dxa"/>
            <w:vAlign w:val="bottom"/>
            <w:tcBorders>
              <w:top w:val="single" w:sz="8" w:color="717073"/>
            </w:tcBorders>
            <w:shd w:val="clear" w:color="auto" w:fill="EEF5F2"/>
          </w:tcPr>
          <w:p>
            <w:pPr>
              <w:jc w:val="right"/>
              <w:ind w:right="35"/>
              <w:spacing w:after="0" w:line="185" w:lineRule="exact"/>
              <w:rPr>
                <w:sz w:val="20"/>
                <w:szCs w:val="20"/>
                <w:color w:val="auto"/>
              </w:rPr>
            </w:pPr>
            <w:r>
              <w:rPr>
                <w:rFonts w:ascii="Arial" w:cs="Arial" w:eastAsia="Arial" w:hAnsi="Arial"/>
                <w:sz w:val="17"/>
                <w:szCs w:val="17"/>
                <w:color w:val="76AD9A"/>
              </w:rPr>
              <w:t>3,366.7</w:t>
            </w:r>
          </w:p>
        </w:tc>
        <w:tc>
          <w:tcPr>
            <w:tcW w:w="460" w:type="dxa"/>
            <w:vAlign w:val="bottom"/>
            <w:tcBorders>
              <w:top w:val="single" w:sz="8" w:color="717073"/>
            </w:tcBorders>
          </w:tcPr>
          <w:p>
            <w:pPr>
              <w:spacing w:after="0"/>
              <w:rPr>
                <w:sz w:val="16"/>
                <w:szCs w:val="16"/>
                <w:color w:val="auto"/>
              </w:rPr>
            </w:pPr>
          </w:p>
        </w:tc>
        <w:tc>
          <w:tcPr>
            <w:tcW w:w="940" w:type="dxa"/>
            <w:vAlign w:val="bottom"/>
            <w:tcBorders>
              <w:top w:val="single" w:sz="8" w:color="717073"/>
            </w:tcBorders>
          </w:tcPr>
          <w:p>
            <w:pPr>
              <w:jc w:val="right"/>
              <w:ind w:right="55"/>
              <w:spacing w:after="0" w:line="185" w:lineRule="exact"/>
              <w:rPr>
                <w:sz w:val="20"/>
                <w:szCs w:val="20"/>
                <w:color w:val="auto"/>
              </w:rPr>
            </w:pPr>
            <w:r>
              <w:rPr>
                <w:rFonts w:ascii="Arial" w:cs="Arial" w:eastAsia="Arial" w:hAnsi="Arial"/>
                <w:sz w:val="17"/>
                <w:szCs w:val="17"/>
                <w:color w:val="373535"/>
              </w:rPr>
              <w:t>3,442.0</w:t>
            </w:r>
          </w:p>
        </w:tc>
        <w:tc>
          <w:tcPr>
            <w:tcW w:w="320" w:type="dxa"/>
            <w:vAlign w:val="bottom"/>
            <w:tcBorders>
              <w:top w:val="single" w:sz="8" w:color="717073"/>
            </w:tcBorders>
          </w:tcPr>
          <w:p>
            <w:pPr>
              <w:spacing w:after="0"/>
              <w:rPr>
                <w:sz w:val="16"/>
                <w:szCs w:val="16"/>
                <w:color w:val="auto"/>
              </w:rPr>
            </w:pPr>
          </w:p>
        </w:tc>
        <w:tc>
          <w:tcPr>
            <w:tcW w:w="780" w:type="dxa"/>
            <w:vAlign w:val="bottom"/>
            <w:tcBorders>
              <w:top w:val="single" w:sz="8" w:color="717073"/>
            </w:tcBorders>
          </w:tcPr>
          <w:p>
            <w:pPr>
              <w:jc w:val="right"/>
              <w:spacing w:after="0" w:line="185" w:lineRule="exact"/>
              <w:rPr>
                <w:sz w:val="20"/>
                <w:szCs w:val="20"/>
                <w:color w:val="auto"/>
              </w:rPr>
            </w:pPr>
            <w:r>
              <w:rPr>
                <w:rFonts w:ascii="Arial" w:cs="Arial" w:eastAsia="Arial" w:hAnsi="Arial"/>
                <w:sz w:val="17"/>
                <w:szCs w:val="17"/>
                <w:color w:val="373535"/>
              </w:rPr>
              <w:t>3,706.3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Selling and administrative expenses</w:t>
            </w:r>
          </w:p>
        </w:tc>
        <w:tc>
          <w:tcPr>
            <w:tcW w:w="22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2,854.8</w:t>
            </w:r>
          </w:p>
        </w:tc>
        <w:tc>
          <w:tcPr>
            <w:tcW w:w="460" w:type="dxa"/>
            <w:vAlign w:val="bottom"/>
          </w:tcPr>
          <w:p>
            <w:pPr>
              <w:spacing w:after="0"/>
              <w:rPr>
                <w:sz w:val="16"/>
                <w:szCs w:val="16"/>
                <w:color w:val="auto"/>
              </w:rPr>
            </w:pPr>
          </w:p>
        </w:tc>
        <w:tc>
          <w:tcPr>
            <w:tcW w:w="9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3,030.3</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3,182.1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17073"/>
            </w:tcBorders>
          </w:tcPr>
          <w:p>
            <w:pPr>
              <w:ind w:left="140"/>
              <w:spacing w:after="0" w:line="185" w:lineRule="exact"/>
              <w:rPr>
                <w:sz w:val="20"/>
                <w:szCs w:val="20"/>
                <w:color w:val="auto"/>
              </w:rPr>
            </w:pPr>
            <w:r>
              <w:rPr>
                <w:rFonts w:ascii="Arial" w:cs="Arial" w:eastAsia="Arial" w:hAnsi="Arial"/>
                <w:sz w:val="17"/>
                <w:szCs w:val="17"/>
                <w:color w:val="373535"/>
              </w:rPr>
              <w:t>Operating profit</w:t>
            </w:r>
          </w:p>
        </w:tc>
        <w:tc>
          <w:tcPr>
            <w:tcW w:w="220" w:type="dxa"/>
            <w:vAlign w:val="bottom"/>
            <w:tcBorders>
              <w:top w:val="single" w:sz="8" w:color="717073"/>
            </w:tcBorders>
            <w:shd w:val="clear" w:color="auto" w:fill="EEF5F2"/>
          </w:tcPr>
          <w:p>
            <w:pPr>
              <w:spacing w:after="0"/>
              <w:rPr>
                <w:sz w:val="16"/>
                <w:szCs w:val="16"/>
                <w:color w:val="auto"/>
              </w:rPr>
            </w:pPr>
          </w:p>
        </w:tc>
        <w:tc>
          <w:tcPr>
            <w:tcW w:w="1040" w:type="dxa"/>
            <w:vAlign w:val="bottom"/>
            <w:tcBorders>
              <w:top w:val="single" w:sz="8" w:color="717073"/>
            </w:tcBorders>
            <w:shd w:val="clear" w:color="auto" w:fill="EEF5F2"/>
          </w:tcPr>
          <w:p>
            <w:pPr>
              <w:jc w:val="right"/>
              <w:ind w:right="35"/>
              <w:spacing w:after="0" w:line="185" w:lineRule="exact"/>
              <w:rPr>
                <w:sz w:val="20"/>
                <w:szCs w:val="20"/>
                <w:color w:val="auto"/>
              </w:rPr>
            </w:pPr>
            <w:r>
              <w:rPr>
                <w:rFonts w:ascii="Arial" w:cs="Arial" w:eastAsia="Arial" w:hAnsi="Arial"/>
                <w:sz w:val="17"/>
                <w:szCs w:val="17"/>
                <w:color w:val="76AD9A"/>
              </w:rPr>
              <w:t>511.9</w:t>
            </w:r>
          </w:p>
        </w:tc>
        <w:tc>
          <w:tcPr>
            <w:tcW w:w="460" w:type="dxa"/>
            <w:vAlign w:val="bottom"/>
            <w:tcBorders>
              <w:top w:val="single" w:sz="8" w:color="717073"/>
            </w:tcBorders>
          </w:tcPr>
          <w:p>
            <w:pPr>
              <w:spacing w:after="0"/>
              <w:rPr>
                <w:sz w:val="16"/>
                <w:szCs w:val="16"/>
                <w:color w:val="auto"/>
              </w:rPr>
            </w:pPr>
          </w:p>
        </w:tc>
        <w:tc>
          <w:tcPr>
            <w:tcW w:w="940" w:type="dxa"/>
            <w:vAlign w:val="bottom"/>
            <w:tcBorders>
              <w:top w:val="single" w:sz="8" w:color="717073"/>
            </w:tcBorders>
          </w:tcPr>
          <w:p>
            <w:pPr>
              <w:jc w:val="right"/>
              <w:ind w:right="55"/>
              <w:spacing w:after="0" w:line="185" w:lineRule="exact"/>
              <w:rPr>
                <w:sz w:val="20"/>
                <w:szCs w:val="20"/>
                <w:color w:val="auto"/>
              </w:rPr>
            </w:pPr>
            <w:r>
              <w:rPr>
                <w:rFonts w:ascii="Arial" w:cs="Arial" w:eastAsia="Arial" w:hAnsi="Arial"/>
                <w:sz w:val="17"/>
                <w:szCs w:val="17"/>
                <w:color w:val="373535"/>
              </w:rPr>
              <w:t>411.7</w:t>
            </w:r>
          </w:p>
        </w:tc>
        <w:tc>
          <w:tcPr>
            <w:tcW w:w="320" w:type="dxa"/>
            <w:vAlign w:val="bottom"/>
            <w:tcBorders>
              <w:top w:val="single" w:sz="8" w:color="717073"/>
            </w:tcBorders>
          </w:tcPr>
          <w:p>
            <w:pPr>
              <w:spacing w:after="0"/>
              <w:rPr>
                <w:sz w:val="16"/>
                <w:szCs w:val="16"/>
                <w:color w:val="auto"/>
              </w:rPr>
            </w:pPr>
          </w:p>
        </w:tc>
        <w:tc>
          <w:tcPr>
            <w:tcW w:w="800" w:type="dxa"/>
            <w:vAlign w:val="bottom"/>
            <w:tcBorders>
              <w:top w:val="single" w:sz="8" w:color="717073"/>
            </w:tcBorders>
            <w:gridSpan w:val="2"/>
          </w:tcPr>
          <w:p>
            <w:pPr>
              <w:jc w:val="right"/>
              <w:ind w:right="20"/>
              <w:spacing w:after="0" w:line="185" w:lineRule="exact"/>
              <w:rPr>
                <w:sz w:val="20"/>
                <w:szCs w:val="20"/>
                <w:color w:val="auto"/>
              </w:rPr>
            </w:pPr>
            <w:r>
              <w:rPr>
                <w:rFonts w:ascii="Arial" w:cs="Arial" w:eastAsia="Arial" w:hAnsi="Arial"/>
                <w:sz w:val="17"/>
                <w:szCs w:val="17"/>
                <w:color w:val="373535"/>
              </w:rPr>
              <w:t>524.2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Interest and other expenses</w:t>
            </w:r>
          </w:p>
        </w:tc>
        <w:tc>
          <w:tcPr>
            <w:tcW w:w="22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36.4</w:t>
            </w:r>
          </w:p>
        </w:tc>
        <w:tc>
          <w:tcPr>
            <w:tcW w:w="460" w:type="dxa"/>
            <w:vAlign w:val="bottom"/>
          </w:tcPr>
          <w:p>
            <w:pPr>
              <w:spacing w:after="0"/>
              <w:rPr>
                <w:sz w:val="16"/>
                <w:szCs w:val="16"/>
                <w:color w:val="auto"/>
              </w:rPr>
            </w:pPr>
          </w:p>
        </w:tc>
        <w:tc>
          <w:tcPr>
            <w:tcW w:w="9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43.3</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44.3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17073"/>
            </w:tcBorders>
          </w:tcPr>
          <w:p>
            <w:pPr>
              <w:ind w:left="140"/>
              <w:spacing w:after="0" w:line="185" w:lineRule="exact"/>
              <w:rPr>
                <w:sz w:val="20"/>
                <w:szCs w:val="20"/>
                <w:color w:val="auto"/>
              </w:rPr>
            </w:pPr>
            <w:r>
              <w:rPr>
                <w:rFonts w:ascii="Arial" w:cs="Arial" w:eastAsia="Arial" w:hAnsi="Arial"/>
                <w:sz w:val="17"/>
                <w:szCs w:val="17"/>
                <w:color w:val="373535"/>
              </w:rPr>
              <w:t>Earnings before income taxes</w:t>
            </w:r>
          </w:p>
        </w:tc>
        <w:tc>
          <w:tcPr>
            <w:tcW w:w="220" w:type="dxa"/>
            <w:vAlign w:val="bottom"/>
            <w:tcBorders>
              <w:top w:val="single" w:sz="8" w:color="717073"/>
            </w:tcBorders>
            <w:shd w:val="clear" w:color="auto" w:fill="EEF5F2"/>
          </w:tcPr>
          <w:p>
            <w:pPr>
              <w:spacing w:after="0"/>
              <w:rPr>
                <w:sz w:val="16"/>
                <w:szCs w:val="16"/>
                <w:color w:val="auto"/>
              </w:rPr>
            </w:pPr>
          </w:p>
        </w:tc>
        <w:tc>
          <w:tcPr>
            <w:tcW w:w="1040" w:type="dxa"/>
            <w:vAlign w:val="bottom"/>
            <w:tcBorders>
              <w:top w:val="single" w:sz="8" w:color="717073"/>
            </w:tcBorders>
            <w:shd w:val="clear" w:color="auto" w:fill="EEF5F2"/>
          </w:tcPr>
          <w:p>
            <w:pPr>
              <w:jc w:val="right"/>
              <w:ind w:right="35"/>
              <w:spacing w:after="0" w:line="185" w:lineRule="exact"/>
              <w:rPr>
                <w:sz w:val="20"/>
                <w:szCs w:val="20"/>
                <w:color w:val="auto"/>
              </w:rPr>
            </w:pPr>
            <w:r>
              <w:rPr>
                <w:rFonts w:ascii="Arial" w:cs="Arial" w:eastAsia="Arial" w:hAnsi="Arial"/>
                <w:sz w:val="17"/>
                <w:szCs w:val="17"/>
                <w:color w:val="76AD9A"/>
              </w:rPr>
              <w:t>475.5</w:t>
            </w:r>
          </w:p>
        </w:tc>
        <w:tc>
          <w:tcPr>
            <w:tcW w:w="460" w:type="dxa"/>
            <w:vAlign w:val="bottom"/>
            <w:tcBorders>
              <w:top w:val="single" w:sz="8" w:color="717073"/>
            </w:tcBorders>
          </w:tcPr>
          <w:p>
            <w:pPr>
              <w:spacing w:after="0"/>
              <w:rPr>
                <w:sz w:val="16"/>
                <w:szCs w:val="16"/>
                <w:color w:val="auto"/>
              </w:rPr>
            </w:pPr>
          </w:p>
        </w:tc>
        <w:tc>
          <w:tcPr>
            <w:tcW w:w="940" w:type="dxa"/>
            <w:vAlign w:val="bottom"/>
            <w:tcBorders>
              <w:top w:val="single" w:sz="8" w:color="717073"/>
            </w:tcBorders>
          </w:tcPr>
          <w:p>
            <w:pPr>
              <w:jc w:val="right"/>
              <w:ind w:right="55"/>
              <w:spacing w:after="0" w:line="185" w:lineRule="exact"/>
              <w:rPr>
                <w:sz w:val="20"/>
                <w:szCs w:val="20"/>
                <w:color w:val="auto"/>
              </w:rPr>
            </w:pPr>
            <w:r>
              <w:rPr>
                <w:rFonts w:ascii="Arial" w:cs="Arial" w:eastAsia="Arial" w:hAnsi="Arial"/>
                <w:sz w:val="17"/>
                <w:szCs w:val="17"/>
                <w:color w:val="373535"/>
              </w:rPr>
              <w:t>368.4</w:t>
            </w:r>
          </w:p>
        </w:tc>
        <w:tc>
          <w:tcPr>
            <w:tcW w:w="320" w:type="dxa"/>
            <w:vAlign w:val="bottom"/>
            <w:tcBorders>
              <w:top w:val="single" w:sz="8" w:color="717073"/>
            </w:tcBorders>
          </w:tcPr>
          <w:p>
            <w:pPr>
              <w:spacing w:after="0"/>
              <w:rPr>
                <w:sz w:val="16"/>
                <w:szCs w:val="16"/>
                <w:color w:val="auto"/>
              </w:rPr>
            </w:pPr>
          </w:p>
        </w:tc>
        <w:tc>
          <w:tcPr>
            <w:tcW w:w="800" w:type="dxa"/>
            <w:vAlign w:val="bottom"/>
            <w:tcBorders>
              <w:top w:val="single" w:sz="8" w:color="717073"/>
            </w:tcBorders>
            <w:gridSpan w:val="2"/>
          </w:tcPr>
          <w:p>
            <w:pPr>
              <w:jc w:val="right"/>
              <w:ind w:right="20"/>
              <w:spacing w:after="0" w:line="185" w:lineRule="exact"/>
              <w:rPr>
                <w:sz w:val="20"/>
                <w:szCs w:val="20"/>
                <w:color w:val="auto"/>
              </w:rPr>
            </w:pPr>
            <w:r>
              <w:rPr>
                <w:rFonts w:ascii="Arial" w:cs="Arial" w:eastAsia="Arial" w:hAnsi="Arial"/>
                <w:sz w:val="17"/>
                <w:szCs w:val="17"/>
                <w:color w:val="373535"/>
              </w:rPr>
              <w:t>479.9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Provision for income taxes</w:t>
            </w:r>
          </w:p>
        </w:tc>
        <w:tc>
          <w:tcPr>
            <w:tcW w:w="22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187.5</w:t>
            </w:r>
          </w:p>
        </w:tc>
        <w:tc>
          <w:tcPr>
            <w:tcW w:w="460" w:type="dxa"/>
            <w:vAlign w:val="bottom"/>
          </w:tcPr>
          <w:p>
            <w:pPr>
              <w:spacing w:after="0"/>
              <w:rPr>
                <w:sz w:val="16"/>
                <w:szCs w:val="16"/>
                <w:color w:val="auto"/>
              </w:rPr>
            </w:pPr>
          </w:p>
        </w:tc>
        <w:tc>
          <w:tcPr>
            <w:tcW w:w="9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170.8</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228.3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17073"/>
              <w:bottom w:val="single" w:sz="8" w:color="717073"/>
            </w:tcBorders>
          </w:tcPr>
          <w:p>
            <w:pPr>
              <w:ind w:left="140"/>
              <w:spacing w:after="0" w:line="186" w:lineRule="exact"/>
              <w:rPr>
                <w:sz w:val="20"/>
                <w:szCs w:val="20"/>
                <w:color w:val="auto"/>
              </w:rPr>
            </w:pPr>
            <w:r>
              <w:rPr>
                <w:rFonts w:ascii="Arial" w:cs="Arial" w:eastAsia="Arial" w:hAnsi="Arial"/>
                <w:sz w:val="17"/>
                <w:szCs w:val="17"/>
                <w:color w:val="373535"/>
              </w:rPr>
              <w:t>Net earnings</w:t>
            </w:r>
          </w:p>
        </w:tc>
        <w:tc>
          <w:tcPr>
            <w:tcW w:w="22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17073"/>
              <w:bottom w:val="single" w:sz="8" w:color="717073"/>
            </w:tcBorders>
            <w:shd w:val="clear" w:color="auto" w:fill="EEF5F2"/>
          </w:tcPr>
          <w:p>
            <w:pPr>
              <w:jc w:val="right"/>
              <w:ind w:right="35"/>
              <w:spacing w:after="0" w:line="186" w:lineRule="exact"/>
              <w:rPr>
                <w:sz w:val="20"/>
                <w:szCs w:val="20"/>
                <w:color w:val="auto"/>
              </w:rPr>
            </w:pPr>
            <w:r>
              <w:rPr>
                <w:rFonts w:ascii="Arial" w:cs="Arial" w:eastAsia="Arial" w:hAnsi="Arial"/>
                <w:sz w:val="17"/>
                <w:szCs w:val="17"/>
                <w:color w:val="76AD9A"/>
              </w:rPr>
              <w:t>288.0</w:t>
            </w:r>
          </w:p>
        </w:tc>
        <w:tc>
          <w:tcPr>
            <w:tcW w:w="460" w:type="dxa"/>
            <w:vAlign w:val="bottom"/>
            <w:tcBorders>
              <w:top w:val="single" w:sz="8" w:color="717073"/>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17073"/>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197.6</w:t>
            </w:r>
          </w:p>
        </w:tc>
        <w:tc>
          <w:tcPr>
            <w:tcW w:w="320" w:type="dxa"/>
            <w:vAlign w:val="bottom"/>
            <w:tcBorders>
              <w:top w:val="single" w:sz="8" w:color="717073"/>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17073"/>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251.6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754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Net earnings per share — basic</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bottom w:val="single" w:sz="8" w:color="717073"/>
            </w:tcBorders>
            <w:shd w:val="clear" w:color="auto" w:fill="EEF5F2"/>
          </w:tcPr>
          <w:p>
            <w:pPr>
              <w:jc w:val="right"/>
              <w:ind w:right="35"/>
              <w:spacing w:after="0" w:line="186" w:lineRule="exact"/>
              <w:rPr>
                <w:sz w:val="20"/>
                <w:szCs w:val="20"/>
                <w:color w:val="auto"/>
              </w:rPr>
            </w:pPr>
            <w:r>
              <w:rPr>
                <w:rFonts w:ascii="Arial" w:cs="Arial" w:eastAsia="Arial" w:hAnsi="Arial"/>
                <w:sz w:val="17"/>
                <w:szCs w:val="17"/>
                <w:color w:val="76AD9A"/>
              </w:rPr>
              <w:t>3.69</w:t>
            </w:r>
          </w:p>
        </w:tc>
        <w:tc>
          <w:tcPr>
            <w:tcW w:w="460" w:type="dxa"/>
            <w:vAlign w:val="bottom"/>
            <w:tcBorders>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2.49</w:t>
            </w:r>
          </w:p>
        </w:tc>
        <w:tc>
          <w:tcPr>
            <w:tcW w:w="3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3.08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Net earnings per share — diluted</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bottom w:val="single" w:sz="8" w:color="717073"/>
            </w:tcBorders>
            <w:shd w:val="clear" w:color="auto" w:fill="EEF5F2"/>
          </w:tcPr>
          <w:p>
            <w:pPr>
              <w:jc w:val="right"/>
              <w:ind w:right="35"/>
              <w:spacing w:after="0" w:line="186" w:lineRule="exact"/>
              <w:rPr>
                <w:sz w:val="20"/>
                <w:szCs w:val="20"/>
                <w:color w:val="auto"/>
              </w:rPr>
            </w:pPr>
            <w:r>
              <w:rPr>
                <w:rFonts w:ascii="Arial" w:cs="Arial" w:eastAsia="Arial" w:hAnsi="Arial"/>
                <w:sz w:val="17"/>
                <w:szCs w:val="17"/>
                <w:color w:val="76AD9A"/>
              </w:rPr>
              <w:t>3.62</w:t>
            </w:r>
          </w:p>
        </w:tc>
        <w:tc>
          <w:tcPr>
            <w:tcW w:w="460" w:type="dxa"/>
            <w:vAlign w:val="bottom"/>
            <w:tcBorders>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2.47</w:t>
            </w:r>
          </w:p>
        </w:tc>
        <w:tc>
          <w:tcPr>
            <w:tcW w:w="3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3.04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Weighted average shares — basic</w:t>
            </w:r>
          </w:p>
        </w:tc>
        <w:tc>
          <w:tcPr>
            <w:tcW w:w="22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shd w:val="clear" w:color="auto" w:fill="EEF5F2"/>
          </w:tcPr>
          <w:p>
            <w:pPr>
              <w:jc w:val="right"/>
              <w:ind w:right="35"/>
              <w:spacing w:after="0" w:line="186" w:lineRule="exact"/>
              <w:rPr>
                <w:sz w:val="20"/>
                <w:szCs w:val="20"/>
                <w:color w:val="auto"/>
              </w:rPr>
            </w:pPr>
            <w:r>
              <w:rPr>
                <w:rFonts w:ascii="Arial" w:cs="Arial" w:eastAsia="Arial" w:hAnsi="Arial"/>
                <w:sz w:val="17"/>
                <w:szCs w:val="17"/>
                <w:color w:val="76AD9A"/>
              </w:rPr>
              <w:t>78.0</w:t>
            </w:r>
          </w:p>
        </w:tc>
        <w:tc>
          <w:tcPr>
            <w:tcW w:w="460" w:type="dxa"/>
            <w:vAlign w:val="bottom"/>
            <w:tcBorders>
              <w:bottom w:val="single" w:sz="8" w:color="717073"/>
            </w:tcBorders>
          </w:tcPr>
          <w:p>
            <w:pPr>
              <w:spacing w:after="0"/>
              <w:rPr>
                <w:sz w:val="16"/>
                <w:szCs w:val="16"/>
                <w:color w:val="auto"/>
              </w:rPr>
            </w:pPr>
          </w:p>
        </w:tc>
        <w:tc>
          <w:tcPr>
            <w:tcW w:w="94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79.5</w:t>
            </w:r>
          </w:p>
        </w:tc>
        <w:tc>
          <w:tcPr>
            <w:tcW w:w="3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81.6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60" w:type="dxa"/>
            <w:vAlign w:val="bottom"/>
            <w:gridSpan w:val="2"/>
          </w:tcPr>
          <w:p>
            <w:pPr>
              <w:spacing w:after="0" w:line="186" w:lineRule="exact"/>
              <w:rPr>
                <w:sz w:val="20"/>
                <w:szCs w:val="20"/>
                <w:color w:val="auto"/>
              </w:rPr>
            </w:pPr>
            <w:r>
              <w:rPr>
                <w:rFonts w:ascii="Arial" w:cs="Arial" w:eastAsia="Arial" w:hAnsi="Arial"/>
                <w:sz w:val="17"/>
                <w:szCs w:val="17"/>
                <w:color w:val="373535"/>
              </w:rPr>
              <w:t>Weighted average shares — diluted</w:t>
            </w:r>
          </w:p>
        </w:tc>
        <w:tc>
          <w:tcPr>
            <w:tcW w:w="22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35"/>
              <w:spacing w:after="0" w:line="186" w:lineRule="exact"/>
              <w:rPr>
                <w:sz w:val="20"/>
                <w:szCs w:val="20"/>
                <w:color w:val="auto"/>
              </w:rPr>
            </w:pPr>
            <w:r>
              <w:rPr>
                <w:rFonts w:ascii="Arial" w:cs="Arial" w:eastAsia="Arial" w:hAnsi="Arial"/>
                <w:sz w:val="17"/>
                <w:szCs w:val="17"/>
                <w:color w:val="76AD9A"/>
              </w:rPr>
              <w:t>79.6</w:t>
            </w:r>
          </w:p>
        </w:tc>
        <w:tc>
          <w:tcPr>
            <w:tcW w:w="460" w:type="dxa"/>
            <w:vAlign w:val="bottom"/>
          </w:tcPr>
          <w:p>
            <w:pPr>
              <w:spacing w:after="0"/>
              <w:rPr>
                <w:sz w:val="16"/>
                <w:szCs w:val="16"/>
                <w:color w:val="auto"/>
              </w:rPr>
            </w:pPr>
          </w:p>
        </w:tc>
        <w:tc>
          <w:tcPr>
            <w:tcW w:w="940" w:type="dxa"/>
            <w:vAlign w:val="bottom"/>
          </w:tcPr>
          <w:p>
            <w:pPr>
              <w:jc w:val="right"/>
              <w:ind w:right="55"/>
              <w:spacing w:after="0" w:line="186" w:lineRule="exact"/>
              <w:rPr>
                <w:sz w:val="20"/>
                <w:szCs w:val="20"/>
                <w:color w:val="auto"/>
              </w:rPr>
            </w:pPr>
            <w:r>
              <w:rPr>
                <w:rFonts w:ascii="Arial" w:cs="Arial" w:eastAsia="Arial" w:hAnsi="Arial"/>
                <w:sz w:val="17"/>
                <w:szCs w:val="17"/>
                <w:color w:val="373535"/>
              </w:rPr>
              <w:t>80.1</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82.8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940" w:type="dxa"/>
            <w:vAlign w:val="bottom"/>
            <w:shd w:val="clear" w:color="auto" w:fill="717073"/>
          </w:tcPr>
          <w:p>
            <w:pPr>
              <w:spacing w:after="0" w:line="20" w:lineRule="exact"/>
              <w:rPr>
                <w:sz w:val="1"/>
                <w:szCs w:val="1"/>
                <w:color w:val="auto"/>
              </w:rPr>
            </w:pPr>
          </w:p>
        </w:tc>
        <w:tc>
          <w:tcPr>
            <w:tcW w:w="320" w:type="dxa"/>
            <w:vAlign w:val="bottom"/>
            <w:shd w:val="clear" w:color="auto" w:fill="717073"/>
          </w:tcPr>
          <w:p>
            <w:pPr>
              <w:spacing w:after="0" w:line="20" w:lineRule="exact"/>
              <w:rPr>
                <w:sz w:val="1"/>
                <w:szCs w:val="1"/>
                <w:color w:val="auto"/>
              </w:rPr>
            </w:pPr>
          </w:p>
        </w:tc>
        <w:tc>
          <w:tcPr>
            <w:tcW w:w="78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560" w:type="dxa"/>
            <w:vAlign w:val="bottom"/>
            <w:gridSpan w:val="2"/>
          </w:tcPr>
          <w:p>
            <w:pPr>
              <w:spacing w:after="0"/>
              <w:rPr>
                <w:sz w:val="20"/>
                <w:szCs w:val="20"/>
                <w:color w:val="auto"/>
              </w:rPr>
            </w:pPr>
            <w:r>
              <w:rPr>
                <w:rFonts w:ascii="Arial" w:cs="Arial" w:eastAsia="Arial" w:hAnsi="Arial"/>
                <w:sz w:val="17"/>
                <w:szCs w:val="17"/>
                <w:color w:val="4C8ABF"/>
              </w:rPr>
              <w:t>CONSOLIDATED STATEMENTS OF COMPREHENSIVE INCOME</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560" w:type="dxa"/>
            <w:vAlign w:val="bottom"/>
            <w:gridSpan w:val="2"/>
          </w:tcPr>
          <w:p>
            <w:pPr>
              <w:spacing w:after="0"/>
              <w:rPr>
                <w:sz w:val="20"/>
                <w:szCs w:val="20"/>
                <w:color w:val="auto"/>
              </w:rPr>
            </w:pPr>
            <w:r>
              <w:rPr>
                <w:rFonts w:ascii="Arial" w:cs="Arial" w:eastAsia="Arial" w:hAnsi="Arial"/>
                <w:sz w:val="17"/>
                <w:szCs w:val="17"/>
                <w:color w:val="4C8ABF"/>
              </w:rPr>
              <w:t>in millions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756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5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6"/>
                <w:szCs w:val="16"/>
                <w:color w:val="auto"/>
              </w:rPr>
            </w:pPr>
          </w:p>
        </w:tc>
        <w:tc>
          <w:tcPr>
            <w:tcW w:w="1040" w:type="dxa"/>
            <w:vAlign w:val="bottom"/>
            <w:shd w:val="clear" w:color="auto" w:fill="76AD9A"/>
          </w:tcPr>
          <w:p>
            <w:pPr>
              <w:jc w:val="right"/>
              <w:ind w:right="35"/>
              <w:spacing w:after="0"/>
              <w:rPr>
                <w:sz w:val="20"/>
                <w:szCs w:val="20"/>
                <w:color w:val="auto"/>
              </w:rPr>
            </w:pPr>
            <w:r>
              <w:rPr>
                <w:rFonts w:ascii="Arial" w:cs="Arial" w:eastAsia="Arial" w:hAnsi="Arial"/>
                <w:sz w:val="14"/>
                <w:szCs w:val="14"/>
                <w:color w:val="FFFFFF"/>
              </w:rPr>
              <w:t>2013</w:t>
            </w:r>
          </w:p>
        </w:tc>
        <w:tc>
          <w:tcPr>
            <w:tcW w:w="460" w:type="dxa"/>
            <w:vAlign w:val="bottom"/>
          </w:tcPr>
          <w:p>
            <w:pPr>
              <w:spacing w:after="0"/>
              <w:rPr>
                <w:sz w:val="16"/>
                <w:szCs w:val="16"/>
                <w:color w:val="auto"/>
              </w:rPr>
            </w:pPr>
          </w:p>
        </w:tc>
        <w:tc>
          <w:tcPr>
            <w:tcW w:w="940" w:type="dxa"/>
            <w:vAlign w:val="bottom"/>
          </w:tcPr>
          <w:p>
            <w:pPr>
              <w:jc w:val="right"/>
              <w:ind w:right="55"/>
              <w:spacing w:after="0"/>
              <w:rPr>
                <w:sz w:val="20"/>
                <w:szCs w:val="20"/>
                <w:color w:val="auto"/>
              </w:rPr>
            </w:pPr>
            <w:r>
              <w:rPr>
                <w:rFonts w:ascii="Arial" w:cs="Arial" w:eastAsia="Arial" w:hAnsi="Arial"/>
                <w:sz w:val="14"/>
                <w:szCs w:val="14"/>
                <w:color w:val="76AD9A"/>
              </w:rPr>
              <w:t>2012</w:t>
            </w:r>
          </w:p>
        </w:tc>
        <w:tc>
          <w:tcPr>
            <w:tcW w:w="3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Net earnings</w:t>
            </w:r>
          </w:p>
        </w:tc>
        <w:tc>
          <w:tcPr>
            <w:tcW w:w="22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6AD9A"/>
            </w:tcBorders>
            <w:shd w:val="clear" w:color="auto" w:fill="EEF5F2"/>
          </w:tcPr>
          <w:p>
            <w:pPr>
              <w:jc w:val="right"/>
              <w:ind w:right="35"/>
              <w:spacing w:after="0" w:line="185" w:lineRule="exact"/>
              <w:rPr>
                <w:sz w:val="20"/>
                <w:szCs w:val="20"/>
                <w:color w:val="auto"/>
              </w:rPr>
            </w:pPr>
            <w:r>
              <w:rPr>
                <w:rFonts w:ascii="Arial" w:cs="Arial" w:eastAsia="Arial" w:hAnsi="Arial"/>
                <w:sz w:val="17"/>
                <w:szCs w:val="17"/>
                <w:color w:val="76AD9A"/>
              </w:rPr>
              <w:t>288.0</w:t>
            </w:r>
          </w:p>
        </w:tc>
        <w:tc>
          <w:tcPr>
            <w:tcW w:w="460" w:type="dxa"/>
            <w:vAlign w:val="bottom"/>
            <w:tcBorders>
              <w:top w:val="single" w:sz="8" w:color="76AD9A"/>
            </w:tcBorders>
          </w:tcPr>
          <w:p>
            <w:pPr>
              <w:jc w:val="right"/>
              <w:ind w:right="54"/>
              <w:spacing w:after="0" w:line="185"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6AD9A"/>
            </w:tcBorders>
          </w:tcPr>
          <w:p>
            <w:pPr>
              <w:jc w:val="right"/>
              <w:ind w:right="55"/>
              <w:spacing w:after="0" w:line="185" w:lineRule="exact"/>
              <w:rPr>
                <w:sz w:val="20"/>
                <w:szCs w:val="20"/>
                <w:color w:val="auto"/>
              </w:rPr>
            </w:pPr>
            <w:r>
              <w:rPr>
                <w:rFonts w:ascii="Arial" w:cs="Arial" w:eastAsia="Arial" w:hAnsi="Arial"/>
                <w:sz w:val="17"/>
                <w:szCs w:val="17"/>
                <w:color w:val="373535"/>
              </w:rPr>
              <w:t>197.6</w:t>
            </w:r>
          </w:p>
        </w:tc>
        <w:tc>
          <w:tcPr>
            <w:tcW w:w="32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7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251.6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Other comprehensive income (loss):</w:t>
            </w:r>
          </w:p>
        </w:tc>
        <w:tc>
          <w:tcPr>
            <w:tcW w:w="220" w:type="dxa"/>
            <w:vAlign w:val="bottom"/>
            <w:shd w:val="clear" w:color="auto" w:fill="EEF5F2"/>
          </w:tcPr>
          <w:p>
            <w:pPr>
              <w:spacing w:after="0"/>
              <w:rPr>
                <w:sz w:val="16"/>
                <w:szCs w:val="16"/>
                <w:color w:val="auto"/>
              </w:rPr>
            </w:pPr>
          </w:p>
        </w:tc>
        <w:tc>
          <w:tcPr>
            <w:tcW w:w="1040" w:type="dxa"/>
            <w:vAlign w:val="bottom"/>
            <w:shd w:val="clear" w:color="auto" w:fill="EEF5F2"/>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373535"/>
              </w:rPr>
              <w:t>Foreign currency translation adjustments</w:t>
            </w:r>
          </w:p>
        </w:tc>
        <w:tc>
          <w:tcPr>
            <w:tcW w:w="220" w:type="dxa"/>
            <w:vAlign w:val="bottom"/>
            <w:shd w:val="clear" w:color="auto" w:fill="EEF5F2"/>
          </w:tcPr>
          <w:p>
            <w:pPr>
              <w:spacing w:after="0"/>
              <w:rPr>
                <w:sz w:val="20"/>
                <w:szCs w:val="20"/>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76AD9A"/>
              </w:rPr>
              <w:t>52.7</w:t>
            </w:r>
          </w:p>
        </w:tc>
        <w:tc>
          <w:tcPr>
            <w:tcW w:w="460" w:type="dxa"/>
            <w:vAlign w:val="bottom"/>
          </w:tcPr>
          <w:p>
            <w:pPr>
              <w:spacing w:after="0"/>
              <w:rPr>
                <w:sz w:val="20"/>
                <w:szCs w:val="20"/>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373535"/>
              </w:rPr>
              <w:t>0.2</w:t>
            </w:r>
          </w:p>
        </w:tc>
        <w:tc>
          <w:tcPr>
            <w:tcW w:w="32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373535"/>
              </w:rPr>
              <w:t>(56.4)</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373535"/>
              </w:rPr>
              <w:t>Translation adjustments on net investment hedge, net of income taxes of $(5.4), $(4.8), $7.9,</w:t>
            </w:r>
          </w:p>
        </w:tc>
        <w:tc>
          <w:tcPr>
            <w:tcW w:w="220" w:type="dxa"/>
            <w:vAlign w:val="bottom"/>
            <w:shd w:val="clear" w:color="auto" w:fill="EEF5F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7"/>
                <w:szCs w:val="17"/>
                <w:color w:val="373535"/>
              </w:rPr>
              <w:t>respectively</w:t>
            </w:r>
          </w:p>
        </w:tc>
        <w:tc>
          <w:tcPr>
            <w:tcW w:w="220" w:type="dxa"/>
            <w:vAlign w:val="bottom"/>
            <w:shd w:val="clear" w:color="auto" w:fill="EEF5F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(9.5)</w:t>
            </w: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373535"/>
              </w:rPr>
              <w:t>(7.9)</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12.9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373535"/>
              </w:rPr>
              <w:t>Translation adjustments of long-term intercompany loans</w:t>
            </w:r>
          </w:p>
        </w:tc>
        <w:tc>
          <w:tcPr>
            <w:tcW w:w="220" w:type="dxa"/>
            <w:vAlign w:val="bottom"/>
            <w:shd w:val="clear" w:color="auto" w:fill="EEF5F2"/>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(0.2)</w:t>
            </w:r>
          </w:p>
        </w:tc>
        <w:tc>
          <w:tcPr>
            <w:tcW w:w="460" w:type="dxa"/>
            <w:vAlign w:val="bottom"/>
          </w:tcPr>
          <w:p>
            <w:pPr>
              <w:spacing w:after="0"/>
              <w:rPr>
                <w:sz w:val="19"/>
                <w:szCs w:val="19"/>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373535"/>
              </w:rPr>
              <w:t>15.7</w:t>
            </w:r>
          </w:p>
        </w:tc>
        <w:tc>
          <w:tcPr>
            <w:tcW w:w="32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373535"/>
              </w:rPr>
              <w:t>Unrealized (loss) gain on investments, net of income taxes of $(2.3), $1.1 and $0.0,</w:t>
            </w:r>
          </w:p>
        </w:tc>
        <w:tc>
          <w:tcPr>
            <w:tcW w:w="220" w:type="dxa"/>
            <w:vAlign w:val="bottom"/>
            <w:shd w:val="clear" w:color="auto" w:fill="EEF5F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540" w:type="dxa"/>
            <w:vAlign w:val="bottom"/>
          </w:tcPr>
          <w:p>
            <w:pPr>
              <w:ind w:left="280"/>
              <w:spacing w:after="0"/>
              <w:rPr>
                <w:sz w:val="20"/>
                <w:szCs w:val="20"/>
                <w:color w:val="auto"/>
              </w:rPr>
            </w:pPr>
            <w:r>
              <w:rPr>
                <w:rFonts w:ascii="Arial" w:cs="Arial" w:eastAsia="Arial" w:hAnsi="Arial"/>
                <w:sz w:val="17"/>
                <w:szCs w:val="17"/>
                <w:color w:val="373535"/>
              </w:rPr>
              <w:t>respectively</w:t>
            </w:r>
          </w:p>
        </w:tc>
        <w:tc>
          <w:tcPr>
            <w:tcW w:w="220" w:type="dxa"/>
            <w:vAlign w:val="bottom"/>
            <w:shd w:val="clear" w:color="auto" w:fill="EEF5F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(0.3)</w:t>
            </w:r>
          </w:p>
        </w:tc>
        <w:tc>
          <w:tcPr>
            <w:tcW w:w="460" w:type="dxa"/>
            <w:vAlign w:val="bottom"/>
          </w:tcPr>
          <w:p>
            <w:pPr>
              <w:spacing w:after="0"/>
              <w:rPr>
                <w:sz w:val="17"/>
                <w:szCs w:val="17"/>
                <w:color w:val="auto"/>
              </w:rPr>
            </w:pPr>
          </w:p>
        </w:tc>
        <w:tc>
          <w:tcPr>
            <w:tcW w:w="940" w:type="dxa"/>
            <w:vAlign w:val="bottom"/>
          </w:tcPr>
          <w:p>
            <w:pPr>
              <w:jc w:val="right"/>
              <w:ind w:right="55"/>
              <w:spacing w:after="0"/>
              <w:rPr>
                <w:sz w:val="20"/>
                <w:szCs w:val="20"/>
                <w:color w:val="auto"/>
              </w:rPr>
            </w:pPr>
            <w:r>
              <w:rPr>
                <w:rFonts w:ascii="Arial" w:cs="Arial" w:eastAsia="Arial" w:hAnsi="Arial"/>
                <w:sz w:val="17"/>
                <w:szCs w:val="17"/>
                <w:color w:val="373535"/>
              </w:rPr>
              <w:t>3.6</w:t>
            </w:r>
          </w:p>
        </w:tc>
        <w:tc>
          <w:tcPr>
            <w:tcW w:w="3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540" w:type="dxa"/>
            <w:vAlign w:val="bottom"/>
          </w:tcPr>
          <w:p>
            <w:pPr>
              <w:ind w:left="140"/>
              <w:spacing w:after="0"/>
              <w:rPr>
                <w:sz w:val="20"/>
                <w:szCs w:val="20"/>
                <w:color w:val="auto"/>
              </w:rPr>
            </w:pPr>
            <w:r>
              <w:rPr>
                <w:rFonts w:ascii="Arial" w:cs="Arial" w:eastAsia="Arial" w:hAnsi="Arial"/>
                <w:sz w:val="17"/>
                <w:szCs w:val="17"/>
                <w:color w:val="373535"/>
              </w:rPr>
              <w:t>Defined benefit pension plans and retiree health care plan, net of income taxes of $5.2, $(4.3)</w:t>
            </w:r>
          </w:p>
        </w:tc>
        <w:tc>
          <w:tcPr>
            <w:tcW w:w="220" w:type="dxa"/>
            <w:vAlign w:val="bottom"/>
            <w:shd w:val="clear" w:color="auto" w:fill="EEF5F2"/>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540" w:type="dxa"/>
            <w:vAlign w:val="bottom"/>
          </w:tcPr>
          <w:p>
            <w:pPr>
              <w:ind w:left="280"/>
              <w:spacing w:after="0" w:line="194" w:lineRule="exact"/>
              <w:rPr>
                <w:sz w:val="20"/>
                <w:szCs w:val="20"/>
                <w:color w:val="auto"/>
              </w:rPr>
            </w:pPr>
            <w:r>
              <w:rPr>
                <w:rFonts w:ascii="Arial" w:cs="Arial" w:eastAsia="Arial" w:hAnsi="Arial"/>
                <w:sz w:val="17"/>
                <w:szCs w:val="17"/>
                <w:color w:val="373535"/>
              </w:rPr>
              <w:t>and $(4.8), respectively</w:t>
            </w:r>
          </w:p>
        </w:tc>
        <w:tc>
          <w:tcPr>
            <w:tcW w:w="22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5.1</w:t>
            </w:r>
          </w:p>
        </w:tc>
        <w:tc>
          <w:tcPr>
            <w:tcW w:w="46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(12.5)</w:t>
            </w:r>
          </w:p>
        </w:tc>
        <w:tc>
          <w:tcPr>
            <w:tcW w:w="320" w:type="dxa"/>
            <w:vAlign w:val="bottom"/>
          </w:tcPr>
          <w:p>
            <w:pPr>
              <w:spacing w:after="0"/>
              <w:rPr>
                <w:sz w:val="16"/>
                <w:szCs w:val="16"/>
                <w:color w:val="auto"/>
              </w:rPr>
            </w:pPr>
          </w:p>
        </w:tc>
        <w:tc>
          <w:tcPr>
            <w:tcW w:w="840" w:type="dxa"/>
            <w:vAlign w:val="bottom"/>
            <w:gridSpan w:val="3"/>
          </w:tcPr>
          <w:p>
            <w:pPr>
              <w:jc w:val="right"/>
              <w:spacing w:after="0" w:line="194" w:lineRule="exact"/>
              <w:rPr>
                <w:sz w:val="20"/>
                <w:szCs w:val="20"/>
                <w:color w:val="auto"/>
              </w:rPr>
            </w:pPr>
            <w:r>
              <w:rPr>
                <w:rFonts w:ascii="Arial" w:cs="Arial" w:eastAsia="Arial" w:hAnsi="Arial"/>
                <w:sz w:val="17"/>
                <w:szCs w:val="17"/>
                <w:color w:val="373535"/>
              </w:rPr>
              <w:t>(9.6)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940" w:type="dxa"/>
            <w:vAlign w:val="bottom"/>
            <w:shd w:val="clear" w:color="auto" w:fill="717073"/>
          </w:tcPr>
          <w:p>
            <w:pPr>
              <w:spacing w:after="0" w:line="20" w:lineRule="exact"/>
              <w:rPr>
                <w:sz w:val="1"/>
                <w:szCs w:val="1"/>
                <w:color w:val="auto"/>
              </w:rPr>
            </w:pPr>
          </w:p>
        </w:tc>
        <w:tc>
          <w:tcPr>
            <w:tcW w:w="320" w:type="dxa"/>
            <w:vAlign w:val="bottom"/>
            <w:shd w:val="clear" w:color="auto" w:fill="717073"/>
          </w:tcPr>
          <w:p>
            <w:pPr>
              <w:spacing w:after="0" w:line="20" w:lineRule="exact"/>
              <w:rPr>
                <w:sz w:val="1"/>
                <w:szCs w:val="1"/>
                <w:color w:val="auto"/>
              </w:rPr>
            </w:pPr>
          </w:p>
        </w:tc>
        <w:tc>
          <w:tcPr>
            <w:tcW w:w="780" w:type="dxa"/>
            <w:vAlign w:val="bottom"/>
            <w:shd w:val="clear" w:color="auto" w:fill="71707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7540" w:type="dxa"/>
            <w:vAlign w:val="bottom"/>
          </w:tcPr>
          <w:p>
            <w:pPr>
              <w:spacing w:after="0" w:line="186" w:lineRule="exact"/>
              <w:rPr>
                <w:sz w:val="20"/>
                <w:szCs w:val="20"/>
                <w:color w:val="auto"/>
              </w:rPr>
            </w:pPr>
            <w:r>
              <w:rPr>
                <w:rFonts w:ascii="Arial" w:cs="Arial" w:eastAsia="Arial" w:hAnsi="Arial"/>
                <w:sz w:val="17"/>
                <w:szCs w:val="17"/>
                <w:color w:val="373535"/>
              </w:rPr>
              <w:t>Total other comprehensive income (loss)</w:t>
            </w: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Pr>
          <w:p>
            <w:pPr>
              <w:jc w:val="right"/>
              <w:ind w:right="35"/>
              <w:spacing w:after="0" w:line="186" w:lineRule="exact"/>
              <w:rPr>
                <w:sz w:val="20"/>
                <w:szCs w:val="20"/>
                <w:color w:val="auto"/>
              </w:rPr>
            </w:pPr>
            <w:r>
              <w:rPr>
                <w:rFonts w:ascii="Arial" w:cs="Arial" w:eastAsia="Arial" w:hAnsi="Arial"/>
                <w:sz w:val="17"/>
                <w:szCs w:val="17"/>
                <w:color w:val="76AD9A"/>
              </w:rPr>
              <w:t>47.8</w:t>
            </w:r>
          </w:p>
        </w:tc>
        <w:tc>
          <w:tcPr>
            <w:tcW w:w="460" w:type="dxa"/>
            <w:vAlign w:val="bottom"/>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940" w:type="dxa"/>
            <w:vAlign w:val="bottom"/>
          </w:tcPr>
          <w:p>
            <w:pPr>
              <w:jc w:val="right"/>
              <w:spacing w:after="0" w:line="186" w:lineRule="exact"/>
              <w:rPr>
                <w:sz w:val="20"/>
                <w:szCs w:val="20"/>
                <w:color w:val="auto"/>
              </w:rPr>
            </w:pPr>
            <w:r>
              <w:rPr>
                <w:rFonts w:ascii="Arial" w:cs="Arial" w:eastAsia="Arial" w:hAnsi="Arial"/>
                <w:sz w:val="17"/>
                <w:szCs w:val="17"/>
                <w:color w:val="373535"/>
              </w:rPr>
              <w:t>(0.9)</w:t>
            </w:r>
          </w:p>
        </w:tc>
        <w:tc>
          <w:tcPr>
            <w:tcW w:w="320" w:type="dxa"/>
            <w:vAlign w:val="bottom"/>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40" w:type="dxa"/>
            <w:vAlign w:val="bottom"/>
            <w:gridSpan w:val="3"/>
          </w:tcPr>
          <w:p>
            <w:pPr>
              <w:jc w:val="right"/>
              <w:spacing w:after="0" w:line="186" w:lineRule="exact"/>
              <w:rPr>
                <w:sz w:val="20"/>
                <w:szCs w:val="20"/>
                <w:color w:val="auto"/>
              </w:rPr>
            </w:pPr>
            <w:r>
              <w:rPr>
                <w:rFonts w:ascii="Arial" w:cs="Arial" w:eastAsia="Arial" w:hAnsi="Arial"/>
                <w:sz w:val="17"/>
                <w:szCs w:val="17"/>
                <w:color w:val="373535"/>
              </w:rPr>
              <w:t>(51.7)</w:t>
            </w:r>
          </w:p>
        </w:tc>
        <w:tc>
          <w:tcPr>
            <w:tcW w:w="0" w:type="dxa"/>
            <w:vAlign w:val="bottom"/>
          </w:tcPr>
          <w:p>
            <w:pPr>
              <w:spacing w:after="0"/>
              <w:rPr>
                <w:sz w:val="1"/>
                <w:szCs w:val="1"/>
                <w:color w:val="auto"/>
              </w:rPr>
            </w:pPr>
          </w:p>
        </w:tc>
      </w:tr>
      <w:tr>
        <w:trPr>
          <w:trHeight w:val="186"/>
        </w:trPr>
        <w:tc>
          <w:tcPr>
            <w:tcW w:w="7560" w:type="dxa"/>
            <w:vAlign w:val="bottom"/>
            <w:tcBorders>
              <w:top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Comprehensive income</w:t>
            </w:r>
          </w:p>
        </w:tc>
        <w:tc>
          <w:tcPr>
            <w:tcW w:w="220" w:type="dxa"/>
            <w:vAlign w:val="bottom"/>
            <w:tcBorders>
              <w:top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335.8</w:t>
            </w:r>
          </w:p>
        </w:tc>
        <w:tc>
          <w:tcPr>
            <w:tcW w:w="460" w:type="dxa"/>
            <w:vAlign w:val="bottom"/>
            <w:tcBorders>
              <w:top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196.7</w:t>
            </w:r>
          </w:p>
        </w:tc>
        <w:tc>
          <w:tcPr>
            <w:tcW w:w="320" w:type="dxa"/>
            <w:vAlign w:val="bottom"/>
            <w:tcBorders>
              <w:top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199.9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940" w:type="dxa"/>
            <w:vAlign w:val="bottom"/>
            <w:shd w:val="clear" w:color="auto" w:fill="717073"/>
          </w:tcPr>
          <w:p>
            <w:pPr>
              <w:spacing w:after="0" w:line="20" w:lineRule="exact"/>
              <w:rPr>
                <w:sz w:val="1"/>
                <w:szCs w:val="1"/>
                <w:color w:val="auto"/>
              </w:rPr>
            </w:pPr>
          </w:p>
        </w:tc>
        <w:tc>
          <w:tcPr>
            <w:tcW w:w="320" w:type="dxa"/>
            <w:vAlign w:val="bottom"/>
            <w:shd w:val="clear" w:color="auto" w:fill="717073"/>
          </w:tcPr>
          <w:p>
            <w:pPr>
              <w:spacing w:after="0" w:line="20" w:lineRule="exact"/>
              <w:rPr>
                <w:sz w:val="1"/>
                <w:szCs w:val="1"/>
                <w:color w:val="auto"/>
              </w:rPr>
            </w:pPr>
          </w:p>
        </w:tc>
        <w:tc>
          <w:tcPr>
            <w:tcW w:w="78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-1457960</wp:posOffset>
            </wp:positionV>
            <wp:extent cx="655320" cy="14503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320" cy="145034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373535"/>
        </w:rPr>
        <w:t>The accompanying Notes to Consolidated Financial Statements are an integral part of these statements.</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373535"/>
        </w:rPr>
        <w:t>52</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Consolidated Statements of Operations and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380"/>
          </w:cols>
          <w:pgMar w:left="240" w:top="653" w:right="27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4C8ABF"/>
        </w:rPr>
        <w:t>CONSOLIDATED BALANCE SHEETS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1020" w:type="dxa"/>
            <w:vAlign w:val="bottom"/>
            <w:shd w:val="clear" w:color="auto" w:fill="76AD9A"/>
          </w:tcPr>
          <w:p>
            <w:pPr>
              <w:jc w:val="right"/>
              <w:ind w:right="15"/>
              <w:spacing w:after="0"/>
              <w:rPr>
                <w:sz w:val="20"/>
                <w:szCs w:val="20"/>
                <w:color w:val="auto"/>
              </w:rPr>
            </w:pPr>
            <w:r>
              <w:rPr>
                <w:rFonts w:ascii="Arial" w:cs="Arial" w:eastAsia="Arial" w:hAnsi="Arial"/>
                <w:sz w:val="14"/>
                <w:szCs w:val="14"/>
                <w:color w:val="FFFFFF"/>
              </w:rPr>
              <w:t>2013</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76AD9A"/>
              </w:rPr>
              <w:t>2012</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6AD9A"/>
              </w:rPr>
              <w:t>ASSETS</w:t>
            </w:r>
          </w:p>
        </w:tc>
        <w:tc>
          <w:tcPr>
            <w:tcW w:w="240" w:type="dxa"/>
            <w:vAlign w:val="bottom"/>
            <w:tcBorders>
              <w:top w:val="single" w:sz="8" w:color="76AD9A"/>
            </w:tcBorders>
            <w:shd w:val="clear" w:color="auto" w:fill="EEF5F2"/>
          </w:tcPr>
          <w:p>
            <w:pPr>
              <w:spacing w:after="0"/>
              <w:rPr>
                <w:sz w:val="16"/>
                <w:szCs w:val="16"/>
                <w:color w:val="auto"/>
              </w:rPr>
            </w:pPr>
          </w:p>
        </w:tc>
        <w:tc>
          <w:tcPr>
            <w:tcW w:w="1020" w:type="dxa"/>
            <w:vAlign w:val="bottom"/>
            <w:tcBorders>
              <w:top w:val="single" w:sz="8" w:color="76AD9A"/>
            </w:tcBorders>
            <w:shd w:val="clear" w:color="auto" w:fill="EEF5F2"/>
          </w:tcPr>
          <w:p>
            <w:pPr>
              <w:spacing w:after="0"/>
              <w:rPr>
                <w:sz w:val="16"/>
                <w:szCs w:val="16"/>
                <w:color w:val="auto"/>
              </w:rPr>
            </w:pPr>
          </w:p>
        </w:tc>
        <w:tc>
          <w:tcPr>
            <w:tcW w:w="48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440" w:type="dxa"/>
            <w:vAlign w:val="bottom"/>
            <w:tcBorders>
              <w:top w:val="single" w:sz="8" w:color="76AD9A"/>
            </w:tcBorders>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777679"/>
              </w:rPr>
              <w:t>Current Assets</w:t>
            </w:r>
          </w:p>
        </w:tc>
        <w:tc>
          <w:tcPr>
            <w:tcW w:w="240" w:type="dxa"/>
            <w:vAlign w:val="bottom"/>
            <w:shd w:val="clear" w:color="auto" w:fill="EEF5F2"/>
          </w:tcPr>
          <w:p>
            <w:pPr>
              <w:spacing w:after="0"/>
              <w:rPr>
                <w:sz w:val="16"/>
                <w:szCs w:val="16"/>
                <w:color w:val="auto"/>
              </w:rPr>
            </w:pPr>
          </w:p>
        </w:tc>
        <w:tc>
          <w:tcPr>
            <w:tcW w:w="1020" w:type="dxa"/>
            <w:vAlign w:val="bottom"/>
            <w:shd w:val="clear" w:color="auto" w:fill="EEF5F2"/>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3"/>
        </w:trPr>
        <w:tc>
          <w:tcPr>
            <w:tcW w:w="8800" w:type="dxa"/>
            <w:vAlign w:val="bottom"/>
            <w:gridSpan w:val="2"/>
          </w:tcPr>
          <w:p>
            <w:pPr>
              <w:spacing w:after="0" w:line="193" w:lineRule="exact"/>
              <w:rPr>
                <w:sz w:val="20"/>
                <w:szCs w:val="20"/>
                <w:color w:val="auto"/>
              </w:rPr>
            </w:pPr>
            <w:r>
              <w:rPr>
                <w:rFonts w:ascii="Arial" w:cs="Arial" w:eastAsia="Arial" w:hAnsi="Arial"/>
                <w:sz w:val="17"/>
                <w:szCs w:val="17"/>
                <w:color w:val="373535"/>
              </w:rPr>
              <w:t>Cash and cash equivalents</w:t>
            </w:r>
          </w:p>
        </w:tc>
        <w:tc>
          <w:tcPr>
            <w:tcW w:w="240" w:type="dxa"/>
            <w:vAlign w:val="bottom"/>
            <w:shd w:val="clear" w:color="auto" w:fill="EEF5F2"/>
          </w:tcPr>
          <w:p>
            <w:pPr>
              <w:jc w:val="right"/>
              <w:spacing w:after="0" w:line="193" w:lineRule="exact"/>
              <w:rPr>
                <w:sz w:val="20"/>
                <w:szCs w:val="20"/>
                <w:color w:val="auto"/>
              </w:rPr>
            </w:pPr>
            <w:r>
              <w:rPr>
                <w:rFonts w:ascii="Arial" w:cs="Arial" w:eastAsia="Arial" w:hAnsi="Arial"/>
                <w:sz w:val="17"/>
                <w:szCs w:val="17"/>
                <w:color w:val="76AD9A"/>
              </w:rPr>
              <w:t>$</w:t>
            </w:r>
          </w:p>
        </w:tc>
        <w:tc>
          <w:tcPr>
            <w:tcW w:w="1020" w:type="dxa"/>
            <w:vAlign w:val="bottom"/>
          </w:tcPr>
          <w:p>
            <w:pPr>
              <w:jc w:val="right"/>
              <w:ind w:right="15"/>
              <w:spacing w:after="0" w:line="193" w:lineRule="exact"/>
              <w:rPr>
                <w:sz w:val="20"/>
                <w:szCs w:val="20"/>
                <w:color w:val="auto"/>
              </w:rPr>
            </w:pPr>
            <w:r>
              <w:rPr>
                <w:rFonts w:ascii="Arial" w:cs="Arial" w:eastAsia="Arial" w:hAnsi="Arial"/>
                <w:sz w:val="17"/>
                <w:szCs w:val="17"/>
                <w:color w:val="76AD9A"/>
              </w:rPr>
              <w:t>737.6</w:t>
            </w:r>
          </w:p>
        </w:tc>
        <w:tc>
          <w:tcPr>
            <w:tcW w:w="480" w:type="dxa"/>
            <w:vAlign w:val="bottom"/>
          </w:tcPr>
          <w:p>
            <w:pPr>
              <w:jc w:val="right"/>
              <w:ind w:right="54"/>
              <w:spacing w:after="0" w:line="193" w:lineRule="exact"/>
              <w:rPr>
                <w:sz w:val="20"/>
                <w:szCs w:val="20"/>
                <w:color w:val="auto"/>
              </w:rPr>
            </w:pPr>
            <w:r>
              <w:rPr>
                <w:rFonts w:ascii="Arial" w:cs="Arial" w:eastAsia="Arial" w:hAnsi="Arial"/>
                <w:sz w:val="17"/>
                <w:szCs w:val="17"/>
                <w:color w:val="373535"/>
              </w:rPr>
              <w:t>$</w:t>
            </w:r>
          </w:p>
        </w:tc>
        <w:tc>
          <w:tcPr>
            <w:tcW w:w="340" w:type="dxa"/>
            <w:vAlign w:val="bottom"/>
          </w:tcPr>
          <w:p>
            <w:pPr>
              <w:spacing w:after="0"/>
              <w:rPr>
                <w:sz w:val="16"/>
                <w:szCs w:val="16"/>
                <w:color w:val="auto"/>
              </w:rPr>
            </w:pPr>
          </w:p>
        </w:tc>
        <w:tc>
          <w:tcPr>
            <w:tcW w:w="440" w:type="dxa"/>
            <w:vAlign w:val="bottom"/>
          </w:tcPr>
          <w:p>
            <w:pPr>
              <w:jc w:val="right"/>
              <w:spacing w:after="0" w:line="193" w:lineRule="exact"/>
              <w:rPr>
                <w:sz w:val="20"/>
                <w:szCs w:val="20"/>
                <w:color w:val="auto"/>
              </w:rPr>
            </w:pPr>
            <w:r>
              <w:rPr>
                <w:rFonts w:ascii="Arial" w:cs="Arial" w:eastAsia="Arial" w:hAnsi="Arial"/>
                <w:sz w:val="17"/>
                <w:szCs w:val="17"/>
                <w:color w:val="373535"/>
                <w:w w:val="98"/>
              </w:rPr>
              <w:t>648.1</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Accounts receivable, less allowance for doubtful accounts of $118.6 and $118.0, respectively</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4,277.9</w:t>
            </w:r>
          </w:p>
        </w:tc>
        <w:tc>
          <w:tcPr>
            <w:tcW w:w="48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4,179.0</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Prepaid expenses and other assets</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161.3</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172.9</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Future income tax benefits</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66.2</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60.6</w:t>
            </w:r>
          </w:p>
        </w:tc>
        <w:tc>
          <w:tcPr>
            <w:tcW w:w="10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780" w:type="dxa"/>
            <w:vAlign w:val="bottom"/>
            <w:tcBorders>
              <w:top w:val="single" w:sz="8" w:color="717073"/>
            </w:tcBorders>
          </w:tcPr>
          <w:p>
            <w:pPr>
              <w:ind w:left="140"/>
              <w:spacing w:after="0"/>
              <w:rPr>
                <w:sz w:val="20"/>
                <w:szCs w:val="20"/>
                <w:color w:val="auto"/>
              </w:rPr>
            </w:pPr>
            <w:r>
              <w:rPr>
                <w:rFonts w:ascii="Arial" w:cs="Arial" w:eastAsia="Arial" w:hAnsi="Arial"/>
                <w:sz w:val="17"/>
                <w:szCs w:val="17"/>
                <w:color w:val="373535"/>
              </w:rPr>
              <w:t>Total current assets</w:t>
            </w:r>
          </w:p>
        </w:tc>
        <w:tc>
          <w:tcPr>
            <w:tcW w:w="240" w:type="dxa"/>
            <w:vAlign w:val="bottom"/>
            <w:tcBorders>
              <w:top w:val="single" w:sz="8" w:color="717073"/>
            </w:tcBorders>
            <w:shd w:val="clear" w:color="auto" w:fill="EEF5F2"/>
          </w:tcPr>
          <w:p>
            <w:pPr>
              <w:spacing w:after="0"/>
              <w:rPr>
                <w:sz w:val="18"/>
                <w:szCs w:val="18"/>
                <w:color w:val="auto"/>
              </w:rPr>
            </w:pPr>
          </w:p>
        </w:tc>
        <w:tc>
          <w:tcPr>
            <w:tcW w:w="1020" w:type="dxa"/>
            <w:vAlign w:val="bottom"/>
            <w:tcBorders>
              <w:top w:val="single" w:sz="8" w:color="717073"/>
            </w:tcBorders>
          </w:tcPr>
          <w:p>
            <w:pPr>
              <w:jc w:val="right"/>
              <w:ind w:right="15"/>
              <w:spacing w:after="0"/>
              <w:rPr>
                <w:sz w:val="20"/>
                <w:szCs w:val="20"/>
                <w:color w:val="auto"/>
              </w:rPr>
            </w:pPr>
            <w:r>
              <w:rPr>
                <w:rFonts w:ascii="Arial" w:cs="Arial" w:eastAsia="Arial" w:hAnsi="Arial"/>
                <w:sz w:val="17"/>
                <w:szCs w:val="17"/>
                <w:color w:val="76AD9A"/>
              </w:rPr>
              <w:t>5,243.0</w:t>
            </w:r>
          </w:p>
        </w:tc>
        <w:tc>
          <w:tcPr>
            <w:tcW w:w="480" w:type="dxa"/>
            <w:vAlign w:val="bottom"/>
            <w:tcBorders>
              <w:top w:val="single" w:sz="8" w:color="717073"/>
            </w:tcBorders>
          </w:tcPr>
          <w:p>
            <w:pPr>
              <w:spacing w:after="0"/>
              <w:rPr>
                <w:sz w:val="18"/>
                <w:szCs w:val="18"/>
                <w:color w:val="auto"/>
              </w:rPr>
            </w:pPr>
          </w:p>
        </w:tc>
        <w:tc>
          <w:tcPr>
            <w:tcW w:w="780" w:type="dxa"/>
            <w:vAlign w:val="bottom"/>
            <w:tcBorders>
              <w:top w:val="single" w:sz="8" w:color="717073"/>
            </w:tcBorders>
            <w:gridSpan w:val="2"/>
          </w:tcPr>
          <w:p>
            <w:pPr>
              <w:jc w:val="right"/>
              <w:spacing w:after="0"/>
              <w:rPr>
                <w:sz w:val="20"/>
                <w:szCs w:val="20"/>
                <w:color w:val="auto"/>
              </w:rPr>
            </w:pPr>
            <w:r>
              <w:rPr>
                <w:rFonts w:ascii="Arial" w:cs="Arial" w:eastAsia="Arial" w:hAnsi="Arial"/>
                <w:sz w:val="17"/>
                <w:szCs w:val="17"/>
                <w:color w:val="373535"/>
              </w:rPr>
              <w:t>5,060.6</w:t>
            </w:r>
          </w:p>
        </w:tc>
        <w:tc>
          <w:tcPr>
            <w:tcW w:w="100" w:type="dxa"/>
            <w:vAlign w:val="bottom"/>
          </w:tcPr>
          <w:p>
            <w:pPr>
              <w:spacing w:after="0"/>
              <w:rPr>
                <w:sz w:val="18"/>
                <w:szCs w:val="18"/>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777679"/>
              </w:rPr>
              <w:t>Other Assets</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Goodwill</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1,090.9</w:t>
            </w:r>
          </w:p>
        </w:tc>
        <w:tc>
          <w:tcPr>
            <w:tcW w:w="48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1,041.3</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Intangible assets, less accumulated amortization of $247.9 and $213.2, respectively</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309.1</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330.6</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Other assets</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479.3</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395.3</w:t>
            </w:r>
          </w:p>
        </w:tc>
        <w:tc>
          <w:tcPr>
            <w:tcW w:w="10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780" w:type="dxa"/>
            <w:vAlign w:val="bottom"/>
            <w:tcBorders>
              <w:top w:val="single" w:sz="8" w:color="717073"/>
            </w:tcBorders>
          </w:tcPr>
          <w:p>
            <w:pPr>
              <w:ind w:left="140"/>
              <w:spacing w:after="0"/>
              <w:rPr>
                <w:sz w:val="20"/>
                <w:szCs w:val="20"/>
                <w:color w:val="auto"/>
              </w:rPr>
            </w:pPr>
            <w:r>
              <w:rPr>
                <w:rFonts w:ascii="Arial" w:cs="Arial" w:eastAsia="Arial" w:hAnsi="Arial"/>
                <w:sz w:val="17"/>
                <w:szCs w:val="17"/>
                <w:color w:val="373535"/>
              </w:rPr>
              <w:t>Total other assets</w:t>
            </w:r>
          </w:p>
        </w:tc>
        <w:tc>
          <w:tcPr>
            <w:tcW w:w="240" w:type="dxa"/>
            <w:vAlign w:val="bottom"/>
            <w:tcBorders>
              <w:top w:val="single" w:sz="8" w:color="717073"/>
            </w:tcBorders>
            <w:shd w:val="clear" w:color="auto" w:fill="EEF5F2"/>
          </w:tcPr>
          <w:p>
            <w:pPr>
              <w:spacing w:after="0"/>
              <w:rPr>
                <w:sz w:val="18"/>
                <w:szCs w:val="18"/>
                <w:color w:val="auto"/>
              </w:rPr>
            </w:pPr>
          </w:p>
        </w:tc>
        <w:tc>
          <w:tcPr>
            <w:tcW w:w="1020" w:type="dxa"/>
            <w:vAlign w:val="bottom"/>
            <w:tcBorders>
              <w:top w:val="single" w:sz="8" w:color="717073"/>
            </w:tcBorders>
          </w:tcPr>
          <w:p>
            <w:pPr>
              <w:jc w:val="right"/>
              <w:ind w:right="15"/>
              <w:spacing w:after="0"/>
              <w:rPr>
                <w:sz w:val="20"/>
                <w:szCs w:val="20"/>
                <w:color w:val="auto"/>
              </w:rPr>
            </w:pPr>
            <w:r>
              <w:rPr>
                <w:rFonts w:ascii="Arial" w:cs="Arial" w:eastAsia="Arial" w:hAnsi="Arial"/>
                <w:sz w:val="17"/>
                <w:szCs w:val="17"/>
                <w:color w:val="76AD9A"/>
              </w:rPr>
              <w:t>1,879.3</w:t>
            </w:r>
          </w:p>
        </w:tc>
        <w:tc>
          <w:tcPr>
            <w:tcW w:w="480" w:type="dxa"/>
            <w:vAlign w:val="bottom"/>
            <w:tcBorders>
              <w:top w:val="single" w:sz="8" w:color="717073"/>
            </w:tcBorders>
          </w:tcPr>
          <w:p>
            <w:pPr>
              <w:spacing w:after="0"/>
              <w:rPr>
                <w:sz w:val="18"/>
                <w:szCs w:val="18"/>
                <w:color w:val="auto"/>
              </w:rPr>
            </w:pPr>
          </w:p>
        </w:tc>
        <w:tc>
          <w:tcPr>
            <w:tcW w:w="780" w:type="dxa"/>
            <w:vAlign w:val="bottom"/>
            <w:tcBorders>
              <w:top w:val="single" w:sz="8" w:color="717073"/>
            </w:tcBorders>
            <w:gridSpan w:val="2"/>
          </w:tcPr>
          <w:p>
            <w:pPr>
              <w:jc w:val="right"/>
              <w:spacing w:after="0"/>
              <w:rPr>
                <w:sz w:val="20"/>
                <w:szCs w:val="20"/>
                <w:color w:val="auto"/>
              </w:rPr>
            </w:pPr>
            <w:r>
              <w:rPr>
                <w:rFonts w:ascii="Arial" w:cs="Arial" w:eastAsia="Arial" w:hAnsi="Arial"/>
                <w:sz w:val="17"/>
                <w:szCs w:val="17"/>
                <w:color w:val="373535"/>
              </w:rPr>
              <w:t>1,767.2</w:t>
            </w:r>
          </w:p>
        </w:tc>
        <w:tc>
          <w:tcPr>
            <w:tcW w:w="100" w:type="dxa"/>
            <w:vAlign w:val="bottom"/>
          </w:tcPr>
          <w:p>
            <w:pPr>
              <w:spacing w:after="0"/>
              <w:rPr>
                <w:sz w:val="18"/>
                <w:szCs w:val="18"/>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777679"/>
              </w:rPr>
              <w:t>Property and Equipment</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Land, buildings, leasehold improvements and equipment</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706.2</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704.1</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Less: accumulated depreciation and amortization</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540.2</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519.3</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Borders>
              <w:top w:val="single" w:sz="8" w:color="717073"/>
              <w:bottom w:val="single" w:sz="8" w:color="717073"/>
            </w:tcBorders>
          </w:tcPr>
          <w:p>
            <w:pPr>
              <w:ind w:left="140"/>
              <w:spacing w:after="0" w:line="186" w:lineRule="exact"/>
              <w:rPr>
                <w:sz w:val="20"/>
                <w:szCs w:val="20"/>
                <w:color w:val="auto"/>
              </w:rPr>
            </w:pPr>
            <w:r>
              <w:rPr>
                <w:rFonts w:ascii="Arial" w:cs="Arial" w:eastAsia="Arial" w:hAnsi="Arial"/>
                <w:sz w:val="17"/>
                <w:szCs w:val="17"/>
                <w:color w:val="373535"/>
              </w:rPr>
              <w:t>Net property and equipment</w:t>
            </w:r>
          </w:p>
        </w:tc>
        <w:tc>
          <w:tcPr>
            <w:tcW w:w="240" w:type="dxa"/>
            <w:vAlign w:val="bottom"/>
            <w:tcBorders>
              <w:top w:val="single" w:sz="8" w:color="717073"/>
              <w:bottom w:val="single" w:sz="8" w:color="717073"/>
            </w:tcBorders>
            <w:shd w:val="clear" w:color="auto" w:fill="EEF5F2"/>
          </w:tcPr>
          <w:p>
            <w:pPr>
              <w:spacing w:after="0"/>
              <w:rPr>
                <w:sz w:val="16"/>
                <w:szCs w:val="16"/>
                <w:color w:val="auto"/>
              </w:rPr>
            </w:pPr>
          </w:p>
        </w:tc>
        <w:tc>
          <w:tcPr>
            <w:tcW w:w="1020" w:type="dxa"/>
            <w:vAlign w:val="bottom"/>
            <w:tcBorders>
              <w:top w:val="single" w:sz="8" w:color="717073"/>
              <w:bottom w:val="single" w:sz="8" w:color="717073"/>
            </w:tcBorders>
          </w:tcPr>
          <w:p>
            <w:pPr>
              <w:jc w:val="right"/>
              <w:ind w:right="15"/>
              <w:spacing w:after="0" w:line="186" w:lineRule="exact"/>
              <w:rPr>
                <w:sz w:val="20"/>
                <w:szCs w:val="20"/>
                <w:color w:val="auto"/>
              </w:rPr>
            </w:pPr>
            <w:r>
              <w:rPr>
                <w:rFonts w:ascii="Arial" w:cs="Arial" w:eastAsia="Arial" w:hAnsi="Arial"/>
                <w:sz w:val="17"/>
                <w:szCs w:val="17"/>
                <w:color w:val="76AD9A"/>
              </w:rPr>
              <w:t>166.0</w:t>
            </w:r>
          </w:p>
        </w:tc>
        <w:tc>
          <w:tcPr>
            <w:tcW w:w="480" w:type="dxa"/>
            <w:vAlign w:val="bottom"/>
            <w:tcBorders>
              <w:top w:val="single" w:sz="8" w:color="717073"/>
              <w:bottom w:val="single" w:sz="8" w:color="717073"/>
            </w:tcBorders>
          </w:tcPr>
          <w:p>
            <w:pPr>
              <w:spacing w:after="0"/>
              <w:rPr>
                <w:sz w:val="16"/>
                <w:szCs w:val="16"/>
                <w:color w:val="auto"/>
              </w:rPr>
            </w:pPr>
          </w:p>
        </w:tc>
        <w:tc>
          <w:tcPr>
            <w:tcW w:w="340" w:type="dxa"/>
            <w:vAlign w:val="bottom"/>
            <w:tcBorders>
              <w:top w:val="single" w:sz="8" w:color="717073"/>
              <w:bottom w:val="single" w:sz="8" w:color="717073"/>
            </w:tcBorders>
          </w:tcPr>
          <w:p>
            <w:pPr>
              <w:spacing w:after="0"/>
              <w:rPr>
                <w:sz w:val="16"/>
                <w:szCs w:val="16"/>
                <w:color w:val="auto"/>
              </w:rPr>
            </w:pPr>
          </w:p>
        </w:tc>
        <w:tc>
          <w:tcPr>
            <w:tcW w:w="44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w w:val="98"/>
              </w:rPr>
              <w:t>184.8</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Borders>
              <w:bottom w:val="single" w:sz="8" w:color="717073"/>
            </w:tcBorders>
          </w:tcPr>
          <w:p>
            <w:pPr>
              <w:ind w:left="140"/>
              <w:spacing w:after="0" w:line="186" w:lineRule="exact"/>
              <w:rPr>
                <w:sz w:val="20"/>
                <w:szCs w:val="20"/>
                <w:color w:val="auto"/>
              </w:rPr>
            </w:pPr>
            <w:r>
              <w:rPr>
                <w:rFonts w:ascii="Arial" w:cs="Arial" w:eastAsia="Arial" w:hAnsi="Arial"/>
                <w:sz w:val="17"/>
                <w:szCs w:val="17"/>
                <w:color w:val="373535"/>
              </w:rPr>
              <w:t>Total assets</w:t>
            </w:r>
          </w:p>
        </w:tc>
        <w:tc>
          <w:tcPr>
            <w:tcW w:w="24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20" w:type="dxa"/>
            <w:vAlign w:val="bottom"/>
            <w:tcBorders>
              <w:bottom w:val="single" w:sz="8" w:color="717073"/>
            </w:tcBorders>
          </w:tcPr>
          <w:p>
            <w:pPr>
              <w:jc w:val="right"/>
              <w:ind w:right="15"/>
              <w:spacing w:after="0" w:line="186" w:lineRule="exact"/>
              <w:rPr>
                <w:sz w:val="20"/>
                <w:szCs w:val="20"/>
                <w:color w:val="auto"/>
              </w:rPr>
            </w:pPr>
            <w:r>
              <w:rPr>
                <w:rFonts w:ascii="Arial" w:cs="Arial" w:eastAsia="Arial" w:hAnsi="Arial"/>
                <w:sz w:val="17"/>
                <w:szCs w:val="17"/>
                <w:color w:val="76AD9A"/>
              </w:rPr>
              <w:t>7,288.3</w:t>
            </w:r>
          </w:p>
        </w:tc>
        <w:tc>
          <w:tcPr>
            <w:tcW w:w="480" w:type="dxa"/>
            <w:vAlign w:val="bottom"/>
            <w:tcBorders>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780" w:type="dxa"/>
            <w:vAlign w:val="bottom"/>
            <w:tcBorders>
              <w:bottom w:val="single" w:sz="8" w:color="717073"/>
            </w:tcBorders>
            <w:gridSpan w:val="2"/>
          </w:tcPr>
          <w:p>
            <w:pPr>
              <w:jc w:val="right"/>
              <w:spacing w:after="0" w:line="186" w:lineRule="exact"/>
              <w:rPr>
                <w:sz w:val="20"/>
                <w:szCs w:val="20"/>
                <w:color w:val="auto"/>
              </w:rPr>
            </w:pPr>
            <w:r>
              <w:rPr>
                <w:rFonts w:ascii="Arial" w:cs="Arial" w:eastAsia="Arial" w:hAnsi="Arial"/>
                <w:sz w:val="17"/>
                <w:szCs w:val="17"/>
                <w:color w:val="373535"/>
              </w:rPr>
              <w:t>7,012.6</w:t>
            </w:r>
          </w:p>
        </w:tc>
        <w:tc>
          <w:tcPr>
            <w:tcW w:w="10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Pr>
          <w:p>
            <w:pPr>
              <w:spacing w:after="0" w:line="185" w:lineRule="exact"/>
              <w:rPr>
                <w:sz w:val="20"/>
                <w:szCs w:val="20"/>
                <w:color w:val="auto"/>
              </w:rPr>
            </w:pPr>
            <w:r>
              <w:rPr>
                <w:rFonts w:ascii="Arial" w:cs="Arial" w:eastAsia="Arial" w:hAnsi="Arial"/>
                <w:sz w:val="17"/>
                <w:szCs w:val="17"/>
                <w:color w:val="76AD9A"/>
              </w:rPr>
              <w:t>LIABILITIES AND SHAREHOLDERS’ EQUITY</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777679"/>
              </w:rPr>
              <w:t>Current Liabilities</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Accounts payable</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1,523.9</w:t>
            </w:r>
          </w:p>
        </w:tc>
        <w:tc>
          <w:tcPr>
            <w:tcW w:w="480" w:type="dxa"/>
            <w:vAlign w:val="bottom"/>
          </w:tcPr>
          <w:p>
            <w:pPr>
              <w:jc w:val="right"/>
              <w:ind w:right="54"/>
              <w:spacing w:after="0" w:line="194" w:lineRule="exact"/>
              <w:rPr>
                <w:sz w:val="20"/>
                <w:szCs w:val="20"/>
                <w:color w:val="auto"/>
              </w:rPr>
            </w:pPr>
            <w:r>
              <w:rPr>
                <w:rFonts w:ascii="Arial" w:cs="Arial" w:eastAsia="Arial" w:hAnsi="Arial"/>
                <w:sz w:val="17"/>
                <w:szCs w:val="17"/>
                <w:color w:val="373535"/>
              </w:rPr>
              <w:t>$</w:t>
            </w:r>
          </w:p>
        </w:tc>
        <w:tc>
          <w:tcPr>
            <w:tcW w:w="78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1,466.5</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Employee compensation payable</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230.4</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210.7</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Accrued liabilities</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536.1</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533.8</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Accrued payroll taxes and insurance</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680.7</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685.7</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Value added taxes payable</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502.5</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472.5</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Short-term borrowings and current maturities of long-term debt</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36.0</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308.0</w:t>
            </w:r>
          </w:p>
        </w:tc>
        <w:tc>
          <w:tcPr>
            <w:tcW w:w="10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780" w:type="dxa"/>
            <w:vAlign w:val="bottom"/>
            <w:tcBorders>
              <w:top w:val="single" w:sz="8" w:color="717073"/>
            </w:tcBorders>
          </w:tcPr>
          <w:p>
            <w:pPr>
              <w:ind w:left="140"/>
              <w:spacing w:after="0"/>
              <w:rPr>
                <w:sz w:val="20"/>
                <w:szCs w:val="20"/>
                <w:color w:val="auto"/>
              </w:rPr>
            </w:pPr>
            <w:r>
              <w:rPr>
                <w:rFonts w:ascii="Arial" w:cs="Arial" w:eastAsia="Arial" w:hAnsi="Arial"/>
                <w:sz w:val="17"/>
                <w:szCs w:val="17"/>
                <w:color w:val="373535"/>
              </w:rPr>
              <w:t>Total current liabilities</w:t>
            </w:r>
          </w:p>
        </w:tc>
        <w:tc>
          <w:tcPr>
            <w:tcW w:w="240" w:type="dxa"/>
            <w:vAlign w:val="bottom"/>
            <w:tcBorders>
              <w:top w:val="single" w:sz="8" w:color="717073"/>
            </w:tcBorders>
            <w:shd w:val="clear" w:color="auto" w:fill="EEF5F2"/>
          </w:tcPr>
          <w:p>
            <w:pPr>
              <w:spacing w:after="0"/>
              <w:rPr>
                <w:sz w:val="18"/>
                <w:szCs w:val="18"/>
                <w:color w:val="auto"/>
              </w:rPr>
            </w:pPr>
          </w:p>
        </w:tc>
        <w:tc>
          <w:tcPr>
            <w:tcW w:w="1020" w:type="dxa"/>
            <w:vAlign w:val="bottom"/>
            <w:tcBorders>
              <w:top w:val="single" w:sz="8" w:color="717073"/>
            </w:tcBorders>
          </w:tcPr>
          <w:p>
            <w:pPr>
              <w:jc w:val="right"/>
              <w:ind w:right="15"/>
              <w:spacing w:after="0"/>
              <w:rPr>
                <w:sz w:val="20"/>
                <w:szCs w:val="20"/>
                <w:color w:val="auto"/>
              </w:rPr>
            </w:pPr>
            <w:r>
              <w:rPr>
                <w:rFonts w:ascii="Arial" w:cs="Arial" w:eastAsia="Arial" w:hAnsi="Arial"/>
                <w:sz w:val="17"/>
                <w:szCs w:val="17"/>
                <w:color w:val="76AD9A"/>
              </w:rPr>
              <w:t>3,509.6</w:t>
            </w:r>
          </w:p>
        </w:tc>
        <w:tc>
          <w:tcPr>
            <w:tcW w:w="480" w:type="dxa"/>
            <w:vAlign w:val="bottom"/>
            <w:tcBorders>
              <w:top w:val="single" w:sz="8" w:color="717073"/>
            </w:tcBorders>
          </w:tcPr>
          <w:p>
            <w:pPr>
              <w:spacing w:after="0"/>
              <w:rPr>
                <w:sz w:val="18"/>
                <w:szCs w:val="18"/>
                <w:color w:val="auto"/>
              </w:rPr>
            </w:pPr>
          </w:p>
        </w:tc>
        <w:tc>
          <w:tcPr>
            <w:tcW w:w="780" w:type="dxa"/>
            <w:vAlign w:val="bottom"/>
            <w:tcBorders>
              <w:top w:val="single" w:sz="8" w:color="717073"/>
            </w:tcBorders>
            <w:gridSpan w:val="2"/>
          </w:tcPr>
          <w:p>
            <w:pPr>
              <w:jc w:val="right"/>
              <w:spacing w:after="0"/>
              <w:rPr>
                <w:sz w:val="20"/>
                <w:szCs w:val="20"/>
                <w:color w:val="auto"/>
              </w:rPr>
            </w:pPr>
            <w:r>
              <w:rPr>
                <w:rFonts w:ascii="Arial" w:cs="Arial" w:eastAsia="Arial" w:hAnsi="Arial"/>
                <w:sz w:val="17"/>
                <w:szCs w:val="17"/>
                <w:color w:val="373535"/>
              </w:rPr>
              <w:t>3,677.2</w:t>
            </w:r>
          </w:p>
        </w:tc>
        <w:tc>
          <w:tcPr>
            <w:tcW w:w="100" w:type="dxa"/>
            <w:vAlign w:val="bottom"/>
          </w:tcPr>
          <w:p>
            <w:pPr>
              <w:spacing w:after="0"/>
              <w:rPr>
                <w:sz w:val="18"/>
                <w:szCs w:val="18"/>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777679"/>
              </w:rPr>
              <w:t>Other Liabilities</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Long-term debt</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481.9</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462.1</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Other long-term liabilities</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382.6</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372.5</w:t>
            </w:r>
          </w:p>
        </w:tc>
        <w:tc>
          <w:tcPr>
            <w:tcW w:w="100" w:type="dxa"/>
            <w:vAlign w:val="bottom"/>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8780" w:type="dxa"/>
            <w:vAlign w:val="bottom"/>
            <w:tcBorders>
              <w:top w:val="single" w:sz="8" w:color="717073"/>
            </w:tcBorders>
          </w:tcPr>
          <w:p>
            <w:pPr>
              <w:ind w:left="140"/>
              <w:spacing w:after="0"/>
              <w:rPr>
                <w:sz w:val="20"/>
                <w:szCs w:val="20"/>
                <w:color w:val="auto"/>
              </w:rPr>
            </w:pPr>
            <w:r>
              <w:rPr>
                <w:rFonts w:ascii="Arial" w:cs="Arial" w:eastAsia="Arial" w:hAnsi="Arial"/>
                <w:sz w:val="17"/>
                <w:szCs w:val="17"/>
                <w:color w:val="373535"/>
              </w:rPr>
              <w:t>Total other liabilities</w:t>
            </w:r>
          </w:p>
        </w:tc>
        <w:tc>
          <w:tcPr>
            <w:tcW w:w="240" w:type="dxa"/>
            <w:vAlign w:val="bottom"/>
            <w:tcBorders>
              <w:top w:val="single" w:sz="8" w:color="717073"/>
            </w:tcBorders>
            <w:shd w:val="clear" w:color="auto" w:fill="EEF5F2"/>
          </w:tcPr>
          <w:p>
            <w:pPr>
              <w:spacing w:after="0"/>
              <w:rPr>
                <w:sz w:val="18"/>
                <w:szCs w:val="18"/>
                <w:color w:val="auto"/>
              </w:rPr>
            </w:pPr>
          </w:p>
        </w:tc>
        <w:tc>
          <w:tcPr>
            <w:tcW w:w="1020" w:type="dxa"/>
            <w:vAlign w:val="bottom"/>
            <w:tcBorders>
              <w:top w:val="single" w:sz="8" w:color="717073"/>
            </w:tcBorders>
          </w:tcPr>
          <w:p>
            <w:pPr>
              <w:jc w:val="right"/>
              <w:ind w:right="15"/>
              <w:spacing w:after="0"/>
              <w:rPr>
                <w:sz w:val="20"/>
                <w:szCs w:val="20"/>
                <w:color w:val="auto"/>
              </w:rPr>
            </w:pPr>
            <w:r>
              <w:rPr>
                <w:rFonts w:ascii="Arial" w:cs="Arial" w:eastAsia="Arial" w:hAnsi="Arial"/>
                <w:sz w:val="17"/>
                <w:szCs w:val="17"/>
                <w:color w:val="76AD9A"/>
              </w:rPr>
              <w:t>864.5</w:t>
            </w:r>
          </w:p>
        </w:tc>
        <w:tc>
          <w:tcPr>
            <w:tcW w:w="480" w:type="dxa"/>
            <w:vAlign w:val="bottom"/>
            <w:tcBorders>
              <w:top w:val="single" w:sz="8" w:color="717073"/>
            </w:tcBorders>
          </w:tcPr>
          <w:p>
            <w:pPr>
              <w:spacing w:after="0"/>
              <w:rPr>
                <w:sz w:val="18"/>
                <w:szCs w:val="18"/>
                <w:color w:val="auto"/>
              </w:rPr>
            </w:pPr>
          </w:p>
        </w:tc>
        <w:tc>
          <w:tcPr>
            <w:tcW w:w="340" w:type="dxa"/>
            <w:vAlign w:val="bottom"/>
            <w:tcBorders>
              <w:top w:val="single" w:sz="8" w:color="717073"/>
            </w:tcBorders>
          </w:tcPr>
          <w:p>
            <w:pPr>
              <w:spacing w:after="0"/>
              <w:rPr>
                <w:sz w:val="18"/>
                <w:szCs w:val="18"/>
                <w:color w:val="auto"/>
              </w:rPr>
            </w:pPr>
          </w:p>
        </w:tc>
        <w:tc>
          <w:tcPr>
            <w:tcW w:w="440" w:type="dxa"/>
            <w:vAlign w:val="bottom"/>
            <w:tcBorders>
              <w:top w:val="single" w:sz="8" w:color="717073"/>
            </w:tcBorders>
          </w:tcPr>
          <w:p>
            <w:pPr>
              <w:jc w:val="right"/>
              <w:spacing w:after="0"/>
              <w:rPr>
                <w:sz w:val="20"/>
                <w:szCs w:val="20"/>
                <w:color w:val="auto"/>
              </w:rPr>
            </w:pPr>
            <w:r>
              <w:rPr>
                <w:rFonts w:ascii="Arial" w:cs="Arial" w:eastAsia="Arial" w:hAnsi="Arial"/>
                <w:sz w:val="17"/>
                <w:szCs w:val="17"/>
                <w:color w:val="373535"/>
                <w:w w:val="98"/>
              </w:rPr>
              <w:t>834.6</w:t>
            </w:r>
          </w:p>
        </w:tc>
        <w:tc>
          <w:tcPr>
            <w:tcW w:w="100" w:type="dxa"/>
            <w:vAlign w:val="bottom"/>
          </w:tcPr>
          <w:p>
            <w:pPr>
              <w:spacing w:after="0"/>
              <w:rPr>
                <w:sz w:val="18"/>
                <w:szCs w:val="18"/>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777679"/>
              </w:rPr>
              <w:t>Shareholders’ Equity</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Preferred stock, $.01 par value, authorized 25,000,000 shares, none issued</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373535"/>
              </w:rPr>
              <w:t>—</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Common stock, $.01 par value, authorized 125,000,000 shares, issued 112,014,673 and 109,543,492 shares,</w:t>
            </w:r>
          </w:p>
        </w:tc>
        <w:tc>
          <w:tcPr>
            <w:tcW w:w="240" w:type="dxa"/>
            <w:vAlign w:val="bottom"/>
            <w:shd w:val="clear" w:color="auto" w:fill="EEF5F2"/>
          </w:tcPr>
          <w:p>
            <w:pPr>
              <w:spacing w:after="0"/>
              <w:rPr>
                <w:sz w:val="16"/>
                <w:szCs w:val="16"/>
                <w:color w:val="auto"/>
              </w:rPr>
            </w:pPr>
          </w:p>
        </w:tc>
        <w:tc>
          <w:tcPr>
            <w:tcW w:w="10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40"/>
              <w:spacing w:after="0" w:line="194" w:lineRule="exact"/>
              <w:rPr>
                <w:sz w:val="20"/>
                <w:szCs w:val="20"/>
                <w:color w:val="auto"/>
              </w:rPr>
            </w:pPr>
            <w:r>
              <w:rPr>
                <w:rFonts w:ascii="Arial" w:cs="Arial" w:eastAsia="Arial" w:hAnsi="Arial"/>
                <w:sz w:val="17"/>
                <w:szCs w:val="17"/>
                <w:color w:val="373535"/>
              </w:rPr>
              <w:t>respectively</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1.1</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1.1</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Capital in excess of par value</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3,014.0</w:t>
            </w:r>
          </w:p>
        </w:tc>
        <w:tc>
          <w:tcPr>
            <w:tcW w:w="48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2,873.2</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Retained earnings</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1,317.5</w:t>
            </w:r>
          </w:p>
        </w:tc>
        <w:tc>
          <w:tcPr>
            <w:tcW w:w="480" w:type="dxa"/>
            <w:vAlign w:val="bottom"/>
          </w:tcPr>
          <w:p>
            <w:pPr>
              <w:spacing w:after="0"/>
              <w:rPr>
                <w:sz w:val="16"/>
                <w:szCs w:val="16"/>
                <w:color w:val="auto"/>
              </w:rPr>
            </w:pPr>
          </w:p>
        </w:tc>
        <w:tc>
          <w:tcPr>
            <w:tcW w:w="78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1,101.5</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Accumulated other comprehensive income</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5"/>
              <w:spacing w:after="0" w:line="194" w:lineRule="exact"/>
              <w:rPr>
                <w:sz w:val="20"/>
                <w:szCs w:val="20"/>
                <w:color w:val="auto"/>
              </w:rPr>
            </w:pPr>
            <w:r>
              <w:rPr>
                <w:rFonts w:ascii="Arial" w:cs="Arial" w:eastAsia="Arial" w:hAnsi="Arial"/>
                <w:sz w:val="17"/>
                <w:szCs w:val="17"/>
                <w:color w:val="76AD9A"/>
              </w:rPr>
              <w:t>82.2</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34.4</w:t>
            </w:r>
          </w:p>
        </w:tc>
        <w:tc>
          <w:tcPr>
            <w:tcW w:w="10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Treasury stock at cost, 32,658,685 and 32,896,063 shares, respectively</w:t>
            </w:r>
          </w:p>
        </w:tc>
        <w:tc>
          <w:tcPr>
            <w:tcW w:w="240" w:type="dxa"/>
            <w:vAlign w:val="bottom"/>
            <w:shd w:val="clear" w:color="auto" w:fill="EEF5F2"/>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76AD9A"/>
              </w:rPr>
              <w:t>(1,500.6)</w:t>
            </w:r>
          </w:p>
        </w:tc>
        <w:tc>
          <w:tcPr>
            <w:tcW w:w="480" w:type="dxa"/>
            <w:vAlign w:val="bottom"/>
          </w:tcPr>
          <w:p>
            <w:pPr>
              <w:spacing w:after="0"/>
              <w:rPr>
                <w:sz w:val="16"/>
                <w:szCs w:val="16"/>
                <w:color w:val="auto"/>
              </w:rPr>
            </w:pPr>
          </w:p>
        </w:tc>
        <w:tc>
          <w:tcPr>
            <w:tcW w:w="88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(1,509.4)</w:t>
            </w:r>
          </w:p>
        </w:tc>
      </w:tr>
      <w:tr>
        <w:trPr>
          <w:trHeight w:val="212"/>
        </w:trPr>
        <w:tc>
          <w:tcPr>
            <w:tcW w:w="20" w:type="dxa"/>
            <w:vAlign w:val="bottom"/>
          </w:tcPr>
          <w:p>
            <w:pPr>
              <w:spacing w:after="0"/>
              <w:rPr>
                <w:sz w:val="18"/>
                <w:szCs w:val="18"/>
                <w:color w:val="auto"/>
              </w:rPr>
            </w:pPr>
          </w:p>
        </w:tc>
        <w:tc>
          <w:tcPr>
            <w:tcW w:w="8780" w:type="dxa"/>
            <w:vAlign w:val="bottom"/>
            <w:tcBorders>
              <w:top w:val="single" w:sz="8" w:color="717073"/>
              <w:bottom w:val="single" w:sz="8" w:color="717073"/>
            </w:tcBorders>
          </w:tcPr>
          <w:p>
            <w:pPr>
              <w:ind w:left="140"/>
              <w:spacing w:after="0"/>
              <w:rPr>
                <w:sz w:val="20"/>
                <w:szCs w:val="20"/>
                <w:color w:val="auto"/>
              </w:rPr>
            </w:pPr>
            <w:r>
              <w:rPr>
                <w:rFonts w:ascii="Arial" w:cs="Arial" w:eastAsia="Arial" w:hAnsi="Arial"/>
                <w:sz w:val="17"/>
                <w:szCs w:val="17"/>
                <w:color w:val="373535"/>
              </w:rPr>
              <w:t>Total shareholders’ equity</w:t>
            </w:r>
          </w:p>
        </w:tc>
        <w:tc>
          <w:tcPr>
            <w:tcW w:w="240" w:type="dxa"/>
            <w:vAlign w:val="bottom"/>
            <w:tcBorders>
              <w:top w:val="single" w:sz="8" w:color="717073"/>
              <w:bottom w:val="single" w:sz="8" w:color="717073"/>
            </w:tcBorders>
            <w:shd w:val="clear" w:color="auto" w:fill="EEF5F2"/>
          </w:tcPr>
          <w:p>
            <w:pPr>
              <w:spacing w:after="0"/>
              <w:rPr>
                <w:sz w:val="18"/>
                <w:szCs w:val="18"/>
                <w:color w:val="auto"/>
              </w:rPr>
            </w:pPr>
          </w:p>
        </w:tc>
        <w:tc>
          <w:tcPr>
            <w:tcW w:w="1020" w:type="dxa"/>
            <w:vAlign w:val="bottom"/>
            <w:tcBorders>
              <w:top w:val="single" w:sz="8" w:color="717073"/>
              <w:bottom w:val="single" w:sz="8" w:color="717073"/>
            </w:tcBorders>
          </w:tcPr>
          <w:p>
            <w:pPr>
              <w:jc w:val="right"/>
              <w:ind w:right="15"/>
              <w:spacing w:after="0"/>
              <w:rPr>
                <w:sz w:val="20"/>
                <w:szCs w:val="20"/>
                <w:color w:val="auto"/>
              </w:rPr>
            </w:pPr>
            <w:r>
              <w:rPr>
                <w:rFonts w:ascii="Arial" w:cs="Arial" w:eastAsia="Arial" w:hAnsi="Arial"/>
                <w:sz w:val="17"/>
                <w:szCs w:val="17"/>
                <w:color w:val="76AD9A"/>
              </w:rPr>
              <w:t>2,914.2</w:t>
            </w:r>
          </w:p>
        </w:tc>
        <w:tc>
          <w:tcPr>
            <w:tcW w:w="480" w:type="dxa"/>
            <w:vAlign w:val="bottom"/>
            <w:tcBorders>
              <w:top w:val="single" w:sz="8" w:color="717073"/>
              <w:bottom w:val="single" w:sz="8" w:color="717073"/>
            </w:tcBorders>
          </w:tcPr>
          <w:p>
            <w:pPr>
              <w:spacing w:after="0"/>
              <w:rPr>
                <w:sz w:val="18"/>
                <w:szCs w:val="18"/>
                <w:color w:val="auto"/>
              </w:rPr>
            </w:pPr>
          </w:p>
        </w:tc>
        <w:tc>
          <w:tcPr>
            <w:tcW w:w="780" w:type="dxa"/>
            <w:vAlign w:val="bottom"/>
            <w:tcBorders>
              <w:top w:val="single" w:sz="8" w:color="717073"/>
              <w:bottom w:val="single" w:sz="8" w:color="717073"/>
            </w:tcBorders>
            <w:gridSpan w:val="2"/>
          </w:tcPr>
          <w:p>
            <w:pPr>
              <w:jc w:val="right"/>
              <w:spacing w:after="0"/>
              <w:rPr>
                <w:sz w:val="20"/>
                <w:szCs w:val="20"/>
                <w:color w:val="auto"/>
              </w:rPr>
            </w:pPr>
            <w:r>
              <w:rPr>
                <w:rFonts w:ascii="Arial" w:cs="Arial" w:eastAsia="Arial" w:hAnsi="Arial"/>
                <w:sz w:val="17"/>
                <w:szCs w:val="17"/>
                <w:color w:val="373535"/>
              </w:rPr>
              <w:t>2,500.8</w:t>
            </w:r>
          </w:p>
        </w:tc>
        <w:tc>
          <w:tcPr>
            <w:tcW w:w="10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878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Total liabilities and shareholders’ equity</w:t>
            </w:r>
          </w:p>
        </w:tc>
        <w:tc>
          <w:tcPr>
            <w:tcW w:w="240" w:type="dxa"/>
            <w:vAlign w:val="bottom"/>
            <w:tcBorders>
              <w:bottom w:val="single" w:sz="8" w:color="717073"/>
            </w:tcBorders>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020" w:type="dxa"/>
            <w:vAlign w:val="bottom"/>
            <w:tcBorders>
              <w:bottom w:val="single" w:sz="8" w:color="717073"/>
            </w:tcBorders>
          </w:tcPr>
          <w:p>
            <w:pPr>
              <w:jc w:val="right"/>
              <w:ind w:right="15"/>
              <w:spacing w:after="0"/>
              <w:rPr>
                <w:sz w:val="20"/>
                <w:szCs w:val="20"/>
                <w:color w:val="auto"/>
              </w:rPr>
            </w:pPr>
            <w:r>
              <w:rPr>
                <w:rFonts w:ascii="Arial" w:cs="Arial" w:eastAsia="Arial" w:hAnsi="Arial"/>
                <w:sz w:val="17"/>
                <w:szCs w:val="17"/>
                <w:color w:val="76AD9A"/>
              </w:rPr>
              <w:t>7,288.3</w:t>
            </w:r>
          </w:p>
        </w:tc>
        <w:tc>
          <w:tcPr>
            <w:tcW w:w="480" w:type="dxa"/>
            <w:vAlign w:val="bottom"/>
            <w:tcBorders>
              <w:bottom w:val="single" w:sz="8" w:color="717073"/>
            </w:tcBorders>
          </w:tcPr>
          <w:p>
            <w:pPr>
              <w:jc w:val="right"/>
              <w:ind w:right="54"/>
              <w:spacing w:after="0"/>
              <w:rPr>
                <w:sz w:val="20"/>
                <w:szCs w:val="20"/>
                <w:color w:val="auto"/>
              </w:rPr>
            </w:pPr>
            <w:r>
              <w:rPr>
                <w:rFonts w:ascii="Arial" w:cs="Arial" w:eastAsia="Arial" w:hAnsi="Arial"/>
                <w:sz w:val="17"/>
                <w:szCs w:val="17"/>
                <w:color w:val="373535"/>
              </w:rPr>
              <w:t>$</w:t>
            </w:r>
          </w:p>
        </w:tc>
        <w:tc>
          <w:tcPr>
            <w:tcW w:w="780" w:type="dxa"/>
            <w:vAlign w:val="bottom"/>
            <w:tcBorders>
              <w:bottom w:val="single" w:sz="8" w:color="717073"/>
            </w:tcBorders>
            <w:gridSpan w:val="2"/>
          </w:tcPr>
          <w:p>
            <w:pPr>
              <w:jc w:val="right"/>
              <w:spacing w:after="0"/>
              <w:rPr>
                <w:sz w:val="20"/>
                <w:szCs w:val="20"/>
                <w:color w:val="auto"/>
              </w:rPr>
            </w:pPr>
            <w:r>
              <w:rPr>
                <w:rFonts w:ascii="Arial" w:cs="Arial" w:eastAsia="Arial" w:hAnsi="Arial"/>
                <w:sz w:val="17"/>
                <w:szCs w:val="17"/>
                <w:color w:val="373535"/>
              </w:rPr>
              <w:t>7,012.6</w:t>
            </w:r>
          </w:p>
        </w:tc>
        <w:tc>
          <w:tcPr>
            <w:tcW w:w="100" w:type="dxa"/>
            <w:vAlign w:val="bottom"/>
          </w:tcPr>
          <w:p>
            <w:pPr>
              <w:spacing w:after="0"/>
              <w:rPr>
                <w:sz w:val="18"/>
                <w:szCs w:val="18"/>
                <w:color w:val="auto"/>
              </w:rPr>
            </w:pPr>
          </w:p>
        </w:tc>
      </w:tr>
      <w:tr>
        <w:trPr>
          <w:trHeight w:val="366"/>
        </w:trPr>
        <w:tc>
          <w:tcPr>
            <w:tcW w:w="8800" w:type="dxa"/>
            <w:vAlign w:val="bottom"/>
            <w:gridSpan w:val="2"/>
          </w:tcPr>
          <w:p>
            <w:pPr>
              <w:spacing w:after="0"/>
              <w:rPr>
                <w:sz w:val="20"/>
                <w:szCs w:val="20"/>
                <w:color w:val="auto"/>
              </w:rPr>
            </w:pPr>
            <w:r>
              <w:rPr>
                <w:rFonts w:ascii="Arial" w:cs="Arial" w:eastAsia="Arial" w:hAnsi="Arial"/>
                <w:sz w:val="17"/>
                <w:szCs w:val="17"/>
                <w:color w:val="373535"/>
              </w:rPr>
              <w:t>The accompanying Notes to Consolidated Financial Statements are an integral part of these statements.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10860" w:type="dxa"/>
            <w:vAlign w:val="bottom"/>
            <w:gridSpan w:val="5"/>
          </w:tcPr>
          <w:p>
            <w:pPr>
              <w:ind w:left="6580"/>
              <w:spacing w:after="0"/>
              <w:rPr>
                <w:sz w:val="20"/>
                <w:szCs w:val="20"/>
                <w:color w:val="auto"/>
              </w:rPr>
            </w:pPr>
            <w:r>
              <w:rPr>
                <w:rFonts w:ascii="Arial" w:cs="Arial" w:eastAsia="Arial" w:hAnsi="Arial"/>
                <w:sz w:val="14"/>
                <w:szCs w:val="14"/>
                <w:b w:val="1"/>
                <w:bCs w:val="1"/>
                <w:color w:val="777679"/>
                <w:w w:val="98"/>
              </w:rPr>
              <w:t xml:space="preserve">Consolidated Balance Sheets </w:t>
            </w:r>
            <w:r>
              <w:rPr>
                <w:rFonts w:ascii="Arial" w:cs="Arial" w:eastAsia="Arial" w:hAnsi="Arial"/>
                <w:sz w:val="14"/>
                <w:szCs w:val="14"/>
                <w:color w:val="373535"/>
                <w:w w:val="98"/>
              </w:rPr>
              <w:t>ManpowerGroup 2013 Annual Report</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373535"/>
              </w:rPr>
              <w:t>53</w:t>
            </w:r>
          </w:p>
        </w:tc>
      </w:tr>
      <w:tr>
        <w:trPr>
          <w:trHeight w:val="405"/>
        </w:trPr>
        <w:tc>
          <w:tcPr>
            <w:tcW w:w="20" w:type="dxa"/>
            <w:vAlign w:val="bottom"/>
          </w:tcPr>
          <w:p>
            <w:pPr>
              <w:spacing w:after="0"/>
              <w:rPr>
                <w:sz w:val="24"/>
                <w:szCs w:val="24"/>
                <w:color w:val="auto"/>
              </w:rPr>
            </w:pPr>
          </w:p>
        </w:tc>
        <w:tc>
          <w:tcPr>
            <w:tcW w:w="87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5738495</wp:posOffset>
            </wp:positionH>
            <wp:positionV relativeFrom="paragraph">
              <wp:posOffset>-5694680</wp:posOffset>
            </wp:positionV>
            <wp:extent cx="655320" cy="4966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320" cy="496633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1" w:name="page92"/>
    <w:bookmarkEnd w:id="91"/>
    <w:p>
      <w:pPr>
        <w:spacing w:after="0"/>
        <w:rPr>
          <w:sz w:val="20"/>
          <w:szCs w:val="20"/>
          <w:color w:val="auto"/>
        </w:rPr>
      </w:pPr>
      <w:r>
        <w:rPr>
          <w:rFonts w:ascii="Arial" w:cs="Arial" w:eastAsia="Arial" w:hAnsi="Arial"/>
          <w:sz w:val="17"/>
          <w:szCs w:val="17"/>
          <w:color w:val="4C8ABF"/>
        </w:rPr>
        <w:t>CONSOLIDATED STATEMENTS OF CASH FLOWS</w:t>
      </w:r>
    </w:p>
    <w:p>
      <w:pPr>
        <w:spacing w:after="0"/>
        <w:rPr>
          <w:sz w:val="20"/>
          <w:szCs w:val="20"/>
          <w:color w:val="auto"/>
        </w:rPr>
      </w:pPr>
      <w:r>
        <w:rPr>
          <w:rFonts w:ascii="Arial" w:cs="Arial" w:eastAsia="Arial" w:hAnsi="Arial"/>
          <w:sz w:val="17"/>
          <w:szCs w:val="17"/>
          <w:color w:val="4C8ABF"/>
        </w:rPr>
        <w:t>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60" w:type="dxa"/>
            <w:vAlign w:val="bottom"/>
            <w:gridSpan w:val="3"/>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6"/>
                <w:szCs w:val="16"/>
                <w:color w:val="auto"/>
              </w:rPr>
            </w:pPr>
          </w:p>
        </w:tc>
        <w:tc>
          <w:tcPr>
            <w:tcW w:w="300" w:type="dxa"/>
            <w:vAlign w:val="bottom"/>
            <w:shd w:val="clear" w:color="auto" w:fill="76AD9A"/>
          </w:tcPr>
          <w:p>
            <w:pPr>
              <w:spacing w:after="0"/>
              <w:rPr>
                <w:sz w:val="16"/>
                <w:szCs w:val="16"/>
                <w:color w:val="auto"/>
              </w:rPr>
            </w:pPr>
          </w:p>
        </w:tc>
        <w:tc>
          <w:tcPr>
            <w:tcW w:w="740" w:type="dxa"/>
            <w:vAlign w:val="bottom"/>
            <w:shd w:val="clear" w:color="auto" w:fill="76AD9A"/>
          </w:tcPr>
          <w:p>
            <w:pPr>
              <w:jc w:val="right"/>
              <w:ind w:right="35"/>
              <w:spacing w:after="0"/>
              <w:rPr>
                <w:sz w:val="20"/>
                <w:szCs w:val="20"/>
                <w:color w:val="auto"/>
              </w:rPr>
            </w:pPr>
            <w:r>
              <w:rPr>
                <w:rFonts w:ascii="Arial" w:cs="Arial" w:eastAsia="Arial" w:hAnsi="Arial"/>
                <w:sz w:val="14"/>
                <w:szCs w:val="14"/>
                <w:color w:val="FFFFFF"/>
              </w:rPr>
              <w:t>2013</w:t>
            </w:r>
          </w:p>
        </w:tc>
        <w:tc>
          <w:tcPr>
            <w:tcW w:w="560" w:type="dxa"/>
            <w:vAlign w:val="bottom"/>
          </w:tcPr>
          <w:p>
            <w:pPr>
              <w:spacing w:after="0"/>
              <w:rPr>
                <w:sz w:val="16"/>
                <w:szCs w:val="16"/>
                <w:color w:val="auto"/>
              </w:rPr>
            </w:pPr>
          </w:p>
        </w:tc>
        <w:tc>
          <w:tcPr>
            <w:tcW w:w="840" w:type="dxa"/>
            <w:vAlign w:val="bottom"/>
          </w:tcPr>
          <w:p>
            <w:pPr>
              <w:jc w:val="right"/>
              <w:ind w:right="55"/>
              <w:spacing w:after="0"/>
              <w:rPr>
                <w:sz w:val="20"/>
                <w:szCs w:val="20"/>
                <w:color w:val="auto"/>
              </w:rPr>
            </w:pPr>
            <w:r>
              <w:rPr>
                <w:rFonts w:ascii="Arial" w:cs="Arial" w:eastAsia="Arial" w:hAnsi="Arial"/>
                <w:sz w:val="14"/>
                <w:szCs w:val="14"/>
                <w:color w:val="76AD9A"/>
              </w:rPr>
              <w:t>2012</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540" w:type="dxa"/>
            <w:vAlign w:val="bottom"/>
            <w:tcBorders>
              <w:top w:val="single" w:sz="8" w:color="76AD9A"/>
            </w:tcBorders>
            <w:gridSpan w:val="2"/>
          </w:tcPr>
          <w:p>
            <w:pPr>
              <w:spacing w:after="0" w:line="185" w:lineRule="exact"/>
              <w:rPr>
                <w:sz w:val="20"/>
                <w:szCs w:val="20"/>
                <w:color w:val="auto"/>
              </w:rPr>
            </w:pPr>
            <w:r>
              <w:rPr>
                <w:rFonts w:ascii="Arial" w:cs="Arial" w:eastAsia="Arial" w:hAnsi="Arial"/>
                <w:sz w:val="17"/>
                <w:szCs w:val="17"/>
                <w:color w:val="777679"/>
              </w:rPr>
              <w:t>Cash Flows from Operating Activities</w:t>
            </w:r>
          </w:p>
        </w:tc>
        <w:tc>
          <w:tcPr>
            <w:tcW w:w="220" w:type="dxa"/>
            <w:vAlign w:val="bottom"/>
            <w:tcBorders>
              <w:top w:val="single" w:sz="8" w:color="76AD9A"/>
            </w:tcBorders>
            <w:shd w:val="clear" w:color="auto" w:fill="EEF5F2"/>
          </w:tcPr>
          <w:p>
            <w:pPr>
              <w:spacing w:after="0"/>
              <w:rPr>
                <w:sz w:val="16"/>
                <w:szCs w:val="16"/>
                <w:color w:val="auto"/>
              </w:rPr>
            </w:pPr>
          </w:p>
        </w:tc>
        <w:tc>
          <w:tcPr>
            <w:tcW w:w="300" w:type="dxa"/>
            <w:vAlign w:val="bottom"/>
            <w:tcBorders>
              <w:top w:val="single" w:sz="8" w:color="76AD9A"/>
            </w:tcBorders>
            <w:shd w:val="clear" w:color="auto" w:fill="EEF5F2"/>
          </w:tcPr>
          <w:p>
            <w:pPr>
              <w:spacing w:after="0"/>
              <w:rPr>
                <w:sz w:val="16"/>
                <w:szCs w:val="16"/>
                <w:color w:val="auto"/>
              </w:rPr>
            </w:pPr>
          </w:p>
        </w:tc>
        <w:tc>
          <w:tcPr>
            <w:tcW w:w="740" w:type="dxa"/>
            <w:vAlign w:val="bottom"/>
            <w:tcBorders>
              <w:top w:val="single" w:sz="8" w:color="76AD9A"/>
            </w:tcBorders>
            <w:shd w:val="clear" w:color="auto" w:fill="EEF5F2"/>
          </w:tcPr>
          <w:p>
            <w:pPr>
              <w:spacing w:after="0"/>
              <w:rPr>
                <w:sz w:val="16"/>
                <w:szCs w:val="16"/>
                <w:color w:val="auto"/>
              </w:rPr>
            </w:pPr>
          </w:p>
        </w:tc>
        <w:tc>
          <w:tcPr>
            <w:tcW w:w="560" w:type="dxa"/>
            <w:vAlign w:val="bottom"/>
            <w:tcBorders>
              <w:top w:val="single" w:sz="8" w:color="76AD9A"/>
            </w:tcBorders>
          </w:tcPr>
          <w:p>
            <w:pPr>
              <w:spacing w:after="0"/>
              <w:rPr>
                <w:sz w:val="16"/>
                <w:szCs w:val="16"/>
                <w:color w:val="auto"/>
              </w:rPr>
            </w:pPr>
          </w:p>
        </w:tc>
        <w:tc>
          <w:tcPr>
            <w:tcW w:w="840" w:type="dxa"/>
            <w:vAlign w:val="bottom"/>
            <w:tcBorders>
              <w:top w:val="single" w:sz="8" w:color="76AD9A"/>
            </w:tcBorders>
          </w:tcPr>
          <w:p>
            <w:pPr>
              <w:spacing w:after="0"/>
              <w:rPr>
                <w:sz w:val="16"/>
                <w:szCs w:val="16"/>
                <w:color w:val="auto"/>
              </w:rPr>
            </w:pPr>
          </w:p>
        </w:tc>
        <w:tc>
          <w:tcPr>
            <w:tcW w:w="400" w:type="dxa"/>
            <w:vAlign w:val="bottom"/>
            <w:tcBorders>
              <w:top w:val="single" w:sz="8" w:color="76AD9A"/>
            </w:tcBorders>
          </w:tcPr>
          <w:p>
            <w:pPr>
              <w:spacing w:after="0"/>
              <w:rPr>
                <w:sz w:val="16"/>
                <w:szCs w:val="16"/>
                <w:color w:val="auto"/>
              </w:rPr>
            </w:pPr>
          </w:p>
        </w:tc>
        <w:tc>
          <w:tcPr>
            <w:tcW w:w="70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Net earnings</w:t>
            </w: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300" w:type="dxa"/>
            <w:vAlign w:val="bottom"/>
            <w:shd w:val="clear" w:color="auto" w:fill="EEF5F2"/>
          </w:tcPr>
          <w:p>
            <w:pPr>
              <w:spacing w:after="0"/>
              <w:rPr>
                <w:sz w:val="16"/>
                <w:szCs w:val="16"/>
                <w:color w:val="auto"/>
              </w:rPr>
            </w:pPr>
          </w:p>
        </w:tc>
        <w:tc>
          <w:tcPr>
            <w:tcW w:w="7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288.0</w:t>
            </w:r>
          </w:p>
        </w:tc>
        <w:tc>
          <w:tcPr>
            <w:tcW w:w="56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8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197.6</w:t>
            </w:r>
          </w:p>
        </w:tc>
        <w:tc>
          <w:tcPr>
            <w:tcW w:w="400" w:type="dxa"/>
            <w:vAlign w:val="bottom"/>
          </w:tcPr>
          <w:p>
            <w:pPr>
              <w:jc w:val="right"/>
              <w:ind w:right="114"/>
              <w:spacing w:after="0" w:line="194" w:lineRule="exact"/>
              <w:rPr>
                <w:sz w:val="20"/>
                <w:szCs w:val="20"/>
                <w:color w:val="auto"/>
              </w:rPr>
            </w:pPr>
            <w:r>
              <w:rPr>
                <w:rFonts w:ascii="Arial" w:cs="Arial" w:eastAsia="Arial" w:hAnsi="Arial"/>
                <w:sz w:val="17"/>
                <w:szCs w:val="17"/>
                <w:color w:val="373535"/>
              </w:rPr>
              <w:t>$</w:t>
            </w:r>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251.6</w:t>
            </w:r>
          </w:p>
        </w:tc>
        <w:tc>
          <w:tcPr>
            <w:tcW w:w="80" w:type="dxa"/>
            <w:vAlign w:val="bottom"/>
          </w:tcPr>
          <w:p>
            <w:pPr>
              <w:spacing w:after="0"/>
              <w:rPr>
                <w:sz w:val="16"/>
                <w:szCs w:val="16"/>
                <w:color w:val="auto"/>
              </w:rPr>
            </w:pPr>
          </w:p>
        </w:tc>
      </w:tr>
      <w:tr>
        <w:trPr>
          <w:trHeight w:val="205"/>
        </w:trPr>
        <w:tc>
          <w:tcPr>
            <w:tcW w:w="7560" w:type="dxa"/>
            <w:vAlign w:val="bottom"/>
            <w:gridSpan w:val="3"/>
          </w:tcPr>
          <w:p>
            <w:pPr>
              <w:spacing w:after="0"/>
              <w:rPr>
                <w:sz w:val="20"/>
                <w:szCs w:val="20"/>
                <w:color w:val="auto"/>
              </w:rPr>
            </w:pPr>
            <w:r>
              <w:rPr>
                <w:rFonts w:ascii="Arial" w:cs="Arial" w:eastAsia="Arial" w:hAnsi="Arial"/>
                <w:sz w:val="17"/>
                <w:szCs w:val="17"/>
                <w:color w:val="373535"/>
              </w:rPr>
              <w:t>Adjustments to reconcile net earnings to net cash provided by operating activities:</w:t>
            </w:r>
          </w:p>
        </w:tc>
        <w:tc>
          <w:tcPr>
            <w:tcW w:w="220" w:type="dxa"/>
            <w:vAlign w:val="bottom"/>
            <w:shd w:val="clear" w:color="auto" w:fill="EEF5F2"/>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Depreciation and amortization</w:t>
            </w:r>
          </w:p>
        </w:tc>
        <w:tc>
          <w:tcPr>
            <w:tcW w:w="220" w:type="dxa"/>
            <w:vAlign w:val="bottom"/>
            <w:shd w:val="clear" w:color="auto" w:fill="EEF5F2"/>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76AD9A"/>
              </w:rPr>
              <w:t>94.3</w:t>
            </w:r>
          </w:p>
        </w:tc>
        <w:tc>
          <w:tcPr>
            <w:tcW w:w="56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373535"/>
              </w:rPr>
              <w:t>100.5</w:t>
            </w:r>
          </w:p>
        </w:tc>
        <w:tc>
          <w:tcPr>
            <w:tcW w:w="4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373535"/>
              </w:rPr>
              <w:t>104.4</w:t>
            </w:r>
          </w:p>
        </w:tc>
        <w:tc>
          <w:tcPr>
            <w:tcW w:w="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Deferred income taxes</w:t>
            </w:r>
          </w:p>
        </w:tc>
        <w:tc>
          <w:tcPr>
            <w:tcW w:w="220" w:type="dxa"/>
            <w:vAlign w:val="bottom"/>
            <w:shd w:val="clear" w:color="auto" w:fill="EEF5F2"/>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76AD9A"/>
              </w:rPr>
              <w:t>17.0</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73535"/>
              </w:rPr>
              <w:t>(11.6)</w:t>
            </w:r>
          </w:p>
        </w:tc>
        <w:tc>
          <w:tcPr>
            <w:tcW w:w="4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373535"/>
              </w:rPr>
              <w:t>24.8</w:t>
            </w:r>
          </w:p>
        </w:tc>
        <w:tc>
          <w:tcPr>
            <w:tcW w:w="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Provision for doubtful accounts</w:t>
            </w:r>
          </w:p>
        </w:tc>
        <w:tc>
          <w:tcPr>
            <w:tcW w:w="220" w:type="dxa"/>
            <w:vAlign w:val="bottom"/>
            <w:shd w:val="clear" w:color="auto" w:fill="EEF5F2"/>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76AD9A"/>
              </w:rPr>
              <w:t>24.1</w:t>
            </w:r>
          </w:p>
        </w:tc>
        <w:tc>
          <w:tcPr>
            <w:tcW w:w="56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373535"/>
              </w:rPr>
              <w:t>29.2</w:t>
            </w:r>
          </w:p>
        </w:tc>
        <w:tc>
          <w:tcPr>
            <w:tcW w:w="4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373535"/>
              </w:rPr>
              <w:t>25.9</w:t>
            </w:r>
          </w:p>
        </w:tc>
        <w:tc>
          <w:tcPr>
            <w:tcW w:w="8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Share-based compensation</w:t>
            </w:r>
          </w:p>
        </w:tc>
        <w:tc>
          <w:tcPr>
            <w:tcW w:w="220" w:type="dxa"/>
            <w:vAlign w:val="bottom"/>
            <w:shd w:val="clear" w:color="auto" w:fill="EEF5F2"/>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76AD9A"/>
              </w:rPr>
              <w:t>31.5</w:t>
            </w:r>
          </w:p>
        </w:tc>
        <w:tc>
          <w:tcPr>
            <w:tcW w:w="56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373535"/>
              </w:rPr>
              <w:t>30.0</w:t>
            </w:r>
          </w:p>
        </w:tc>
        <w:tc>
          <w:tcPr>
            <w:tcW w:w="4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373535"/>
              </w:rPr>
              <w:t>31.4</w:t>
            </w:r>
          </w:p>
        </w:tc>
        <w:tc>
          <w:tcPr>
            <w:tcW w:w="8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Excess tax benefit on exercise of share-based awards</w:t>
            </w:r>
          </w:p>
        </w:tc>
        <w:tc>
          <w:tcPr>
            <w:tcW w:w="220" w:type="dxa"/>
            <w:vAlign w:val="bottom"/>
            <w:shd w:val="clear" w:color="auto" w:fill="EEF5F2"/>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76AD9A"/>
              </w:rPr>
              <w:t>(7.3)</w:t>
            </w: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73535"/>
              </w:rPr>
              <w:t>(0.3)</w:t>
            </w:r>
          </w:p>
        </w:tc>
        <w:tc>
          <w:tcPr>
            <w:tcW w:w="40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373535"/>
              </w:rPr>
              <w:t>(1.3)</w:t>
            </w:r>
          </w:p>
        </w:tc>
      </w:tr>
      <w:tr>
        <w:trPr>
          <w:trHeight w:val="206"/>
        </w:trPr>
        <w:tc>
          <w:tcPr>
            <w:tcW w:w="7560" w:type="dxa"/>
            <w:vAlign w:val="bottom"/>
            <w:gridSpan w:val="3"/>
          </w:tcPr>
          <w:p>
            <w:pPr>
              <w:spacing w:after="0"/>
              <w:rPr>
                <w:sz w:val="20"/>
                <w:szCs w:val="20"/>
                <w:color w:val="auto"/>
              </w:rPr>
            </w:pPr>
            <w:r>
              <w:rPr>
                <w:rFonts w:ascii="Arial" w:cs="Arial" w:eastAsia="Arial" w:hAnsi="Arial"/>
                <w:sz w:val="17"/>
                <w:szCs w:val="17"/>
                <w:color w:val="373535"/>
              </w:rPr>
              <w:t>Change in operating assets and liabilities, excluding the impact of acquisitions:</w:t>
            </w:r>
          </w:p>
        </w:tc>
        <w:tc>
          <w:tcPr>
            <w:tcW w:w="220" w:type="dxa"/>
            <w:vAlign w:val="bottom"/>
            <w:shd w:val="clear" w:color="auto" w:fill="EEF5F2"/>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Accounts receivable</w:t>
            </w:r>
          </w:p>
        </w:tc>
        <w:tc>
          <w:tcPr>
            <w:tcW w:w="220" w:type="dxa"/>
            <w:vAlign w:val="bottom"/>
            <w:shd w:val="clear" w:color="auto" w:fill="EEF5F2"/>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76AD9A"/>
              </w:rPr>
              <w:t>(82.6)</w:t>
            </w:r>
          </w:p>
        </w:tc>
        <w:tc>
          <w:tcPr>
            <w:tcW w:w="560" w:type="dxa"/>
            <w:vAlign w:val="bottom"/>
          </w:tcPr>
          <w:p>
            <w:pPr>
              <w:spacing w:after="0"/>
              <w:rPr>
                <w:sz w:val="19"/>
                <w:szCs w:val="19"/>
                <w:color w:val="auto"/>
              </w:rPr>
            </w:pPr>
          </w:p>
        </w:tc>
        <w:tc>
          <w:tcPr>
            <w:tcW w:w="840" w:type="dxa"/>
            <w:vAlign w:val="bottom"/>
          </w:tcPr>
          <w:p>
            <w:pPr>
              <w:jc w:val="right"/>
              <w:ind w:right="55"/>
              <w:spacing w:after="0"/>
              <w:rPr>
                <w:sz w:val="20"/>
                <w:szCs w:val="20"/>
                <w:color w:val="auto"/>
              </w:rPr>
            </w:pPr>
            <w:r>
              <w:rPr>
                <w:rFonts w:ascii="Arial" w:cs="Arial" w:eastAsia="Arial" w:hAnsi="Arial"/>
                <w:sz w:val="17"/>
                <w:szCs w:val="17"/>
                <w:color w:val="373535"/>
              </w:rPr>
              <w:t>48.3</w:t>
            </w:r>
          </w:p>
        </w:tc>
        <w:tc>
          <w:tcPr>
            <w:tcW w:w="4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373535"/>
              </w:rPr>
              <w:t>(417.1)</w:t>
            </w:r>
          </w:p>
        </w:tc>
      </w:tr>
      <w:tr>
        <w:trPr>
          <w:trHeight w:val="219"/>
        </w:trPr>
        <w:tc>
          <w:tcPr>
            <w:tcW w:w="20" w:type="dxa"/>
            <w:vAlign w:val="bottom"/>
          </w:tcPr>
          <w:p>
            <w:pPr>
              <w:spacing w:after="0"/>
              <w:rPr>
                <w:sz w:val="19"/>
                <w:szCs w:val="19"/>
                <w:color w:val="auto"/>
              </w:rPr>
            </w:pPr>
          </w:p>
        </w:tc>
        <w:tc>
          <w:tcPr>
            <w:tcW w:w="7540" w:type="dxa"/>
            <w:vAlign w:val="bottom"/>
            <w:gridSpan w:val="2"/>
          </w:tcPr>
          <w:p>
            <w:pPr>
              <w:ind w:left="140"/>
              <w:spacing w:after="0"/>
              <w:rPr>
                <w:sz w:val="20"/>
                <w:szCs w:val="20"/>
                <w:color w:val="auto"/>
              </w:rPr>
            </w:pPr>
            <w:r>
              <w:rPr>
                <w:rFonts w:ascii="Arial" w:cs="Arial" w:eastAsia="Arial" w:hAnsi="Arial"/>
                <w:sz w:val="17"/>
                <w:szCs w:val="17"/>
                <w:color w:val="373535"/>
              </w:rPr>
              <w:t>Other assets</w:t>
            </w:r>
          </w:p>
        </w:tc>
        <w:tc>
          <w:tcPr>
            <w:tcW w:w="220" w:type="dxa"/>
            <w:vAlign w:val="bottom"/>
            <w:shd w:val="clear" w:color="auto" w:fill="EEF5F2"/>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76AD9A"/>
              </w:rPr>
              <w:t>(35.9)</w:t>
            </w: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373535"/>
              </w:rPr>
              <w:t>(9.2)</w:t>
            </w:r>
          </w:p>
        </w:tc>
        <w:tc>
          <w:tcPr>
            <w:tcW w:w="400" w:type="dxa"/>
            <w:vAlign w:val="bottom"/>
          </w:tcPr>
          <w:p>
            <w:pPr>
              <w:spacing w:after="0"/>
              <w:rPr>
                <w:sz w:val="19"/>
                <w:szCs w:val="19"/>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7"/>
                <w:szCs w:val="17"/>
                <w:color w:val="373535"/>
              </w:rPr>
              <w:t>(48.2)</w:t>
            </w:r>
          </w:p>
        </w:tc>
      </w:tr>
      <w:tr>
        <w:trPr>
          <w:trHeight w:val="208"/>
        </w:trPr>
        <w:tc>
          <w:tcPr>
            <w:tcW w:w="20" w:type="dxa"/>
            <w:vAlign w:val="bottom"/>
          </w:tcPr>
          <w:p>
            <w:pPr>
              <w:spacing w:after="0"/>
              <w:rPr>
                <w:sz w:val="18"/>
                <w:szCs w:val="18"/>
                <w:color w:val="auto"/>
              </w:rPr>
            </w:pPr>
          </w:p>
        </w:tc>
        <w:tc>
          <w:tcPr>
            <w:tcW w:w="7540" w:type="dxa"/>
            <w:vAlign w:val="bottom"/>
            <w:tcBorders>
              <w:bottom w:val="single" w:sz="8" w:color="717073"/>
            </w:tcBorders>
            <w:gridSpan w:val="2"/>
          </w:tcPr>
          <w:p>
            <w:pPr>
              <w:ind w:left="140"/>
              <w:spacing w:after="0"/>
              <w:rPr>
                <w:sz w:val="20"/>
                <w:szCs w:val="20"/>
                <w:color w:val="auto"/>
              </w:rPr>
            </w:pPr>
            <w:r>
              <w:rPr>
                <w:rFonts w:ascii="Arial" w:cs="Arial" w:eastAsia="Arial" w:hAnsi="Arial"/>
                <w:sz w:val="17"/>
                <w:szCs w:val="17"/>
                <w:color w:val="373535"/>
              </w:rPr>
              <w:t>Other liabilities</w:t>
            </w:r>
          </w:p>
        </w:tc>
        <w:tc>
          <w:tcPr>
            <w:tcW w:w="220" w:type="dxa"/>
            <w:vAlign w:val="bottom"/>
            <w:tcBorders>
              <w:bottom w:val="single" w:sz="8" w:color="717073"/>
            </w:tcBorders>
            <w:shd w:val="clear" w:color="auto" w:fill="EEF5F2"/>
          </w:tcPr>
          <w:p>
            <w:pPr>
              <w:spacing w:after="0"/>
              <w:rPr>
                <w:sz w:val="18"/>
                <w:szCs w:val="18"/>
                <w:color w:val="auto"/>
              </w:rPr>
            </w:pPr>
          </w:p>
        </w:tc>
        <w:tc>
          <w:tcPr>
            <w:tcW w:w="300" w:type="dxa"/>
            <w:vAlign w:val="bottom"/>
            <w:tcBorders>
              <w:bottom w:val="single" w:sz="8" w:color="717073"/>
            </w:tcBorders>
          </w:tcPr>
          <w:p>
            <w:pPr>
              <w:spacing w:after="0"/>
              <w:rPr>
                <w:sz w:val="18"/>
                <w:szCs w:val="18"/>
                <w:color w:val="auto"/>
              </w:rPr>
            </w:pPr>
          </w:p>
        </w:tc>
        <w:tc>
          <w:tcPr>
            <w:tcW w:w="740" w:type="dxa"/>
            <w:vAlign w:val="bottom"/>
            <w:tcBorders>
              <w:bottom w:val="single" w:sz="8" w:color="717073"/>
            </w:tcBorders>
          </w:tcPr>
          <w:p>
            <w:pPr>
              <w:jc w:val="right"/>
              <w:ind w:right="35"/>
              <w:spacing w:after="0"/>
              <w:rPr>
                <w:sz w:val="20"/>
                <w:szCs w:val="20"/>
                <w:color w:val="auto"/>
              </w:rPr>
            </w:pPr>
            <w:r>
              <w:rPr>
                <w:rFonts w:ascii="Arial" w:cs="Arial" w:eastAsia="Arial" w:hAnsi="Arial"/>
                <w:sz w:val="17"/>
                <w:szCs w:val="17"/>
                <w:color w:val="76AD9A"/>
              </w:rPr>
              <w:t>67.6</w:t>
            </w:r>
          </w:p>
        </w:tc>
        <w:tc>
          <w:tcPr>
            <w:tcW w:w="560" w:type="dxa"/>
            <w:vAlign w:val="bottom"/>
            <w:tcBorders>
              <w:bottom w:val="single" w:sz="8" w:color="717073"/>
            </w:tcBorders>
          </w:tcPr>
          <w:p>
            <w:pPr>
              <w:spacing w:after="0"/>
              <w:rPr>
                <w:sz w:val="18"/>
                <w:szCs w:val="18"/>
                <w:color w:val="auto"/>
              </w:rPr>
            </w:pPr>
          </w:p>
        </w:tc>
        <w:tc>
          <w:tcPr>
            <w:tcW w:w="8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(52.9)</w:t>
            </w:r>
          </w:p>
        </w:tc>
        <w:tc>
          <w:tcPr>
            <w:tcW w:w="400" w:type="dxa"/>
            <w:vAlign w:val="bottom"/>
            <w:tcBorders>
              <w:bottom w:val="single" w:sz="8" w:color="717073"/>
            </w:tcBorders>
          </w:tcPr>
          <w:p>
            <w:pPr>
              <w:spacing w:after="0"/>
              <w:rPr>
                <w:sz w:val="18"/>
                <w:szCs w:val="18"/>
                <w:color w:val="auto"/>
              </w:rPr>
            </w:pPr>
          </w:p>
        </w:tc>
        <w:tc>
          <w:tcPr>
            <w:tcW w:w="72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97.7</w:t>
            </w:r>
          </w:p>
        </w:tc>
        <w:tc>
          <w:tcPr>
            <w:tcW w:w="80" w:type="dxa"/>
            <w:vAlign w:val="bottom"/>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7540" w:type="dxa"/>
            <w:vAlign w:val="bottom"/>
            <w:gridSpan w:val="2"/>
          </w:tcPr>
          <w:p>
            <w:pPr>
              <w:spacing w:after="0" w:line="186" w:lineRule="exact"/>
              <w:rPr>
                <w:sz w:val="20"/>
                <w:szCs w:val="20"/>
                <w:color w:val="auto"/>
              </w:rPr>
            </w:pPr>
            <w:r>
              <w:rPr>
                <w:rFonts w:ascii="Arial" w:cs="Arial" w:eastAsia="Arial" w:hAnsi="Arial"/>
                <w:sz w:val="17"/>
                <w:szCs w:val="17"/>
                <w:color w:val="373535"/>
              </w:rPr>
              <w:t>Cash provided by operating activities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86" w:lineRule="exact"/>
              <w:rPr>
                <w:sz w:val="20"/>
                <w:szCs w:val="20"/>
                <w:color w:val="auto"/>
              </w:rPr>
            </w:pPr>
            <w:r>
              <w:rPr>
                <w:rFonts w:ascii="Arial" w:cs="Arial" w:eastAsia="Arial" w:hAnsi="Arial"/>
                <w:sz w:val="17"/>
                <w:szCs w:val="17"/>
                <w:color w:val="76AD9A"/>
              </w:rPr>
              <w:t>396.7</w:t>
            </w:r>
          </w:p>
        </w:tc>
        <w:tc>
          <w:tcPr>
            <w:tcW w:w="560" w:type="dxa"/>
            <w:vAlign w:val="bottom"/>
          </w:tcPr>
          <w:p>
            <w:pPr>
              <w:spacing w:after="0"/>
              <w:rPr>
                <w:sz w:val="16"/>
                <w:szCs w:val="16"/>
                <w:color w:val="auto"/>
              </w:rPr>
            </w:pPr>
          </w:p>
        </w:tc>
        <w:tc>
          <w:tcPr>
            <w:tcW w:w="840" w:type="dxa"/>
            <w:vAlign w:val="bottom"/>
          </w:tcPr>
          <w:p>
            <w:pPr>
              <w:jc w:val="right"/>
              <w:ind w:right="55"/>
              <w:spacing w:after="0" w:line="186" w:lineRule="exact"/>
              <w:rPr>
                <w:sz w:val="20"/>
                <w:szCs w:val="20"/>
                <w:color w:val="auto"/>
              </w:rPr>
            </w:pPr>
            <w:r>
              <w:rPr>
                <w:rFonts w:ascii="Arial" w:cs="Arial" w:eastAsia="Arial" w:hAnsi="Arial"/>
                <w:sz w:val="17"/>
                <w:szCs w:val="17"/>
                <w:color w:val="373535"/>
              </w:rPr>
              <w:t>331.6</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69.2</w:t>
            </w:r>
          </w:p>
        </w:tc>
        <w:tc>
          <w:tcPr>
            <w:tcW w:w="80" w:type="dxa"/>
            <w:vAlign w:val="bottom"/>
          </w:tcPr>
          <w:p>
            <w:pPr>
              <w:spacing w:after="0"/>
              <w:rPr>
                <w:sz w:val="16"/>
                <w:szCs w:val="16"/>
                <w:color w:val="auto"/>
              </w:rPr>
            </w:pPr>
          </w:p>
        </w:tc>
      </w:tr>
      <w:tr>
        <w:trPr>
          <w:trHeight w:val="186"/>
        </w:trPr>
        <w:tc>
          <w:tcPr>
            <w:tcW w:w="7560" w:type="dxa"/>
            <w:vAlign w:val="bottom"/>
            <w:tcBorders>
              <w:top w:val="single" w:sz="8" w:color="717073"/>
            </w:tcBorders>
            <w:gridSpan w:val="3"/>
          </w:tcPr>
          <w:p>
            <w:pPr>
              <w:spacing w:after="0" w:line="185" w:lineRule="exact"/>
              <w:rPr>
                <w:sz w:val="20"/>
                <w:szCs w:val="20"/>
                <w:color w:val="auto"/>
              </w:rPr>
            </w:pPr>
            <w:r>
              <w:rPr>
                <w:rFonts w:ascii="Arial" w:cs="Arial" w:eastAsia="Arial" w:hAnsi="Arial"/>
                <w:sz w:val="17"/>
                <w:szCs w:val="17"/>
                <w:color w:val="777679"/>
              </w:rPr>
              <w:t>Cash Flows from Investing Activities</w:t>
            </w:r>
          </w:p>
        </w:tc>
        <w:tc>
          <w:tcPr>
            <w:tcW w:w="220" w:type="dxa"/>
            <w:vAlign w:val="bottom"/>
            <w:tcBorders>
              <w:top w:val="single" w:sz="8" w:color="717073"/>
            </w:tcBorders>
            <w:shd w:val="clear" w:color="auto" w:fill="EEF5F2"/>
          </w:tcPr>
          <w:p>
            <w:pPr>
              <w:spacing w:after="0"/>
              <w:rPr>
                <w:sz w:val="16"/>
                <w:szCs w:val="16"/>
                <w:color w:val="auto"/>
              </w:rPr>
            </w:pPr>
          </w:p>
        </w:tc>
        <w:tc>
          <w:tcPr>
            <w:tcW w:w="300" w:type="dxa"/>
            <w:vAlign w:val="bottom"/>
            <w:tcBorders>
              <w:top w:val="single" w:sz="8" w:color="717073"/>
            </w:tcBorders>
          </w:tcPr>
          <w:p>
            <w:pPr>
              <w:spacing w:after="0"/>
              <w:rPr>
                <w:sz w:val="16"/>
                <w:szCs w:val="16"/>
                <w:color w:val="auto"/>
              </w:rPr>
            </w:pPr>
          </w:p>
        </w:tc>
        <w:tc>
          <w:tcPr>
            <w:tcW w:w="740" w:type="dxa"/>
            <w:vAlign w:val="bottom"/>
            <w:tcBorders>
              <w:top w:val="single" w:sz="8" w:color="717073"/>
            </w:tcBorders>
          </w:tcPr>
          <w:p>
            <w:pPr>
              <w:spacing w:after="0"/>
              <w:rPr>
                <w:sz w:val="16"/>
                <w:szCs w:val="16"/>
                <w:color w:val="auto"/>
              </w:rPr>
            </w:pPr>
          </w:p>
        </w:tc>
        <w:tc>
          <w:tcPr>
            <w:tcW w:w="560" w:type="dxa"/>
            <w:vAlign w:val="bottom"/>
            <w:tcBorders>
              <w:top w:val="single" w:sz="8" w:color="717073"/>
            </w:tcBorders>
          </w:tcPr>
          <w:p>
            <w:pPr>
              <w:spacing w:after="0"/>
              <w:rPr>
                <w:sz w:val="16"/>
                <w:szCs w:val="16"/>
                <w:color w:val="auto"/>
              </w:rPr>
            </w:pPr>
          </w:p>
        </w:tc>
        <w:tc>
          <w:tcPr>
            <w:tcW w:w="840" w:type="dxa"/>
            <w:vAlign w:val="bottom"/>
            <w:tcBorders>
              <w:top w:val="single" w:sz="8" w:color="717073"/>
            </w:tcBorders>
          </w:tcPr>
          <w:p>
            <w:pPr>
              <w:spacing w:after="0"/>
              <w:rPr>
                <w:sz w:val="16"/>
                <w:szCs w:val="16"/>
                <w:color w:val="auto"/>
              </w:rPr>
            </w:pPr>
          </w:p>
        </w:tc>
        <w:tc>
          <w:tcPr>
            <w:tcW w:w="400" w:type="dxa"/>
            <w:vAlign w:val="bottom"/>
            <w:tcBorders>
              <w:top w:val="single" w:sz="8" w:color="717073"/>
            </w:tcBorders>
          </w:tcPr>
          <w:p>
            <w:pPr>
              <w:spacing w:after="0"/>
              <w:rPr>
                <w:sz w:val="16"/>
                <w:szCs w:val="16"/>
                <w:color w:val="auto"/>
              </w:rPr>
            </w:pPr>
          </w:p>
        </w:tc>
        <w:tc>
          <w:tcPr>
            <w:tcW w:w="70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Capital expenditures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76AD9A"/>
              </w:rPr>
              <w:t>(44.7)</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(72.0)</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(64.9)</w:t>
            </w: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Acquisitions of businesses, net of cash acquired</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76AD9A"/>
              </w:rPr>
              <w:t>(46.3)</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(49.0)</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(49.0)</w:t>
            </w:r>
          </w:p>
        </w:tc>
      </w:tr>
      <w:tr>
        <w:trPr>
          <w:trHeight w:val="194"/>
        </w:trPr>
        <w:tc>
          <w:tcPr>
            <w:tcW w:w="7560" w:type="dxa"/>
            <w:vAlign w:val="bottom"/>
            <w:tcBorders>
              <w:bottom w:val="single" w:sz="8" w:color="717073"/>
            </w:tcBorders>
            <w:gridSpan w:val="3"/>
          </w:tcPr>
          <w:p>
            <w:pPr>
              <w:spacing w:after="0" w:line="194" w:lineRule="exact"/>
              <w:rPr>
                <w:sz w:val="20"/>
                <w:szCs w:val="20"/>
                <w:color w:val="auto"/>
              </w:rPr>
            </w:pPr>
            <w:r>
              <w:rPr>
                <w:rFonts w:ascii="Arial" w:cs="Arial" w:eastAsia="Arial" w:hAnsi="Arial"/>
                <w:sz w:val="17"/>
                <w:szCs w:val="17"/>
                <w:color w:val="373535"/>
              </w:rPr>
              <w:t>Proceeds from the sale of property and equipment</w:t>
            </w:r>
          </w:p>
        </w:tc>
        <w:tc>
          <w:tcPr>
            <w:tcW w:w="220" w:type="dxa"/>
            <w:vAlign w:val="bottom"/>
            <w:tcBorders>
              <w:bottom w:val="single" w:sz="8" w:color="717073"/>
            </w:tcBorders>
            <w:shd w:val="clear" w:color="auto" w:fill="EEF5F2"/>
          </w:tcPr>
          <w:p>
            <w:pPr>
              <w:spacing w:after="0"/>
              <w:rPr>
                <w:sz w:val="16"/>
                <w:szCs w:val="16"/>
                <w:color w:val="auto"/>
              </w:rPr>
            </w:pPr>
          </w:p>
        </w:tc>
        <w:tc>
          <w:tcPr>
            <w:tcW w:w="3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ind w:right="35"/>
              <w:spacing w:after="0" w:line="194" w:lineRule="exact"/>
              <w:rPr>
                <w:sz w:val="20"/>
                <w:szCs w:val="20"/>
                <w:color w:val="auto"/>
              </w:rPr>
            </w:pPr>
            <w:r>
              <w:rPr>
                <w:rFonts w:ascii="Arial" w:cs="Arial" w:eastAsia="Arial" w:hAnsi="Arial"/>
                <w:sz w:val="17"/>
                <w:szCs w:val="17"/>
                <w:color w:val="76AD9A"/>
              </w:rPr>
              <w:t>3.4</w:t>
            </w:r>
          </w:p>
        </w:tc>
        <w:tc>
          <w:tcPr>
            <w:tcW w:w="560" w:type="dxa"/>
            <w:vAlign w:val="bottom"/>
            <w:tcBorders>
              <w:bottom w:val="single" w:sz="8" w:color="717073"/>
            </w:tcBorders>
          </w:tcPr>
          <w:p>
            <w:pPr>
              <w:spacing w:after="0"/>
              <w:rPr>
                <w:sz w:val="16"/>
                <w:szCs w:val="16"/>
                <w:color w:val="auto"/>
              </w:rPr>
            </w:pPr>
          </w:p>
        </w:tc>
        <w:tc>
          <w:tcPr>
            <w:tcW w:w="840" w:type="dxa"/>
            <w:vAlign w:val="bottom"/>
            <w:tcBorders>
              <w:bottom w:val="single" w:sz="8" w:color="717073"/>
            </w:tcBorders>
          </w:tcPr>
          <w:p>
            <w:pPr>
              <w:jc w:val="right"/>
              <w:ind w:right="55"/>
              <w:spacing w:after="0" w:line="194" w:lineRule="exact"/>
              <w:rPr>
                <w:sz w:val="20"/>
                <w:szCs w:val="20"/>
                <w:color w:val="auto"/>
              </w:rPr>
            </w:pPr>
            <w:r>
              <w:rPr>
                <w:rFonts w:ascii="Arial" w:cs="Arial" w:eastAsia="Arial" w:hAnsi="Arial"/>
                <w:sz w:val="17"/>
                <w:szCs w:val="17"/>
                <w:color w:val="373535"/>
              </w:rPr>
              <w:t>3.7</w:t>
            </w:r>
          </w:p>
        </w:tc>
        <w:tc>
          <w:tcPr>
            <w:tcW w:w="400" w:type="dxa"/>
            <w:vAlign w:val="bottom"/>
            <w:tcBorders>
              <w:bottom w:val="single" w:sz="8" w:color="717073"/>
            </w:tcBorders>
          </w:tcPr>
          <w:p>
            <w:pPr>
              <w:spacing w:after="0"/>
              <w:rPr>
                <w:sz w:val="16"/>
                <w:szCs w:val="16"/>
                <w:color w:val="auto"/>
              </w:rPr>
            </w:pPr>
          </w:p>
        </w:tc>
        <w:tc>
          <w:tcPr>
            <w:tcW w:w="72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4.4</w:t>
            </w:r>
          </w:p>
        </w:tc>
        <w:tc>
          <w:tcPr>
            <w:tcW w:w="80" w:type="dxa"/>
            <w:vAlign w:val="bottom"/>
          </w:tcPr>
          <w:p>
            <w:pPr>
              <w:spacing w:after="0"/>
              <w:rPr>
                <w:sz w:val="16"/>
                <w:szCs w:val="16"/>
                <w:color w:val="auto"/>
              </w:rPr>
            </w:pPr>
          </w:p>
        </w:tc>
      </w:tr>
      <w:tr>
        <w:trPr>
          <w:trHeight w:val="186"/>
        </w:trPr>
        <w:tc>
          <w:tcPr>
            <w:tcW w:w="7560" w:type="dxa"/>
            <w:vAlign w:val="bottom"/>
            <w:gridSpan w:val="3"/>
          </w:tcPr>
          <w:p>
            <w:pPr>
              <w:spacing w:after="0" w:line="186" w:lineRule="exact"/>
              <w:rPr>
                <w:sz w:val="20"/>
                <w:szCs w:val="20"/>
                <w:color w:val="auto"/>
              </w:rPr>
            </w:pPr>
            <w:r>
              <w:rPr>
                <w:rFonts w:ascii="Arial" w:cs="Arial" w:eastAsia="Arial" w:hAnsi="Arial"/>
                <w:sz w:val="17"/>
                <w:szCs w:val="17"/>
                <w:color w:val="373535"/>
              </w:rPr>
              <w:t>Cash used in investing activities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76AD9A"/>
              </w:rPr>
              <w:t>(87.6)</w:t>
            </w:r>
          </w:p>
        </w:tc>
        <w:tc>
          <w:tcPr>
            <w:tcW w:w="560" w:type="dxa"/>
            <w:vAlign w:val="bottom"/>
          </w:tcPr>
          <w:p>
            <w:pPr>
              <w:spacing w:after="0"/>
              <w:rPr>
                <w:sz w:val="16"/>
                <w:szCs w:val="16"/>
                <w:color w:val="auto"/>
              </w:rPr>
            </w:pPr>
          </w:p>
        </w:tc>
        <w:tc>
          <w:tcPr>
            <w:tcW w:w="840" w:type="dxa"/>
            <w:vAlign w:val="bottom"/>
          </w:tcPr>
          <w:p>
            <w:pPr>
              <w:jc w:val="right"/>
              <w:spacing w:after="0" w:line="186" w:lineRule="exact"/>
              <w:rPr>
                <w:sz w:val="20"/>
                <w:szCs w:val="20"/>
                <w:color w:val="auto"/>
              </w:rPr>
            </w:pPr>
            <w:r>
              <w:rPr>
                <w:rFonts w:ascii="Arial" w:cs="Arial" w:eastAsia="Arial" w:hAnsi="Arial"/>
                <w:sz w:val="17"/>
                <w:szCs w:val="17"/>
                <w:color w:val="373535"/>
              </w:rPr>
              <w:t>(117.3)</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86" w:lineRule="exact"/>
              <w:rPr>
                <w:sz w:val="20"/>
                <w:szCs w:val="20"/>
                <w:color w:val="auto"/>
              </w:rPr>
            </w:pPr>
            <w:r>
              <w:rPr>
                <w:rFonts w:ascii="Arial" w:cs="Arial" w:eastAsia="Arial" w:hAnsi="Arial"/>
                <w:sz w:val="17"/>
                <w:szCs w:val="17"/>
                <w:color w:val="373535"/>
              </w:rPr>
              <w:t>(109.5)</w:t>
            </w:r>
          </w:p>
        </w:tc>
      </w:tr>
      <w:tr>
        <w:trPr>
          <w:trHeight w:val="186"/>
        </w:trPr>
        <w:tc>
          <w:tcPr>
            <w:tcW w:w="7560" w:type="dxa"/>
            <w:vAlign w:val="bottom"/>
            <w:tcBorders>
              <w:top w:val="single" w:sz="8" w:color="717073"/>
            </w:tcBorders>
            <w:gridSpan w:val="3"/>
          </w:tcPr>
          <w:p>
            <w:pPr>
              <w:spacing w:after="0" w:line="185" w:lineRule="exact"/>
              <w:rPr>
                <w:sz w:val="20"/>
                <w:szCs w:val="20"/>
                <w:color w:val="auto"/>
              </w:rPr>
            </w:pPr>
            <w:r>
              <w:rPr>
                <w:rFonts w:ascii="Arial" w:cs="Arial" w:eastAsia="Arial" w:hAnsi="Arial"/>
                <w:sz w:val="17"/>
                <w:szCs w:val="17"/>
                <w:color w:val="777679"/>
              </w:rPr>
              <w:t>Cash Flows from Financing Activities</w:t>
            </w:r>
          </w:p>
        </w:tc>
        <w:tc>
          <w:tcPr>
            <w:tcW w:w="220" w:type="dxa"/>
            <w:vAlign w:val="bottom"/>
            <w:tcBorders>
              <w:top w:val="single" w:sz="8" w:color="717073"/>
            </w:tcBorders>
            <w:shd w:val="clear" w:color="auto" w:fill="EEF5F2"/>
          </w:tcPr>
          <w:p>
            <w:pPr>
              <w:spacing w:after="0"/>
              <w:rPr>
                <w:sz w:val="16"/>
                <w:szCs w:val="16"/>
                <w:color w:val="auto"/>
              </w:rPr>
            </w:pPr>
          </w:p>
        </w:tc>
        <w:tc>
          <w:tcPr>
            <w:tcW w:w="300" w:type="dxa"/>
            <w:vAlign w:val="bottom"/>
            <w:tcBorders>
              <w:top w:val="single" w:sz="8" w:color="717073"/>
            </w:tcBorders>
          </w:tcPr>
          <w:p>
            <w:pPr>
              <w:spacing w:after="0"/>
              <w:rPr>
                <w:sz w:val="16"/>
                <w:szCs w:val="16"/>
                <w:color w:val="auto"/>
              </w:rPr>
            </w:pPr>
          </w:p>
        </w:tc>
        <w:tc>
          <w:tcPr>
            <w:tcW w:w="740" w:type="dxa"/>
            <w:vAlign w:val="bottom"/>
            <w:tcBorders>
              <w:top w:val="single" w:sz="8" w:color="717073"/>
            </w:tcBorders>
          </w:tcPr>
          <w:p>
            <w:pPr>
              <w:spacing w:after="0"/>
              <w:rPr>
                <w:sz w:val="16"/>
                <w:szCs w:val="16"/>
                <w:color w:val="auto"/>
              </w:rPr>
            </w:pPr>
          </w:p>
        </w:tc>
        <w:tc>
          <w:tcPr>
            <w:tcW w:w="560" w:type="dxa"/>
            <w:vAlign w:val="bottom"/>
            <w:tcBorders>
              <w:top w:val="single" w:sz="8" w:color="717073"/>
            </w:tcBorders>
          </w:tcPr>
          <w:p>
            <w:pPr>
              <w:spacing w:after="0"/>
              <w:rPr>
                <w:sz w:val="16"/>
                <w:szCs w:val="16"/>
                <w:color w:val="auto"/>
              </w:rPr>
            </w:pPr>
          </w:p>
        </w:tc>
        <w:tc>
          <w:tcPr>
            <w:tcW w:w="840" w:type="dxa"/>
            <w:vAlign w:val="bottom"/>
            <w:tcBorders>
              <w:top w:val="single" w:sz="8" w:color="717073"/>
            </w:tcBorders>
          </w:tcPr>
          <w:p>
            <w:pPr>
              <w:spacing w:after="0"/>
              <w:rPr>
                <w:sz w:val="16"/>
                <w:szCs w:val="16"/>
                <w:color w:val="auto"/>
              </w:rPr>
            </w:pPr>
          </w:p>
        </w:tc>
        <w:tc>
          <w:tcPr>
            <w:tcW w:w="400" w:type="dxa"/>
            <w:vAlign w:val="bottom"/>
            <w:tcBorders>
              <w:top w:val="single" w:sz="8" w:color="717073"/>
            </w:tcBorders>
          </w:tcPr>
          <w:p>
            <w:pPr>
              <w:spacing w:after="0"/>
              <w:rPr>
                <w:sz w:val="16"/>
                <w:szCs w:val="16"/>
                <w:color w:val="auto"/>
              </w:rPr>
            </w:pPr>
          </w:p>
        </w:tc>
        <w:tc>
          <w:tcPr>
            <w:tcW w:w="70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Net change in short-term borrowings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76AD9A"/>
              </w:rPr>
              <w:t>(5.7)</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(6.7)</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15.6</w:t>
            </w: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Proceeds from long-term debt</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3.9</w:t>
            </w:r>
          </w:p>
        </w:tc>
        <w:tc>
          <w:tcPr>
            <w:tcW w:w="560" w:type="dxa"/>
            <w:vAlign w:val="bottom"/>
          </w:tcPr>
          <w:p>
            <w:pPr>
              <w:spacing w:after="0"/>
              <w:rPr>
                <w:sz w:val="16"/>
                <w:szCs w:val="16"/>
                <w:color w:val="auto"/>
              </w:rPr>
            </w:pPr>
          </w:p>
        </w:tc>
        <w:tc>
          <w:tcPr>
            <w:tcW w:w="8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751.6</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0.8</w:t>
            </w: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Repayments of long-term debt</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76AD9A"/>
              </w:rPr>
              <w:t>(269.5)</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(703.2)</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(1.1)</w:t>
            </w: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Proceeds from share-based awards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101.0</w:t>
            </w:r>
          </w:p>
        </w:tc>
        <w:tc>
          <w:tcPr>
            <w:tcW w:w="560" w:type="dxa"/>
            <w:vAlign w:val="bottom"/>
          </w:tcPr>
          <w:p>
            <w:pPr>
              <w:spacing w:after="0"/>
              <w:rPr>
                <w:sz w:val="16"/>
                <w:szCs w:val="16"/>
                <w:color w:val="auto"/>
              </w:rPr>
            </w:pPr>
          </w:p>
        </w:tc>
        <w:tc>
          <w:tcPr>
            <w:tcW w:w="8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6.0</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29.5</w:t>
            </w: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Other share-based transactions, net</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16.1</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(6.3)</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1.3</w:t>
            </w:r>
          </w:p>
        </w:tc>
        <w:tc>
          <w:tcPr>
            <w:tcW w:w="8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Repurchases of common stock</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(138.2)</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(104.5)</w:t>
            </w: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Dividends paid</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76AD9A"/>
              </w:rPr>
              <w:t>(72.0)</w:t>
            </w:r>
          </w:p>
        </w:tc>
        <w:tc>
          <w:tcPr>
            <w:tcW w:w="56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(67.8)</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(65.1)</w:t>
            </w:r>
          </w:p>
        </w:tc>
      </w:tr>
      <w:tr>
        <w:trPr>
          <w:trHeight w:val="20"/>
        </w:trPr>
        <w:tc>
          <w:tcPr>
            <w:tcW w:w="7560" w:type="dxa"/>
            <w:vAlign w:val="bottom"/>
            <w:gridSpan w:val="3"/>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300" w:type="dxa"/>
            <w:vAlign w:val="bottom"/>
            <w:shd w:val="clear" w:color="auto" w:fill="717073"/>
          </w:tcPr>
          <w:p>
            <w:pPr>
              <w:spacing w:after="0" w:line="20" w:lineRule="exact"/>
              <w:rPr>
                <w:sz w:val="1"/>
                <w:szCs w:val="1"/>
                <w:color w:val="auto"/>
              </w:rPr>
            </w:pPr>
          </w:p>
        </w:tc>
        <w:tc>
          <w:tcPr>
            <w:tcW w:w="740" w:type="dxa"/>
            <w:vAlign w:val="bottom"/>
            <w:shd w:val="clear" w:color="auto" w:fill="717073"/>
          </w:tcPr>
          <w:p>
            <w:pPr>
              <w:spacing w:after="0" w:line="20" w:lineRule="exact"/>
              <w:rPr>
                <w:sz w:val="1"/>
                <w:szCs w:val="1"/>
                <w:color w:val="auto"/>
              </w:rPr>
            </w:pPr>
          </w:p>
        </w:tc>
        <w:tc>
          <w:tcPr>
            <w:tcW w:w="560" w:type="dxa"/>
            <w:vAlign w:val="bottom"/>
            <w:shd w:val="clear" w:color="auto" w:fill="717073"/>
          </w:tcPr>
          <w:p>
            <w:pPr>
              <w:spacing w:after="0" w:line="20" w:lineRule="exact"/>
              <w:rPr>
                <w:sz w:val="1"/>
                <w:szCs w:val="1"/>
                <w:color w:val="auto"/>
              </w:rPr>
            </w:pPr>
          </w:p>
        </w:tc>
        <w:tc>
          <w:tcPr>
            <w:tcW w:w="840" w:type="dxa"/>
            <w:vAlign w:val="bottom"/>
            <w:shd w:val="clear" w:color="auto" w:fill="717073"/>
          </w:tcPr>
          <w:p>
            <w:pPr>
              <w:spacing w:after="0" w:line="20" w:lineRule="exact"/>
              <w:rPr>
                <w:sz w:val="1"/>
                <w:szCs w:val="1"/>
                <w:color w:val="auto"/>
              </w:rPr>
            </w:pPr>
          </w:p>
        </w:tc>
        <w:tc>
          <w:tcPr>
            <w:tcW w:w="400" w:type="dxa"/>
            <w:vAlign w:val="bottom"/>
            <w:shd w:val="clear" w:color="auto" w:fill="717073"/>
          </w:tcPr>
          <w:p>
            <w:pPr>
              <w:spacing w:after="0" w:line="20" w:lineRule="exact"/>
              <w:rPr>
                <w:sz w:val="1"/>
                <w:szCs w:val="1"/>
                <w:color w:val="auto"/>
              </w:rPr>
            </w:pPr>
          </w:p>
        </w:tc>
        <w:tc>
          <w:tcPr>
            <w:tcW w:w="700" w:type="dxa"/>
            <w:vAlign w:val="bottom"/>
            <w:shd w:val="clear" w:color="auto" w:fill="71707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6"/>
        </w:trPr>
        <w:tc>
          <w:tcPr>
            <w:tcW w:w="7560" w:type="dxa"/>
            <w:vAlign w:val="bottom"/>
            <w:gridSpan w:val="3"/>
          </w:tcPr>
          <w:p>
            <w:pPr>
              <w:spacing w:after="0" w:line="185" w:lineRule="exact"/>
              <w:rPr>
                <w:sz w:val="20"/>
                <w:szCs w:val="20"/>
                <w:color w:val="auto"/>
              </w:rPr>
            </w:pPr>
            <w:r>
              <w:rPr>
                <w:rFonts w:ascii="Arial" w:cs="Arial" w:eastAsia="Arial" w:hAnsi="Arial"/>
                <w:sz w:val="17"/>
                <w:szCs w:val="17"/>
                <w:color w:val="373535"/>
              </w:rPr>
              <w:t>Cash used in financing activities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line="185" w:lineRule="exact"/>
              <w:rPr>
                <w:sz w:val="20"/>
                <w:szCs w:val="20"/>
                <w:color w:val="auto"/>
              </w:rPr>
            </w:pPr>
            <w:r>
              <w:rPr>
                <w:rFonts w:ascii="Arial" w:cs="Arial" w:eastAsia="Arial" w:hAnsi="Arial"/>
                <w:sz w:val="17"/>
                <w:szCs w:val="17"/>
                <w:color w:val="76AD9A"/>
              </w:rPr>
              <w:t>(226.2)</w:t>
            </w:r>
          </w:p>
        </w:tc>
        <w:tc>
          <w:tcPr>
            <w:tcW w:w="560" w:type="dxa"/>
            <w:vAlign w:val="bottom"/>
          </w:tcPr>
          <w:p>
            <w:pPr>
              <w:spacing w:after="0"/>
              <w:rPr>
                <w:sz w:val="16"/>
                <w:szCs w:val="16"/>
                <w:color w:val="auto"/>
              </w:rPr>
            </w:pPr>
          </w:p>
        </w:tc>
        <w:tc>
          <w:tcPr>
            <w:tcW w:w="840" w:type="dxa"/>
            <w:vAlign w:val="bottom"/>
          </w:tcPr>
          <w:p>
            <w:pPr>
              <w:jc w:val="right"/>
              <w:spacing w:after="0" w:line="185" w:lineRule="exact"/>
              <w:rPr>
                <w:sz w:val="20"/>
                <w:szCs w:val="20"/>
                <w:color w:val="auto"/>
              </w:rPr>
            </w:pPr>
            <w:r>
              <w:rPr>
                <w:rFonts w:ascii="Arial" w:cs="Arial" w:eastAsia="Arial" w:hAnsi="Arial"/>
                <w:sz w:val="17"/>
                <w:szCs w:val="17"/>
                <w:color w:val="373535"/>
              </w:rPr>
              <w:t>(164.6)</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85" w:lineRule="exact"/>
              <w:rPr>
                <w:sz w:val="20"/>
                <w:szCs w:val="20"/>
                <w:color w:val="auto"/>
              </w:rPr>
            </w:pPr>
            <w:r>
              <w:rPr>
                <w:rFonts w:ascii="Arial" w:cs="Arial" w:eastAsia="Arial" w:hAnsi="Arial"/>
                <w:sz w:val="17"/>
                <w:szCs w:val="17"/>
                <w:color w:val="373535"/>
              </w:rPr>
              <w:t>(123.5)</w:t>
            </w: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Effect of exchange rate changes on cash</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6.6</w:t>
            </w:r>
          </w:p>
        </w:tc>
        <w:tc>
          <w:tcPr>
            <w:tcW w:w="560" w:type="dxa"/>
            <w:vAlign w:val="bottom"/>
          </w:tcPr>
          <w:p>
            <w:pPr>
              <w:spacing w:after="0"/>
              <w:rPr>
                <w:sz w:val="16"/>
                <w:szCs w:val="16"/>
                <w:color w:val="auto"/>
              </w:rPr>
            </w:pPr>
          </w:p>
        </w:tc>
        <w:tc>
          <w:tcPr>
            <w:tcW w:w="8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17.9</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(28.3)</w:t>
            </w:r>
          </w:p>
        </w:tc>
      </w:tr>
      <w:tr>
        <w:trPr>
          <w:trHeight w:val="20"/>
        </w:trPr>
        <w:tc>
          <w:tcPr>
            <w:tcW w:w="7560" w:type="dxa"/>
            <w:vAlign w:val="bottom"/>
            <w:gridSpan w:val="3"/>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300" w:type="dxa"/>
            <w:vAlign w:val="bottom"/>
            <w:shd w:val="clear" w:color="auto" w:fill="717073"/>
          </w:tcPr>
          <w:p>
            <w:pPr>
              <w:spacing w:after="0" w:line="20" w:lineRule="exact"/>
              <w:rPr>
                <w:sz w:val="1"/>
                <w:szCs w:val="1"/>
                <w:color w:val="auto"/>
              </w:rPr>
            </w:pPr>
          </w:p>
        </w:tc>
        <w:tc>
          <w:tcPr>
            <w:tcW w:w="740" w:type="dxa"/>
            <w:vAlign w:val="bottom"/>
            <w:shd w:val="clear" w:color="auto" w:fill="717073"/>
          </w:tcPr>
          <w:p>
            <w:pPr>
              <w:spacing w:after="0" w:line="20" w:lineRule="exact"/>
              <w:rPr>
                <w:sz w:val="1"/>
                <w:szCs w:val="1"/>
                <w:color w:val="auto"/>
              </w:rPr>
            </w:pPr>
          </w:p>
        </w:tc>
        <w:tc>
          <w:tcPr>
            <w:tcW w:w="560" w:type="dxa"/>
            <w:vAlign w:val="bottom"/>
            <w:shd w:val="clear" w:color="auto" w:fill="717073"/>
          </w:tcPr>
          <w:p>
            <w:pPr>
              <w:spacing w:after="0" w:line="20" w:lineRule="exact"/>
              <w:rPr>
                <w:sz w:val="1"/>
                <w:szCs w:val="1"/>
                <w:color w:val="auto"/>
              </w:rPr>
            </w:pPr>
          </w:p>
        </w:tc>
        <w:tc>
          <w:tcPr>
            <w:tcW w:w="840" w:type="dxa"/>
            <w:vAlign w:val="bottom"/>
            <w:shd w:val="clear" w:color="auto" w:fill="717073"/>
          </w:tcPr>
          <w:p>
            <w:pPr>
              <w:spacing w:after="0" w:line="20" w:lineRule="exact"/>
              <w:rPr>
                <w:sz w:val="1"/>
                <w:szCs w:val="1"/>
                <w:color w:val="auto"/>
              </w:rPr>
            </w:pPr>
          </w:p>
        </w:tc>
        <w:tc>
          <w:tcPr>
            <w:tcW w:w="400" w:type="dxa"/>
            <w:vAlign w:val="bottom"/>
            <w:shd w:val="clear" w:color="auto" w:fill="717073"/>
          </w:tcPr>
          <w:p>
            <w:pPr>
              <w:spacing w:after="0" w:line="20" w:lineRule="exact"/>
              <w:rPr>
                <w:sz w:val="1"/>
                <w:szCs w:val="1"/>
                <w:color w:val="auto"/>
              </w:rPr>
            </w:pPr>
          </w:p>
        </w:tc>
        <w:tc>
          <w:tcPr>
            <w:tcW w:w="700" w:type="dxa"/>
            <w:vAlign w:val="bottom"/>
            <w:shd w:val="clear" w:color="auto" w:fill="71707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86"/>
        </w:trPr>
        <w:tc>
          <w:tcPr>
            <w:tcW w:w="7560" w:type="dxa"/>
            <w:vAlign w:val="bottom"/>
            <w:gridSpan w:val="3"/>
          </w:tcPr>
          <w:p>
            <w:pPr>
              <w:spacing w:after="0" w:line="185" w:lineRule="exact"/>
              <w:rPr>
                <w:sz w:val="20"/>
                <w:szCs w:val="20"/>
                <w:color w:val="auto"/>
              </w:rPr>
            </w:pPr>
            <w:r>
              <w:rPr>
                <w:rFonts w:ascii="Arial" w:cs="Arial" w:eastAsia="Arial" w:hAnsi="Arial"/>
                <w:sz w:val="17"/>
                <w:szCs w:val="17"/>
                <w:color w:val="373535"/>
              </w:rPr>
              <w:t>Net increase (decrease) in cash and cash equivalents</w:t>
            </w:r>
          </w:p>
        </w:tc>
        <w:tc>
          <w:tcPr>
            <w:tcW w:w="220" w:type="dxa"/>
            <w:vAlign w:val="bottom"/>
            <w:shd w:val="clear" w:color="auto" w:fill="EEF5F2"/>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ind w:right="35"/>
              <w:spacing w:after="0" w:line="185" w:lineRule="exact"/>
              <w:rPr>
                <w:sz w:val="20"/>
                <w:szCs w:val="20"/>
                <w:color w:val="auto"/>
              </w:rPr>
            </w:pPr>
            <w:r>
              <w:rPr>
                <w:rFonts w:ascii="Arial" w:cs="Arial" w:eastAsia="Arial" w:hAnsi="Arial"/>
                <w:sz w:val="17"/>
                <w:szCs w:val="17"/>
                <w:color w:val="76AD9A"/>
              </w:rPr>
              <w:t>89.5</w:t>
            </w:r>
          </w:p>
        </w:tc>
        <w:tc>
          <w:tcPr>
            <w:tcW w:w="560" w:type="dxa"/>
            <w:vAlign w:val="bottom"/>
          </w:tcPr>
          <w:p>
            <w:pPr>
              <w:spacing w:after="0"/>
              <w:rPr>
                <w:sz w:val="16"/>
                <w:szCs w:val="16"/>
                <w:color w:val="auto"/>
              </w:rPr>
            </w:pPr>
          </w:p>
        </w:tc>
        <w:tc>
          <w:tcPr>
            <w:tcW w:w="840" w:type="dxa"/>
            <w:vAlign w:val="bottom"/>
          </w:tcPr>
          <w:p>
            <w:pPr>
              <w:jc w:val="right"/>
              <w:ind w:right="55"/>
              <w:spacing w:after="0" w:line="185" w:lineRule="exact"/>
              <w:rPr>
                <w:sz w:val="20"/>
                <w:szCs w:val="20"/>
                <w:color w:val="auto"/>
              </w:rPr>
            </w:pPr>
            <w:r>
              <w:rPr>
                <w:rFonts w:ascii="Arial" w:cs="Arial" w:eastAsia="Arial" w:hAnsi="Arial"/>
                <w:sz w:val="17"/>
                <w:szCs w:val="17"/>
                <w:color w:val="373535"/>
              </w:rPr>
              <w:t>67.6</w:t>
            </w:r>
          </w:p>
        </w:tc>
        <w:tc>
          <w:tcPr>
            <w:tcW w:w="400" w:type="dxa"/>
            <w:vAlign w:val="bottom"/>
          </w:tcPr>
          <w:p>
            <w:pPr>
              <w:spacing w:after="0"/>
              <w:rPr>
                <w:sz w:val="16"/>
                <w:szCs w:val="16"/>
                <w:color w:val="auto"/>
              </w:rPr>
            </w:pPr>
          </w:p>
        </w:tc>
        <w:tc>
          <w:tcPr>
            <w:tcW w:w="800" w:type="dxa"/>
            <w:vAlign w:val="bottom"/>
            <w:gridSpan w:val="3"/>
          </w:tcPr>
          <w:p>
            <w:pPr>
              <w:jc w:val="right"/>
              <w:ind w:right="40"/>
              <w:spacing w:after="0" w:line="185" w:lineRule="exact"/>
              <w:rPr>
                <w:sz w:val="20"/>
                <w:szCs w:val="20"/>
                <w:color w:val="auto"/>
              </w:rPr>
            </w:pPr>
            <w:r>
              <w:rPr>
                <w:rFonts w:ascii="Arial" w:cs="Arial" w:eastAsia="Arial" w:hAnsi="Arial"/>
                <w:sz w:val="17"/>
                <w:szCs w:val="17"/>
                <w:color w:val="373535"/>
              </w:rPr>
              <w:t>(192.1)</w:t>
            </w:r>
          </w:p>
        </w:tc>
      </w:tr>
      <w:tr>
        <w:trPr>
          <w:trHeight w:val="194"/>
        </w:trPr>
        <w:tc>
          <w:tcPr>
            <w:tcW w:w="7560" w:type="dxa"/>
            <w:vAlign w:val="bottom"/>
            <w:tcBorders>
              <w:bottom w:val="single" w:sz="8" w:color="717073"/>
            </w:tcBorders>
            <w:gridSpan w:val="3"/>
          </w:tcPr>
          <w:p>
            <w:pPr>
              <w:spacing w:after="0" w:line="194" w:lineRule="exact"/>
              <w:rPr>
                <w:sz w:val="20"/>
                <w:szCs w:val="20"/>
                <w:color w:val="auto"/>
              </w:rPr>
            </w:pPr>
            <w:r>
              <w:rPr>
                <w:rFonts w:ascii="Arial" w:cs="Arial" w:eastAsia="Arial" w:hAnsi="Arial"/>
                <w:sz w:val="17"/>
                <w:szCs w:val="17"/>
                <w:color w:val="373535"/>
              </w:rPr>
              <w:t>Cash and cash equivalents, beginning of year</w:t>
            </w:r>
          </w:p>
        </w:tc>
        <w:tc>
          <w:tcPr>
            <w:tcW w:w="220" w:type="dxa"/>
            <w:vAlign w:val="bottom"/>
            <w:tcBorders>
              <w:bottom w:val="single" w:sz="8" w:color="717073"/>
            </w:tcBorders>
            <w:shd w:val="clear" w:color="auto" w:fill="EEF5F2"/>
          </w:tcPr>
          <w:p>
            <w:pPr>
              <w:spacing w:after="0"/>
              <w:rPr>
                <w:sz w:val="16"/>
                <w:szCs w:val="16"/>
                <w:color w:val="auto"/>
              </w:rPr>
            </w:pPr>
          </w:p>
        </w:tc>
        <w:tc>
          <w:tcPr>
            <w:tcW w:w="3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ind w:right="35"/>
              <w:spacing w:after="0" w:line="194" w:lineRule="exact"/>
              <w:rPr>
                <w:sz w:val="20"/>
                <w:szCs w:val="20"/>
                <w:color w:val="auto"/>
              </w:rPr>
            </w:pPr>
            <w:r>
              <w:rPr>
                <w:rFonts w:ascii="Arial" w:cs="Arial" w:eastAsia="Arial" w:hAnsi="Arial"/>
                <w:sz w:val="17"/>
                <w:szCs w:val="17"/>
                <w:color w:val="76AD9A"/>
              </w:rPr>
              <w:t>648.1</w:t>
            </w:r>
          </w:p>
        </w:tc>
        <w:tc>
          <w:tcPr>
            <w:tcW w:w="560" w:type="dxa"/>
            <w:vAlign w:val="bottom"/>
            <w:tcBorders>
              <w:bottom w:val="single" w:sz="8" w:color="717073"/>
            </w:tcBorders>
          </w:tcPr>
          <w:p>
            <w:pPr>
              <w:spacing w:after="0"/>
              <w:rPr>
                <w:sz w:val="16"/>
                <w:szCs w:val="16"/>
                <w:color w:val="auto"/>
              </w:rPr>
            </w:pPr>
          </w:p>
        </w:tc>
        <w:tc>
          <w:tcPr>
            <w:tcW w:w="840" w:type="dxa"/>
            <w:vAlign w:val="bottom"/>
            <w:tcBorders>
              <w:bottom w:val="single" w:sz="8" w:color="717073"/>
            </w:tcBorders>
          </w:tcPr>
          <w:p>
            <w:pPr>
              <w:jc w:val="right"/>
              <w:ind w:right="55"/>
              <w:spacing w:after="0" w:line="194" w:lineRule="exact"/>
              <w:rPr>
                <w:sz w:val="20"/>
                <w:szCs w:val="20"/>
                <w:color w:val="auto"/>
              </w:rPr>
            </w:pPr>
            <w:r>
              <w:rPr>
                <w:rFonts w:ascii="Arial" w:cs="Arial" w:eastAsia="Arial" w:hAnsi="Arial"/>
                <w:sz w:val="17"/>
                <w:szCs w:val="17"/>
                <w:color w:val="373535"/>
              </w:rPr>
              <w:t>580.5</w:t>
            </w:r>
          </w:p>
        </w:tc>
        <w:tc>
          <w:tcPr>
            <w:tcW w:w="400" w:type="dxa"/>
            <w:vAlign w:val="bottom"/>
            <w:tcBorders>
              <w:bottom w:val="single" w:sz="8" w:color="717073"/>
            </w:tcBorders>
          </w:tcPr>
          <w:p>
            <w:pPr>
              <w:spacing w:after="0"/>
              <w:rPr>
                <w:sz w:val="16"/>
                <w:szCs w:val="16"/>
                <w:color w:val="auto"/>
              </w:rPr>
            </w:pPr>
          </w:p>
        </w:tc>
        <w:tc>
          <w:tcPr>
            <w:tcW w:w="72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772.6</w:t>
            </w:r>
          </w:p>
        </w:tc>
        <w:tc>
          <w:tcPr>
            <w:tcW w:w="80" w:type="dxa"/>
            <w:vAlign w:val="bottom"/>
          </w:tcPr>
          <w:p>
            <w:pPr>
              <w:spacing w:after="0"/>
              <w:rPr>
                <w:sz w:val="16"/>
                <w:szCs w:val="16"/>
                <w:color w:val="auto"/>
              </w:rPr>
            </w:pPr>
          </w:p>
        </w:tc>
      </w:tr>
      <w:tr>
        <w:trPr>
          <w:trHeight w:val="186"/>
        </w:trPr>
        <w:tc>
          <w:tcPr>
            <w:tcW w:w="7560" w:type="dxa"/>
            <w:vAlign w:val="bottom"/>
            <w:gridSpan w:val="3"/>
          </w:tcPr>
          <w:p>
            <w:pPr>
              <w:spacing w:after="0" w:line="186" w:lineRule="exact"/>
              <w:rPr>
                <w:sz w:val="20"/>
                <w:szCs w:val="20"/>
                <w:color w:val="auto"/>
              </w:rPr>
            </w:pPr>
            <w:r>
              <w:rPr>
                <w:rFonts w:ascii="Arial" w:cs="Arial" w:eastAsia="Arial" w:hAnsi="Arial"/>
                <w:sz w:val="17"/>
                <w:szCs w:val="17"/>
                <w:color w:val="373535"/>
              </w:rPr>
              <w:t>Cash and cash equivalents, end of year</w:t>
            </w: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300" w:type="dxa"/>
            <w:vAlign w:val="bottom"/>
          </w:tcPr>
          <w:p>
            <w:pPr>
              <w:spacing w:after="0"/>
              <w:rPr>
                <w:sz w:val="16"/>
                <w:szCs w:val="16"/>
                <w:color w:val="auto"/>
              </w:rPr>
            </w:pPr>
          </w:p>
        </w:tc>
        <w:tc>
          <w:tcPr>
            <w:tcW w:w="740" w:type="dxa"/>
            <w:vAlign w:val="bottom"/>
          </w:tcPr>
          <w:p>
            <w:pPr>
              <w:jc w:val="right"/>
              <w:ind w:right="35"/>
              <w:spacing w:after="0" w:line="186" w:lineRule="exact"/>
              <w:rPr>
                <w:sz w:val="20"/>
                <w:szCs w:val="20"/>
                <w:color w:val="auto"/>
              </w:rPr>
            </w:pPr>
            <w:r>
              <w:rPr>
                <w:rFonts w:ascii="Arial" w:cs="Arial" w:eastAsia="Arial" w:hAnsi="Arial"/>
                <w:sz w:val="17"/>
                <w:szCs w:val="17"/>
                <w:color w:val="76AD9A"/>
              </w:rPr>
              <w:t>737.6</w:t>
            </w:r>
          </w:p>
        </w:tc>
        <w:tc>
          <w:tcPr>
            <w:tcW w:w="560" w:type="dxa"/>
            <w:vAlign w:val="bottom"/>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840" w:type="dxa"/>
            <w:vAlign w:val="bottom"/>
          </w:tcPr>
          <w:p>
            <w:pPr>
              <w:jc w:val="right"/>
              <w:ind w:right="55"/>
              <w:spacing w:after="0" w:line="186" w:lineRule="exact"/>
              <w:rPr>
                <w:sz w:val="20"/>
                <w:szCs w:val="20"/>
                <w:color w:val="auto"/>
              </w:rPr>
            </w:pPr>
            <w:r>
              <w:rPr>
                <w:rFonts w:ascii="Arial" w:cs="Arial" w:eastAsia="Arial" w:hAnsi="Arial"/>
                <w:sz w:val="17"/>
                <w:szCs w:val="17"/>
                <w:color w:val="373535"/>
              </w:rPr>
              <w:t>648.1</w:t>
            </w:r>
          </w:p>
        </w:tc>
        <w:tc>
          <w:tcPr>
            <w:tcW w:w="400" w:type="dxa"/>
            <w:vAlign w:val="bottom"/>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7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580.5</w:t>
            </w:r>
          </w:p>
        </w:tc>
        <w:tc>
          <w:tcPr>
            <w:tcW w:w="80" w:type="dxa"/>
            <w:vAlign w:val="bottom"/>
          </w:tcPr>
          <w:p>
            <w:pPr>
              <w:spacing w:after="0"/>
              <w:rPr>
                <w:sz w:val="16"/>
                <w:szCs w:val="16"/>
                <w:color w:val="auto"/>
              </w:rPr>
            </w:pPr>
          </w:p>
        </w:tc>
      </w:tr>
      <w:tr>
        <w:trPr>
          <w:trHeight w:val="186"/>
        </w:trPr>
        <w:tc>
          <w:tcPr>
            <w:tcW w:w="7560" w:type="dxa"/>
            <w:vAlign w:val="bottom"/>
            <w:tcBorders>
              <w:top w:val="single" w:sz="8" w:color="717073"/>
            </w:tcBorders>
            <w:gridSpan w:val="3"/>
          </w:tcPr>
          <w:p>
            <w:pPr>
              <w:spacing w:after="0" w:line="185" w:lineRule="exact"/>
              <w:rPr>
                <w:sz w:val="20"/>
                <w:szCs w:val="20"/>
                <w:color w:val="auto"/>
              </w:rPr>
            </w:pPr>
            <w:r>
              <w:rPr>
                <w:rFonts w:ascii="Arial" w:cs="Arial" w:eastAsia="Arial" w:hAnsi="Arial"/>
                <w:sz w:val="17"/>
                <w:szCs w:val="17"/>
                <w:color w:val="777679"/>
              </w:rPr>
              <w:t>Supplemental Cash Flow Information</w:t>
            </w:r>
          </w:p>
        </w:tc>
        <w:tc>
          <w:tcPr>
            <w:tcW w:w="220" w:type="dxa"/>
            <w:vAlign w:val="bottom"/>
            <w:tcBorders>
              <w:top w:val="single" w:sz="8" w:color="717073"/>
            </w:tcBorders>
            <w:shd w:val="clear" w:color="auto" w:fill="EEF5F2"/>
          </w:tcPr>
          <w:p>
            <w:pPr>
              <w:spacing w:after="0"/>
              <w:rPr>
                <w:sz w:val="16"/>
                <w:szCs w:val="16"/>
                <w:color w:val="auto"/>
              </w:rPr>
            </w:pPr>
          </w:p>
        </w:tc>
        <w:tc>
          <w:tcPr>
            <w:tcW w:w="300" w:type="dxa"/>
            <w:vAlign w:val="bottom"/>
            <w:tcBorders>
              <w:top w:val="single" w:sz="8" w:color="717073"/>
            </w:tcBorders>
          </w:tcPr>
          <w:p>
            <w:pPr>
              <w:spacing w:after="0"/>
              <w:rPr>
                <w:sz w:val="16"/>
                <w:szCs w:val="16"/>
                <w:color w:val="auto"/>
              </w:rPr>
            </w:pPr>
          </w:p>
        </w:tc>
        <w:tc>
          <w:tcPr>
            <w:tcW w:w="740" w:type="dxa"/>
            <w:vAlign w:val="bottom"/>
            <w:tcBorders>
              <w:top w:val="single" w:sz="8" w:color="717073"/>
            </w:tcBorders>
          </w:tcPr>
          <w:p>
            <w:pPr>
              <w:spacing w:after="0"/>
              <w:rPr>
                <w:sz w:val="16"/>
                <w:szCs w:val="16"/>
                <w:color w:val="auto"/>
              </w:rPr>
            </w:pPr>
          </w:p>
        </w:tc>
        <w:tc>
          <w:tcPr>
            <w:tcW w:w="560" w:type="dxa"/>
            <w:vAlign w:val="bottom"/>
            <w:tcBorders>
              <w:top w:val="single" w:sz="8" w:color="717073"/>
            </w:tcBorders>
          </w:tcPr>
          <w:p>
            <w:pPr>
              <w:spacing w:after="0"/>
              <w:rPr>
                <w:sz w:val="16"/>
                <w:szCs w:val="16"/>
                <w:color w:val="auto"/>
              </w:rPr>
            </w:pPr>
          </w:p>
        </w:tc>
        <w:tc>
          <w:tcPr>
            <w:tcW w:w="840" w:type="dxa"/>
            <w:vAlign w:val="bottom"/>
            <w:tcBorders>
              <w:top w:val="single" w:sz="8" w:color="717073"/>
            </w:tcBorders>
          </w:tcPr>
          <w:p>
            <w:pPr>
              <w:spacing w:after="0"/>
              <w:rPr>
                <w:sz w:val="16"/>
                <w:szCs w:val="16"/>
                <w:color w:val="auto"/>
              </w:rPr>
            </w:pPr>
          </w:p>
        </w:tc>
        <w:tc>
          <w:tcPr>
            <w:tcW w:w="400" w:type="dxa"/>
            <w:vAlign w:val="bottom"/>
            <w:tcBorders>
              <w:top w:val="single" w:sz="8" w:color="717073"/>
            </w:tcBorders>
          </w:tcPr>
          <w:p>
            <w:pPr>
              <w:spacing w:after="0"/>
              <w:rPr>
                <w:sz w:val="16"/>
                <w:szCs w:val="16"/>
                <w:color w:val="auto"/>
              </w:rPr>
            </w:pPr>
          </w:p>
        </w:tc>
        <w:tc>
          <w:tcPr>
            <w:tcW w:w="70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7560" w:type="dxa"/>
            <w:vAlign w:val="bottom"/>
            <w:tcBorders>
              <w:bottom w:val="single" w:sz="8" w:color="717073"/>
            </w:tcBorders>
            <w:gridSpan w:val="3"/>
          </w:tcPr>
          <w:p>
            <w:pPr>
              <w:spacing w:after="0" w:line="194" w:lineRule="exact"/>
              <w:rPr>
                <w:sz w:val="20"/>
                <w:szCs w:val="20"/>
                <w:color w:val="auto"/>
              </w:rPr>
            </w:pPr>
            <w:r>
              <w:rPr>
                <w:rFonts w:ascii="Arial" w:cs="Arial" w:eastAsia="Arial" w:hAnsi="Arial"/>
                <w:sz w:val="17"/>
                <w:szCs w:val="17"/>
                <w:color w:val="373535"/>
              </w:rPr>
              <w:t>Interest paid</w:t>
            </w:r>
          </w:p>
        </w:tc>
        <w:tc>
          <w:tcPr>
            <w:tcW w:w="220" w:type="dxa"/>
            <w:vAlign w:val="bottom"/>
            <w:tcBorders>
              <w:bottom w:val="single" w:sz="8" w:color="717073"/>
            </w:tcBorders>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3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ind w:right="35"/>
              <w:spacing w:after="0" w:line="194" w:lineRule="exact"/>
              <w:rPr>
                <w:sz w:val="20"/>
                <w:szCs w:val="20"/>
                <w:color w:val="auto"/>
              </w:rPr>
            </w:pPr>
            <w:r>
              <w:rPr>
                <w:rFonts w:ascii="Arial" w:cs="Arial" w:eastAsia="Arial" w:hAnsi="Arial"/>
                <w:sz w:val="17"/>
                <w:szCs w:val="17"/>
                <w:color w:val="76AD9A"/>
              </w:rPr>
              <w:t>43.5</w:t>
            </w:r>
          </w:p>
        </w:tc>
        <w:tc>
          <w:tcPr>
            <w:tcW w:w="560" w:type="dxa"/>
            <w:vAlign w:val="bottom"/>
            <w:tcBorders>
              <w:bottom w:val="single" w:sz="8" w:color="717073"/>
            </w:tcBorders>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840" w:type="dxa"/>
            <w:vAlign w:val="bottom"/>
            <w:tcBorders>
              <w:bottom w:val="single" w:sz="8" w:color="717073"/>
            </w:tcBorders>
          </w:tcPr>
          <w:p>
            <w:pPr>
              <w:jc w:val="right"/>
              <w:ind w:right="55"/>
              <w:spacing w:after="0" w:line="194" w:lineRule="exact"/>
              <w:rPr>
                <w:sz w:val="20"/>
                <w:szCs w:val="20"/>
                <w:color w:val="auto"/>
              </w:rPr>
            </w:pPr>
            <w:r>
              <w:rPr>
                <w:rFonts w:ascii="Arial" w:cs="Arial" w:eastAsia="Arial" w:hAnsi="Arial"/>
                <w:sz w:val="17"/>
                <w:szCs w:val="17"/>
                <w:color w:val="373535"/>
              </w:rPr>
              <w:t>39.9</w:t>
            </w:r>
          </w:p>
        </w:tc>
        <w:tc>
          <w:tcPr>
            <w:tcW w:w="400" w:type="dxa"/>
            <w:vAlign w:val="bottom"/>
            <w:tcBorders>
              <w:bottom w:val="single" w:sz="8" w:color="717073"/>
            </w:tcBorders>
          </w:tcPr>
          <w:p>
            <w:pPr>
              <w:jc w:val="right"/>
              <w:ind w:right="114"/>
              <w:spacing w:after="0" w:line="194" w:lineRule="exact"/>
              <w:rPr>
                <w:sz w:val="20"/>
                <w:szCs w:val="20"/>
                <w:color w:val="auto"/>
              </w:rPr>
            </w:pPr>
            <w:r>
              <w:rPr>
                <w:rFonts w:ascii="Arial" w:cs="Arial" w:eastAsia="Arial" w:hAnsi="Arial"/>
                <w:sz w:val="17"/>
                <w:szCs w:val="17"/>
                <w:color w:val="373535"/>
              </w:rPr>
              <w:t>$</w:t>
            </w:r>
          </w:p>
        </w:tc>
        <w:tc>
          <w:tcPr>
            <w:tcW w:w="72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43.2</w:t>
            </w:r>
          </w:p>
        </w:tc>
        <w:tc>
          <w:tcPr>
            <w:tcW w:w="80" w:type="dxa"/>
            <w:vAlign w:val="bottom"/>
          </w:tcPr>
          <w:p>
            <w:pPr>
              <w:spacing w:after="0"/>
              <w:rPr>
                <w:sz w:val="16"/>
                <w:szCs w:val="16"/>
                <w:color w:val="auto"/>
              </w:rPr>
            </w:pPr>
          </w:p>
        </w:tc>
      </w:tr>
      <w:tr>
        <w:trPr>
          <w:trHeight w:val="186"/>
        </w:trPr>
        <w:tc>
          <w:tcPr>
            <w:tcW w:w="7560" w:type="dxa"/>
            <w:vAlign w:val="bottom"/>
            <w:gridSpan w:val="3"/>
          </w:tcPr>
          <w:p>
            <w:pPr>
              <w:spacing w:after="0" w:line="186" w:lineRule="exact"/>
              <w:rPr>
                <w:sz w:val="20"/>
                <w:szCs w:val="20"/>
                <w:color w:val="auto"/>
              </w:rPr>
            </w:pPr>
            <w:r>
              <w:rPr>
                <w:rFonts w:ascii="Arial" w:cs="Arial" w:eastAsia="Arial" w:hAnsi="Arial"/>
                <w:sz w:val="17"/>
                <w:szCs w:val="17"/>
                <w:color w:val="373535"/>
              </w:rPr>
              <w:t>Income taxes paid, net</w:t>
            </w: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300" w:type="dxa"/>
            <w:vAlign w:val="bottom"/>
          </w:tcPr>
          <w:p>
            <w:pPr>
              <w:spacing w:after="0"/>
              <w:rPr>
                <w:sz w:val="16"/>
                <w:szCs w:val="16"/>
                <w:color w:val="auto"/>
              </w:rPr>
            </w:pPr>
          </w:p>
        </w:tc>
        <w:tc>
          <w:tcPr>
            <w:tcW w:w="740" w:type="dxa"/>
            <w:vAlign w:val="bottom"/>
          </w:tcPr>
          <w:p>
            <w:pPr>
              <w:jc w:val="right"/>
              <w:ind w:right="35"/>
              <w:spacing w:after="0" w:line="186" w:lineRule="exact"/>
              <w:rPr>
                <w:sz w:val="20"/>
                <w:szCs w:val="20"/>
                <w:color w:val="auto"/>
              </w:rPr>
            </w:pPr>
            <w:r>
              <w:rPr>
                <w:rFonts w:ascii="Arial" w:cs="Arial" w:eastAsia="Arial" w:hAnsi="Arial"/>
                <w:sz w:val="17"/>
                <w:szCs w:val="17"/>
                <w:color w:val="76AD9A"/>
              </w:rPr>
              <w:t>60.3</w:t>
            </w:r>
          </w:p>
        </w:tc>
        <w:tc>
          <w:tcPr>
            <w:tcW w:w="560" w:type="dxa"/>
            <w:vAlign w:val="bottom"/>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840" w:type="dxa"/>
            <w:vAlign w:val="bottom"/>
          </w:tcPr>
          <w:p>
            <w:pPr>
              <w:jc w:val="right"/>
              <w:ind w:right="55"/>
              <w:spacing w:after="0" w:line="186" w:lineRule="exact"/>
              <w:rPr>
                <w:sz w:val="20"/>
                <w:szCs w:val="20"/>
                <w:color w:val="auto"/>
              </w:rPr>
            </w:pPr>
            <w:r>
              <w:rPr>
                <w:rFonts w:ascii="Arial" w:cs="Arial" w:eastAsia="Arial" w:hAnsi="Arial"/>
                <w:sz w:val="17"/>
                <w:szCs w:val="17"/>
                <w:color w:val="373535"/>
              </w:rPr>
              <w:t>123.0</w:t>
            </w:r>
          </w:p>
        </w:tc>
        <w:tc>
          <w:tcPr>
            <w:tcW w:w="400" w:type="dxa"/>
            <w:vAlign w:val="bottom"/>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72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170.7</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gridSpan w:val="4"/>
            <w:shd w:val="clear" w:color="auto" w:fill="717073"/>
          </w:tcPr>
          <w:p>
            <w:pPr>
              <w:spacing w:after="0" w:line="20" w:lineRule="exact"/>
              <w:rPr>
                <w:sz w:val="1"/>
                <w:szCs w:val="1"/>
                <w:color w:val="auto"/>
              </w:rPr>
            </w:pPr>
          </w:p>
        </w:tc>
        <w:tc>
          <w:tcPr>
            <w:tcW w:w="740" w:type="dxa"/>
            <w:vAlign w:val="bottom"/>
            <w:shd w:val="clear" w:color="auto" w:fill="717073"/>
          </w:tcPr>
          <w:p>
            <w:pPr>
              <w:spacing w:after="0" w:line="20" w:lineRule="exact"/>
              <w:rPr>
                <w:sz w:val="1"/>
                <w:szCs w:val="1"/>
                <w:color w:val="auto"/>
              </w:rPr>
            </w:pPr>
          </w:p>
        </w:tc>
        <w:tc>
          <w:tcPr>
            <w:tcW w:w="560" w:type="dxa"/>
            <w:vAlign w:val="bottom"/>
            <w:shd w:val="clear" w:color="auto" w:fill="717073"/>
          </w:tcPr>
          <w:p>
            <w:pPr>
              <w:spacing w:after="0" w:line="20" w:lineRule="exact"/>
              <w:rPr>
                <w:sz w:val="1"/>
                <w:szCs w:val="1"/>
                <w:color w:val="auto"/>
              </w:rPr>
            </w:pPr>
          </w:p>
        </w:tc>
        <w:tc>
          <w:tcPr>
            <w:tcW w:w="840" w:type="dxa"/>
            <w:vAlign w:val="bottom"/>
            <w:shd w:val="clear" w:color="auto" w:fill="717073"/>
          </w:tcPr>
          <w:p>
            <w:pPr>
              <w:spacing w:after="0" w:line="20" w:lineRule="exact"/>
              <w:rPr>
                <w:sz w:val="1"/>
                <w:szCs w:val="1"/>
                <w:color w:val="auto"/>
              </w:rPr>
            </w:pPr>
          </w:p>
        </w:tc>
        <w:tc>
          <w:tcPr>
            <w:tcW w:w="400" w:type="dxa"/>
            <w:vAlign w:val="bottom"/>
            <w:shd w:val="clear" w:color="auto" w:fill="717073"/>
          </w:tcPr>
          <w:p>
            <w:pPr>
              <w:spacing w:after="0" w:line="20" w:lineRule="exact"/>
              <w:rPr>
                <w:sz w:val="1"/>
                <w:szCs w:val="1"/>
                <w:color w:val="auto"/>
              </w:rPr>
            </w:pPr>
          </w:p>
        </w:tc>
        <w:tc>
          <w:tcPr>
            <w:tcW w:w="70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6"/>
        </w:trPr>
        <w:tc>
          <w:tcPr>
            <w:tcW w:w="8080" w:type="dxa"/>
            <w:vAlign w:val="bottom"/>
            <w:gridSpan w:val="5"/>
          </w:tcPr>
          <w:p>
            <w:pPr>
              <w:spacing w:after="0"/>
              <w:rPr>
                <w:sz w:val="20"/>
                <w:szCs w:val="20"/>
                <w:color w:val="auto"/>
              </w:rPr>
            </w:pPr>
            <w:r>
              <w:rPr>
                <w:rFonts w:ascii="Arial" w:cs="Arial" w:eastAsia="Arial" w:hAnsi="Arial"/>
                <w:sz w:val="17"/>
                <w:szCs w:val="17"/>
                <w:color w:val="373535"/>
              </w:rPr>
              <w:t>The accompanying Notes to Consolidated Financial Statements are an integral part of these statements.</w:t>
            </w: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8"/>
        </w:trPr>
        <w:tc>
          <w:tcPr>
            <w:tcW w:w="380" w:type="dxa"/>
            <w:vAlign w:val="bottom"/>
            <w:gridSpan w:val="2"/>
          </w:tcPr>
          <w:p>
            <w:pPr>
              <w:spacing w:after="0"/>
              <w:rPr>
                <w:sz w:val="20"/>
                <w:szCs w:val="20"/>
                <w:color w:val="auto"/>
              </w:rPr>
            </w:pPr>
            <w:r>
              <w:rPr>
                <w:rFonts w:ascii="Arial" w:cs="Arial" w:eastAsia="Arial" w:hAnsi="Arial"/>
                <w:sz w:val="14"/>
                <w:szCs w:val="14"/>
                <w:b w:val="1"/>
                <w:bCs w:val="1"/>
                <w:color w:val="373535"/>
              </w:rPr>
              <w:t>54</w:t>
            </w:r>
          </w:p>
        </w:tc>
        <w:tc>
          <w:tcPr>
            <w:tcW w:w="7180" w:type="dxa"/>
            <w:vAlign w:val="bottom"/>
          </w:tcPr>
          <w:p>
            <w:pPr>
              <w:ind w:left="200"/>
              <w:spacing w:after="0"/>
              <w:rPr>
                <w:sz w:val="20"/>
                <w:szCs w:val="20"/>
                <w:color w:val="auto"/>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Consolidated Statements of Cash Flows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71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7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-4990465</wp:posOffset>
            </wp:positionV>
            <wp:extent cx="655320" cy="42614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320" cy="426148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2" w:name="page93"/>
    <w:bookmarkEnd w:id="92"/>
    <w:p>
      <w:pPr>
        <w:spacing w:after="0"/>
        <w:rPr>
          <w:sz w:val="20"/>
          <w:szCs w:val="20"/>
          <w:color w:val="auto"/>
        </w:rPr>
      </w:pPr>
      <w:r>
        <w:rPr>
          <w:rFonts w:ascii="Arial" w:cs="Arial" w:eastAsia="Arial" w:hAnsi="Arial"/>
          <w:sz w:val="17"/>
          <w:szCs w:val="17"/>
          <w:color w:val="4C8ABF"/>
        </w:rPr>
        <w:t>CONSOLIDATED STATEMENTS OF SHAREHOLDERS’ EQUITY</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58"/>
              <w:spacing w:after="0"/>
              <w:rPr>
                <w:sz w:val="20"/>
                <w:szCs w:val="20"/>
                <w:color w:val="auto"/>
              </w:rPr>
            </w:pPr>
            <w:r>
              <w:rPr>
                <w:rFonts w:ascii="Arial" w:cs="Arial" w:eastAsia="Arial" w:hAnsi="Arial"/>
                <w:sz w:val="14"/>
                <w:szCs w:val="14"/>
                <w:color w:val="76AD9A"/>
                <w:w w:val="98"/>
              </w:rPr>
              <w:t>Accumulated</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ind w:right="78"/>
              <w:spacing w:after="0" w:line="155" w:lineRule="exact"/>
              <w:rPr>
                <w:sz w:val="20"/>
                <w:szCs w:val="20"/>
                <w:color w:val="auto"/>
              </w:rPr>
            </w:pPr>
            <w:r>
              <w:rPr>
                <w:rFonts w:ascii="Arial" w:cs="Arial" w:eastAsia="Arial" w:hAnsi="Arial"/>
                <w:sz w:val="14"/>
                <w:szCs w:val="14"/>
                <w:color w:val="76AD9A"/>
              </w:rPr>
              <w:t>Capital in</w:t>
            </w: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58"/>
              <w:spacing w:after="0" w:line="155" w:lineRule="exact"/>
              <w:rPr>
                <w:sz w:val="20"/>
                <w:szCs w:val="20"/>
                <w:color w:val="auto"/>
              </w:rPr>
            </w:pPr>
            <w:r>
              <w:rPr>
                <w:rFonts w:ascii="Arial" w:cs="Arial" w:eastAsia="Arial" w:hAnsi="Arial"/>
                <w:sz w:val="14"/>
                <w:szCs w:val="14"/>
                <w:color w:val="76AD9A"/>
              </w:rPr>
              <w:t>Other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0"/>
        </w:trPr>
        <w:tc>
          <w:tcPr>
            <w:tcW w:w="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380" w:type="dxa"/>
            <w:vAlign w:val="bottom"/>
            <w:tcBorders>
              <w:bottom w:val="single" w:sz="8" w:color="717073"/>
            </w:tcBorders>
          </w:tcPr>
          <w:p>
            <w:pPr>
              <w:spacing w:after="0"/>
              <w:rPr>
                <w:sz w:val="13"/>
                <w:szCs w:val="13"/>
                <w:color w:val="auto"/>
              </w:rPr>
            </w:pPr>
          </w:p>
        </w:tc>
        <w:tc>
          <w:tcPr>
            <w:tcW w:w="1040" w:type="dxa"/>
            <w:vAlign w:val="bottom"/>
            <w:tcBorders>
              <w:bottom w:val="single" w:sz="8" w:color="717073"/>
            </w:tcBorders>
            <w:gridSpan w:val="2"/>
          </w:tcPr>
          <w:p>
            <w:pPr>
              <w:jc w:val="right"/>
              <w:spacing w:after="0" w:line="151" w:lineRule="exact"/>
              <w:rPr>
                <w:sz w:val="20"/>
                <w:szCs w:val="20"/>
                <w:color w:val="auto"/>
              </w:rPr>
            </w:pPr>
            <w:r>
              <w:rPr>
                <w:rFonts w:ascii="Arial" w:cs="Arial" w:eastAsia="Arial" w:hAnsi="Arial"/>
                <w:sz w:val="14"/>
                <w:szCs w:val="14"/>
                <w:color w:val="76AD9A"/>
              </w:rPr>
              <w:t>Common Stock</w:t>
            </w:r>
          </w:p>
        </w:tc>
        <w:tc>
          <w:tcPr>
            <w:tcW w:w="440" w:type="dxa"/>
            <w:vAlign w:val="bottom"/>
          </w:tcPr>
          <w:p>
            <w:pPr>
              <w:spacing w:after="0"/>
              <w:rPr>
                <w:sz w:val="13"/>
                <w:szCs w:val="13"/>
                <w:color w:val="auto"/>
              </w:rPr>
            </w:pPr>
          </w:p>
        </w:tc>
        <w:tc>
          <w:tcPr>
            <w:tcW w:w="860" w:type="dxa"/>
            <w:vAlign w:val="bottom"/>
          </w:tcPr>
          <w:p>
            <w:pPr>
              <w:jc w:val="right"/>
              <w:ind w:right="78"/>
              <w:spacing w:after="0" w:line="151" w:lineRule="exact"/>
              <w:rPr>
                <w:sz w:val="20"/>
                <w:szCs w:val="20"/>
                <w:color w:val="auto"/>
              </w:rPr>
            </w:pPr>
            <w:r>
              <w:rPr>
                <w:rFonts w:ascii="Arial" w:cs="Arial" w:eastAsia="Arial" w:hAnsi="Arial"/>
                <w:sz w:val="14"/>
                <w:szCs w:val="14"/>
                <w:color w:val="76AD9A"/>
              </w:rPr>
              <w:t>Excess of</w:t>
            </w:r>
          </w:p>
        </w:tc>
        <w:tc>
          <w:tcPr>
            <w:tcW w:w="300" w:type="dxa"/>
            <w:vAlign w:val="bottom"/>
          </w:tcPr>
          <w:p>
            <w:pPr>
              <w:spacing w:after="0"/>
              <w:rPr>
                <w:sz w:val="13"/>
                <w:szCs w:val="13"/>
                <w:color w:val="auto"/>
              </w:rPr>
            </w:pPr>
          </w:p>
        </w:tc>
        <w:tc>
          <w:tcPr>
            <w:tcW w:w="840" w:type="dxa"/>
            <w:vAlign w:val="bottom"/>
          </w:tcPr>
          <w:p>
            <w:pPr>
              <w:jc w:val="right"/>
              <w:ind w:right="57"/>
              <w:spacing w:after="0" w:line="151" w:lineRule="exact"/>
              <w:rPr>
                <w:sz w:val="20"/>
                <w:szCs w:val="20"/>
                <w:color w:val="auto"/>
              </w:rPr>
            </w:pPr>
            <w:r>
              <w:rPr>
                <w:rFonts w:ascii="Arial" w:cs="Arial" w:eastAsia="Arial" w:hAnsi="Arial"/>
                <w:sz w:val="14"/>
                <w:szCs w:val="14"/>
                <w:color w:val="76AD9A"/>
              </w:rPr>
              <w:t>Retained</w:t>
            </w:r>
          </w:p>
        </w:tc>
        <w:tc>
          <w:tcPr>
            <w:tcW w:w="1180" w:type="dxa"/>
            <w:vAlign w:val="bottom"/>
            <w:gridSpan w:val="2"/>
          </w:tcPr>
          <w:p>
            <w:pPr>
              <w:ind w:left="80"/>
              <w:spacing w:after="0" w:line="151" w:lineRule="exact"/>
              <w:rPr>
                <w:sz w:val="20"/>
                <w:szCs w:val="20"/>
                <w:color w:val="auto"/>
              </w:rPr>
            </w:pPr>
            <w:r>
              <w:rPr>
                <w:rFonts w:ascii="Arial" w:cs="Arial" w:eastAsia="Arial" w:hAnsi="Arial"/>
                <w:sz w:val="14"/>
                <w:szCs w:val="14"/>
                <w:color w:val="76AD9A"/>
              </w:rPr>
              <w:t>Comprehensive</w:t>
            </w:r>
          </w:p>
        </w:tc>
        <w:tc>
          <w:tcPr>
            <w:tcW w:w="260" w:type="dxa"/>
            <w:vAlign w:val="bottom"/>
          </w:tcPr>
          <w:p>
            <w:pPr>
              <w:spacing w:after="0"/>
              <w:rPr>
                <w:sz w:val="13"/>
                <w:szCs w:val="13"/>
                <w:color w:val="auto"/>
              </w:rPr>
            </w:pPr>
          </w:p>
        </w:tc>
        <w:tc>
          <w:tcPr>
            <w:tcW w:w="860" w:type="dxa"/>
            <w:vAlign w:val="bottom"/>
          </w:tcPr>
          <w:p>
            <w:pPr>
              <w:jc w:val="right"/>
              <w:ind w:right="57"/>
              <w:spacing w:after="0" w:line="151" w:lineRule="exact"/>
              <w:rPr>
                <w:sz w:val="20"/>
                <w:szCs w:val="20"/>
                <w:color w:val="auto"/>
              </w:rPr>
            </w:pPr>
            <w:r>
              <w:rPr>
                <w:rFonts w:ascii="Arial" w:cs="Arial" w:eastAsia="Arial" w:hAnsi="Arial"/>
                <w:sz w:val="14"/>
                <w:szCs w:val="14"/>
                <w:color w:val="76AD9A"/>
              </w:rPr>
              <w:t>Treasury</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80" w:type="dxa"/>
            <w:vAlign w:val="bottom"/>
          </w:tcPr>
          <w:p>
            <w:pPr>
              <w:jc w:val="right"/>
              <w:ind w:right="36"/>
              <w:spacing w:after="0" w:line="148" w:lineRule="exact"/>
              <w:rPr>
                <w:sz w:val="20"/>
                <w:szCs w:val="20"/>
                <w:color w:val="auto"/>
              </w:rPr>
            </w:pPr>
            <w:r>
              <w:rPr>
                <w:rFonts w:ascii="Arial" w:cs="Arial" w:eastAsia="Arial" w:hAnsi="Arial"/>
                <w:sz w:val="14"/>
                <w:szCs w:val="14"/>
                <w:color w:val="76AD9A"/>
              </w:rPr>
              <w:t>Shares issued</w:t>
            </w:r>
          </w:p>
        </w:tc>
        <w:tc>
          <w:tcPr>
            <w:tcW w:w="34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76AD9A"/>
              </w:rPr>
              <w:t>Par Value</w:t>
            </w:r>
          </w:p>
        </w:tc>
        <w:tc>
          <w:tcPr>
            <w:tcW w:w="440" w:type="dxa"/>
            <w:vAlign w:val="bottom"/>
          </w:tcPr>
          <w:p>
            <w:pPr>
              <w:spacing w:after="0"/>
              <w:rPr>
                <w:sz w:val="12"/>
                <w:szCs w:val="12"/>
                <w:color w:val="auto"/>
              </w:rPr>
            </w:pPr>
          </w:p>
        </w:tc>
        <w:tc>
          <w:tcPr>
            <w:tcW w:w="860" w:type="dxa"/>
            <w:vAlign w:val="bottom"/>
          </w:tcPr>
          <w:p>
            <w:pPr>
              <w:jc w:val="right"/>
              <w:ind w:right="78"/>
              <w:spacing w:after="0" w:line="148" w:lineRule="exact"/>
              <w:rPr>
                <w:sz w:val="20"/>
                <w:szCs w:val="20"/>
                <w:color w:val="auto"/>
              </w:rPr>
            </w:pPr>
            <w:r>
              <w:rPr>
                <w:rFonts w:ascii="Arial" w:cs="Arial" w:eastAsia="Arial" w:hAnsi="Arial"/>
                <w:sz w:val="14"/>
                <w:szCs w:val="14"/>
                <w:color w:val="76AD9A"/>
              </w:rPr>
              <w:t>Par Value</w:t>
            </w:r>
          </w:p>
        </w:tc>
        <w:tc>
          <w:tcPr>
            <w:tcW w:w="300" w:type="dxa"/>
            <w:vAlign w:val="bottom"/>
          </w:tcPr>
          <w:p>
            <w:pPr>
              <w:spacing w:after="0"/>
              <w:rPr>
                <w:sz w:val="12"/>
                <w:szCs w:val="12"/>
                <w:color w:val="auto"/>
              </w:rPr>
            </w:pPr>
          </w:p>
        </w:tc>
        <w:tc>
          <w:tcPr>
            <w:tcW w:w="840" w:type="dxa"/>
            <w:vAlign w:val="bottom"/>
          </w:tcPr>
          <w:p>
            <w:pPr>
              <w:jc w:val="right"/>
              <w:ind w:right="57"/>
              <w:spacing w:after="0" w:line="148" w:lineRule="exact"/>
              <w:rPr>
                <w:sz w:val="20"/>
                <w:szCs w:val="20"/>
                <w:color w:val="auto"/>
              </w:rPr>
            </w:pPr>
            <w:r>
              <w:rPr>
                <w:rFonts w:ascii="Arial" w:cs="Arial" w:eastAsia="Arial" w:hAnsi="Arial"/>
                <w:sz w:val="14"/>
                <w:szCs w:val="14"/>
                <w:color w:val="76AD9A"/>
              </w:rPr>
              <w:t>Earnings</w:t>
            </w:r>
          </w:p>
        </w:tc>
        <w:tc>
          <w:tcPr>
            <w:tcW w:w="1180" w:type="dxa"/>
            <w:vAlign w:val="bottom"/>
            <w:gridSpan w:val="2"/>
          </w:tcPr>
          <w:p>
            <w:pPr>
              <w:jc w:val="right"/>
              <w:ind w:right="58"/>
              <w:spacing w:after="0" w:line="148" w:lineRule="exact"/>
              <w:rPr>
                <w:sz w:val="20"/>
                <w:szCs w:val="20"/>
                <w:color w:val="auto"/>
              </w:rPr>
            </w:pPr>
            <w:r>
              <w:rPr>
                <w:rFonts w:ascii="Arial" w:cs="Arial" w:eastAsia="Arial" w:hAnsi="Arial"/>
                <w:sz w:val="14"/>
                <w:szCs w:val="14"/>
                <w:color w:val="76AD9A"/>
              </w:rPr>
              <w:t>Income (Loss)</w:t>
            </w:r>
          </w:p>
        </w:tc>
        <w:tc>
          <w:tcPr>
            <w:tcW w:w="260" w:type="dxa"/>
            <w:vAlign w:val="bottom"/>
          </w:tcPr>
          <w:p>
            <w:pPr>
              <w:spacing w:after="0"/>
              <w:rPr>
                <w:sz w:val="12"/>
                <w:szCs w:val="12"/>
                <w:color w:val="auto"/>
              </w:rPr>
            </w:pPr>
          </w:p>
        </w:tc>
        <w:tc>
          <w:tcPr>
            <w:tcW w:w="860" w:type="dxa"/>
            <w:vAlign w:val="bottom"/>
          </w:tcPr>
          <w:p>
            <w:pPr>
              <w:jc w:val="right"/>
              <w:ind w:right="57"/>
              <w:spacing w:after="0" w:line="148" w:lineRule="exact"/>
              <w:rPr>
                <w:sz w:val="20"/>
                <w:szCs w:val="20"/>
                <w:color w:val="auto"/>
              </w:rPr>
            </w:pPr>
            <w:r>
              <w:rPr>
                <w:rFonts w:ascii="Arial" w:cs="Arial" w:eastAsia="Arial" w:hAnsi="Arial"/>
                <w:sz w:val="14"/>
                <w:szCs w:val="14"/>
                <w:color w:val="76AD9A"/>
              </w:rPr>
              <w:t>Stock</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76AD9A"/>
              </w:rPr>
              <w:t>Total</w:t>
            </w:r>
          </w:p>
        </w:tc>
      </w:tr>
      <w:tr>
        <w:trPr>
          <w:trHeight w:val="186"/>
        </w:trPr>
        <w:tc>
          <w:tcPr>
            <w:tcW w:w="20" w:type="dxa"/>
            <w:vAlign w:val="bottom"/>
          </w:tcPr>
          <w:p>
            <w:pPr>
              <w:spacing w:after="0"/>
              <w:rPr>
                <w:sz w:val="16"/>
                <w:szCs w:val="16"/>
                <w:color w:val="auto"/>
              </w:rPr>
            </w:pPr>
          </w:p>
        </w:tc>
        <w:tc>
          <w:tcPr>
            <w:tcW w:w="31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Balance, January 1, 2011</w:t>
            </w:r>
          </w:p>
        </w:tc>
        <w:tc>
          <w:tcPr>
            <w:tcW w:w="1380" w:type="dxa"/>
            <w:vAlign w:val="bottom"/>
            <w:tcBorders>
              <w:top w:val="single" w:sz="8" w:color="76AD9A"/>
            </w:tcBorders>
          </w:tcPr>
          <w:p>
            <w:pPr>
              <w:jc w:val="right"/>
              <w:ind w:right="36"/>
              <w:spacing w:after="0" w:line="185" w:lineRule="exact"/>
              <w:rPr>
                <w:sz w:val="20"/>
                <w:szCs w:val="20"/>
                <w:color w:val="auto"/>
              </w:rPr>
            </w:pPr>
            <w:r>
              <w:rPr>
                <w:rFonts w:ascii="Arial" w:cs="Arial" w:eastAsia="Arial" w:hAnsi="Arial"/>
                <w:sz w:val="17"/>
                <w:szCs w:val="17"/>
                <w:color w:val="373535"/>
              </w:rPr>
              <w:t>108,294,605</w:t>
            </w:r>
          </w:p>
        </w:tc>
        <w:tc>
          <w:tcPr>
            <w:tcW w:w="340" w:type="dxa"/>
            <w:vAlign w:val="bottom"/>
            <w:tcBorders>
              <w:top w:val="single" w:sz="8" w:color="76AD9A"/>
            </w:tcBorders>
          </w:tcPr>
          <w:p>
            <w:pPr>
              <w:jc w:val="right"/>
              <w:ind w:right="40"/>
              <w:spacing w:after="0" w:line="185" w:lineRule="exact"/>
              <w:rPr>
                <w:sz w:val="20"/>
                <w:szCs w:val="20"/>
                <w:color w:val="auto"/>
              </w:rPr>
            </w:pPr>
            <w:r>
              <w:rPr>
                <w:rFonts w:ascii="Arial" w:cs="Arial" w:eastAsia="Arial" w:hAnsi="Arial"/>
                <w:sz w:val="17"/>
                <w:szCs w:val="17"/>
                <w:color w:val="373535"/>
              </w:rPr>
              <w:t>$</w:t>
            </w:r>
          </w:p>
        </w:tc>
        <w:tc>
          <w:tcPr>
            <w:tcW w:w="70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1.1</w:t>
            </w:r>
          </w:p>
        </w:tc>
        <w:tc>
          <w:tcPr>
            <w:tcW w:w="44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6AD9A"/>
            </w:tcBorders>
          </w:tcPr>
          <w:p>
            <w:pPr>
              <w:jc w:val="right"/>
              <w:ind w:right="78"/>
              <w:spacing w:after="0" w:line="185" w:lineRule="exact"/>
              <w:rPr>
                <w:sz w:val="20"/>
                <w:szCs w:val="20"/>
                <w:color w:val="auto"/>
              </w:rPr>
            </w:pPr>
            <w:r>
              <w:rPr>
                <w:rFonts w:ascii="Arial" w:cs="Arial" w:eastAsia="Arial" w:hAnsi="Arial"/>
                <w:sz w:val="17"/>
                <w:szCs w:val="17"/>
                <w:color w:val="373535"/>
              </w:rPr>
              <w:t>2,781.7</w:t>
            </w:r>
          </w:p>
        </w:tc>
        <w:tc>
          <w:tcPr>
            <w:tcW w:w="30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6AD9A"/>
            </w:tcBorders>
          </w:tcPr>
          <w:p>
            <w:pPr>
              <w:jc w:val="right"/>
              <w:ind w:right="57"/>
              <w:spacing w:after="0" w:line="185" w:lineRule="exact"/>
              <w:rPr>
                <w:sz w:val="20"/>
                <w:szCs w:val="20"/>
                <w:color w:val="auto"/>
              </w:rPr>
            </w:pPr>
            <w:r>
              <w:rPr>
                <w:rFonts w:ascii="Arial" w:cs="Arial" w:eastAsia="Arial" w:hAnsi="Arial"/>
                <w:sz w:val="17"/>
                <w:szCs w:val="17"/>
                <w:color w:val="373535"/>
              </w:rPr>
              <w:t>785.2</w:t>
            </w:r>
          </w:p>
        </w:tc>
        <w:tc>
          <w:tcPr>
            <w:tcW w:w="220" w:type="dxa"/>
            <w:vAlign w:val="bottom"/>
            <w:tcBorders>
              <w:top w:val="single" w:sz="8" w:color="76AD9A"/>
            </w:tcBorders>
          </w:tcPr>
          <w:p>
            <w:pPr>
              <w:ind w:left="80"/>
              <w:spacing w:after="0" w:line="185" w:lineRule="exact"/>
              <w:rPr>
                <w:sz w:val="20"/>
                <w:szCs w:val="20"/>
                <w:color w:val="auto"/>
              </w:rPr>
            </w:pPr>
            <w:r>
              <w:rPr>
                <w:rFonts w:ascii="Arial" w:cs="Arial" w:eastAsia="Arial" w:hAnsi="Arial"/>
                <w:sz w:val="17"/>
                <w:szCs w:val="17"/>
                <w:color w:val="373535"/>
              </w:rPr>
              <w:t>$</w:t>
            </w:r>
          </w:p>
        </w:tc>
        <w:tc>
          <w:tcPr>
            <w:tcW w:w="960" w:type="dxa"/>
            <w:vAlign w:val="bottom"/>
            <w:tcBorders>
              <w:top w:val="single" w:sz="8" w:color="76AD9A"/>
            </w:tcBorders>
          </w:tcPr>
          <w:p>
            <w:pPr>
              <w:jc w:val="right"/>
              <w:ind w:right="58"/>
              <w:spacing w:after="0" w:line="185" w:lineRule="exact"/>
              <w:rPr>
                <w:sz w:val="20"/>
                <w:szCs w:val="20"/>
                <w:color w:val="auto"/>
              </w:rPr>
            </w:pPr>
            <w:r>
              <w:rPr>
                <w:rFonts w:ascii="Arial" w:cs="Arial" w:eastAsia="Arial" w:hAnsi="Arial"/>
                <w:sz w:val="17"/>
                <w:szCs w:val="17"/>
                <w:color w:val="373535"/>
              </w:rPr>
              <w:t>87.0</w:t>
            </w:r>
          </w:p>
        </w:tc>
        <w:tc>
          <w:tcPr>
            <w:tcW w:w="26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6AD9A"/>
            </w:tcBorders>
          </w:tcPr>
          <w:p>
            <w:pPr>
              <w:jc w:val="right"/>
              <w:ind w:right="17"/>
              <w:spacing w:after="0" w:line="185" w:lineRule="exact"/>
              <w:rPr>
                <w:sz w:val="20"/>
                <w:szCs w:val="20"/>
                <w:color w:val="auto"/>
              </w:rPr>
            </w:pPr>
            <w:r>
              <w:rPr>
                <w:rFonts w:ascii="Arial" w:cs="Arial" w:eastAsia="Arial" w:hAnsi="Arial"/>
                <w:sz w:val="17"/>
                <w:szCs w:val="17"/>
                <w:color w:val="373535"/>
              </w:rPr>
              <w:t>(1,257.8)</w:t>
            </w:r>
          </w:p>
        </w:tc>
        <w:tc>
          <w:tcPr>
            <w:tcW w:w="28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gridSpan w:val="2"/>
          </w:tcPr>
          <w:p>
            <w:pPr>
              <w:jc w:val="right"/>
              <w:spacing w:after="0" w:line="185" w:lineRule="exact"/>
              <w:rPr>
                <w:sz w:val="20"/>
                <w:szCs w:val="20"/>
                <w:color w:val="auto"/>
              </w:rPr>
            </w:pPr>
            <w:r>
              <w:rPr>
                <w:rFonts w:ascii="Arial" w:cs="Arial" w:eastAsia="Arial" w:hAnsi="Arial"/>
                <w:sz w:val="17"/>
                <w:szCs w:val="17"/>
                <w:color w:val="373535"/>
              </w:rPr>
              <w:t>2,397.2</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251.6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251.6</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Other comprehensive loss</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373535"/>
              </w:rPr>
              <w:t>(51.7)</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(51.7)</w:t>
            </w: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Issuances under equity plans, including</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180" w:type="dxa"/>
            <w:vAlign w:val="bottom"/>
          </w:tcPr>
          <w:p>
            <w:pPr>
              <w:ind w:left="140"/>
              <w:spacing w:after="0" w:line="194" w:lineRule="exact"/>
              <w:rPr>
                <w:sz w:val="20"/>
                <w:szCs w:val="20"/>
                <w:color w:val="auto"/>
              </w:rPr>
            </w:pPr>
            <w:r>
              <w:rPr>
                <w:rFonts w:ascii="Arial" w:cs="Arial" w:eastAsia="Arial" w:hAnsi="Arial"/>
                <w:sz w:val="17"/>
                <w:szCs w:val="17"/>
                <w:color w:val="373535"/>
              </w:rPr>
              <w:t>tax benefits</w:t>
            </w:r>
          </w:p>
        </w:tc>
        <w:tc>
          <w:tcPr>
            <w:tcW w:w="138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781,732</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78"/>
              <w:spacing w:after="0" w:line="194" w:lineRule="exact"/>
              <w:rPr>
                <w:sz w:val="20"/>
                <w:szCs w:val="20"/>
                <w:color w:val="auto"/>
              </w:rPr>
            </w:pPr>
            <w:r>
              <w:rPr>
                <w:rFonts w:ascii="Arial" w:cs="Arial" w:eastAsia="Arial" w:hAnsi="Arial"/>
                <w:sz w:val="17"/>
                <w:szCs w:val="17"/>
                <w:color w:val="373535"/>
              </w:rPr>
              <w:t>33.1</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7"/>
              <w:spacing w:after="0" w:line="194" w:lineRule="exact"/>
              <w:rPr>
                <w:sz w:val="20"/>
                <w:szCs w:val="20"/>
                <w:color w:val="auto"/>
              </w:rPr>
            </w:pPr>
            <w:r>
              <w:rPr>
                <w:rFonts w:ascii="Arial" w:cs="Arial" w:eastAsia="Arial" w:hAnsi="Arial"/>
                <w:sz w:val="17"/>
                <w:szCs w:val="17"/>
                <w:color w:val="373535"/>
              </w:rPr>
              <w:t>(2.3)</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30.8</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Share-based compensation expense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78"/>
              <w:spacing w:after="0" w:line="194" w:lineRule="exact"/>
              <w:rPr>
                <w:sz w:val="20"/>
                <w:szCs w:val="20"/>
                <w:color w:val="auto"/>
              </w:rPr>
            </w:pPr>
            <w:r>
              <w:rPr>
                <w:rFonts w:ascii="Arial" w:cs="Arial" w:eastAsia="Arial" w:hAnsi="Arial"/>
                <w:sz w:val="17"/>
                <w:szCs w:val="17"/>
                <w:color w:val="373535"/>
              </w:rPr>
              <w:t>31.4</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31.4</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Dividends ($0.80 per share)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(65.1)</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(65.1)</w:t>
            </w: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Repurchases of common stock</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7"/>
              <w:spacing w:after="0" w:line="194" w:lineRule="exact"/>
              <w:rPr>
                <w:sz w:val="20"/>
                <w:szCs w:val="20"/>
                <w:color w:val="auto"/>
              </w:rPr>
            </w:pPr>
            <w:r>
              <w:rPr>
                <w:rFonts w:ascii="Arial" w:cs="Arial" w:eastAsia="Arial" w:hAnsi="Arial"/>
                <w:sz w:val="17"/>
                <w:szCs w:val="17"/>
                <w:color w:val="373535"/>
              </w:rPr>
              <w:t>(104.5)</w:t>
            </w:r>
          </w:p>
        </w:tc>
        <w:tc>
          <w:tcPr>
            <w:tcW w:w="280" w:type="dxa"/>
            <w:vAlign w:val="bottom"/>
          </w:tcPr>
          <w:p>
            <w:pPr>
              <w:spacing w:after="0"/>
              <w:rPr>
                <w:sz w:val="16"/>
                <w:szCs w:val="16"/>
                <w:color w:val="auto"/>
              </w:rPr>
            </w:pPr>
          </w:p>
        </w:tc>
        <w:tc>
          <w:tcPr>
            <w:tcW w:w="78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(104.5)</w:t>
            </w: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Other</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18"/>
              <w:spacing w:after="0" w:line="194" w:lineRule="exact"/>
              <w:rPr>
                <w:sz w:val="20"/>
                <w:szCs w:val="20"/>
                <w:color w:val="auto"/>
              </w:rPr>
            </w:pPr>
            <w:r>
              <w:rPr>
                <w:rFonts w:ascii="Arial" w:cs="Arial" w:eastAsia="Arial" w:hAnsi="Arial"/>
                <w:sz w:val="17"/>
                <w:szCs w:val="17"/>
                <w:color w:val="373535"/>
              </w:rPr>
              <w:t>(6.3)</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(6.3)</w:t>
            </w:r>
          </w:p>
        </w:tc>
      </w:tr>
      <w:tr>
        <w:trPr>
          <w:trHeight w:val="186"/>
        </w:trPr>
        <w:tc>
          <w:tcPr>
            <w:tcW w:w="3200" w:type="dxa"/>
            <w:vAlign w:val="bottom"/>
            <w:tcBorders>
              <w:top w:val="single" w:sz="8" w:color="717073"/>
            </w:tcBorders>
            <w:gridSpan w:val="2"/>
          </w:tcPr>
          <w:p>
            <w:pPr>
              <w:spacing w:after="0" w:line="185" w:lineRule="exact"/>
              <w:rPr>
                <w:sz w:val="20"/>
                <w:szCs w:val="20"/>
                <w:color w:val="auto"/>
              </w:rPr>
            </w:pPr>
            <w:r>
              <w:rPr>
                <w:rFonts w:ascii="Arial" w:cs="Arial" w:eastAsia="Arial" w:hAnsi="Arial"/>
                <w:sz w:val="17"/>
                <w:szCs w:val="17"/>
                <w:color w:val="373535"/>
              </w:rPr>
              <w:t>Balance, December 31, 2011</w:t>
            </w:r>
          </w:p>
        </w:tc>
        <w:tc>
          <w:tcPr>
            <w:tcW w:w="1380" w:type="dxa"/>
            <w:vAlign w:val="bottom"/>
            <w:tcBorders>
              <w:top w:val="single" w:sz="8" w:color="717073"/>
            </w:tcBorders>
          </w:tcPr>
          <w:p>
            <w:pPr>
              <w:jc w:val="right"/>
              <w:ind w:right="36"/>
              <w:spacing w:after="0" w:line="185" w:lineRule="exact"/>
              <w:rPr>
                <w:sz w:val="20"/>
                <w:szCs w:val="20"/>
                <w:color w:val="auto"/>
              </w:rPr>
            </w:pPr>
            <w:r>
              <w:rPr>
                <w:rFonts w:ascii="Arial" w:cs="Arial" w:eastAsia="Arial" w:hAnsi="Arial"/>
                <w:sz w:val="17"/>
                <w:szCs w:val="17"/>
                <w:color w:val="373535"/>
              </w:rPr>
              <w:t>109,076,337</w:t>
            </w:r>
          </w:p>
        </w:tc>
        <w:tc>
          <w:tcPr>
            <w:tcW w:w="340" w:type="dxa"/>
            <w:vAlign w:val="bottom"/>
            <w:tcBorders>
              <w:top w:val="single" w:sz="8" w:color="717073"/>
            </w:tcBorders>
          </w:tcPr>
          <w:p>
            <w:pPr>
              <w:spacing w:after="0"/>
              <w:rPr>
                <w:sz w:val="16"/>
                <w:szCs w:val="16"/>
                <w:color w:val="auto"/>
              </w:rPr>
            </w:pPr>
          </w:p>
        </w:tc>
        <w:tc>
          <w:tcPr>
            <w:tcW w:w="700" w:type="dxa"/>
            <w:vAlign w:val="bottom"/>
            <w:tcBorders>
              <w:top w:val="single" w:sz="8" w:color="717073"/>
            </w:tcBorders>
          </w:tcPr>
          <w:p>
            <w:pPr>
              <w:jc w:val="right"/>
              <w:spacing w:after="0" w:line="185" w:lineRule="exact"/>
              <w:rPr>
                <w:sz w:val="20"/>
                <w:szCs w:val="20"/>
                <w:color w:val="auto"/>
              </w:rPr>
            </w:pPr>
            <w:r>
              <w:rPr>
                <w:rFonts w:ascii="Arial" w:cs="Arial" w:eastAsia="Arial" w:hAnsi="Arial"/>
                <w:sz w:val="17"/>
                <w:szCs w:val="17"/>
                <w:color w:val="373535"/>
              </w:rPr>
              <w:t>1.1</w:t>
            </w:r>
          </w:p>
        </w:tc>
        <w:tc>
          <w:tcPr>
            <w:tcW w:w="440" w:type="dxa"/>
            <w:vAlign w:val="bottom"/>
            <w:tcBorders>
              <w:top w:val="single" w:sz="8" w:color="717073"/>
            </w:tcBorders>
          </w:tcPr>
          <w:p>
            <w:pPr>
              <w:spacing w:after="0"/>
              <w:rPr>
                <w:sz w:val="16"/>
                <w:szCs w:val="16"/>
                <w:color w:val="auto"/>
              </w:rPr>
            </w:pPr>
          </w:p>
        </w:tc>
        <w:tc>
          <w:tcPr>
            <w:tcW w:w="860" w:type="dxa"/>
            <w:vAlign w:val="bottom"/>
            <w:tcBorders>
              <w:top w:val="single" w:sz="8" w:color="717073"/>
            </w:tcBorders>
          </w:tcPr>
          <w:p>
            <w:pPr>
              <w:jc w:val="right"/>
              <w:ind w:right="78"/>
              <w:spacing w:after="0" w:line="185" w:lineRule="exact"/>
              <w:rPr>
                <w:sz w:val="20"/>
                <w:szCs w:val="20"/>
                <w:color w:val="auto"/>
              </w:rPr>
            </w:pPr>
            <w:r>
              <w:rPr>
                <w:rFonts w:ascii="Arial" w:cs="Arial" w:eastAsia="Arial" w:hAnsi="Arial"/>
                <w:sz w:val="17"/>
                <w:szCs w:val="17"/>
                <w:color w:val="373535"/>
              </w:rPr>
              <w:t>2,839.9</w:t>
            </w:r>
          </w:p>
        </w:tc>
        <w:tc>
          <w:tcPr>
            <w:tcW w:w="300" w:type="dxa"/>
            <w:vAlign w:val="bottom"/>
            <w:tcBorders>
              <w:top w:val="single" w:sz="8" w:color="717073"/>
            </w:tcBorders>
          </w:tcPr>
          <w:p>
            <w:pPr>
              <w:spacing w:after="0"/>
              <w:rPr>
                <w:sz w:val="16"/>
                <w:szCs w:val="16"/>
                <w:color w:val="auto"/>
              </w:rPr>
            </w:pPr>
          </w:p>
        </w:tc>
        <w:tc>
          <w:tcPr>
            <w:tcW w:w="840" w:type="dxa"/>
            <w:vAlign w:val="bottom"/>
            <w:tcBorders>
              <w:top w:val="single" w:sz="8" w:color="717073"/>
            </w:tcBorders>
          </w:tcPr>
          <w:p>
            <w:pPr>
              <w:jc w:val="right"/>
              <w:ind w:right="57"/>
              <w:spacing w:after="0" w:line="185" w:lineRule="exact"/>
              <w:rPr>
                <w:sz w:val="20"/>
                <w:szCs w:val="20"/>
                <w:color w:val="auto"/>
              </w:rPr>
            </w:pPr>
            <w:r>
              <w:rPr>
                <w:rFonts w:ascii="Arial" w:cs="Arial" w:eastAsia="Arial" w:hAnsi="Arial"/>
                <w:sz w:val="17"/>
                <w:szCs w:val="17"/>
                <w:color w:val="373535"/>
              </w:rPr>
              <w:t>971.7</w:t>
            </w:r>
          </w:p>
        </w:tc>
        <w:tc>
          <w:tcPr>
            <w:tcW w:w="220" w:type="dxa"/>
            <w:vAlign w:val="bottom"/>
            <w:tcBorders>
              <w:top w:val="single" w:sz="8" w:color="717073"/>
            </w:tcBorders>
          </w:tcPr>
          <w:p>
            <w:pPr>
              <w:spacing w:after="0"/>
              <w:rPr>
                <w:sz w:val="16"/>
                <w:szCs w:val="16"/>
                <w:color w:val="auto"/>
              </w:rPr>
            </w:pPr>
          </w:p>
        </w:tc>
        <w:tc>
          <w:tcPr>
            <w:tcW w:w="960" w:type="dxa"/>
            <w:vAlign w:val="bottom"/>
            <w:tcBorders>
              <w:top w:val="single" w:sz="8" w:color="717073"/>
            </w:tcBorders>
          </w:tcPr>
          <w:p>
            <w:pPr>
              <w:jc w:val="right"/>
              <w:ind w:right="58"/>
              <w:spacing w:after="0" w:line="185" w:lineRule="exact"/>
              <w:rPr>
                <w:sz w:val="20"/>
                <w:szCs w:val="20"/>
                <w:color w:val="auto"/>
              </w:rPr>
            </w:pPr>
            <w:r>
              <w:rPr>
                <w:rFonts w:ascii="Arial" w:cs="Arial" w:eastAsia="Arial" w:hAnsi="Arial"/>
                <w:sz w:val="17"/>
                <w:szCs w:val="17"/>
                <w:color w:val="373535"/>
              </w:rPr>
              <w:t>35.3</w:t>
            </w:r>
          </w:p>
        </w:tc>
        <w:tc>
          <w:tcPr>
            <w:tcW w:w="260" w:type="dxa"/>
            <w:vAlign w:val="bottom"/>
            <w:tcBorders>
              <w:top w:val="single" w:sz="8" w:color="717073"/>
            </w:tcBorders>
          </w:tcPr>
          <w:p>
            <w:pPr>
              <w:spacing w:after="0"/>
              <w:rPr>
                <w:sz w:val="16"/>
                <w:szCs w:val="16"/>
                <w:color w:val="auto"/>
              </w:rPr>
            </w:pPr>
          </w:p>
        </w:tc>
        <w:tc>
          <w:tcPr>
            <w:tcW w:w="860" w:type="dxa"/>
            <w:vAlign w:val="bottom"/>
            <w:tcBorders>
              <w:top w:val="single" w:sz="8" w:color="717073"/>
            </w:tcBorders>
          </w:tcPr>
          <w:p>
            <w:pPr>
              <w:jc w:val="right"/>
              <w:ind w:right="17"/>
              <w:spacing w:after="0" w:line="185" w:lineRule="exact"/>
              <w:rPr>
                <w:sz w:val="20"/>
                <w:szCs w:val="20"/>
                <w:color w:val="auto"/>
              </w:rPr>
            </w:pPr>
            <w:r>
              <w:rPr>
                <w:rFonts w:ascii="Arial" w:cs="Arial" w:eastAsia="Arial" w:hAnsi="Arial"/>
                <w:sz w:val="17"/>
                <w:szCs w:val="17"/>
                <w:color w:val="373535"/>
              </w:rPr>
              <w:t>(1,364.6)</w:t>
            </w:r>
          </w:p>
        </w:tc>
        <w:tc>
          <w:tcPr>
            <w:tcW w:w="280" w:type="dxa"/>
            <w:vAlign w:val="bottom"/>
            <w:tcBorders>
              <w:top w:val="single" w:sz="8" w:color="717073"/>
            </w:tcBorders>
          </w:tcPr>
          <w:p>
            <w:pPr>
              <w:spacing w:after="0"/>
              <w:rPr>
                <w:sz w:val="16"/>
                <w:szCs w:val="16"/>
                <w:color w:val="auto"/>
              </w:rPr>
            </w:pPr>
          </w:p>
        </w:tc>
        <w:tc>
          <w:tcPr>
            <w:tcW w:w="680" w:type="dxa"/>
            <w:vAlign w:val="bottom"/>
            <w:tcBorders>
              <w:top w:val="single" w:sz="8" w:color="717073"/>
            </w:tcBorders>
            <w:gridSpan w:val="2"/>
          </w:tcPr>
          <w:p>
            <w:pPr>
              <w:jc w:val="right"/>
              <w:spacing w:after="0" w:line="185" w:lineRule="exact"/>
              <w:rPr>
                <w:sz w:val="20"/>
                <w:szCs w:val="20"/>
                <w:color w:val="auto"/>
              </w:rPr>
            </w:pPr>
            <w:r>
              <w:rPr>
                <w:rFonts w:ascii="Arial" w:cs="Arial" w:eastAsia="Arial" w:hAnsi="Arial"/>
                <w:sz w:val="17"/>
                <w:szCs w:val="17"/>
                <w:color w:val="373535"/>
              </w:rPr>
              <w:t>2,483.4</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197.6</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197.6</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Other comprehensive loss</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94" w:lineRule="exact"/>
              <w:rPr>
                <w:sz w:val="20"/>
                <w:szCs w:val="20"/>
                <w:color w:val="auto"/>
              </w:rPr>
            </w:pPr>
            <w:r>
              <w:rPr>
                <w:rFonts w:ascii="Arial" w:cs="Arial" w:eastAsia="Arial" w:hAnsi="Arial"/>
                <w:sz w:val="17"/>
                <w:szCs w:val="17"/>
                <w:color w:val="373535"/>
              </w:rPr>
              <w:t>(0.9)</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(0.9)</w:t>
            </w: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Issuances under equity plans, including</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180" w:type="dxa"/>
            <w:vAlign w:val="bottom"/>
          </w:tcPr>
          <w:p>
            <w:pPr>
              <w:ind w:left="140"/>
              <w:spacing w:after="0" w:line="194" w:lineRule="exact"/>
              <w:rPr>
                <w:sz w:val="20"/>
                <w:szCs w:val="20"/>
                <w:color w:val="auto"/>
              </w:rPr>
            </w:pPr>
            <w:r>
              <w:rPr>
                <w:rFonts w:ascii="Arial" w:cs="Arial" w:eastAsia="Arial" w:hAnsi="Arial"/>
                <w:sz w:val="17"/>
                <w:szCs w:val="17"/>
                <w:color w:val="373535"/>
              </w:rPr>
              <w:t>tax benefits</w:t>
            </w:r>
          </w:p>
        </w:tc>
        <w:tc>
          <w:tcPr>
            <w:tcW w:w="138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467,155</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78"/>
              <w:spacing w:after="0" w:line="194" w:lineRule="exact"/>
              <w:rPr>
                <w:sz w:val="20"/>
                <w:szCs w:val="20"/>
                <w:color w:val="auto"/>
              </w:rPr>
            </w:pPr>
            <w:r>
              <w:rPr>
                <w:rFonts w:ascii="Arial" w:cs="Arial" w:eastAsia="Arial" w:hAnsi="Arial"/>
                <w:sz w:val="17"/>
                <w:szCs w:val="17"/>
                <w:color w:val="373535"/>
              </w:rPr>
              <w:t>3.3</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7"/>
              <w:spacing w:after="0" w:line="194" w:lineRule="exact"/>
              <w:rPr>
                <w:sz w:val="20"/>
                <w:szCs w:val="20"/>
                <w:color w:val="auto"/>
              </w:rPr>
            </w:pPr>
            <w:r>
              <w:rPr>
                <w:rFonts w:ascii="Arial" w:cs="Arial" w:eastAsia="Arial" w:hAnsi="Arial"/>
                <w:sz w:val="17"/>
                <w:szCs w:val="17"/>
                <w:color w:val="373535"/>
              </w:rPr>
              <w:t>(6.6)</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(3.3)</w:t>
            </w: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Share-based compensation expense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78"/>
              <w:spacing w:after="0" w:line="194" w:lineRule="exact"/>
              <w:rPr>
                <w:sz w:val="20"/>
                <w:szCs w:val="20"/>
                <w:color w:val="auto"/>
              </w:rPr>
            </w:pPr>
            <w:r>
              <w:rPr>
                <w:rFonts w:ascii="Arial" w:cs="Arial" w:eastAsia="Arial" w:hAnsi="Arial"/>
                <w:sz w:val="17"/>
                <w:szCs w:val="17"/>
                <w:color w:val="373535"/>
              </w:rPr>
              <w:t>30.0</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30.0</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Dividends ($0.86 per share)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(67.8)</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(67.8)</w:t>
            </w: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Repurchases of common stock</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17"/>
              <w:spacing w:after="0" w:line="194" w:lineRule="exact"/>
              <w:rPr>
                <w:sz w:val="20"/>
                <w:szCs w:val="20"/>
                <w:color w:val="auto"/>
              </w:rPr>
            </w:pPr>
            <w:r>
              <w:rPr>
                <w:rFonts w:ascii="Arial" w:cs="Arial" w:eastAsia="Arial" w:hAnsi="Arial"/>
                <w:sz w:val="17"/>
                <w:szCs w:val="17"/>
                <w:color w:val="373535"/>
              </w:rPr>
              <w:t>(138.2)</w:t>
            </w:r>
          </w:p>
        </w:tc>
        <w:tc>
          <w:tcPr>
            <w:tcW w:w="280" w:type="dxa"/>
            <w:vAlign w:val="bottom"/>
          </w:tcPr>
          <w:p>
            <w:pPr>
              <w:spacing w:after="0"/>
              <w:rPr>
                <w:sz w:val="16"/>
                <w:szCs w:val="16"/>
                <w:color w:val="auto"/>
              </w:rPr>
            </w:pPr>
          </w:p>
        </w:tc>
        <w:tc>
          <w:tcPr>
            <w:tcW w:w="78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(138.2)</w:t>
            </w:r>
          </w:p>
        </w:tc>
      </w:tr>
      <w:tr>
        <w:trPr>
          <w:trHeight w:val="186"/>
        </w:trPr>
        <w:tc>
          <w:tcPr>
            <w:tcW w:w="3200" w:type="dxa"/>
            <w:vAlign w:val="bottom"/>
            <w:tcBorders>
              <w:top w:val="single" w:sz="8" w:color="717073"/>
            </w:tcBorders>
            <w:gridSpan w:val="2"/>
          </w:tcPr>
          <w:p>
            <w:pPr>
              <w:spacing w:after="0" w:line="185" w:lineRule="exact"/>
              <w:rPr>
                <w:sz w:val="20"/>
                <w:szCs w:val="20"/>
                <w:color w:val="auto"/>
              </w:rPr>
            </w:pPr>
            <w:r>
              <w:rPr>
                <w:rFonts w:ascii="Arial" w:cs="Arial" w:eastAsia="Arial" w:hAnsi="Arial"/>
                <w:sz w:val="17"/>
                <w:szCs w:val="17"/>
                <w:color w:val="373535"/>
              </w:rPr>
              <w:t>Balance, December 31, 2012</w:t>
            </w:r>
          </w:p>
        </w:tc>
        <w:tc>
          <w:tcPr>
            <w:tcW w:w="1380" w:type="dxa"/>
            <w:vAlign w:val="bottom"/>
            <w:tcBorders>
              <w:top w:val="single" w:sz="8" w:color="717073"/>
            </w:tcBorders>
          </w:tcPr>
          <w:p>
            <w:pPr>
              <w:jc w:val="right"/>
              <w:ind w:right="36"/>
              <w:spacing w:after="0" w:line="185" w:lineRule="exact"/>
              <w:rPr>
                <w:sz w:val="20"/>
                <w:szCs w:val="20"/>
                <w:color w:val="auto"/>
              </w:rPr>
            </w:pPr>
            <w:r>
              <w:rPr>
                <w:rFonts w:ascii="Arial" w:cs="Arial" w:eastAsia="Arial" w:hAnsi="Arial"/>
                <w:sz w:val="17"/>
                <w:szCs w:val="17"/>
                <w:color w:val="373535"/>
              </w:rPr>
              <w:t>109,543,492</w:t>
            </w:r>
          </w:p>
        </w:tc>
        <w:tc>
          <w:tcPr>
            <w:tcW w:w="340" w:type="dxa"/>
            <w:vAlign w:val="bottom"/>
            <w:tcBorders>
              <w:top w:val="single" w:sz="8" w:color="717073"/>
            </w:tcBorders>
          </w:tcPr>
          <w:p>
            <w:pPr>
              <w:spacing w:after="0"/>
              <w:rPr>
                <w:sz w:val="16"/>
                <w:szCs w:val="16"/>
                <w:color w:val="auto"/>
              </w:rPr>
            </w:pPr>
          </w:p>
        </w:tc>
        <w:tc>
          <w:tcPr>
            <w:tcW w:w="700" w:type="dxa"/>
            <w:vAlign w:val="bottom"/>
            <w:tcBorders>
              <w:top w:val="single" w:sz="8" w:color="717073"/>
            </w:tcBorders>
          </w:tcPr>
          <w:p>
            <w:pPr>
              <w:jc w:val="right"/>
              <w:spacing w:after="0" w:line="185" w:lineRule="exact"/>
              <w:rPr>
                <w:sz w:val="20"/>
                <w:szCs w:val="20"/>
                <w:color w:val="auto"/>
              </w:rPr>
            </w:pPr>
            <w:r>
              <w:rPr>
                <w:rFonts w:ascii="Arial" w:cs="Arial" w:eastAsia="Arial" w:hAnsi="Arial"/>
                <w:sz w:val="17"/>
                <w:szCs w:val="17"/>
                <w:color w:val="373535"/>
              </w:rPr>
              <w:t>1.1</w:t>
            </w:r>
          </w:p>
        </w:tc>
        <w:tc>
          <w:tcPr>
            <w:tcW w:w="440" w:type="dxa"/>
            <w:vAlign w:val="bottom"/>
            <w:tcBorders>
              <w:top w:val="single" w:sz="8" w:color="717073"/>
            </w:tcBorders>
          </w:tcPr>
          <w:p>
            <w:pPr>
              <w:spacing w:after="0"/>
              <w:rPr>
                <w:sz w:val="16"/>
                <w:szCs w:val="16"/>
                <w:color w:val="auto"/>
              </w:rPr>
            </w:pPr>
          </w:p>
        </w:tc>
        <w:tc>
          <w:tcPr>
            <w:tcW w:w="860" w:type="dxa"/>
            <w:vAlign w:val="bottom"/>
            <w:tcBorders>
              <w:top w:val="single" w:sz="8" w:color="717073"/>
            </w:tcBorders>
          </w:tcPr>
          <w:p>
            <w:pPr>
              <w:jc w:val="right"/>
              <w:ind w:right="78"/>
              <w:spacing w:after="0" w:line="185" w:lineRule="exact"/>
              <w:rPr>
                <w:sz w:val="20"/>
                <w:szCs w:val="20"/>
                <w:color w:val="auto"/>
              </w:rPr>
            </w:pPr>
            <w:r>
              <w:rPr>
                <w:rFonts w:ascii="Arial" w:cs="Arial" w:eastAsia="Arial" w:hAnsi="Arial"/>
                <w:sz w:val="17"/>
                <w:szCs w:val="17"/>
                <w:color w:val="373535"/>
              </w:rPr>
              <w:t>2,873.2</w:t>
            </w:r>
          </w:p>
        </w:tc>
        <w:tc>
          <w:tcPr>
            <w:tcW w:w="300" w:type="dxa"/>
            <w:vAlign w:val="bottom"/>
            <w:tcBorders>
              <w:top w:val="single" w:sz="8" w:color="717073"/>
            </w:tcBorders>
          </w:tcPr>
          <w:p>
            <w:pPr>
              <w:spacing w:after="0"/>
              <w:rPr>
                <w:sz w:val="16"/>
                <w:szCs w:val="16"/>
                <w:color w:val="auto"/>
              </w:rPr>
            </w:pPr>
          </w:p>
        </w:tc>
        <w:tc>
          <w:tcPr>
            <w:tcW w:w="840" w:type="dxa"/>
            <w:vAlign w:val="bottom"/>
            <w:tcBorders>
              <w:top w:val="single" w:sz="8" w:color="717073"/>
            </w:tcBorders>
          </w:tcPr>
          <w:p>
            <w:pPr>
              <w:jc w:val="right"/>
              <w:ind w:right="57"/>
              <w:spacing w:after="0" w:line="185" w:lineRule="exact"/>
              <w:rPr>
                <w:sz w:val="20"/>
                <w:szCs w:val="20"/>
                <w:color w:val="auto"/>
              </w:rPr>
            </w:pPr>
            <w:r>
              <w:rPr>
                <w:rFonts w:ascii="Arial" w:cs="Arial" w:eastAsia="Arial" w:hAnsi="Arial"/>
                <w:sz w:val="17"/>
                <w:szCs w:val="17"/>
                <w:color w:val="373535"/>
              </w:rPr>
              <w:t>1,101.5</w:t>
            </w:r>
          </w:p>
        </w:tc>
        <w:tc>
          <w:tcPr>
            <w:tcW w:w="220" w:type="dxa"/>
            <w:vAlign w:val="bottom"/>
            <w:tcBorders>
              <w:top w:val="single" w:sz="8" w:color="717073"/>
            </w:tcBorders>
          </w:tcPr>
          <w:p>
            <w:pPr>
              <w:spacing w:after="0"/>
              <w:rPr>
                <w:sz w:val="16"/>
                <w:szCs w:val="16"/>
                <w:color w:val="auto"/>
              </w:rPr>
            </w:pPr>
          </w:p>
        </w:tc>
        <w:tc>
          <w:tcPr>
            <w:tcW w:w="960" w:type="dxa"/>
            <w:vAlign w:val="bottom"/>
            <w:tcBorders>
              <w:top w:val="single" w:sz="8" w:color="717073"/>
            </w:tcBorders>
          </w:tcPr>
          <w:p>
            <w:pPr>
              <w:jc w:val="right"/>
              <w:ind w:right="58"/>
              <w:spacing w:after="0" w:line="185" w:lineRule="exact"/>
              <w:rPr>
                <w:sz w:val="20"/>
                <w:szCs w:val="20"/>
                <w:color w:val="auto"/>
              </w:rPr>
            </w:pPr>
            <w:r>
              <w:rPr>
                <w:rFonts w:ascii="Arial" w:cs="Arial" w:eastAsia="Arial" w:hAnsi="Arial"/>
                <w:sz w:val="17"/>
                <w:szCs w:val="17"/>
                <w:color w:val="373535"/>
              </w:rPr>
              <w:t>34.4</w:t>
            </w:r>
          </w:p>
        </w:tc>
        <w:tc>
          <w:tcPr>
            <w:tcW w:w="260" w:type="dxa"/>
            <w:vAlign w:val="bottom"/>
            <w:tcBorders>
              <w:top w:val="single" w:sz="8" w:color="717073"/>
            </w:tcBorders>
          </w:tcPr>
          <w:p>
            <w:pPr>
              <w:spacing w:after="0"/>
              <w:rPr>
                <w:sz w:val="16"/>
                <w:szCs w:val="16"/>
                <w:color w:val="auto"/>
              </w:rPr>
            </w:pPr>
          </w:p>
        </w:tc>
        <w:tc>
          <w:tcPr>
            <w:tcW w:w="860" w:type="dxa"/>
            <w:vAlign w:val="bottom"/>
            <w:tcBorders>
              <w:top w:val="single" w:sz="8" w:color="717073"/>
            </w:tcBorders>
          </w:tcPr>
          <w:p>
            <w:pPr>
              <w:jc w:val="right"/>
              <w:ind w:right="17"/>
              <w:spacing w:after="0" w:line="185" w:lineRule="exact"/>
              <w:rPr>
                <w:sz w:val="20"/>
                <w:szCs w:val="20"/>
                <w:color w:val="auto"/>
              </w:rPr>
            </w:pPr>
            <w:r>
              <w:rPr>
                <w:rFonts w:ascii="Arial" w:cs="Arial" w:eastAsia="Arial" w:hAnsi="Arial"/>
                <w:sz w:val="17"/>
                <w:szCs w:val="17"/>
                <w:color w:val="373535"/>
              </w:rPr>
              <w:t>(1,509.4)</w:t>
            </w:r>
          </w:p>
        </w:tc>
        <w:tc>
          <w:tcPr>
            <w:tcW w:w="280" w:type="dxa"/>
            <w:vAlign w:val="bottom"/>
            <w:tcBorders>
              <w:top w:val="single" w:sz="8" w:color="717073"/>
            </w:tcBorders>
          </w:tcPr>
          <w:p>
            <w:pPr>
              <w:spacing w:after="0"/>
              <w:rPr>
                <w:sz w:val="16"/>
                <w:szCs w:val="16"/>
                <w:color w:val="auto"/>
              </w:rPr>
            </w:pPr>
          </w:p>
        </w:tc>
        <w:tc>
          <w:tcPr>
            <w:tcW w:w="680" w:type="dxa"/>
            <w:vAlign w:val="bottom"/>
            <w:tcBorders>
              <w:top w:val="single" w:sz="8" w:color="717073"/>
            </w:tcBorders>
            <w:gridSpan w:val="2"/>
          </w:tcPr>
          <w:p>
            <w:pPr>
              <w:jc w:val="right"/>
              <w:spacing w:after="0" w:line="185" w:lineRule="exact"/>
              <w:rPr>
                <w:sz w:val="20"/>
                <w:szCs w:val="20"/>
                <w:color w:val="auto"/>
              </w:rPr>
            </w:pPr>
            <w:r>
              <w:rPr>
                <w:rFonts w:ascii="Arial" w:cs="Arial" w:eastAsia="Arial" w:hAnsi="Arial"/>
                <w:sz w:val="17"/>
                <w:szCs w:val="17"/>
                <w:color w:val="373535"/>
              </w:rPr>
              <w:t>2,500.8</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288.0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288.0</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Other comprehensive income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58"/>
              <w:spacing w:after="0" w:line="194" w:lineRule="exact"/>
              <w:rPr>
                <w:sz w:val="20"/>
                <w:szCs w:val="20"/>
                <w:color w:val="auto"/>
              </w:rPr>
            </w:pPr>
            <w:r>
              <w:rPr>
                <w:rFonts w:ascii="Arial" w:cs="Arial" w:eastAsia="Arial" w:hAnsi="Arial"/>
                <w:sz w:val="17"/>
                <w:szCs w:val="17"/>
                <w:color w:val="373535"/>
              </w:rPr>
              <w:t>47.8</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47.8</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Issuances under equity plans, including</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180" w:type="dxa"/>
            <w:vAlign w:val="bottom"/>
          </w:tcPr>
          <w:p>
            <w:pPr>
              <w:ind w:left="140"/>
              <w:spacing w:after="0" w:line="194" w:lineRule="exact"/>
              <w:rPr>
                <w:sz w:val="20"/>
                <w:szCs w:val="20"/>
                <w:color w:val="auto"/>
              </w:rPr>
            </w:pPr>
            <w:r>
              <w:rPr>
                <w:rFonts w:ascii="Arial" w:cs="Arial" w:eastAsia="Arial" w:hAnsi="Arial"/>
                <w:sz w:val="17"/>
                <w:szCs w:val="17"/>
                <w:color w:val="373535"/>
              </w:rPr>
              <w:t>tax benefits</w:t>
            </w:r>
          </w:p>
        </w:tc>
        <w:tc>
          <w:tcPr>
            <w:tcW w:w="138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2,471,181</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78"/>
              <w:spacing w:after="0" w:line="194" w:lineRule="exact"/>
              <w:rPr>
                <w:sz w:val="20"/>
                <w:szCs w:val="20"/>
                <w:color w:val="auto"/>
              </w:rPr>
            </w:pPr>
            <w:r>
              <w:rPr>
                <w:rFonts w:ascii="Arial" w:cs="Arial" w:eastAsia="Arial" w:hAnsi="Arial"/>
                <w:sz w:val="17"/>
                <w:szCs w:val="17"/>
                <w:color w:val="373535"/>
              </w:rPr>
              <w:t>109.3</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8.8</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w w:val="98"/>
              </w:rPr>
              <w:t>118.1</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Share-based compensation expense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78"/>
              <w:spacing w:after="0" w:line="194" w:lineRule="exact"/>
              <w:rPr>
                <w:sz w:val="20"/>
                <w:szCs w:val="20"/>
                <w:color w:val="auto"/>
              </w:rPr>
            </w:pPr>
            <w:r>
              <w:rPr>
                <w:rFonts w:ascii="Arial" w:cs="Arial" w:eastAsia="Arial" w:hAnsi="Arial"/>
                <w:sz w:val="17"/>
                <w:szCs w:val="17"/>
                <w:color w:val="373535"/>
              </w:rPr>
              <w:t>31.5</w:t>
            </w: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jc w:val="right"/>
              <w:spacing w:after="0" w:line="194" w:lineRule="exact"/>
              <w:rPr>
                <w:sz w:val="20"/>
                <w:szCs w:val="20"/>
                <w:color w:val="auto"/>
              </w:rPr>
            </w:pPr>
            <w:r>
              <w:rPr>
                <w:rFonts w:ascii="Arial" w:cs="Arial" w:eastAsia="Arial" w:hAnsi="Arial"/>
                <w:sz w:val="17"/>
                <w:szCs w:val="17"/>
                <w:color w:val="373535"/>
              </w:rPr>
              <w:t>31.5</w:t>
            </w:r>
          </w:p>
        </w:tc>
        <w:tc>
          <w:tcPr>
            <w:tcW w:w="100" w:type="dxa"/>
            <w:vAlign w:val="bottom"/>
          </w:tcPr>
          <w:p>
            <w:pPr>
              <w:spacing w:after="0"/>
              <w:rPr>
                <w:sz w:val="16"/>
                <w:szCs w:val="16"/>
                <w:color w:val="auto"/>
              </w:rPr>
            </w:pPr>
          </w:p>
        </w:tc>
      </w:tr>
      <w:tr>
        <w:trPr>
          <w:trHeight w:val="194"/>
        </w:trPr>
        <w:tc>
          <w:tcPr>
            <w:tcW w:w="3200" w:type="dxa"/>
            <w:vAlign w:val="bottom"/>
            <w:gridSpan w:val="2"/>
          </w:tcPr>
          <w:p>
            <w:pPr>
              <w:spacing w:after="0" w:line="194" w:lineRule="exact"/>
              <w:rPr>
                <w:sz w:val="20"/>
                <w:szCs w:val="20"/>
                <w:color w:val="auto"/>
              </w:rPr>
            </w:pPr>
            <w:r>
              <w:rPr>
                <w:rFonts w:ascii="Arial" w:cs="Arial" w:eastAsia="Arial" w:hAnsi="Arial"/>
                <w:sz w:val="17"/>
                <w:szCs w:val="17"/>
                <w:color w:val="373535"/>
              </w:rPr>
              <w:t>Dividends ($0.92 per share)</w:t>
            </w: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jc w:val="right"/>
              <w:spacing w:after="0" w:line="194" w:lineRule="exact"/>
              <w:rPr>
                <w:sz w:val="20"/>
                <w:szCs w:val="20"/>
                <w:color w:val="auto"/>
              </w:rPr>
            </w:pPr>
            <w:r>
              <w:rPr>
                <w:rFonts w:ascii="Arial" w:cs="Arial" w:eastAsia="Arial" w:hAnsi="Arial"/>
                <w:sz w:val="17"/>
                <w:szCs w:val="17"/>
                <w:color w:val="373535"/>
              </w:rPr>
              <w:t>(72.0)</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373535"/>
              </w:rPr>
              <w:t>(72.0)</w:t>
            </w:r>
          </w:p>
        </w:tc>
      </w:tr>
      <w:tr>
        <w:trPr>
          <w:trHeight w:val="186"/>
        </w:trPr>
        <w:tc>
          <w:tcPr>
            <w:tcW w:w="3200" w:type="dxa"/>
            <w:vAlign w:val="bottom"/>
            <w:tcBorders>
              <w:top w:val="single" w:sz="8" w:color="717073"/>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Balance, December 31, 2013</w:t>
            </w:r>
          </w:p>
        </w:tc>
        <w:tc>
          <w:tcPr>
            <w:tcW w:w="1380" w:type="dxa"/>
            <w:vAlign w:val="bottom"/>
            <w:tcBorders>
              <w:top w:val="single" w:sz="8" w:color="717073"/>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112,014,673</w:t>
            </w:r>
          </w:p>
        </w:tc>
        <w:tc>
          <w:tcPr>
            <w:tcW w:w="340" w:type="dxa"/>
            <w:vAlign w:val="bottom"/>
            <w:tcBorders>
              <w:top w:val="single" w:sz="8" w:color="717073"/>
              <w:bottom w:val="single" w:sz="8" w:color="717073"/>
            </w:tcBorders>
          </w:tcPr>
          <w:p>
            <w:pPr>
              <w:jc w:val="right"/>
              <w:ind w:right="40"/>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1.1</w:t>
            </w:r>
          </w:p>
        </w:tc>
        <w:tc>
          <w:tcPr>
            <w:tcW w:w="440" w:type="dxa"/>
            <w:vAlign w:val="bottom"/>
            <w:tcBorders>
              <w:top w:val="single" w:sz="8" w:color="717073"/>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17073"/>
              <w:bottom w:val="single" w:sz="8" w:color="717073"/>
            </w:tcBorders>
          </w:tcPr>
          <w:p>
            <w:pPr>
              <w:jc w:val="right"/>
              <w:ind w:right="78"/>
              <w:spacing w:after="0" w:line="186" w:lineRule="exact"/>
              <w:rPr>
                <w:sz w:val="20"/>
                <w:szCs w:val="20"/>
                <w:color w:val="auto"/>
              </w:rPr>
            </w:pPr>
            <w:r>
              <w:rPr>
                <w:rFonts w:ascii="Arial" w:cs="Arial" w:eastAsia="Arial" w:hAnsi="Arial"/>
                <w:sz w:val="17"/>
                <w:szCs w:val="17"/>
                <w:color w:val="373535"/>
              </w:rPr>
              <w:t>3,014.0</w:t>
            </w:r>
          </w:p>
        </w:tc>
        <w:tc>
          <w:tcPr>
            <w:tcW w:w="300" w:type="dxa"/>
            <w:vAlign w:val="bottom"/>
            <w:tcBorders>
              <w:top w:val="single" w:sz="8" w:color="717073"/>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17073"/>
              <w:bottom w:val="single" w:sz="8" w:color="717073"/>
            </w:tcBorders>
          </w:tcPr>
          <w:p>
            <w:pPr>
              <w:jc w:val="right"/>
              <w:ind w:right="57"/>
              <w:spacing w:after="0" w:line="186" w:lineRule="exact"/>
              <w:rPr>
                <w:sz w:val="20"/>
                <w:szCs w:val="20"/>
                <w:color w:val="auto"/>
              </w:rPr>
            </w:pPr>
            <w:r>
              <w:rPr>
                <w:rFonts w:ascii="Arial" w:cs="Arial" w:eastAsia="Arial" w:hAnsi="Arial"/>
                <w:sz w:val="17"/>
                <w:szCs w:val="17"/>
                <w:color w:val="373535"/>
              </w:rPr>
              <w:t>1,317.5</w:t>
            </w:r>
          </w:p>
        </w:tc>
        <w:tc>
          <w:tcPr>
            <w:tcW w:w="220" w:type="dxa"/>
            <w:vAlign w:val="bottom"/>
            <w:tcBorders>
              <w:top w:val="single" w:sz="8" w:color="717073"/>
              <w:bottom w:val="single" w:sz="8" w:color="717073"/>
            </w:tcBorders>
          </w:tcPr>
          <w:p>
            <w:pPr>
              <w:ind w:left="80"/>
              <w:spacing w:after="0" w:line="186" w:lineRule="exact"/>
              <w:rPr>
                <w:sz w:val="20"/>
                <w:szCs w:val="20"/>
                <w:color w:val="auto"/>
              </w:rPr>
            </w:pPr>
            <w:r>
              <w:rPr>
                <w:rFonts w:ascii="Arial" w:cs="Arial" w:eastAsia="Arial" w:hAnsi="Arial"/>
                <w:sz w:val="17"/>
                <w:szCs w:val="17"/>
                <w:color w:val="373535"/>
              </w:rPr>
              <w:t>$</w:t>
            </w:r>
          </w:p>
        </w:tc>
        <w:tc>
          <w:tcPr>
            <w:tcW w:w="960" w:type="dxa"/>
            <w:vAlign w:val="bottom"/>
            <w:tcBorders>
              <w:top w:val="single" w:sz="8" w:color="717073"/>
              <w:bottom w:val="single" w:sz="8" w:color="717073"/>
            </w:tcBorders>
          </w:tcPr>
          <w:p>
            <w:pPr>
              <w:jc w:val="right"/>
              <w:ind w:right="58"/>
              <w:spacing w:after="0" w:line="186" w:lineRule="exact"/>
              <w:rPr>
                <w:sz w:val="20"/>
                <w:szCs w:val="20"/>
                <w:color w:val="auto"/>
              </w:rPr>
            </w:pPr>
            <w:r>
              <w:rPr>
                <w:rFonts w:ascii="Arial" w:cs="Arial" w:eastAsia="Arial" w:hAnsi="Arial"/>
                <w:sz w:val="17"/>
                <w:szCs w:val="17"/>
                <w:color w:val="373535"/>
              </w:rPr>
              <w:t>82.2</w:t>
            </w:r>
          </w:p>
        </w:tc>
        <w:tc>
          <w:tcPr>
            <w:tcW w:w="26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17073"/>
              <w:bottom w:val="single" w:sz="8" w:color="717073"/>
            </w:tcBorders>
          </w:tcPr>
          <w:p>
            <w:pPr>
              <w:jc w:val="right"/>
              <w:ind w:right="17"/>
              <w:spacing w:after="0" w:line="186" w:lineRule="exact"/>
              <w:rPr>
                <w:sz w:val="20"/>
                <w:szCs w:val="20"/>
                <w:color w:val="auto"/>
              </w:rPr>
            </w:pPr>
            <w:r>
              <w:rPr>
                <w:rFonts w:ascii="Arial" w:cs="Arial" w:eastAsia="Arial" w:hAnsi="Arial"/>
                <w:sz w:val="17"/>
                <w:szCs w:val="17"/>
                <w:color w:val="373535"/>
              </w:rPr>
              <w:t>(1,500.6)</w:t>
            </w:r>
          </w:p>
        </w:tc>
        <w:tc>
          <w:tcPr>
            <w:tcW w:w="280" w:type="dxa"/>
            <w:vAlign w:val="bottom"/>
            <w:tcBorders>
              <w:top w:val="single" w:sz="8" w:color="717073"/>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17073"/>
              <w:bottom w:val="single" w:sz="8" w:color="717073"/>
            </w:tcBorders>
            <w:gridSpan w:val="2"/>
          </w:tcPr>
          <w:p>
            <w:pPr>
              <w:jc w:val="right"/>
              <w:spacing w:after="0" w:line="186" w:lineRule="exact"/>
              <w:rPr>
                <w:sz w:val="20"/>
                <w:szCs w:val="20"/>
                <w:color w:val="auto"/>
              </w:rPr>
            </w:pPr>
            <w:r>
              <w:rPr>
                <w:rFonts w:ascii="Arial" w:cs="Arial" w:eastAsia="Arial" w:hAnsi="Arial"/>
                <w:sz w:val="17"/>
                <w:szCs w:val="17"/>
                <w:color w:val="373535"/>
              </w:rPr>
              <w:t>2,914.2</w:t>
            </w:r>
          </w:p>
        </w:tc>
        <w:tc>
          <w:tcPr>
            <w:tcW w:w="100" w:type="dxa"/>
            <w:vAlign w:val="bottom"/>
          </w:tcPr>
          <w:p>
            <w:pPr>
              <w:spacing w:after="0"/>
              <w:rPr>
                <w:sz w:val="16"/>
                <w:szCs w:val="16"/>
                <w:color w:val="auto"/>
              </w:rPr>
            </w:pPr>
          </w:p>
        </w:tc>
      </w:tr>
      <w:tr>
        <w:trPr>
          <w:trHeight w:val="366"/>
        </w:trPr>
        <w:tc>
          <w:tcPr>
            <w:tcW w:w="8060" w:type="dxa"/>
            <w:vAlign w:val="bottom"/>
            <w:gridSpan w:val="9"/>
          </w:tcPr>
          <w:p>
            <w:pPr>
              <w:spacing w:after="0"/>
              <w:rPr>
                <w:sz w:val="20"/>
                <w:szCs w:val="20"/>
                <w:color w:val="auto"/>
              </w:rPr>
            </w:pPr>
            <w:r>
              <w:rPr>
                <w:rFonts w:ascii="Arial" w:cs="Arial" w:eastAsia="Arial" w:hAnsi="Arial"/>
                <w:sz w:val="17"/>
                <w:szCs w:val="17"/>
                <w:color w:val="373535"/>
              </w:rPr>
              <w:t>The accompanying Notes to Consolidated Financial Statements are an integral part of these statements.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60" w:type="dxa"/>
            <w:vAlign w:val="bottom"/>
            <w:gridSpan w:val="11"/>
          </w:tcPr>
          <w:p>
            <w:pPr>
              <w:ind w:left="380"/>
              <w:spacing w:after="0"/>
              <w:rPr>
                <w:sz w:val="20"/>
                <w:szCs w:val="20"/>
                <w:color w:val="auto"/>
              </w:rPr>
            </w:pPr>
            <w:r>
              <w:rPr>
                <w:rFonts w:ascii="Arial" w:cs="Arial" w:eastAsia="Arial" w:hAnsi="Arial"/>
                <w:sz w:val="14"/>
                <w:szCs w:val="14"/>
                <w:b w:val="1"/>
                <w:bCs w:val="1"/>
                <w:color w:val="777679"/>
                <w:w w:val="98"/>
              </w:rPr>
              <w:t xml:space="preserve">Consolidated Statements of Shareholders’ Equity </w:t>
            </w:r>
            <w:r>
              <w:rPr>
                <w:rFonts w:ascii="Arial" w:cs="Arial" w:eastAsia="Arial" w:hAnsi="Arial"/>
                <w:sz w:val="14"/>
                <w:szCs w:val="14"/>
                <w:color w:val="373535"/>
                <w:w w:val="98"/>
              </w:rPr>
              <w:t>ManpowerGroup 2013 Annual Report</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373535"/>
              </w:rPr>
              <w:t>55</w:t>
            </w:r>
          </w:p>
        </w:tc>
      </w:tr>
      <w:tr>
        <w:trPr>
          <w:trHeight w:val="405"/>
        </w:trPr>
        <w:tc>
          <w:tcPr>
            <w:tcW w:w="20" w:type="dxa"/>
            <w:vAlign w:val="bottom"/>
          </w:tcPr>
          <w:p>
            <w:pPr>
              <w:spacing w:after="0"/>
              <w:rPr>
                <w:sz w:val="24"/>
                <w:szCs w:val="24"/>
                <w:color w:val="auto"/>
              </w:rPr>
            </w:pPr>
          </w:p>
        </w:tc>
        <w:tc>
          <w:tcPr>
            <w:tcW w:w="3180" w:type="dxa"/>
            <w:vAlign w:val="bottom"/>
            <w:tcBorders>
              <w:bottom w:val="single" w:sz="8" w:color="DCDCDC"/>
            </w:tcBorders>
          </w:tcPr>
          <w:p>
            <w:pPr>
              <w:spacing w:after="0"/>
              <w:rPr>
                <w:sz w:val="24"/>
                <w:szCs w:val="24"/>
                <w:color w:val="auto"/>
              </w:rPr>
            </w:pPr>
          </w:p>
        </w:tc>
        <w:tc>
          <w:tcPr>
            <w:tcW w:w="138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70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93" w:name="page94"/>
    <w:bookmarkEnd w:id="93"/>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76AD9A"/>
        </w:rPr>
        <w:t>01.</w:t>
      </w:r>
    </w:p>
    <w:p>
      <w:pPr>
        <w:spacing w:after="0"/>
        <w:rPr>
          <w:sz w:val="20"/>
          <w:szCs w:val="20"/>
          <w:color w:val="auto"/>
        </w:rPr>
      </w:pPr>
      <w:r>
        <w:rPr>
          <w:rFonts w:ascii="Arial" w:cs="Arial" w:eastAsia="Arial" w:hAnsi="Arial"/>
          <w:sz w:val="17"/>
          <w:szCs w:val="17"/>
          <w:color w:val="76AD9A"/>
        </w:rPr>
        <w:t>Summary of Significant Accounting Policies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NATURE OF OPERATIONS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ManpowerGroup Inc. is a world leader in the innovative workforce solutions and services industry. Our global network of over 3,100 offices in 80 countries and territories allows us to meet the needs of our global, multinational and local clients across all major industry segments. Our largest operations, based on revenues, are located in the United States, France, Italy and the United Kingdom. We specialize in permanent, temporary and contract recruitment and assessment; training and development; outsourcing; career management and workforce consulting services. We provide services to a wide variety of clients, none of which individually comprise a significant portion of revenues for us as a whole.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USE OF ESTIMATES</w:t>
      </w:r>
    </w:p>
    <w:p>
      <w:pPr>
        <w:spacing w:after="0" w:line="9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preparation of financial statements in conformity with accounting principles generally accepted in the United States requires us to make estimates and assumptions that affect the reported amounts of assets and liabilities and disclosure of contingent assets and liabilities at the date of the financial statements and the reported amounts of revenues and expenses for the reporting period. Actual results could differ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BASIS OF CONSOLIDATION</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The Consolidated Financial Statements include our operating results and the operating results of all of our subsidiaries. For subsidiaries in which we have an ownership interest of 50% or less, but more than 20%, the Consolidated Financial Statements reflect our ownership share of those earnings using the equity method of accounting. These investments, as well as certain other relationships, are also evaluated for consolidation under the accounting guidance on consolidation of variable interest entities. These investments were $ 140.2 and $85.3 as of December 31, 2013 and 2012, respectively, and are included in other assets in the Consolidated Balance Sheets. Included in shareholders’ equity as of December 31, 2013 and 2012 are $74.4 and $67.2, respectively, of unremitted earnings from investments accounted for using the equity method. All significant intercompany accounts and transactions have been eliminated in consolidation.</w:t>
      </w:r>
    </w:p>
    <w:p>
      <w:pPr>
        <w:spacing w:after="0" w:line="173"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During the third quarter of 2013, we determined that the carrying amount of the equity interest in our Swiss franchise was understated by $37.7 due to an error in recording the currency effect on the investment. We believe that the error was not material to the Consolidated Financial Statements for the year ended December 31, 2013 or the prior period consolidated financial statements. Accordingly, we recorded an adjustment to increase other assets and accumulated other comprehensive income by $37.7 on the Consolidated Balance Sheet effective September 30, 2013 and the impact is included in foreign currency translation adjustments on the Consolidated Statements of Comprehensive Income for the year ended December 31, 2013. There was no impact to the Consolidated Statements of Operations or Consolidated Statements of Cash Flows for any period presented.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REVENUES AND RECEIVABLES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generate revenues from sales of services by our company-owned branch operations and from fees earned on sales of services by our franchise operations. Revenues are recognized as services are performed. The majority of our revenues are generated by our recruitment business, where billings are generally negotiated and invoiced on a per-hour basis. Accordingly, as contingent workers are placed, we record revenues based on the hours worked. Permanent recruitment revenues are recorded as placements are made. Provisions for sales allowances, based on historical experience, are recognized at the time the related sale is recognized.</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Our franchise agreements generally state that franchise fees are calculated based on a percentage of revenues. We record franchise fee revenues monthly based on the amounts due under the franchise agreements for that month. Franchise fees, which are included in revenues from services, were $24.4, $23.9 and $25.2 for the years ended December 31, 2013, 2012 and 2011, respectively.</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our outplacement business, we recognize revenues from individual programs and for large projects over the estimated period in which services are rendered to candidates. In our consulting business, revenues are recognized upon the performance of the service under the consulting service contract. For performance-based contracts, we defer recognizing revenues until the performance criteria have been met.</w:t>
      </w:r>
    </w:p>
    <w:p>
      <w:pPr>
        <w:spacing w:after="0" w:line="144"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373535"/>
        </w:rPr>
        <w:t>56</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4" w:name="page95"/>
    <w:bookmarkEnd w:id="94"/>
    <w:p>
      <w:pPr>
        <w:jc w:val="both"/>
        <w:spacing w:after="0" w:line="241" w:lineRule="auto"/>
        <w:rPr>
          <w:sz w:val="20"/>
          <w:szCs w:val="20"/>
          <w:color w:val="auto"/>
        </w:rPr>
      </w:pPr>
      <w:r>
        <w:rPr>
          <w:rFonts w:ascii="Arial" w:cs="Arial" w:eastAsia="Arial" w:hAnsi="Arial"/>
          <w:sz w:val="17"/>
          <w:szCs w:val="17"/>
          <w:color w:val="373535"/>
        </w:rPr>
        <w:t>The amounts billed for outplacement, consulting services and performance-based contracts in excess of the amount recognized as revenues are recorded as deferred revenue and included in accrued liabilities for the current portion and other long-term liabilities for the long-term portion in our Consolidated Balance Sheets. As of December 31, 2013 and 2012, the current portion of deferred revenue was $48.5 and $55.7, respectively, and the long-term portion of deferred revenue was $10.0 and $17.1, respectively.</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record revenues from sales of services and the related direct costs in accordance with the accounting guidance on reporting revenue gross as a principal versus net as an agent. In situations where we act as a principal in the transaction, we report gross revenues and cost of services. When we act as an agent, we report the revenues on a net basis. Amounts billed to clients for out-of-pocket or other cost reimbursements are included in revenues from services, and the related costs are included in cost of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ALLOWANCE FOR DOUBTFUL ACCOUNTS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have an allowance for doubtful accounts recorded as an estimate of the accounts receivable balance that may not be collected. This allowance is calculated on an entity-by-entity basis with consideration for historical write-off experience, the current aging of receivables and a specific review for potential bad debts. Items that affect this balance mainly include bad debt expense and the write-off of accounts receivable balances.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Bad debt expense is recorded as selling and administrative expenses in our Consolidated Statements of Operations and was $24.1, $ 29.2 and $ 25.9 in 2013, 2012 and 2011, respectively. Factors that would cause this provision to increase primarily relate to increased bankruptcies by our clients and other difficulties collecting amounts billed. On the other hand, an improved write-off experience and aging of receivables would result in a decrease to the provision. Write-offs were $26.4, $23.2 and $25.0 for 2013, 2012 and 2011,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ADVERTISING COSTS</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expense production costs of advertising as they are incurred. Advertising expenses were $22.3, $27.2 and $34.0 in 2013, 2012 and 2011,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RESTRUCTURING COSTS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recorded net restructuring costs of $89.4, $ 48.8 and $23.1 in 2013, 2012 and 2011, respectively, in selling and administrative expenses, primarily related to severances and office closures and consolidations in multiple countries and territories. These expenses are net of reversals of previous accruals resulting mainly from larger-than-estimated cost savings from subleasing and lease buyouts. During 2013, we made payments of $82.4 out of our restructuring reserve. We expect a majority of the remaining $48.4 reserve will be paid or utilized in 2014. Changes in the restructuring liability balances for each reportable segment and Corporate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98"/>
              <w:spacing w:after="0"/>
              <w:rPr>
                <w:sz w:val="20"/>
                <w:szCs w:val="20"/>
                <w:color w:val="auto"/>
              </w:rPr>
            </w:pPr>
            <w:r>
              <w:rPr>
                <w:rFonts w:ascii="Arial" w:cs="Arial" w:eastAsia="Arial" w:hAnsi="Arial"/>
                <w:sz w:val="14"/>
                <w:szCs w:val="14"/>
                <w:color w:val="76AD9A"/>
              </w:rPr>
              <w:t>Southern</w:t>
            </w:r>
          </w:p>
        </w:tc>
        <w:tc>
          <w:tcPr>
            <w:tcW w:w="28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Arial" w:cs="Arial" w:eastAsia="Arial" w:hAnsi="Arial"/>
                <w:sz w:val="14"/>
                <w:szCs w:val="14"/>
                <w:color w:val="76AD9A"/>
              </w:rPr>
              <w:t>Northern</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57"/>
              <w:spacing w:after="0"/>
              <w:rPr>
                <w:sz w:val="20"/>
                <w:szCs w:val="20"/>
                <w:color w:val="auto"/>
              </w:rPr>
            </w:pPr>
            <w:r>
              <w:rPr>
                <w:rFonts w:ascii="Arial" w:cs="Arial" w:eastAsia="Arial" w:hAnsi="Arial"/>
                <w:sz w:val="14"/>
                <w:szCs w:val="14"/>
                <w:color w:val="76AD9A"/>
              </w:rPr>
              <w:t>Right</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jc w:val="right"/>
              <w:spacing w:after="0" w:line="152" w:lineRule="exact"/>
              <w:rPr>
                <w:sz w:val="20"/>
                <w:szCs w:val="20"/>
                <w:color w:val="auto"/>
              </w:rPr>
            </w:pPr>
            <w:r>
              <w:rPr>
                <w:rFonts w:ascii="Arial" w:cs="Arial" w:eastAsia="Arial" w:hAnsi="Arial"/>
                <w:sz w:val="12"/>
                <w:szCs w:val="12"/>
                <w:color w:val="76AD9A"/>
              </w:rPr>
              <w:t>Americas</w:t>
            </w:r>
            <w:r>
              <w:rPr>
                <w:rFonts w:ascii="Arial" w:cs="Arial" w:eastAsia="Arial" w:hAnsi="Arial"/>
                <w:sz w:val="17"/>
                <w:szCs w:val="17"/>
                <w:color w:val="76AD9A"/>
                <w:vertAlign w:val="superscript"/>
              </w:rPr>
              <w:t>(1)</w:t>
            </w:r>
          </w:p>
        </w:tc>
        <w:tc>
          <w:tcPr>
            <w:tcW w:w="280" w:type="dxa"/>
            <w:vAlign w:val="bottom"/>
          </w:tcPr>
          <w:p>
            <w:pPr>
              <w:spacing w:after="0"/>
              <w:rPr>
                <w:sz w:val="13"/>
                <w:szCs w:val="13"/>
                <w:color w:val="auto"/>
              </w:rPr>
            </w:pPr>
          </w:p>
        </w:tc>
        <w:tc>
          <w:tcPr>
            <w:tcW w:w="880" w:type="dxa"/>
            <w:vAlign w:val="bottom"/>
          </w:tcPr>
          <w:p>
            <w:pPr>
              <w:jc w:val="right"/>
              <w:spacing w:after="0" w:line="152" w:lineRule="exact"/>
              <w:rPr>
                <w:sz w:val="20"/>
                <w:szCs w:val="20"/>
                <w:color w:val="auto"/>
              </w:rPr>
            </w:pPr>
            <w:r>
              <w:rPr>
                <w:rFonts w:ascii="Arial" w:cs="Arial" w:eastAsia="Arial" w:hAnsi="Arial"/>
                <w:sz w:val="12"/>
                <w:szCs w:val="12"/>
                <w:color w:val="76AD9A"/>
              </w:rPr>
              <w:t>Europe</w:t>
            </w:r>
            <w:r>
              <w:rPr>
                <w:rFonts w:ascii="Arial" w:cs="Arial" w:eastAsia="Arial" w:hAnsi="Arial"/>
                <w:sz w:val="17"/>
                <w:szCs w:val="17"/>
                <w:color w:val="76AD9A"/>
                <w:vertAlign w:val="superscript"/>
              </w:rPr>
              <w:t>(2)</w:t>
            </w:r>
          </w:p>
        </w:tc>
        <w:tc>
          <w:tcPr>
            <w:tcW w:w="280" w:type="dxa"/>
            <w:vAlign w:val="bottom"/>
          </w:tcPr>
          <w:p>
            <w:pPr>
              <w:spacing w:after="0"/>
              <w:rPr>
                <w:sz w:val="13"/>
                <w:szCs w:val="13"/>
                <w:color w:val="auto"/>
              </w:rPr>
            </w:pPr>
          </w:p>
        </w:tc>
        <w:tc>
          <w:tcPr>
            <w:tcW w:w="840" w:type="dxa"/>
            <w:vAlign w:val="bottom"/>
          </w:tcPr>
          <w:p>
            <w:pPr>
              <w:jc w:val="right"/>
              <w:ind w:right="77"/>
              <w:spacing w:after="0" w:line="152" w:lineRule="exact"/>
              <w:rPr>
                <w:sz w:val="20"/>
                <w:szCs w:val="20"/>
                <w:color w:val="auto"/>
              </w:rPr>
            </w:pPr>
            <w:r>
              <w:rPr>
                <w:rFonts w:ascii="Arial" w:cs="Arial" w:eastAsia="Arial" w:hAnsi="Arial"/>
                <w:sz w:val="14"/>
                <w:szCs w:val="14"/>
                <w:color w:val="76AD9A"/>
              </w:rPr>
              <w:t>Europe</w:t>
            </w:r>
          </w:p>
        </w:tc>
        <w:tc>
          <w:tcPr>
            <w:tcW w:w="380" w:type="dxa"/>
            <w:vAlign w:val="bottom"/>
          </w:tcPr>
          <w:p>
            <w:pPr>
              <w:spacing w:after="0"/>
              <w:rPr>
                <w:sz w:val="13"/>
                <w:szCs w:val="13"/>
                <w:color w:val="auto"/>
              </w:rPr>
            </w:pPr>
          </w:p>
        </w:tc>
        <w:tc>
          <w:tcPr>
            <w:tcW w:w="760" w:type="dxa"/>
            <w:vAlign w:val="bottom"/>
          </w:tcPr>
          <w:p>
            <w:pPr>
              <w:jc w:val="right"/>
              <w:ind w:right="56"/>
              <w:spacing w:after="0" w:line="152" w:lineRule="exact"/>
              <w:rPr>
                <w:sz w:val="20"/>
                <w:szCs w:val="20"/>
                <w:color w:val="auto"/>
              </w:rPr>
            </w:pPr>
            <w:r>
              <w:rPr>
                <w:rFonts w:ascii="Arial" w:cs="Arial" w:eastAsia="Arial" w:hAnsi="Arial"/>
                <w:sz w:val="14"/>
                <w:szCs w:val="14"/>
                <w:color w:val="76AD9A"/>
              </w:rPr>
              <w:t>APME</w:t>
            </w:r>
          </w:p>
        </w:tc>
        <w:tc>
          <w:tcPr>
            <w:tcW w:w="200" w:type="dxa"/>
            <w:vAlign w:val="bottom"/>
          </w:tcPr>
          <w:p>
            <w:pPr>
              <w:spacing w:after="0"/>
              <w:rPr>
                <w:sz w:val="13"/>
                <w:szCs w:val="13"/>
                <w:color w:val="auto"/>
              </w:rPr>
            </w:pPr>
          </w:p>
        </w:tc>
        <w:tc>
          <w:tcPr>
            <w:tcW w:w="940" w:type="dxa"/>
            <w:vAlign w:val="bottom"/>
          </w:tcPr>
          <w:p>
            <w:pPr>
              <w:jc w:val="right"/>
              <w:ind w:right="57"/>
              <w:spacing w:after="0" w:line="152" w:lineRule="exact"/>
              <w:rPr>
                <w:sz w:val="20"/>
                <w:szCs w:val="20"/>
                <w:color w:val="auto"/>
              </w:rPr>
            </w:pPr>
            <w:r>
              <w:rPr>
                <w:rFonts w:ascii="Arial" w:cs="Arial" w:eastAsia="Arial" w:hAnsi="Arial"/>
                <w:sz w:val="14"/>
                <w:szCs w:val="14"/>
                <w:color w:val="76AD9A"/>
                <w:w w:val="95"/>
              </w:rPr>
              <w:t>Management</w:t>
            </w:r>
          </w:p>
        </w:tc>
        <w:tc>
          <w:tcPr>
            <w:tcW w:w="300" w:type="dxa"/>
            <w:vAlign w:val="bottom"/>
          </w:tcPr>
          <w:p>
            <w:pPr>
              <w:spacing w:after="0"/>
              <w:rPr>
                <w:sz w:val="13"/>
                <w:szCs w:val="13"/>
                <w:color w:val="auto"/>
              </w:rPr>
            </w:pPr>
          </w:p>
        </w:tc>
        <w:tc>
          <w:tcPr>
            <w:tcW w:w="860" w:type="dxa"/>
            <w:vAlign w:val="bottom"/>
          </w:tcPr>
          <w:p>
            <w:pPr>
              <w:jc w:val="right"/>
              <w:ind w:right="56"/>
              <w:spacing w:after="0" w:line="152" w:lineRule="exact"/>
              <w:rPr>
                <w:sz w:val="20"/>
                <w:szCs w:val="20"/>
                <w:color w:val="auto"/>
              </w:rPr>
            </w:pPr>
            <w:r>
              <w:rPr>
                <w:rFonts w:ascii="Arial" w:cs="Arial" w:eastAsia="Arial" w:hAnsi="Arial"/>
                <w:sz w:val="14"/>
                <w:szCs w:val="14"/>
                <w:color w:val="76AD9A"/>
              </w:rPr>
              <w:t>Corporate</w:t>
            </w:r>
          </w:p>
        </w:tc>
        <w:tc>
          <w:tcPr>
            <w:tcW w:w="360" w:type="dxa"/>
            <w:vAlign w:val="bottom"/>
          </w:tcPr>
          <w:p>
            <w:pPr>
              <w:spacing w:after="0"/>
              <w:rPr>
                <w:sz w:val="13"/>
                <w:szCs w:val="13"/>
                <w:color w:val="auto"/>
              </w:rPr>
            </w:pPr>
          </w:p>
        </w:tc>
        <w:tc>
          <w:tcPr>
            <w:tcW w:w="660" w:type="dxa"/>
            <w:vAlign w:val="bottom"/>
            <w:gridSpan w:val="2"/>
          </w:tcPr>
          <w:p>
            <w:pPr>
              <w:jc w:val="right"/>
              <w:ind w:right="60"/>
              <w:spacing w:after="0" w:line="152" w:lineRule="exact"/>
              <w:rPr>
                <w:sz w:val="20"/>
                <w:szCs w:val="20"/>
                <w:color w:val="auto"/>
              </w:rPr>
            </w:pPr>
            <w:r>
              <w:rPr>
                <w:rFonts w:ascii="Arial" w:cs="Arial" w:eastAsia="Arial" w:hAnsi="Arial"/>
                <w:sz w:val="14"/>
                <w:szCs w:val="14"/>
                <w:color w:val="76AD9A"/>
              </w:rPr>
              <w:t>Total</w:t>
            </w:r>
          </w:p>
        </w:tc>
      </w:tr>
      <w:tr>
        <w:trPr>
          <w:trHeight w:val="186"/>
        </w:trPr>
        <w:tc>
          <w:tcPr>
            <w:tcW w:w="20" w:type="dxa"/>
            <w:vAlign w:val="bottom"/>
          </w:tcPr>
          <w:p>
            <w:pPr>
              <w:spacing w:after="0"/>
              <w:rPr>
                <w:sz w:val="16"/>
                <w:szCs w:val="16"/>
                <w:color w:val="auto"/>
              </w:rPr>
            </w:pPr>
          </w:p>
        </w:tc>
        <w:tc>
          <w:tcPr>
            <w:tcW w:w="28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Balance, January 1, 2012</w:t>
            </w:r>
          </w:p>
        </w:tc>
        <w:tc>
          <w:tcPr>
            <w:tcW w:w="880" w:type="dxa"/>
            <w:vAlign w:val="bottom"/>
            <w:tcBorders>
              <w:top w:val="single" w:sz="8" w:color="76AD9A"/>
            </w:tcBorders>
          </w:tcPr>
          <w:p>
            <w:pPr>
              <w:jc w:val="right"/>
              <w:ind w:right="54"/>
              <w:spacing w:after="0" w:line="185"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6AD9A"/>
            </w:tcBorders>
          </w:tcPr>
          <w:p>
            <w:pPr>
              <w:jc w:val="right"/>
              <w:ind w:right="96"/>
              <w:spacing w:after="0" w:line="185" w:lineRule="exact"/>
              <w:rPr>
                <w:sz w:val="20"/>
                <w:szCs w:val="20"/>
                <w:color w:val="auto"/>
              </w:rPr>
            </w:pPr>
            <w:r>
              <w:rPr>
                <w:rFonts w:ascii="Arial" w:cs="Arial" w:eastAsia="Arial" w:hAnsi="Arial"/>
                <w:sz w:val="17"/>
                <w:szCs w:val="17"/>
                <w:color w:val="373535"/>
              </w:rPr>
              <w:t>4.0</w:t>
            </w:r>
          </w:p>
        </w:tc>
        <w:tc>
          <w:tcPr>
            <w:tcW w:w="28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880" w:type="dxa"/>
            <w:vAlign w:val="bottom"/>
            <w:tcBorders>
              <w:top w:val="single" w:sz="8" w:color="76AD9A"/>
            </w:tcBorders>
          </w:tcPr>
          <w:p>
            <w:pPr>
              <w:jc w:val="right"/>
              <w:ind w:right="98"/>
              <w:spacing w:after="0" w:line="185" w:lineRule="exact"/>
              <w:rPr>
                <w:sz w:val="20"/>
                <w:szCs w:val="20"/>
                <w:color w:val="auto"/>
              </w:rPr>
            </w:pPr>
            <w:r>
              <w:rPr>
                <w:rFonts w:ascii="Arial" w:cs="Arial" w:eastAsia="Arial" w:hAnsi="Arial"/>
                <w:sz w:val="17"/>
                <w:szCs w:val="17"/>
                <w:color w:val="373535"/>
              </w:rPr>
              <w:t>4.2</w:t>
            </w:r>
          </w:p>
        </w:tc>
        <w:tc>
          <w:tcPr>
            <w:tcW w:w="280" w:type="dxa"/>
            <w:vAlign w:val="bottom"/>
            <w:tcBorders>
              <w:top w:val="single" w:sz="8" w:color="76AD9A"/>
            </w:tcBorders>
          </w:tcPr>
          <w:p>
            <w:pPr>
              <w:jc w:val="right"/>
              <w:ind w:right="54"/>
              <w:spacing w:after="0" w:line="185"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6AD9A"/>
            </w:tcBorders>
          </w:tcPr>
          <w:p>
            <w:pPr>
              <w:jc w:val="right"/>
              <w:ind w:right="77"/>
              <w:spacing w:after="0" w:line="185" w:lineRule="exact"/>
              <w:rPr>
                <w:sz w:val="20"/>
                <w:szCs w:val="20"/>
                <w:color w:val="auto"/>
              </w:rPr>
            </w:pPr>
            <w:r>
              <w:rPr>
                <w:rFonts w:ascii="Arial" w:cs="Arial" w:eastAsia="Arial" w:hAnsi="Arial"/>
                <w:sz w:val="17"/>
                <w:szCs w:val="17"/>
                <w:color w:val="373535"/>
              </w:rPr>
              <w:t>11.8</w:t>
            </w:r>
          </w:p>
        </w:tc>
        <w:tc>
          <w:tcPr>
            <w:tcW w:w="380" w:type="dxa"/>
            <w:vAlign w:val="bottom"/>
            <w:tcBorders>
              <w:top w:val="single" w:sz="8" w:color="76AD9A"/>
            </w:tcBorders>
          </w:tcPr>
          <w:p>
            <w:pPr>
              <w:jc w:val="right"/>
              <w:ind w:right="114"/>
              <w:spacing w:after="0" w:line="185" w:lineRule="exact"/>
              <w:rPr>
                <w:sz w:val="20"/>
                <w:szCs w:val="20"/>
                <w:color w:val="auto"/>
              </w:rPr>
            </w:pPr>
            <w:r>
              <w:rPr>
                <w:rFonts w:ascii="Arial" w:cs="Arial" w:eastAsia="Arial" w:hAnsi="Arial"/>
                <w:sz w:val="17"/>
                <w:szCs w:val="17"/>
                <w:color w:val="373535"/>
              </w:rPr>
              <w:t>$</w:t>
            </w:r>
          </w:p>
        </w:tc>
        <w:tc>
          <w:tcPr>
            <w:tcW w:w="760" w:type="dxa"/>
            <w:vAlign w:val="bottom"/>
            <w:tcBorders>
              <w:top w:val="single" w:sz="8" w:color="76AD9A"/>
            </w:tcBorders>
          </w:tcPr>
          <w:p>
            <w:pPr>
              <w:jc w:val="right"/>
              <w:ind w:right="56"/>
              <w:spacing w:after="0" w:line="185" w:lineRule="exact"/>
              <w:rPr>
                <w:sz w:val="20"/>
                <w:szCs w:val="20"/>
                <w:color w:val="auto"/>
              </w:rPr>
            </w:pPr>
            <w:r>
              <w:rPr>
                <w:rFonts w:ascii="Arial" w:cs="Arial" w:eastAsia="Arial" w:hAnsi="Arial"/>
                <w:sz w:val="17"/>
                <w:szCs w:val="17"/>
                <w:color w:val="373535"/>
              </w:rPr>
              <w:t>1.2</w:t>
            </w:r>
          </w:p>
        </w:tc>
        <w:tc>
          <w:tcPr>
            <w:tcW w:w="20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6AD9A"/>
            </w:tcBorders>
          </w:tcPr>
          <w:p>
            <w:pPr>
              <w:jc w:val="right"/>
              <w:ind w:right="57"/>
              <w:spacing w:after="0" w:line="185" w:lineRule="exact"/>
              <w:rPr>
                <w:sz w:val="20"/>
                <w:szCs w:val="20"/>
                <w:color w:val="auto"/>
              </w:rPr>
            </w:pPr>
            <w:r>
              <w:rPr>
                <w:rFonts w:ascii="Arial" w:cs="Arial" w:eastAsia="Arial" w:hAnsi="Arial"/>
                <w:sz w:val="17"/>
                <w:szCs w:val="17"/>
                <w:color w:val="373535"/>
              </w:rPr>
              <w:t>8.2</w:t>
            </w:r>
          </w:p>
        </w:tc>
        <w:tc>
          <w:tcPr>
            <w:tcW w:w="300" w:type="dxa"/>
            <w:vAlign w:val="bottom"/>
            <w:tcBorders>
              <w:top w:val="single" w:sz="8" w:color="76AD9A"/>
            </w:tcBorders>
          </w:tcPr>
          <w:p>
            <w:pPr>
              <w:jc w:val="right"/>
              <w:ind w:right="14"/>
              <w:spacing w:after="0" w:line="185"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6AD9A"/>
            </w:tcBorders>
          </w:tcPr>
          <w:p>
            <w:pPr>
              <w:jc w:val="right"/>
              <w:ind w:right="56"/>
              <w:spacing w:after="0" w:line="185" w:lineRule="exact"/>
              <w:rPr>
                <w:sz w:val="20"/>
                <w:szCs w:val="20"/>
                <w:color w:val="auto"/>
              </w:rPr>
            </w:pPr>
            <w:r>
              <w:rPr>
                <w:rFonts w:ascii="Arial" w:cs="Arial" w:eastAsia="Arial" w:hAnsi="Arial"/>
                <w:sz w:val="17"/>
                <w:szCs w:val="17"/>
                <w:color w:val="373535"/>
              </w:rPr>
              <w:t>—</w:t>
            </w:r>
          </w:p>
        </w:tc>
        <w:tc>
          <w:tcPr>
            <w:tcW w:w="360" w:type="dxa"/>
            <w:vAlign w:val="bottom"/>
            <w:tcBorders>
              <w:top w:val="single" w:sz="8" w:color="76AD9A"/>
            </w:tcBorders>
          </w:tcPr>
          <w:p>
            <w:pPr>
              <w:jc w:val="right"/>
              <w:ind w:right="114"/>
              <w:spacing w:after="0" w:line="185" w:lineRule="exact"/>
              <w:rPr>
                <w:sz w:val="20"/>
                <w:szCs w:val="20"/>
                <w:color w:val="auto"/>
              </w:rPr>
            </w:pPr>
            <w:r>
              <w:rPr>
                <w:rFonts w:ascii="Arial" w:cs="Arial" w:eastAsia="Arial" w:hAnsi="Arial"/>
                <w:sz w:val="17"/>
                <w:szCs w:val="17"/>
                <w:color w:val="373535"/>
              </w:rPr>
              <w:t>$</w:t>
            </w:r>
          </w:p>
        </w:tc>
        <w:tc>
          <w:tcPr>
            <w:tcW w:w="60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29.4</w:t>
            </w:r>
          </w:p>
        </w:tc>
        <w:tc>
          <w:tcPr>
            <w:tcW w:w="60" w:type="dxa"/>
            <w:vAlign w:val="bottom"/>
          </w:tcPr>
          <w:p>
            <w:pPr>
              <w:spacing w:after="0"/>
              <w:rPr>
                <w:sz w:val="16"/>
                <w:szCs w:val="16"/>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7"/>
                <w:szCs w:val="17"/>
                <w:color w:val="373535"/>
              </w:rPr>
              <w:t>Severance costs, net</w:t>
            </w:r>
          </w:p>
        </w:tc>
        <w:tc>
          <w:tcPr>
            <w:tcW w:w="880" w:type="dxa"/>
            <w:vAlign w:val="bottom"/>
          </w:tcPr>
          <w:p>
            <w:pPr>
              <w:spacing w:after="0"/>
              <w:rPr>
                <w:sz w:val="16"/>
                <w:szCs w:val="16"/>
                <w:color w:val="auto"/>
              </w:rPr>
            </w:pPr>
          </w:p>
        </w:tc>
        <w:tc>
          <w:tcPr>
            <w:tcW w:w="86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5.8</w:t>
            </w:r>
          </w:p>
        </w:tc>
        <w:tc>
          <w:tcPr>
            <w:tcW w:w="280" w:type="dxa"/>
            <w:vAlign w:val="bottom"/>
          </w:tcPr>
          <w:p>
            <w:pPr>
              <w:spacing w:after="0"/>
              <w:rPr>
                <w:sz w:val="16"/>
                <w:szCs w:val="16"/>
                <w:color w:val="auto"/>
              </w:rPr>
            </w:pPr>
          </w:p>
        </w:tc>
        <w:tc>
          <w:tcPr>
            <w:tcW w:w="880" w:type="dxa"/>
            <w:vAlign w:val="bottom"/>
          </w:tcPr>
          <w:p>
            <w:pPr>
              <w:jc w:val="right"/>
              <w:ind w:right="98"/>
              <w:spacing w:after="0" w:line="194" w:lineRule="exact"/>
              <w:rPr>
                <w:sz w:val="20"/>
                <w:szCs w:val="20"/>
                <w:color w:val="auto"/>
              </w:rPr>
            </w:pPr>
            <w:r>
              <w:rPr>
                <w:rFonts w:ascii="Arial" w:cs="Arial" w:eastAsia="Arial" w:hAnsi="Arial"/>
                <w:sz w:val="17"/>
                <w:szCs w:val="17"/>
                <w:color w:val="373535"/>
              </w:rPr>
              <w:t>2.1</w:t>
            </w:r>
          </w:p>
        </w:tc>
        <w:tc>
          <w:tcPr>
            <w:tcW w:w="280" w:type="dxa"/>
            <w:vAlign w:val="bottom"/>
          </w:tcPr>
          <w:p>
            <w:pPr>
              <w:spacing w:after="0"/>
              <w:rPr>
                <w:sz w:val="16"/>
                <w:szCs w:val="16"/>
                <w:color w:val="auto"/>
              </w:rPr>
            </w:pPr>
          </w:p>
        </w:tc>
        <w:tc>
          <w:tcPr>
            <w:tcW w:w="840" w:type="dxa"/>
            <w:vAlign w:val="bottom"/>
          </w:tcPr>
          <w:p>
            <w:pPr>
              <w:jc w:val="right"/>
              <w:ind w:right="77"/>
              <w:spacing w:after="0" w:line="194" w:lineRule="exact"/>
              <w:rPr>
                <w:sz w:val="20"/>
                <w:szCs w:val="20"/>
                <w:color w:val="auto"/>
              </w:rPr>
            </w:pPr>
            <w:r>
              <w:rPr>
                <w:rFonts w:ascii="Arial" w:cs="Arial" w:eastAsia="Arial" w:hAnsi="Arial"/>
                <w:sz w:val="17"/>
                <w:szCs w:val="17"/>
                <w:color w:val="373535"/>
              </w:rPr>
              <w:t>8.3</w:t>
            </w:r>
          </w:p>
        </w:tc>
        <w:tc>
          <w:tcPr>
            <w:tcW w:w="380" w:type="dxa"/>
            <w:vAlign w:val="bottom"/>
          </w:tcPr>
          <w:p>
            <w:pPr>
              <w:spacing w:after="0"/>
              <w:rPr>
                <w:sz w:val="16"/>
                <w:szCs w:val="16"/>
                <w:color w:val="auto"/>
              </w:rPr>
            </w:pPr>
          </w:p>
        </w:tc>
        <w:tc>
          <w:tcPr>
            <w:tcW w:w="7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0.7</w:t>
            </w:r>
          </w:p>
        </w:tc>
        <w:tc>
          <w:tcPr>
            <w:tcW w:w="200" w:type="dxa"/>
            <w:vAlign w:val="bottom"/>
          </w:tcPr>
          <w:p>
            <w:pPr>
              <w:spacing w:after="0"/>
              <w:rPr>
                <w:sz w:val="16"/>
                <w:szCs w:val="16"/>
                <w:color w:val="auto"/>
              </w:rPr>
            </w:pPr>
          </w:p>
        </w:tc>
        <w:tc>
          <w:tcPr>
            <w:tcW w:w="94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3.1</w:t>
            </w:r>
          </w:p>
        </w:tc>
        <w:tc>
          <w:tcPr>
            <w:tcW w:w="300" w:type="dxa"/>
            <w:vAlign w:val="bottom"/>
          </w:tcPr>
          <w:p>
            <w:pPr>
              <w:spacing w:after="0"/>
              <w:rPr>
                <w:sz w:val="16"/>
                <w:szCs w:val="16"/>
                <w:color w:val="auto"/>
              </w:rPr>
            </w:pPr>
          </w:p>
        </w:tc>
        <w:tc>
          <w:tcPr>
            <w:tcW w:w="8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9.2</w:t>
            </w:r>
          </w:p>
        </w:tc>
        <w:tc>
          <w:tcPr>
            <w:tcW w:w="36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29.2</w:t>
            </w:r>
          </w:p>
        </w:tc>
        <w:tc>
          <w:tcPr>
            <w:tcW w:w="60" w:type="dxa"/>
            <w:vAlign w:val="bottom"/>
          </w:tcPr>
          <w:p>
            <w:pPr>
              <w:spacing w:after="0"/>
              <w:rPr>
                <w:sz w:val="16"/>
                <w:szCs w:val="16"/>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7"/>
                <w:szCs w:val="17"/>
                <w:color w:val="373535"/>
              </w:rPr>
              <w:t>Office closure costs, net</w:t>
            </w:r>
          </w:p>
        </w:tc>
        <w:tc>
          <w:tcPr>
            <w:tcW w:w="880" w:type="dxa"/>
            <w:vAlign w:val="bottom"/>
          </w:tcPr>
          <w:p>
            <w:pPr>
              <w:spacing w:after="0"/>
              <w:rPr>
                <w:sz w:val="16"/>
                <w:szCs w:val="16"/>
                <w:color w:val="auto"/>
              </w:rPr>
            </w:pPr>
          </w:p>
        </w:tc>
        <w:tc>
          <w:tcPr>
            <w:tcW w:w="86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4.0</w:t>
            </w:r>
          </w:p>
        </w:tc>
        <w:tc>
          <w:tcPr>
            <w:tcW w:w="280" w:type="dxa"/>
            <w:vAlign w:val="bottom"/>
          </w:tcPr>
          <w:p>
            <w:pPr>
              <w:spacing w:after="0"/>
              <w:rPr>
                <w:sz w:val="16"/>
                <w:szCs w:val="16"/>
                <w:color w:val="auto"/>
              </w:rPr>
            </w:pPr>
          </w:p>
        </w:tc>
        <w:tc>
          <w:tcPr>
            <w:tcW w:w="880" w:type="dxa"/>
            <w:vAlign w:val="bottom"/>
          </w:tcPr>
          <w:p>
            <w:pPr>
              <w:jc w:val="right"/>
              <w:ind w:right="98"/>
              <w:spacing w:after="0" w:line="194" w:lineRule="exact"/>
              <w:rPr>
                <w:sz w:val="20"/>
                <w:szCs w:val="20"/>
                <w:color w:val="auto"/>
              </w:rPr>
            </w:pPr>
            <w:r>
              <w:rPr>
                <w:rFonts w:ascii="Arial" w:cs="Arial" w:eastAsia="Arial" w:hAnsi="Arial"/>
                <w:sz w:val="17"/>
                <w:szCs w:val="17"/>
                <w:color w:val="373535"/>
              </w:rPr>
              <w:t>1.7</w:t>
            </w:r>
          </w:p>
        </w:tc>
        <w:tc>
          <w:tcPr>
            <w:tcW w:w="280" w:type="dxa"/>
            <w:vAlign w:val="bottom"/>
          </w:tcPr>
          <w:p>
            <w:pPr>
              <w:spacing w:after="0"/>
              <w:rPr>
                <w:sz w:val="16"/>
                <w:szCs w:val="16"/>
                <w:color w:val="auto"/>
              </w:rPr>
            </w:pPr>
          </w:p>
        </w:tc>
        <w:tc>
          <w:tcPr>
            <w:tcW w:w="840" w:type="dxa"/>
            <w:vAlign w:val="bottom"/>
          </w:tcPr>
          <w:p>
            <w:pPr>
              <w:jc w:val="right"/>
              <w:ind w:right="77"/>
              <w:spacing w:after="0" w:line="194" w:lineRule="exact"/>
              <w:rPr>
                <w:sz w:val="20"/>
                <w:szCs w:val="20"/>
                <w:color w:val="auto"/>
              </w:rPr>
            </w:pPr>
            <w:r>
              <w:rPr>
                <w:rFonts w:ascii="Arial" w:cs="Arial" w:eastAsia="Arial" w:hAnsi="Arial"/>
                <w:sz w:val="17"/>
                <w:szCs w:val="17"/>
                <w:color w:val="373535"/>
              </w:rPr>
              <w:t>4.9</w:t>
            </w:r>
          </w:p>
        </w:tc>
        <w:tc>
          <w:tcPr>
            <w:tcW w:w="380" w:type="dxa"/>
            <w:vAlign w:val="bottom"/>
          </w:tcPr>
          <w:p>
            <w:pPr>
              <w:spacing w:after="0"/>
              <w:rPr>
                <w:sz w:val="16"/>
                <w:szCs w:val="16"/>
                <w:color w:val="auto"/>
              </w:rPr>
            </w:pPr>
          </w:p>
        </w:tc>
        <w:tc>
          <w:tcPr>
            <w:tcW w:w="7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w:t>
            </w:r>
          </w:p>
        </w:tc>
        <w:tc>
          <w:tcPr>
            <w:tcW w:w="200" w:type="dxa"/>
            <w:vAlign w:val="bottom"/>
          </w:tcPr>
          <w:p>
            <w:pPr>
              <w:spacing w:after="0"/>
              <w:rPr>
                <w:sz w:val="16"/>
                <w:szCs w:val="16"/>
                <w:color w:val="auto"/>
              </w:rPr>
            </w:pPr>
          </w:p>
        </w:tc>
        <w:tc>
          <w:tcPr>
            <w:tcW w:w="94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7.8</w:t>
            </w:r>
          </w:p>
        </w:tc>
        <w:tc>
          <w:tcPr>
            <w:tcW w:w="300" w:type="dxa"/>
            <w:vAlign w:val="bottom"/>
          </w:tcPr>
          <w:p>
            <w:pPr>
              <w:spacing w:after="0"/>
              <w:rPr>
                <w:sz w:val="16"/>
                <w:szCs w:val="16"/>
                <w:color w:val="auto"/>
              </w:rPr>
            </w:pPr>
          </w:p>
        </w:tc>
        <w:tc>
          <w:tcPr>
            <w:tcW w:w="8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1.2</w:t>
            </w:r>
          </w:p>
        </w:tc>
        <w:tc>
          <w:tcPr>
            <w:tcW w:w="36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19.6</w:t>
            </w:r>
          </w:p>
        </w:tc>
        <w:tc>
          <w:tcPr>
            <w:tcW w:w="60" w:type="dxa"/>
            <w:vAlign w:val="bottom"/>
          </w:tcPr>
          <w:p>
            <w:pPr>
              <w:spacing w:after="0"/>
              <w:rPr>
                <w:sz w:val="16"/>
                <w:szCs w:val="16"/>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7"/>
                <w:szCs w:val="17"/>
                <w:color w:val="373535"/>
              </w:rPr>
              <w:t>Costs paid or utilized</w:t>
            </w:r>
          </w:p>
        </w:tc>
        <w:tc>
          <w:tcPr>
            <w:tcW w:w="880" w:type="dxa"/>
            <w:vAlign w:val="bottom"/>
          </w:tcPr>
          <w:p>
            <w:pPr>
              <w:spacing w:after="0"/>
              <w:rPr>
                <w:sz w:val="16"/>
                <w:szCs w:val="16"/>
                <w:color w:val="auto"/>
              </w:rPr>
            </w:pPr>
          </w:p>
        </w:tc>
        <w:tc>
          <w:tcPr>
            <w:tcW w:w="86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(9.3)</w:t>
            </w:r>
          </w:p>
        </w:tc>
        <w:tc>
          <w:tcPr>
            <w:tcW w:w="280" w:type="dxa"/>
            <w:vAlign w:val="bottom"/>
          </w:tcPr>
          <w:p>
            <w:pPr>
              <w:spacing w:after="0"/>
              <w:rPr>
                <w:sz w:val="16"/>
                <w:szCs w:val="16"/>
                <w:color w:val="auto"/>
              </w:rPr>
            </w:pPr>
          </w:p>
        </w:tc>
        <w:tc>
          <w:tcPr>
            <w:tcW w:w="880" w:type="dxa"/>
            <w:vAlign w:val="bottom"/>
          </w:tcPr>
          <w:p>
            <w:pPr>
              <w:jc w:val="right"/>
              <w:ind w:right="38"/>
              <w:spacing w:after="0" w:line="194" w:lineRule="exact"/>
              <w:rPr>
                <w:sz w:val="20"/>
                <w:szCs w:val="20"/>
                <w:color w:val="auto"/>
              </w:rPr>
            </w:pPr>
            <w:r>
              <w:rPr>
                <w:rFonts w:ascii="Arial" w:cs="Arial" w:eastAsia="Arial" w:hAnsi="Arial"/>
                <w:sz w:val="17"/>
                <w:szCs w:val="17"/>
                <w:color w:val="373535"/>
              </w:rPr>
              <w:t>(3.3)</w:t>
            </w:r>
          </w:p>
        </w:tc>
        <w:tc>
          <w:tcPr>
            <w:tcW w:w="280" w:type="dxa"/>
            <w:vAlign w:val="bottom"/>
          </w:tcPr>
          <w:p>
            <w:pPr>
              <w:spacing w:after="0"/>
              <w:rPr>
                <w:sz w:val="16"/>
                <w:szCs w:val="16"/>
                <w:color w:val="auto"/>
              </w:rPr>
            </w:pPr>
          </w:p>
        </w:tc>
        <w:tc>
          <w:tcPr>
            <w:tcW w:w="840" w:type="dxa"/>
            <w:vAlign w:val="bottom"/>
          </w:tcPr>
          <w:p>
            <w:pPr>
              <w:jc w:val="right"/>
              <w:ind w:right="17"/>
              <w:spacing w:after="0" w:line="194" w:lineRule="exact"/>
              <w:rPr>
                <w:sz w:val="20"/>
                <w:szCs w:val="20"/>
                <w:color w:val="auto"/>
              </w:rPr>
            </w:pPr>
            <w:r>
              <w:rPr>
                <w:rFonts w:ascii="Arial" w:cs="Arial" w:eastAsia="Arial" w:hAnsi="Arial"/>
                <w:sz w:val="17"/>
                <w:szCs w:val="17"/>
                <w:color w:val="373535"/>
              </w:rPr>
              <w:t>(9.4)</w:t>
            </w:r>
          </w:p>
        </w:tc>
        <w:tc>
          <w:tcPr>
            <w:tcW w:w="3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373535"/>
              </w:rPr>
              <w:t>(1.9)</w:t>
            </w:r>
          </w:p>
        </w:tc>
        <w:tc>
          <w:tcPr>
            <w:tcW w:w="20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(12.5)</w:t>
            </w:r>
          </w:p>
        </w:tc>
        <w:tc>
          <w:tcPr>
            <w:tcW w:w="300" w:type="dxa"/>
            <w:vAlign w:val="bottom"/>
          </w:tcPr>
          <w:p>
            <w:pPr>
              <w:spacing w:after="0"/>
              <w:rPr>
                <w:sz w:val="16"/>
                <w:szCs w:val="16"/>
                <w:color w:val="auto"/>
              </w:rPr>
            </w:pPr>
          </w:p>
        </w:tc>
        <w:tc>
          <w:tcPr>
            <w:tcW w:w="86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(0.4)</w:t>
            </w:r>
          </w:p>
        </w:tc>
        <w:tc>
          <w:tcPr>
            <w:tcW w:w="360" w:type="dxa"/>
            <w:vAlign w:val="bottom"/>
          </w:tcPr>
          <w:p>
            <w:pPr>
              <w:spacing w:after="0"/>
              <w:rPr>
                <w:sz w:val="16"/>
                <w:szCs w:val="16"/>
                <w:color w:val="auto"/>
              </w:rPr>
            </w:pPr>
          </w:p>
        </w:tc>
        <w:tc>
          <w:tcPr>
            <w:tcW w:w="66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(36.8)</w:t>
            </w:r>
          </w:p>
        </w:tc>
      </w:tr>
      <w:tr>
        <w:trPr>
          <w:trHeight w:val="186"/>
        </w:trPr>
        <w:tc>
          <w:tcPr>
            <w:tcW w:w="2900" w:type="dxa"/>
            <w:vAlign w:val="bottom"/>
            <w:tcBorders>
              <w:top w:val="single" w:sz="8" w:color="717073"/>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Balance, December 31, 2012</w:t>
            </w:r>
          </w:p>
        </w:tc>
        <w:tc>
          <w:tcPr>
            <w:tcW w:w="880" w:type="dxa"/>
            <w:vAlign w:val="bottom"/>
            <w:tcBorders>
              <w:top w:val="single" w:sz="8" w:color="717073"/>
              <w:bottom w:val="single" w:sz="8" w:color="717073"/>
            </w:tcBorders>
          </w:tcPr>
          <w:p>
            <w:pPr>
              <w:spacing w:after="0"/>
              <w:rPr>
                <w:sz w:val="16"/>
                <w:szCs w:val="16"/>
                <w:color w:val="auto"/>
              </w:rPr>
            </w:pPr>
          </w:p>
        </w:tc>
        <w:tc>
          <w:tcPr>
            <w:tcW w:w="860" w:type="dxa"/>
            <w:vAlign w:val="bottom"/>
            <w:tcBorders>
              <w:top w:val="single" w:sz="8" w:color="717073"/>
              <w:bottom w:val="single" w:sz="8" w:color="717073"/>
            </w:tcBorders>
          </w:tcPr>
          <w:p>
            <w:pPr>
              <w:jc w:val="right"/>
              <w:ind w:right="96"/>
              <w:spacing w:after="0" w:line="186" w:lineRule="exact"/>
              <w:rPr>
                <w:sz w:val="20"/>
                <w:szCs w:val="20"/>
                <w:color w:val="auto"/>
              </w:rPr>
            </w:pPr>
            <w:r>
              <w:rPr>
                <w:rFonts w:ascii="Arial" w:cs="Arial" w:eastAsia="Arial" w:hAnsi="Arial"/>
                <w:sz w:val="17"/>
                <w:szCs w:val="17"/>
                <w:color w:val="373535"/>
              </w:rPr>
              <w:t>4.5</w:t>
            </w:r>
          </w:p>
        </w:tc>
        <w:tc>
          <w:tcPr>
            <w:tcW w:w="280" w:type="dxa"/>
            <w:vAlign w:val="bottom"/>
            <w:tcBorders>
              <w:top w:val="single" w:sz="8" w:color="717073"/>
              <w:bottom w:val="single" w:sz="8" w:color="717073"/>
            </w:tcBorders>
          </w:tcPr>
          <w:p>
            <w:pPr>
              <w:spacing w:after="0"/>
              <w:rPr>
                <w:sz w:val="16"/>
                <w:szCs w:val="16"/>
                <w:color w:val="auto"/>
              </w:rPr>
            </w:pPr>
          </w:p>
        </w:tc>
        <w:tc>
          <w:tcPr>
            <w:tcW w:w="880" w:type="dxa"/>
            <w:vAlign w:val="bottom"/>
            <w:tcBorders>
              <w:top w:val="single" w:sz="8" w:color="717073"/>
              <w:bottom w:val="single" w:sz="8" w:color="717073"/>
            </w:tcBorders>
          </w:tcPr>
          <w:p>
            <w:pPr>
              <w:jc w:val="right"/>
              <w:ind w:right="98"/>
              <w:spacing w:after="0" w:line="186" w:lineRule="exact"/>
              <w:rPr>
                <w:sz w:val="20"/>
                <w:szCs w:val="20"/>
                <w:color w:val="auto"/>
              </w:rPr>
            </w:pPr>
            <w:r>
              <w:rPr>
                <w:rFonts w:ascii="Arial" w:cs="Arial" w:eastAsia="Arial" w:hAnsi="Arial"/>
                <w:sz w:val="17"/>
                <w:szCs w:val="17"/>
                <w:color w:val="373535"/>
              </w:rPr>
              <w:t>4.7</w:t>
            </w:r>
          </w:p>
        </w:tc>
        <w:tc>
          <w:tcPr>
            <w:tcW w:w="280" w:type="dxa"/>
            <w:vAlign w:val="bottom"/>
            <w:tcBorders>
              <w:top w:val="single" w:sz="8" w:color="717073"/>
              <w:bottom w:val="single" w:sz="8" w:color="717073"/>
            </w:tcBorders>
          </w:tcPr>
          <w:p>
            <w:pPr>
              <w:spacing w:after="0"/>
              <w:rPr>
                <w:sz w:val="16"/>
                <w:szCs w:val="16"/>
                <w:color w:val="auto"/>
              </w:rPr>
            </w:pPr>
          </w:p>
        </w:tc>
        <w:tc>
          <w:tcPr>
            <w:tcW w:w="840" w:type="dxa"/>
            <w:vAlign w:val="bottom"/>
            <w:tcBorders>
              <w:top w:val="single" w:sz="8" w:color="717073"/>
              <w:bottom w:val="single" w:sz="8" w:color="717073"/>
            </w:tcBorders>
          </w:tcPr>
          <w:p>
            <w:pPr>
              <w:jc w:val="right"/>
              <w:ind w:right="77"/>
              <w:spacing w:after="0" w:line="186" w:lineRule="exact"/>
              <w:rPr>
                <w:sz w:val="20"/>
                <w:szCs w:val="20"/>
                <w:color w:val="auto"/>
              </w:rPr>
            </w:pPr>
            <w:r>
              <w:rPr>
                <w:rFonts w:ascii="Arial" w:cs="Arial" w:eastAsia="Arial" w:hAnsi="Arial"/>
                <w:sz w:val="17"/>
                <w:szCs w:val="17"/>
                <w:color w:val="373535"/>
              </w:rPr>
              <w:t>15.6</w:t>
            </w:r>
          </w:p>
        </w:tc>
        <w:tc>
          <w:tcPr>
            <w:tcW w:w="380" w:type="dxa"/>
            <w:vAlign w:val="bottom"/>
            <w:tcBorders>
              <w:top w:val="single" w:sz="8" w:color="717073"/>
              <w:bottom w:val="single" w:sz="8" w:color="717073"/>
            </w:tcBorders>
          </w:tcPr>
          <w:p>
            <w:pPr>
              <w:spacing w:after="0"/>
              <w:rPr>
                <w:sz w:val="16"/>
                <w:szCs w:val="16"/>
                <w:color w:val="auto"/>
              </w:rPr>
            </w:pPr>
          </w:p>
        </w:tc>
        <w:tc>
          <w:tcPr>
            <w:tcW w:w="760" w:type="dxa"/>
            <w:vAlign w:val="bottom"/>
            <w:tcBorders>
              <w:top w:val="single" w:sz="8" w:color="717073"/>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w:t>
            </w:r>
          </w:p>
        </w:tc>
        <w:tc>
          <w:tcPr>
            <w:tcW w:w="200" w:type="dxa"/>
            <w:vAlign w:val="bottom"/>
            <w:tcBorders>
              <w:top w:val="single" w:sz="8" w:color="717073"/>
              <w:bottom w:val="single" w:sz="8" w:color="717073"/>
            </w:tcBorders>
          </w:tcPr>
          <w:p>
            <w:pPr>
              <w:spacing w:after="0"/>
              <w:rPr>
                <w:sz w:val="16"/>
                <w:szCs w:val="16"/>
                <w:color w:val="auto"/>
              </w:rPr>
            </w:pPr>
          </w:p>
        </w:tc>
        <w:tc>
          <w:tcPr>
            <w:tcW w:w="940" w:type="dxa"/>
            <w:vAlign w:val="bottom"/>
            <w:tcBorders>
              <w:top w:val="single" w:sz="8" w:color="717073"/>
              <w:bottom w:val="single" w:sz="8" w:color="717073"/>
            </w:tcBorders>
          </w:tcPr>
          <w:p>
            <w:pPr>
              <w:jc w:val="right"/>
              <w:ind w:right="57"/>
              <w:spacing w:after="0" w:line="186" w:lineRule="exact"/>
              <w:rPr>
                <w:sz w:val="20"/>
                <w:szCs w:val="20"/>
                <w:color w:val="auto"/>
              </w:rPr>
            </w:pPr>
            <w:r>
              <w:rPr>
                <w:rFonts w:ascii="Arial" w:cs="Arial" w:eastAsia="Arial" w:hAnsi="Arial"/>
                <w:sz w:val="17"/>
                <w:szCs w:val="17"/>
                <w:color w:val="373535"/>
              </w:rPr>
              <w:t>6.6</w:t>
            </w:r>
          </w:p>
        </w:tc>
        <w:tc>
          <w:tcPr>
            <w:tcW w:w="300" w:type="dxa"/>
            <w:vAlign w:val="bottom"/>
            <w:tcBorders>
              <w:top w:val="single" w:sz="8" w:color="717073"/>
              <w:bottom w:val="single" w:sz="8" w:color="717073"/>
            </w:tcBorders>
          </w:tcPr>
          <w:p>
            <w:pPr>
              <w:spacing w:after="0"/>
              <w:rPr>
                <w:sz w:val="16"/>
                <w:szCs w:val="16"/>
                <w:color w:val="auto"/>
              </w:rPr>
            </w:pPr>
          </w:p>
        </w:tc>
        <w:tc>
          <w:tcPr>
            <w:tcW w:w="860" w:type="dxa"/>
            <w:vAlign w:val="bottom"/>
            <w:tcBorders>
              <w:top w:val="single" w:sz="8" w:color="717073"/>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10.0</w:t>
            </w:r>
          </w:p>
        </w:tc>
        <w:tc>
          <w:tcPr>
            <w:tcW w:w="360" w:type="dxa"/>
            <w:vAlign w:val="bottom"/>
            <w:tcBorders>
              <w:top w:val="single" w:sz="8" w:color="717073"/>
              <w:bottom w:val="single" w:sz="8" w:color="717073"/>
            </w:tcBorders>
          </w:tcPr>
          <w:p>
            <w:pPr>
              <w:spacing w:after="0"/>
              <w:rPr>
                <w:sz w:val="16"/>
                <w:szCs w:val="16"/>
                <w:color w:val="auto"/>
              </w:rPr>
            </w:pPr>
          </w:p>
        </w:tc>
        <w:tc>
          <w:tcPr>
            <w:tcW w:w="60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41.4</w:t>
            </w:r>
          </w:p>
        </w:tc>
        <w:tc>
          <w:tcPr>
            <w:tcW w:w="60" w:type="dxa"/>
            <w:vAlign w:val="bottom"/>
          </w:tcPr>
          <w:p>
            <w:pPr>
              <w:spacing w:after="0"/>
              <w:rPr>
                <w:sz w:val="16"/>
                <w:szCs w:val="16"/>
                <w:color w:val="auto"/>
              </w:rPr>
            </w:pPr>
          </w:p>
        </w:tc>
      </w:tr>
      <w:tr>
        <w:trPr>
          <w:trHeight w:val="186"/>
        </w:trPr>
        <w:tc>
          <w:tcPr>
            <w:tcW w:w="2900" w:type="dxa"/>
            <w:vAlign w:val="bottom"/>
            <w:gridSpan w:val="2"/>
          </w:tcPr>
          <w:p>
            <w:pPr>
              <w:spacing w:after="0" w:line="185" w:lineRule="exact"/>
              <w:rPr>
                <w:sz w:val="20"/>
                <w:szCs w:val="20"/>
                <w:color w:val="auto"/>
              </w:rPr>
            </w:pPr>
            <w:r>
              <w:rPr>
                <w:rFonts w:ascii="Arial" w:cs="Arial" w:eastAsia="Arial" w:hAnsi="Arial"/>
                <w:sz w:val="17"/>
                <w:szCs w:val="17"/>
                <w:color w:val="373535"/>
              </w:rPr>
              <w:t>Severance costs, net</w:t>
            </w:r>
          </w:p>
        </w:tc>
        <w:tc>
          <w:tcPr>
            <w:tcW w:w="880" w:type="dxa"/>
            <w:vAlign w:val="bottom"/>
          </w:tcPr>
          <w:p>
            <w:pPr>
              <w:spacing w:after="0"/>
              <w:rPr>
                <w:sz w:val="16"/>
                <w:szCs w:val="16"/>
                <w:color w:val="auto"/>
              </w:rPr>
            </w:pPr>
          </w:p>
        </w:tc>
        <w:tc>
          <w:tcPr>
            <w:tcW w:w="860" w:type="dxa"/>
            <w:vAlign w:val="bottom"/>
          </w:tcPr>
          <w:p>
            <w:pPr>
              <w:jc w:val="right"/>
              <w:ind w:right="96"/>
              <w:spacing w:after="0" w:line="185" w:lineRule="exact"/>
              <w:rPr>
                <w:sz w:val="20"/>
                <w:szCs w:val="20"/>
                <w:color w:val="auto"/>
              </w:rPr>
            </w:pPr>
            <w:r>
              <w:rPr>
                <w:rFonts w:ascii="Arial" w:cs="Arial" w:eastAsia="Arial" w:hAnsi="Arial"/>
                <w:sz w:val="17"/>
                <w:szCs w:val="17"/>
                <w:color w:val="373535"/>
              </w:rPr>
              <w:t>15.2</w:t>
            </w:r>
          </w:p>
        </w:tc>
        <w:tc>
          <w:tcPr>
            <w:tcW w:w="280" w:type="dxa"/>
            <w:vAlign w:val="bottom"/>
          </w:tcPr>
          <w:p>
            <w:pPr>
              <w:spacing w:after="0"/>
              <w:rPr>
                <w:sz w:val="16"/>
                <w:szCs w:val="16"/>
                <w:color w:val="auto"/>
              </w:rPr>
            </w:pPr>
          </w:p>
        </w:tc>
        <w:tc>
          <w:tcPr>
            <w:tcW w:w="880" w:type="dxa"/>
            <w:vAlign w:val="bottom"/>
          </w:tcPr>
          <w:p>
            <w:pPr>
              <w:jc w:val="right"/>
              <w:ind w:right="98"/>
              <w:spacing w:after="0" w:line="185" w:lineRule="exact"/>
              <w:rPr>
                <w:sz w:val="20"/>
                <w:szCs w:val="20"/>
                <w:color w:val="auto"/>
              </w:rPr>
            </w:pPr>
            <w:r>
              <w:rPr>
                <w:rFonts w:ascii="Arial" w:cs="Arial" w:eastAsia="Arial" w:hAnsi="Arial"/>
                <w:sz w:val="17"/>
                <w:szCs w:val="17"/>
                <w:color w:val="373535"/>
              </w:rPr>
              <w:t>6.2</w:t>
            </w:r>
          </w:p>
        </w:tc>
        <w:tc>
          <w:tcPr>
            <w:tcW w:w="280" w:type="dxa"/>
            <w:vAlign w:val="bottom"/>
          </w:tcPr>
          <w:p>
            <w:pPr>
              <w:spacing w:after="0"/>
              <w:rPr>
                <w:sz w:val="16"/>
                <w:szCs w:val="16"/>
                <w:color w:val="auto"/>
              </w:rPr>
            </w:pPr>
          </w:p>
        </w:tc>
        <w:tc>
          <w:tcPr>
            <w:tcW w:w="840" w:type="dxa"/>
            <w:vAlign w:val="bottom"/>
          </w:tcPr>
          <w:p>
            <w:pPr>
              <w:jc w:val="right"/>
              <w:ind w:right="77"/>
              <w:spacing w:after="0" w:line="185" w:lineRule="exact"/>
              <w:rPr>
                <w:sz w:val="20"/>
                <w:szCs w:val="20"/>
                <w:color w:val="auto"/>
              </w:rPr>
            </w:pPr>
            <w:r>
              <w:rPr>
                <w:rFonts w:ascii="Arial" w:cs="Arial" w:eastAsia="Arial" w:hAnsi="Arial"/>
                <w:sz w:val="17"/>
                <w:szCs w:val="17"/>
                <w:color w:val="373535"/>
              </w:rPr>
              <w:t>24.7</w:t>
            </w:r>
          </w:p>
        </w:tc>
        <w:tc>
          <w:tcPr>
            <w:tcW w:w="380" w:type="dxa"/>
            <w:vAlign w:val="bottom"/>
          </w:tcPr>
          <w:p>
            <w:pPr>
              <w:spacing w:after="0"/>
              <w:rPr>
                <w:sz w:val="16"/>
                <w:szCs w:val="16"/>
                <w:color w:val="auto"/>
              </w:rPr>
            </w:pPr>
          </w:p>
        </w:tc>
        <w:tc>
          <w:tcPr>
            <w:tcW w:w="760" w:type="dxa"/>
            <w:vAlign w:val="bottom"/>
          </w:tcPr>
          <w:p>
            <w:pPr>
              <w:jc w:val="right"/>
              <w:ind w:right="56"/>
              <w:spacing w:after="0" w:line="185" w:lineRule="exact"/>
              <w:rPr>
                <w:sz w:val="20"/>
                <w:szCs w:val="20"/>
                <w:color w:val="auto"/>
              </w:rPr>
            </w:pPr>
            <w:r>
              <w:rPr>
                <w:rFonts w:ascii="Arial" w:cs="Arial" w:eastAsia="Arial" w:hAnsi="Arial"/>
                <w:sz w:val="17"/>
                <w:szCs w:val="17"/>
                <w:color w:val="373535"/>
              </w:rPr>
              <w:t>2.7</w:t>
            </w:r>
          </w:p>
        </w:tc>
        <w:tc>
          <w:tcPr>
            <w:tcW w:w="200" w:type="dxa"/>
            <w:vAlign w:val="bottom"/>
          </w:tcPr>
          <w:p>
            <w:pPr>
              <w:spacing w:after="0"/>
              <w:rPr>
                <w:sz w:val="16"/>
                <w:szCs w:val="16"/>
                <w:color w:val="auto"/>
              </w:rPr>
            </w:pPr>
          </w:p>
        </w:tc>
        <w:tc>
          <w:tcPr>
            <w:tcW w:w="940" w:type="dxa"/>
            <w:vAlign w:val="bottom"/>
          </w:tcPr>
          <w:p>
            <w:pPr>
              <w:jc w:val="right"/>
              <w:ind w:right="57"/>
              <w:spacing w:after="0" w:line="185" w:lineRule="exact"/>
              <w:rPr>
                <w:sz w:val="20"/>
                <w:szCs w:val="20"/>
                <w:color w:val="auto"/>
              </w:rPr>
            </w:pPr>
            <w:r>
              <w:rPr>
                <w:rFonts w:ascii="Arial" w:cs="Arial" w:eastAsia="Arial" w:hAnsi="Arial"/>
                <w:sz w:val="17"/>
                <w:szCs w:val="17"/>
                <w:color w:val="373535"/>
              </w:rPr>
              <w:t>9.1</w:t>
            </w:r>
          </w:p>
        </w:tc>
        <w:tc>
          <w:tcPr>
            <w:tcW w:w="300" w:type="dxa"/>
            <w:vAlign w:val="bottom"/>
          </w:tcPr>
          <w:p>
            <w:pPr>
              <w:spacing w:after="0"/>
              <w:rPr>
                <w:sz w:val="16"/>
                <w:szCs w:val="16"/>
                <w:color w:val="auto"/>
              </w:rPr>
            </w:pPr>
          </w:p>
        </w:tc>
        <w:tc>
          <w:tcPr>
            <w:tcW w:w="860" w:type="dxa"/>
            <w:vAlign w:val="bottom"/>
          </w:tcPr>
          <w:p>
            <w:pPr>
              <w:jc w:val="right"/>
              <w:ind w:right="56"/>
              <w:spacing w:after="0" w:line="185" w:lineRule="exact"/>
              <w:rPr>
                <w:sz w:val="20"/>
                <w:szCs w:val="20"/>
                <w:color w:val="auto"/>
              </w:rPr>
            </w:pPr>
            <w:r>
              <w:rPr>
                <w:rFonts w:ascii="Arial" w:cs="Arial" w:eastAsia="Arial" w:hAnsi="Arial"/>
                <w:sz w:val="17"/>
                <w:szCs w:val="17"/>
                <w:color w:val="373535"/>
              </w:rPr>
              <w:t>4.4</w:t>
            </w:r>
          </w:p>
        </w:tc>
        <w:tc>
          <w:tcPr>
            <w:tcW w:w="360" w:type="dxa"/>
            <w:vAlign w:val="bottom"/>
          </w:tcPr>
          <w:p>
            <w:pPr>
              <w:spacing w:after="0"/>
              <w:rPr>
                <w:sz w:val="16"/>
                <w:szCs w:val="16"/>
                <w:color w:val="auto"/>
              </w:rPr>
            </w:pPr>
          </w:p>
        </w:tc>
        <w:tc>
          <w:tcPr>
            <w:tcW w:w="600" w:type="dxa"/>
            <w:vAlign w:val="bottom"/>
          </w:tcPr>
          <w:p>
            <w:pPr>
              <w:jc w:val="right"/>
              <w:spacing w:after="0" w:line="185" w:lineRule="exact"/>
              <w:rPr>
                <w:sz w:val="20"/>
                <w:szCs w:val="20"/>
                <w:color w:val="auto"/>
              </w:rPr>
            </w:pPr>
            <w:r>
              <w:rPr>
                <w:rFonts w:ascii="Arial" w:cs="Arial" w:eastAsia="Arial" w:hAnsi="Arial"/>
                <w:sz w:val="17"/>
                <w:szCs w:val="17"/>
                <w:color w:val="373535"/>
              </w:rPr>
              <w:t>62.3</w:t>
            </w:r>
          </w:p>
        </w:tc>
        <w:tc>
          <w:tcPr>
            <w:tcW w:w="60" w:type="dxa"/>
            <w:vAlign w:val="bottom"/>
          </w:tcPr>
          <w:p>
            <w:pPr>
              <w:spacing w:after="0"/>
              <w:rPr>
                <w:sz w:val="16"/>
                <w:szCs w:val="16"/>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7"/>
                <w:szCs w:val="17"/>
                <w:color w:val="373535"/>
              </w:rPr>
              <w:t>Office closure costs, net</w:t>
            </w:r>
          </w:p>
        </w:tc>
        <w:tc>
          <w:tcPr>
            <w:tcW w:w="880" w:type="dxa"/>
            <w:vAlign w:val="bottom"/>
          </w:tcPr>
          <w:p>
            <w:pPr>
              <w:spacing w:after="0"/>
              <w:rPr>
                <w:sz w:val="16"/>
                <w:szCs w:val="16"/>
                <w:color w:val="auto"/>
              </w:rPr>
            </w:pPr>
          </w:p>
        </w:tc>
        <w:tc>
          <w:tcPr>
            <w:tcW w:w="86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2.8</w:t>
            </w:r>
          </w:p>
        </w:tc>
        <w:tc>
          <w:tcPr>
            <w:tcW w:w="280" w:type="dxa"/>
            <w:vAlign w:val="bottom"/>
          </w:tcPr>
          <w:p>
            <w:pPr>
              <w:spacing w:after="0"/>
              <w:rPr>
                <w:sz w:val="16"/>
                <w:szCs w:val="16"/>
                <w:color w:val="auto"/>
              </w:rPr>
            </w:pPr>
          </w:p>
        </w:tc>
        <w:tc>
          <w:tcPr>
            <w:tcW w:w="880" w:type="dxa"/>
            <w:vAlign w:val="bottom"/>
          </w:tcPr>
          <w:p>
            <w:pPr>
              <w:jc w:val="right"/>
              <w:ind w:right="98"/>
              <w:spacing w:after="0" w:line="194" w:lineRule="exact"/>
              <w:rPr>
                <w:sz w:val="20"/>
                <w:szCs w:val="20"/>
                <w:color w:val="auto"/>
              </w:rPr>
            </w:pPr>
            <w:r>
              <w:rPr>
                <w:rFonts w:ascii="Arial" w:cs="Arial" w:eastAsia="Arial" w:hAnsi="Arial"/>
                <w:sz w:val="17"/>
                <w:szCs w:val="17"/>
                <w:color w:val="373535"/>
              </w:rPr>
              <w:t>1.6</w:t>
            </w:r>
          </w:p>
        </w:tc>
        <w:tc>
          <w:tcPr>
            <w:tcW w:w="280" w:type="dxa"/>
            <w:vAlign w:val="bottom"/>
          </w:tcPr>
          <w:p>
            <w:pPr>
              <w:spacing w:after="0"/>
              <w:rPr>
                <w:sz w:val="16"/>
                <w:szCs w:val="16"/>
                <w:color w:val="auto"/>
              </w:rPr>
            </w:pPr>
          </w:p>
        </w:tc>
        <w:tc>
          <w:tcPr>
            <w:tcW w:w="840" w:type="dxa"/>
            <w:vAlign w:val="bottom"/>
          </w:tcPr>
          <w:p>
            <w:pPr>
              <w:jc w:val="right"/>
              <w:ind w:right="77"/>
              <w:spacing w:after="0" w:line="194" w:lineRule="exact"/>
              <w:rPr>
                <w:sz w:val="20"/>
                <w:szCs w:val="20"/>
                <w:color w:val="auto"/>
              </w:rPr>
            </w:pPr>
            <w:r>
              <w:rPr>
                <w:rFonts w:ascii="Arial" w:cs="Arial" w:eastAsia="Arial" w:hAnsi="Arial"/>
                <w:sz w:val="17"/>
                <w:szCs w:val="17"/>
                <w:color w:val="373535"/>
              </w:rPr>
              <w:t>14.3</w:t>
            </w:r>
          </w:p>
        </w:tc>
        <w:tc>
          <w:tcPr>
            <w:tcW w:w="380" w:type="dxa"/>
            <w:vAlign w:val="bottom"/>
          </w:tcPr>
          <w:p>
            <w:pPr>
              <w:spacing w:after="0"/>
              <w:rPr>
                <w:sz w:val="16"/>
                <w:szCs w:val="16"/>
                <w:color w:val="auto"/>
              </w:rPr>
            </w:pPr>
          </w:p>
        </w:tc>
        <w:tc>
          <w:tcPr>
            <w:tcW w:w="7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3.5</w:t>
            </w:r>
          </w:p>
        </w:tc>
        <w:tc>
          <w:tcPr>
            <w:tcW w:w="200" w:type="dxa"/>
            <w:vAlign w:val="bottom"/>
          </w:tcPr>
          <w:p>
            <w:pPr>
              <w:spacing w:after="0"/>
              <w:rPr>
                <w:sz w:val="16"/>
                <w:szCs w:val="16"/>
                <w:color w:val="auto"/>
              </w:rPr>
            </w:pPr>
          </w:p>
        </w:tc>
        <w:tc>
          <w:tcPr>
            <w:tcW w:w="940" w:type="dxa"/>
            <w:vAlign w:val="bottom"/>
          </w:tcPr>
          <w:p>
            <w:pPr>
              <w:jc w:val="right"/>
              <w:ind w:right="57"/>
              <w:spacing w:after="0" w:line="194" w:lineRule="exact"/>
              <w:rPr>
                <w:sz w:val="20"/>
                <w:szCs w:val="20"/>
                <w:color w:val="auto"/>
              </w:rPr>
            </w:pPr>
            <w:r>
              <w:rPr>
                <w:rFonts w:ascii="Arial" w:cs="Arial" w:eastAsia="Arial" w:hAnsi="Arial"/>
                <w:sz w:val="17"/>
                <w:szCs w:val="17"/>
                <w:color w:val="373535"/>
              </w:rPr>
              <w:t>4.9</w:t>
            </w:r>
          </w:p>
        </w:tc>
        <w:tc>
          <w:tcPr>
            <w:tcW w:w="300" w:type="dxa"/>
            <w:vAlign w:val="bottom"/>
          </w:tcPr>
          <w:p>
            <w:pPr>
              <w:spacing w:after="0"/>
              <w:rPr>
                <w:sz w:val="16"/>
                <w:szCs w:val="16"/>
                <w:color w:val="auto"/>
              </w:rPr>
            </w:pPr>
          </w:p>
        </w:tc>
        <w:tc>
          <w:tcPr>
            <w:tcW w:w="8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w:t>
            </w:r>
          </w:p>
        </w:tc>
        <w:tc>
          <w:tcPr>
            <w:tcW w:w="36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27.1</w:t>
            </w:r>
          </w:p>
        </w:tc>
        <w:tc>
          <w:tcPr>
            <w:tcW w:w="60" w:type="dxa"/>
            <w:vAlign w:val="bottom"/>
          </w:tcPr>
          <w:p>
            <w:pPr>
              <w:spacing w:after="0"/>
              <w:rPr>
                <w:sz w:val="16"/>
                <w:szCs w:val="16"/>
                <w:color w:val="auto"/>
              </w:rPr>
            </w:pPr>
          </w:p>
        </w:tc>
      </w:tr>
      <w:tr>
        <w:trPr>
          <w:trHeight w:val="194"/>
        </w:trPr>
        <w:tc>
          <w:tcPr>
            <w:tcW w:w="2900" w:type="dxa"/>
            <w:vAlign w:val="bottom"/>
            <w:gridSpan w:val="2"/>
          </w:tcPr>
          <w:p>
            <w:pPr>
              <w:spacing w:after="0" w:line="194" w:lineRule="exact"/>
              <w:rPr>
                <w:sz w:val="20"/>
                <w:szCs w:val="20"/>
                <w:color w:val="auto"/>
              </w:rPr>
            </w:pPr>
            <w:r>
              <w:rPr>
                <w:rFonts w:ascii="Arial" w:cs="Arial" w:eastAsia="Arial" w:hAnsi="Arial"/>
                <w:sz w:val="17"/>
                <w:szCs w:val="17"/>
                <w:color w:val="373535"/>
              </w:rPr>
              <w:t>Costs paid or utilized</w:t>
            </w:r>
          </w:p>
        </w:tc>
        <w:tc>
          <w:tcPr>
            <w:tcW w:w="880" w:type="dxa"/>
            <w:vAlign w:val="bottom"/>
          </w:tcPr>
          <w:p>
            <w:pPr>
              <w:spacing w:after="0"/>
              <w:rPr>
                <w:sz w:val="16"/>
                <w:szCs w:val="16"/>
                <w:color w:val="auto"/>
              </w:rPr>
            </w:pPr>
          </w:p>
        </w:tc>
        <w:tc>
          <w:tcPr>
            <w:tcW w:w="86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(15.7)</w:t>
            </w:r>
          </w:p>
        </w:tc>
        <w:tc>
          <w:tcPr>
            <w:tcW w:w="280" w:type="dxa"/>
            <w:vAlign w:val="bottom"/>
          </w:tcPr>
          <w:p>
            <w:pPr>
              <w:spacing w:after="0"/>
              <w:rPr>
                <w:sz w:val="16"/>
                <w:szCs w:val="16"/>
                <w:color w:val="auto"/>
              </w:rPr>
            </w:pPr>
          </w:p>
        </w:tc>
        <w:tc>
          <w:tcPr>
            <w:tcW w:w="880" w:type="dxa"/>
            <w:vAlign w:val="bottom"/>
          </w:tcPr>
          <w:p>
            <w:pPr>
              <w:jc w:val="right"/>
              <w:ind w:right="38"/>
              <w:spacing w:after="0" w:line="194" w:lineRule="exact"/>
              <w:rPr>
                <w:sz w:val="20"/>
                <w:szCs w:val="20"/>
                <w:color w:val="auto"/>
              </w:rPr>
            </w:pPr>
            <w:r>
              <w:rPr>
                <w:rFonts w:ascii="Arial" w:cs="Arial" w:eastAsia="Arial" w:hAnsi="Arial"/>
                <w:sz w:val="17"/>
                <w:szCs w:val="17"/>
                <w:color w:val="373535"/>
              </w:rPr>
              <w:t>(8.0)</w:t>
            </w:r>
          </w:p>
        </w:tc>
        <w:tc>
          <w:tcPr>
            <w:tcW w:w="280" w:type="dxa"/>
            <w:vAlign w:val="bottom"/>
          </w:tcPr>
          <w:p>
            <w:pPr>
              <w:spacing w:after="0"/>
              <w:rPr>
                <w:sz w:val="16"/>
                <w:szCs w:val="16"/>
                <w:color w:val="auto"/>
              </w:rPr>
            </w:pPr>
          </w:p>
        </w:tc>
        <w:tc>
          <w:tcPr>
            <w:tcW w:w="840" w:type="dxa"/>
            <w:vAlign w:val="bottom"/>
          </w:tcPr>
          <w:p>
            <w:pPr>
              <w:jc w:val="right"/>
              <w:ind w:right="17"/>
              <w:spacing w:after="0" w:line="194" w:lineRule="exact"/>
              <w:rPr>
                <w:sz w:val="20"/>
                <w:szCs w:val="20"/>
                <w:color w:val="auto"/>
              </w:rPr>
            </w:pPr>
            <w:r>
              <w:rPr>
                <w:rFonts w:ascii="Arial" w:cs="Arial" w:eastAsia="Arial" w:hAnsi="Arial"/>
                <w:sz w:val="17"/>
                <w:szCs w:val="17"/>
                <w:color w:val="373535"/>
              </w:rPr>
              <w:t>(32.4)</w:t>
            </w:r>
          </w:p>
        </w:tc>
        <w:tc>
          <w:tcPr>
            <w:tcW w:w="38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Arial" w:cs="Arial" w:eastAsia="Arial" w:hAnsi="Arial"/>
                <w:sz w:val="17"/>
                <w:szCs w:val="17"/>
                <w:color w:val="373535"/>
              </w:rPr>
              <w:t>(4.4)</w:t>
            </w:r>
          </w:p>
        </w:tc>
        <w:tc>
          <w:tcPr>
            <w:tcW w:w="20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(8.3)</w:t>
            </w:r>
          </w:p>
        </w:tc>
        <w:tc>
          <w:tcPr>
            <w:tcW w:w="300" w:type="dxa"/>
            <w:vAlign w:val="bottom"/>
          </w:tcPr>
          <w:p>
            <w:pPr>
              <w:spacing w:after="0"/>
              <w:rPr>
                <w:sz w:val="16"/>
                <w:szCs w:val="16"/>
                <w:color w:val="auto"/>
              </w:rPr>
            </w:pPr>
          </w:p>
        </w:tc>
        <w:tc>
          <w:tcPr>
            <w:tcW w:w="86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(13.6)</w:t>
            </w:r>
          </w:p>
        </w:tc>
        <w:tc>
          <w:tcPr>
            <w:tcW w:w="360" w:type="dxa"/>
            <w:vAlign w:val="bottom"/>
          </w:tcPr>
          <w:p>
            <w:pPr>
              <w:spacing w:after="0"/>
              <w:rPr>
                <w:sz w:val="16"/>
                <w:szCs w:val="16"/>
                <w:color w:val="auto"/>
              </w:rPr>
            </w:pPr>
          </w:p>
        </w:tc>
        <w:tc>
          <w:tcPr>
            <w:tcW w:w="66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(82.4)</w:t>
            </w:r>
          </w:p>
        </w:tc>
      </w:tr>
      <w:tr>
        <w:trPr>
          <w:trHeight w:val="186"/>
        </w:trPr>
        <w:tc>
          <w:tcPr>
            <w:tcW w:w="2900" w:type="dxa"/>
            <w:vAlign w:val="bottom"/>
            <w:tcBorders>
              <w:top w:val="single" w:sz="8" w:color="717073"/>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Balance, December 31, 2013</w:t>
            </w:r>
          </w:p>
        </w:tc>
        <w:tc>
          <w:tcPr>
            <w:tcW w:w="880" w:type="dxa"/>
            <w:vAlign w:val="bottom"/>
            <w:tcBorders>
              <w:top w:val="single" w:sz="8" w:color="717073"/>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17073"/>
              <w:bottom w:val="single" w:sz="8" w:color="717073"/>
            </w:tcBorders>
          </w:tcPr>
          <w:p>
            <w:pPr>
              <w:jc w:val="right"/>
              <w:ind w:right="96"/>
              <w:spacing w:after="0" w:line="186" w:lineRule="exact"/>
              <w:rPr>
                <w:sz w:val="20"/>
                <w:szCs w:val="20"/>
                <w:color w:val="auto"/>
              </w:rPr>
            </w:pPr>
            <w:r>
              <w:rPr>
                <w:rFonts w:ascii="Arial" w:cs="Arial" w:eastAsia="Arial" w:hAnsi="Arial"/>
                <w:sz w:val="17"/>
                <w:szCs w:val="17"/>
                <w:color w:val="373535"/>
              </w:rPr>
              <w:t>6.8</w:t>
            </w:r>
          </w:p>
        </w:tc>
        <w:tc>
          <w:tcPr>
            <w:tcW w:w="280" w:type="dxa"/>
            <w:vAlign w:val="bottom"/>
            <w:tcBorders>
              <w:top w:val="single" w:sz="8" w:color="717073"/>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80" w:type="dxa"/>
            <w:vAlign w:val="bottom"/>
            <w:tcBorders>
              <w:top w:val="single" w:sz="8" w:color="717073"/>
              <w:bottom w:val="single" w:sz="8" w:color="717073"/>
            </w:tcBorders>
          </w:tcPr>
          <w:p>
            <w:pPr>
              <w:jc w:val="right"/>
              <w:ind w:right="98"/>
              <w:spacing w:after="0" w:line="186" w:lineRule="exact"/>
              <w:rPr>
                <w:sz w:val="20"/>
                <w:szCs w:val="20"/>
                <w:color w:val="auto"/>
              </w:rPr>
            </w:pPr>
            <w:r>
              <w:rPr>
                <w:rFonts w:ascii="Arial" w:cs="Arial" w:eastAsia="Arial" w:hAnsi="Arial"/>
                <w:sz w:val="17"/>
                <w:szCs w:val="17"/>
                <w:color w:val="373535"/>
              </w:rPr>
              <w:t>4.5</w:t>
            </w:r>
          </w:p>
        </w:tc>
        <w:tc>
          <w:tcPr>
            <w:tcW w:w="280" w:type="dxa"/>
            <w:vAlign w:val="bottom"/>
            <w:tcBorders>
              <w:top w:val="single" w:sz="8" w:color="717073"/>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17073"/>
              <w:bottom w:val="single" w:sz="8" w:color="717073"/>
            </w:tcBorders>
          </w:tcPr>
          <w:p>
            <w:pPr>
              <w:jc w:val="right"/>
              <w:ind w:right="77"/>
              <w:spacing w:after="0" w:line="186" w:lineRule="exact"/>
              <w:rPr>
                <w:sz w:val="20"/>
                <w:szCs w:val="20"/>
                <w:color w:val="auto"/>
              </w:rPr>
            </w:pPr>
            <w:r>
              <w:rPr>
                <w:rFonts w:ascii="Arial" w:cs="Arial" w:eastAsia="Arial" w:hAnsi="Arial"/>
                <w:sz w:val="17"/>
                <w:szCs w:val="17"/>
                <w:color w:val="373535"/>
              </w:rPr>
              <w:t>22.2</w:t>
            </w:r>
          </w:p>
        </w:tc>
        <w:tc>
          <w:tcPr>
            <w:tcW w:w="380" w:type="dxa"/>
            <w:vAlign w:val="bottom"/>
            <w:tcBorders>
              <w:top w:val="single" w:sz="8" w:color="717073"/>
              <w:bottom w:val="single" w:sz="8" w:color="717073"/>
            </w:tcBorders>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760" w:type="dxa"/>
            <w:vAlign w:val="bottom"/>
            <w:tcBorders>
              <w:top w:val="single" w:sz="8" w:color="717073"/>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1.8</w:t>
            </w:r>
          </w:p>
        </w:tc>
        <w:tc>
          <w:tcPr>
            <w:tcW w:w="20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17073"/>
              <w:bottom w:val="single" w:sz="8" w:color="717073"/>
            </w:tcBorders>
          </w:tcPr>
          <w:p>
            <w:pPr>
              <w:jc w:val="right"/>
              <w:ind w:right="57"/>
              <w:spacing w:after="0" w:line="186" w:lineRule="exact"/>
              <w:rPr>
                <w:sz w:val="20"/>
                <w:szCs w:val="20"/>
                <w:color w:val="auto"/>
              </w:rPr>
            </w:pPr>
            <w:r>
              <w:rPr>
                <w:rFonts w:ascii="Arial" w:cs="Arial" w:eastAsia="Arial" w:hAnsi="Arial"/>
                <w:sz w:val="17"/>
                <w:szCs w:val="17"/>
                <w:color w:val="373535"/>
              </w:rPr>
              <w:t>12.3</w:t>
            </w:r>
          </w:p>
        </w:tc>
        <w:tc>
          <w:tcPr>
            <w:tcW w:w="300" w:type="dxa"/>
            <w:vAlign w:val="bottom"/>
            <w:tcBorders>
              <w:top w:val="single" w:sz="8" w:color="717073"/>
              <w:bottom w:val="single" w:sz="8" w:color="717073"/>
            </w:tcBorders>
          </w:tcPr>
          <w:p>
            <w:pPr>
              <w:jc w:val="right"/>
              <w:ind w:right="14"/>
              <w:spacing w:after="0" w:line="186"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17073"/>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0.8</w:t>
            </w:r>
          </w:p>
        </w:tc>
        <w:tc>
          <w:tcPr>
            <w:tcW w:w="360" w:type="dxa"/>
            <w:vAlign w:val="bottom"/>
            <w:tcBorders>
              <w:top w:val="single" w:sz="8" w:color="717073"/>
              <w:bottom w:val="single" w:sz="8" w:color="717073"/>
            </w:tcBorders>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60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48.4</w:t>
            </w:r>
          </w:p>
        </w:tc>
        <w:tc>
          <w:tcPr>
            <w:tcW w:w="60" w:type="dxa"/>
            <w:vAlign w:val="bottom"/>
          </w:tcPr>
          <w:p>
            <w:pPr>
              <w:spacing w:after="0"/>
              <w:rPr>
                <w:sz w:val="16"/>
                <w:szCs w:val="16"/>
                <w:color w:val="auto"/>
              </w:rPr>
            </w:pPr>
          </w:p>
        </w:tc>
      </w:tr>
    </w:tbl>
    <w:p>
      <w:pPr>
        <w:spacing w:after="0" w:line="193" w:lineRule="exact"/>
        <w:rPr>
          <w:sz w:val="20"/>
          <w:szCs w:val="20"/>
          <w:color w:val="auto"/>
        </w:rPr>
      </w:pPr>
    </w:p>
    <w:p>
      <w:pPr>
        <w:jc w:val="both"/>
        <w:ind w:left="360" w:hanging="357"/>
        <w:spacing w:after="0" w:line="243" w:lineRule="auto"/>
        <w:tabs>
          <w:tab w:leader="none" w:pos="360" w:val="left"/>
        </w:tabs>
        <w:numPr>
          <w:ilvl w:val="0"/>
          <w:numId w:val="103"/>
        </w:numPr>
        <w:rPr>
          <w:rFonts w:ascii="Arial" w:cs="Arial" w:eastAsia="Arial" w:hAnsi="Arial"/>
          <w:sz w:val="17"/>
          <w:szCs w:val="17"/>
          <w:color w:val="373535"/>
        </w:rPr>
      </w:pPr>
      <w:r>
        <w:rPr>
          <w:rFonts w:ascii="Arial" w:cs="Arial" w:eastAsia="Arial" w:hAnsi="Arial"/>
          <w:sz w:val="17"/>
          <w:szCs w:val="17"/>
          <w:color w:val="373535"/>
        </w:rPr>
        <w:t>Balance related to United States was $3.3 as of January 1, 2012. In 2012, United States incurred $3.4 for severance costs and $4.0 for office closure costs and paid/utilized $6.9, leaving a $3.8 liability as of December 31, 2012. In 2013, United States incurred $7.8 for severance costs and $1.8 for office closure costs and paid/utilized $8.3, leaving a $5.1 liability as of December 31, 2013.</w:t>
      </w:r>
    </w:p>
    <w:p>
      <w:pPr>
        <w:spacing w:after="0" w:line="180" w:lineRule="exact"/>
        <w:rPr>
          <w:rFonts w:ascii="Arial" w:cs="Arial" w:eastAsia="Arial" w:hAnsi="Arial"/>
          <w:sz w:val="17"/>
          <w:szCs w:val="17"/>
          <w:color w:val="373535"/>
        </w:rPr>
      </w:pPr>
    </w:p>
    <w:p>
      <w:pPr>
        <w:jc w:val="both"/>
        <w:ind w:left="360" w:hanging="357"/>
        <w:spacing w:after="0"/>
        <w:tabs>
          <w:tab w:leader="none" w:pos="360" w:val="left"/>
        </w:tabs>
        <w:numPr>
          <w:ilvl w:val="0"/>
          <w:numId w:val="103"/>
        </w:numPr>
        <w:rPr>
          <w:rFonts w:ascii="Arial" w:cs="Arial" w:eastAsia="Arial" w:hAnsi="Arial"/>
          <w:sz w:val="17"/>
          <w:szCs w:val="17"/>
          <w:color w:val="373535"/>
        </w:rPr>
      </w:pPr>
      <w:r>
        <w:rPr>
          <w:rFonts w:ascii="Arial" w:cs="Arial" w:eastAsia="Arial" w:hAnsi="Arial"/>
          <w:sz w:val="17"/>
          <w:szCs w:val="17"/>
          <w:color w:val="373535"/>
        </w:rPr>
        <w:t>Balance related to France was $3.5 as of January 1, 2012. In 2012, France incurred $1.7 for office closure costs and paid/utilized $1.4, leaving a $3.8 liability as of December 31, 2012. In 2013, France incurred $0.6 for severance costs and $1.6 for office closure costs and paid/utilized $2.5, leaving a $3.5 liability as of December 31, 2013. Italy had a $0.4 liability as of January 1, 2012. In 2012, Italy incurred $0.7 for severance costs and paid $0.2, leaving a $0.9 liability as of December 31, 2012. In 2013, Italy recorded severance costs of $3.4 and paid out $3.4, leaving a $0.9 liability as of December 31, 2013.</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566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57</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INCOME TAXES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account for income taxes in accordance with the accounting guidance on income taxes. Deferred tax assets and liabilities are recognized for the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We record a valuation allowance against deferred tax assets for which utilization of the asset is not likely.</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FAIR VALUE MEASUREMENTS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The assets and liabilities measured and recorded at fair value on a recurring basis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5"/>
          </w:tcPr>
          <w:p>
            <w:pPr>
              <w:jc w:val="right"/>
              <w:ind w:right="60"/>
              <w:spacing w:after="0"/>
              <w:rPr>
                <w:sz w:val="20"/>
                <w:szCs w:val="20"/>
                <w:color w:val="auto"/>
              </w:rPr>
            </w:pPr>
            <w:r>
              <w:rPr>
                <w:rFonts w:ascii="Arial" w:cs="Arial" w:eastAsia="Arial" w:hAnsi="Arial"/>
                <w:sz w:val="14"/>
                <w:szCs w:val="14"/>
                <w:color w:val="76AD9A"/>
                <w:w w:val="99"/>
              </w:rPr>
              <w:t>Fair Value Measurements Using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color w:val="76AD9A"/>
                <w:w w:val="99"/>
              </w:rPr>
              <w:t>Fair Value Measurements Using</w:t>
            </w:r>
          </w:p>
        </w:tc>
      </w:tr>
      <w:tr>
        <w:trPr>
          <w:trHeight w:val="152"/>
        </w:trPr>
        <w:tc>
          <w:tcPr>
            <w:tcW w:w="2940" w:type="dxa"/>
            <w:vAlign w:val="bottom"/>
          </w:tcPr>
          <w:p>
            <w:pPr>
              <w:spacing w:after="0"/>
              <w:rPr>
                <w:sz w:val="13"/>
                <w:szCs w:val="13"/>
                <w:color w:val="auto"/>
              </w:rPr>
            </w:pPr>
          </w:p>
        </w:tc>
        <w:tc>
          <w:tcPr>
            <w:tcW w:w="220" w:type="dxa"/>
            <w:vAlign w:val="bottom"/>
            <w:tcBorders>
              <w:top w:val="single" w:sz="8" w:color="717073"/>
            </w:tcBorders>
          </w:tcPr>
          <w:p>
            <w:pPr>
              <w:spacing w:after="0"/>
              <w:rPr>
                <w:sz w:val="13"/>
                <w:szCs w:val="13"/>
                <w:color w:val="auto"/>
              </w:rPr>
            </w:pPr>
          </w:p>
        </w:tc>
        <w:tc>
          <w:tcPr>
            <w:tcW w:w="960" w:type="dxa"/>
            <w:vAlign w:val="bottom"/>
            <w:tcBorders>
              <w:top w:val="single" w:sz="8" w:color="717073"/>
            </w:tcBorders>
          </w:tcPr>
          <w:p>
            <w:pPr>
              <w:spacing w:after="0"/>
              <w:rPr>
                <w:sz w:val="13"/>
                <w:szCs w:val="13"/>
                <w:color w:val="auto"/>
              </w:rPr>
            </w:pPr>
          </w:p>
        </w:tc>
        <w:tc>
          <w:tcPr>
            <w:tcW w:w="280" w:type="dxa"/>
            <w:vAlign w:val="bottom"/>
            <w:tcBorders>
              <w:top w:val="single" w:sz="8" w:color="717073"/>
            </w:tcBorders>
          </w:tcPr>
          <w:p>
            <w:pPr>
              <w:spacing w:after="0"/>
              <w:rPr>
                <w:sz w:val="13"/>
                <w:szCs w:val="13"/>
                <w:color w:val="auto"/>
              </w:rPr>
            </w:pPr>
          </w:p>
        </w:tc>
        <w:tc>
          <w:tcPr>
            <w:tcW w:w="780" w:type="dxa"/>
            <w:vAlign w:val="bottom"/>
            <w:tcBorders>
              <w:top w:val="single" w:sz="8" w:color="717073"/>
            </w:tcBorders>
          </w:tcPr>
          <w:p>
            <w:pPr>
              <w:jc w:val="right"/>
              <w:spacing w:after="0" w:line="153" w:lineRule="exact"/>
              <w:rPr>
                <w:sz w:val="20"/>
                <w:szCs w:val="20"/>
                <w:color w:val="auto"/>
              </w:rPr>
            </w:pPr>
            <w:r>
              <w:rPr>
                <w:rFonts w:ascii="Arial" w:cs="Arial" w:eastAsia="Arial" w:hAnsi="Arial"/>
                <w:sz w:val="14"/>
                <w:szCs w:val="14"/>
                <w:color w:val="76AD9A"/>
              </w:rPr>
              <w:t>Quoted</w:t>
            </w:r>
          </w:p>
        </w:tc>
        <w:tc>
          <w:tcPr>
            <w:tcW w:w="240" w:type="dxa"/>
            <w:vAlign w:val="bottom"/>
            <w:tcBorders>
              <w:top w:val="single" w:sz="8" w:color="717073"/>
            </w:tcBorders>
          </w:tcPr>
          <w:p>
            <w:pPr>
              <w:spacing w:after="0"/>
              <w:rPr>
                <w:sz w:val="13"/>
                <w:szCs w:val="13"/>
                <w:color w:val="auto"/>
              </w:rPr>
            </w:pPr>
          </w:p>
        </w:tc>
        <w:tc>
          <w:tcPr>
            <w:tcW w:w="800" w:type="dxa"/>
            <w:vAlign w:val="bottom"/>
            <w:tcBorders>
              <w:top w:val="single" w:sz="8" w:color="717073"/>
            </w:tcBorders>
          </w:tcPr>
          <w:p>
            <w:pPr>
              <w:spacing w:after="0"/>
              <w:rPr>
                <w:sz w:val="13"/>
                <w:szCs w:val="13"/>
                <w:color w:val="auto"/>
              </w:rPr>
            </w:pPr>
          </w:p>
        </w:tc>
        <w:tc>
          <w:tcPr>
            <w:tcW w:w="240" w:type="dxa"/>
            <w:vAlign w:val="bottom"/>
            <w:tcBorders>
              <w:top w:val="single" w:sz="8" w:color="717073"/>
            </w:tcBorders>
          </w:tcPr>
          <w:p>
            <w:pPr>
              <w:spacing w:after="0"/>
              <w:rPr>
                <w:sz w:val="13"/>
                <w:szCs w:val="13"/>
                <w:color w:val="auto"/>
              </w:rPr>
            </w:pPr>
          </w:p>
        </w:tc>
        <w:tc>
          <w:tcPr>
            <w:tcW w:w="720" w:type="dxa"/>
            <w:vAlign w:val="bottom"/>
            <w:tcBorders>
              <w:top w:val="single" w:sz="8" w:color="717073"/>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717073"/>
            </w:tcBorders>
          </w:tcPr>
          <w:p>
            <w:pPr>
              <w:spacing w:after="0"/>
              <w:rPr>
                <w:sz w:val="13"/>
                <w:szCs w:val="13"/>
                <w:color w:val="auto"/>
              </w:rPr>
            </w:pPr>
          </w:p>
        </w:tc>
        <w:tc>
          <w:tcPr>
            <w:tcW w:w="980" w:type="dxa"/>
            <w:vAlign w:val="bottom"/>
            <w:tcBorders>
              <w:top w:val="single" w:sz="8" w:color="717073"/>
            </w:tcBorders>
          </w:tcPr>
          <w:p>
            <w:pPr>
              <w:spacing w:after="0"/>
              <w:rPr>
                <w:sz w:val="13"/>
                <w:szCs w:val="13"/>
                <w:color w:val="auto"/>
              </w:rPr>
            </w:pPr>
          </w:p>
        </w:tc>
        <w:tc>
          <w:tcPr>
            <w:tcW w:w="220" w:type="dxa"/>
            <w:vAlign w:val="bottom"/>
            <w:tcBorders>
              <w:top w:val="single" w:sz="8" w:color="717073"/>
            </w:tcBorders>
          </w:tcPr>
          <w:p>
            <w:pPr>
              <w:spacing w:after="0"/>
              <w:rPr>
                <w:sz w:val="13"/>
                <w:szCs w:val="13"/>
                <w:color w:val="auto"/>
              </w:rPr>
            </w:pPr>
          </w:p>
        </w:tc>
        <w:tc>
          <w:tcPr>
            <w:tcW w:w="780" w:type="dxa"/>
            <w:vAlign w:val="bottom"/>
            <w:tcBorders>
              <w:top w:val="single" w:sz="8" w:color="717073"/>
            </w:tcBorders>
          </w:tcPr>
          <w:p>
            <w:pPr>
              <w:jc w:val="right"/>
              <w:spacing w:after="0" w:line="153" w:lineRule="exact"/>
              <w:rPr>
                <w:sz w:val="20"/>
                <w:szCs w:val="20"/>
                <w:color w:val="auto"/>
              </w:rPr>
            </w:pPr>
            <w:r>
              <w:rPr>
                <w:rFonts w:ascii="Arial" w:cs="Arial" w:eastAsia="Arial" w:hAnsi="Arial"/>
                <w:sz w:val="14"/>
                <w:szCs w:val="14"/>
                <w:color w:val="76AD9A"/>
              </w:rPr>
              <w:t>Quoted</w:t>
            </w:r>
          </w:p>
        </w:tc>
        <w:tc>
          <w:tcPr>
            <w:tcW w:w="220" w:type="dxa"/>
            <w:vAlign w:val="bottom"/>
            <w:tcBorders>
              <w:top w:val="single" w:sz="8" w:color="717073"/>
            </w:tcBorders>
          </w:tcPr>
          <w:p>
            <w:pPr>
              <w:spacing w:after="0"/>
              <w:rPr>
                <w:sz w:val="13"/>
                <w:szCs w:val="13"/>
                <w:color w:val="auto"/>
              </w:rPr>
            </w:pPr>
          </w:p>
        </w:tc>
        <w:tc>
          <w:tcPr>
            <w:tcW w:w="820" w:type="dxa"/>
            <w:vAlign w:val="bottom"/>
            <w:tcBorders>
              <w:top w:val="single" w:sz="8" w:color="717073"/>
            </w:tcBorders>
          </w:tcPr>
          <w:p>
            <w:pPr>
              <w:spacing w:after="0"/>
              <w:rPr>
                <w:sz w:val="13"/>
                <w:szCs w:val="13"/>
                <w:color w:val="auto"/>
              </w:rPr>
            </w:pPr>
          </w:p>
        </w:tc>
        <w:tc>
          <w:tcPr>
            <w:tcW w:w="240" w:type="dxa"/>
            <w:vAlign w:val="bottom"/>
            <w:tcBorders>
              <w:top w:val="single" w:sz="8" w:color="717073"/>
            </w:tcBorders>
          </w:tcPr>
          <w:p>
            <w:pPr>
              <w:spacing w:after="0"/>
              <w:rPr>
                <w:sz w:val="13"/>
                <w:szCs w:val="13"/>
                <w:color w:val="auto"/>
              </w:rPr>
            </w:pPr>
          </w:p>
        </w:tc>
        <w:tc>
          <w:tcPr>
            <w:tcW w:w="720" w:type="dxa"/>
            <w:vAlign w:val="bottom"/>
            <w:tcBorders>
              <w:top w:val="single" w:sz="8" w:color="717073"/>
            </w:tcBorders>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76AD9A"/>
              </w:rPr>
              <w:t>Prices in</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76AD9A"/>
              </w:rPr>
              <w:t>Prices in</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76AD9A"/>
              </w:rPr>
              <w:t>Active</w:t>
            </w:r>
          </w:p>
        </w:tc>
        <w:tc>
          <w:tcPr>
            <w:tcW w:w="2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76AD9A"/>
              </w:rPr>
              <w:t>Active</w:t>
            </w:r>
          </w:p>
        </w:tc>
        <w:tc>
          <w:tcPr>
            <w:tcW w:w="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55"/>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76AD9A"/>
              </w:rPr>
              <w:t>Markets for</w:t>
            </w:r>
          </w:p>
        </w:tc>
        <w:tc>
          <w:tcPr>
            <w:tcW w:w="2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76AD9A"/>
              </w:rPr>
              <w:t>Other</w:t>
            </w:r>
          </w:p>
        </w:tc>
        <w:tc>
          <w:tcPr>
            <w:tcW w:w="240" w:type="dxa"/>
            <w:vAlign w:val="bottom"/>
          </w:tcPr>
          <w:p>
            <w:pPr>
              <w:spacing w:after="0"/>
              <w:rPr>
                <w:sz w:val="13"/>
                <w:szCs w:val="13"/>
                <w:color w:val="auto"/>
              </w:rPr>
            </w:pP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76AD9A"/>
              </w:rPr>
              <w:t>Significant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76AD9A"/>
              </w:rPr>
              <w:t>Markets for</w:t>
            </w:r>
          </w:p>
        </w:tc>
        <w:tc>
          <w:tcPr>
            <w:tcW w:w="22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76AD9A"/>
              </w:rPr>
              <w:t>Other</w:t>
            </w:r>
          </w:p>
        </w:tc>
        <w:tc>
          <w:tcPr>
            <w:tcW w:w="24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r>
      <w:tr>
        <w:trPr>
          <w:trHeight w:val="150"/>
        </w:trPr>
        <w:tc>
          <w:tcPr>
            <w:tcW w:w="2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76AD9A"/>
              </w:rPr>
              <w:t>Identical</w:t>
            </w:r>
          </w:p>
        </w:tc>
        <w:tc>
          <w:tcPr>
            <w:tcW w:w="240" w:type="dxa"/>
            <w:vAlign w:val="bottom"/>
          </w:tcPr>
          <w:p>
            <w:pPr>
              <w:spacing w:after="0"/>
              <w:rPr>
                <w:sz w:val="13"/>
                <w:szCs w:val="13"/>
                <w:color w:val="auto"/>
              </w:rPr>
            </w:pPr>
          </w:p>
        </w:tc>
        <w:tc>
          <w:tcPr>
            <w:tcW w:w="800" w:type="dxa"/>
            <w:vAlign w:val="bottom"/>
          </w:tcPr>
          <w:p>
            <w:pPr>
              <w:jc w:val="right"/>
              <w:spacing w:after="0" w:line="151" w:lineRule="exact"/>
              <w:rPr>
                <w:sz w:val="20"/>
                <w:szCs w:val="20"/>
                <w:color w:val="auto"/>
              </w:rPr>
            </w:pPr>
            <w:r>
              <w:rPr>
                <w:rFonts w:ascii="Arial" w:cs="Arial" w:eastAsia="Arial" w:hAnsi="Arial"/>
                <w:sz w:val="14"/>
                <w:szCs w:val="14"/>
                <w:color w:val="76AD9A"/>
              </w:rPr>
              <w:t>Observable</w:t>
            </w:r>
          </w:p>
        </w:tc>
        <w:tc>
          <w:tcPr>
            <w:tcW w:w="1020" w:type="dxa"/>
            <w:vAlign w:val="bottom"/>
            <w:gridSpan w:val="3"/>
          </w:tcPr>
          <w:p>
            <w:pPr>
              <w:jc w:val="right"/>
              <w:ind w:right="60"/>
              <w:spacing w:after="0" w:line="151" w:lineRule="exact"/>
              <w:rPr>
                <w:sz w:val="20"/>
                <w:szCs w:val="20"/>
                <w:color w:val="auto"/>
              </w:rPr>
            </w:pPr>
            <w:r>
              <w:rPr>
                <w:rFonts w:ascii="Arial" w:cs="Arial" w:eastAsia="Arial" w:hAnsi="Arial"/>
                <w:sz w:val="14"/>
                <w:szCs w:val="14"/>
                <w:color w:val="76AD9A"/>
              </w:rPr>
              <w:t>Unobservable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line="151" w:lineRule="exact"/>
              <w:rPr>
                <w:sz w:val="20"/>
                <w:szCs w:val="20"/>
                <w:color w:val="auto"/>
              </w:rPr>
            </w:pPr>
            <w:r>
              <w:rPr>
                <w:rFonts w:ascii="Arial" w:cs="Arial" w:eastAsia="Arial" w:hAnsi="Arial"/>
                <w:sz w:val="14"/>
                <w:szCs w:val="14"/>
                <w:color w:val="76AD9A"/>
              </w:rPr>
              <w:t>Identical</w:t>
            </w:r>
          </w:p>
        </w:tc>
        <w:tc>
          <w:tcPr>
            <w:tcW w:w="220" w:type="dxa"/>
            <w:vAlign w:val="bottom"/>
          </w:tcPr>
          <w:p>
            <w:pPr>
              <w:spacing w:after="0"/>
              <w:rPr>
                <w:sz w:val="13"/>
                <w:szCs w:val="13"/>
                <w:color w:val="auto"/>
              </w:rPr>
            </w:pPr>
          </w:p>
        </w:tc>
        <w:tc>
          <w:tcPr>
            <w:tcW w:w="820" w:type="dxa"/>
            <w:vAlign w:val="bottom"/>
          </w:tcPr>
          <w:p>
            <w:pPr>
              <w:jc w:val="right"/>
              <w:spacing w:after="0" w:line="151" w:lineRule="exact"/>
              <w:rPr>
                <w:sz w:val="20"/>
                <w:szCs w:val="20"/>
                <w:color w:val="auto"/>
              </w:rPr>
            </w:pPr>
            <w:r>
              <w:rPr>
                <w:rFonts w:ascii="Arial" w:cs="Arial" w:eastAsia="Arial" w:hAnsi="Arial"/>
                <w:sz w:val="14"/>
                <w:szCs w:val="14"/>
                <w:color w:val="76AD9A"/>
              </w:rPr>
              <w:t>Observable</w:t>
            </w:r>
          </w:p>
        </w:tc>
        <w:tc>
          <w:tcPr>
            <w:tcW w:w="960" w:type="dxa"/>
            <w:vAlign w:val="bottom"/>
            <w:gridSpan w:val="2"/>
          </w:tcPr>
          <w:p>
            <w:pPr>
              <w:jc w:val="right"/>
              <w:spacing w:after="0" w:line="151" w:lineRule="exact"/>
              <w:rPr>
                <w:sz w:val="20"/>
                <w:szCs w:val="20"/>
                <w:color w:val="auto"/>
              </w:rPr>
            </w:pPr>
            <w:r>
              <w:rPr>
                <w:rFonts w:ascii="Arial" w:cs="Arial" w:eastAsia="Arial" w:hAnsi="Arial"/>
                <w:sz w:val="14"/>
                <w:szCs w:val="14"/>
                <w:color w:val="76AD9A"/>
              </w:rPr>
              <w:t>Unobservable</w:t>
            </w:r>
          </w:p>
        </w:tc>
      </w:tr>
      <w:tr>
        <w:trPr>
          <w:trHeight w:val="159"/>
        </w:trPr>
        <w:tc>
          <w:tcPr>
            <w:tcW w:w="2940" w:type="dxa"/>
            <w:vAlign w:val="bottom"/>
          </w:tcPr>
          <w:p>
            <w:pPr>
              <w:spacing w:after="0"/>
              <w:rPr>
                <w:sz w:val="13"/>
                <w:szCs w:val="13"/>
                <w:color w:val="auto"/>
              </w:rPr>
            </w:pPr>
          </w:p>
        </w:tc>
        <w:tc>
          <w:tcPr>
            <w:tcW w:w="220" w:type="dxa"/>
            <w:vAlign w:val="bottom"/>
            <w:shd w:val="clear" w:color="auto" w:fill="76AD9A"/>
          </w:tcPr>
          <w:p>
            <w:pPr>
              <w:spacing w:after="0"/>
              <w:rPr>
                <w:sz w:val="13"/>
                <w:szCs w:val="13"/>
                <w:color w:val="auto"/>
              </w:rPr>
            </w:pPr>
          </w:p>
        </w:tc>
        <w:tc>
          <w:tcPr>
            <w:tcW w:w="960" w:type="dxa"/>
            <w:vAlign w:val="bottom"/>
            <w:shd w:val="clear" w:color="auto" w:fill="76AD9A"/>
          </w:tcPr>
          <w:p>
            <w:pPr>
              <w:jc w:val="right"/>
              <w:ind w:right="21"/>
              <w:spacing w:after="0" w:line="159" w:lineRule="exact"/>
              <w:rPr>
                <w:sz w:val="20"/>
                <w:szCs w:val="20"/>
                <w:color w:val="auto"/>
              </w:rPr>
            </w:pPr>
            <w:r>
              <w:rPr>
                <w:rFonts w:ascii="Arial" w:cs="Arial" w:eastAsia="Arial" w:hAnsi="Arial"/>
                <w:sz w:val="14"/>
                <w:szCs w:val="14"/>
                <w:color w:val="FFFFFF"/>
                <w:w w:val="95"/>
              </w:rPr>
              <w:t>December 31,</w:t>
            </w:r>
          </w:p>
        </w:tc>
        <w:tc>
          <w:tcPr>
            <w:tcW w:w="28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4"/>
                <w:szCs w:val="14"/>
                <w:color w:val="76AD9A"/>
              </w:rPr>
              <w:t>Assets</w:t>
            </w:r>
          </w:p>
        </w:tc>
        <w:tc>
          <w:tcPr>
            <w:tcW w:w="2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76AD9A"/>
              </w:rPr>
              <w:t>Inputs</w:t>
            </w:r>
          </w:p>
        </w:tc>
        <w:tc>
          <w:tcPr>
            <w:tcW w:w="240" w:type="dxa"/>
            <w:vAlign w:val="bottom"/>
          </w:tcPr>
          <w:p>
            <w:pPr>
              <w:spacing w:after="0"/>
              <w:rPr>
                <w:sz w:val="13"/>
                <w:szCs w:val="13"/>
                <w:color w:val="auto"/>
              </w:rPr>
            </w:pPr>
          </w:p>
        </w:tc>
        <w:tc>
          <w:tcPr>
            <w:tcW w:w="780" w:type="dxa"/>
            <w:vAlign w:val="bottom"/>
            <w:gridSpan w:val="2"/>
          </w:tcPr>
          <w:p>
            <w:pPr>
              <w:ind w:left="300"/>
              <w:spacing w:after="0" w:line="159" w:lineRule="exact"/>
              <w:rPr>
                <w:sz w:val="20"/>
                <w:szCs w:val="20"/>
                <w:color w:val="auto"/>
              </w:rPr>
            </w:pPr>
            <w:r>
              <w:rPr>
                <w:rFonts w:ascii="Arial" w:cs="Arial" w:eastAsia="Arial" w:hAnsi="Arial"/>
                <w:sz w:val="14"/>
                <w:szCs w:val="14"/>
                <w:color w:val="76AD9A"/>
              </w:rPr>
              <w:t>Inputs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21"/>
              <w:spacing w:after="0" w:line="159" w:lineRule="exact"/>
              <w:rPr>
                <w:sz w:val="20"/>
                <w:szCs w:val="20"/>
                <w:color w:val="auto"/>
              </w:rPr>
            </w:pPr>
            <w:r>
              <w:rPr>
                <w:rFonts w:ascii="Arial" w:cs="Arial" w:eastAsia="Arial" w:hAnsi="Arial"/>
                <w:sz w:val="14"/>
                <w:szCs w:val="14"/>
                <w:color w:val="76AD9A"/>
                <w:w w:val="97"/>
              </w:rPr>
              <w:t>December 31,</w:t>
            </w:r>
          </w:p>
        </w:tc>
        <w:tc>
          <w:tcPr>
            <w:tcW w:w="220" w:type="dxa"/>
            <w:vAlign w:val="bottom"/>
          </w:tcPr>
          <w:p>
            <w:pPr>
              <w:spacing w:after="0"/>
              <w:rPr>
                <w:sz w:val="13"/>
                <w:szCs w:val="13"/>
                <w:color w:val="auto"/>
              </w:rPr>
            </w:pPr>
          </w:p>
        </w:tc>
        <w:tc>
          <w:tcPr>
            <w:tcW w:w="780" w:type="dxa"/>
            <w:vAlign w:val="bottom"/>
          </w:tcPr>
          <w:p>
            <w:pPr>
              <w:jc w:val="right"/>
              <w:ind w:right="6"/>
              <w:spacing w:after="0" w:line="159" w:lineRule="exact"/>
              <w:rPr>
                <w:sz w:val="20"/>
                <w:szCs w:val="20"/>
                <w:color w:val="auto"/>
              </w:rPr>
            </w:pPr>
            <w:r>
              <w:rPr>
                <w:rFonts w:ascii="Arial" w:cs="Arial" w:eastAsia="Arial" w:hAnsi="Arial"/>
                <w:sz w:val="14"/>
                <w:szCs w:val="14"/>
                <w:color w:val="76AD9A"/>
              </w:rPr>
              <w:t>Assets</w:t>
            </w:r>
          </w:p>
        </w:tc>
        <w:tc>
          <w:tcPr>
            <w:tcW w:w="220" w:type="dxa"/>
            <w:vAlign w:val="bottom"/>
          </w:tcPr>
          <w:p>
            <w:pPr>
              <w:spacing w:after="0"/>
              <w:rPr>
                <w:sz w:val="13"/>
                <w:szCs w:val="13"/>
                <w:color w:val="auto"/>
              </w:rPr>
            </w:pPr>
          </w:p>
        </w:tc>
        <w:tc>
          <w:tcPr>
            <w:tcW w:w="820" w:type="dxa"/>
            <w:vAlign w:val="bottom"/>
          </w:tcPr>
          <w:p>
            <w:pPr>
              <w:jc w:val="right"/>
              <w:ind w:right="25"/>
              <w:spacing w:after="0" w:line="159" w:lineRule="exact"/>
              <w:rPr>
                <w:sz w:val="20"/>
                <w:szCs w:val="20"/>
                <w:color w:val="auto"/>
              </w:rPr>
            </w:pPr>
            <w:r>
              <w:rPr>
                <w:rFonts w:ascii="Arial" w:cs="Arial" w:eastAsia="Arial" w:hAnsi="Arial"/>
                <w:sz w:val="14"/>
                <w:szCs w:val="14"/>
                <w:color w:val="76AD9A"/>
              </w:rPr>
              <w:t>Inputs</w:t>
            </w:r>
          </w:p>
        </w:tc>
        <w:tc>
          <w:tcPr>
            <w:tcW w:w="2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76AD9A"/>
              </w:rPr>
              <w:t>Inputs</w:t>
            </w:r>
          </w:p>
        </w:tc>
      </w:tr>
      <w:tr>
        <w:trPr>
          <w:trHeight w:val="150"/>
        </w:trPr>
        <w:tc>
          <w:tcPr>
            <w:tcW w:w="2940" w:type="dxa"/>
            <w:vAlign w:val="bottom"/>
            <w:tcBorders>
              <w:bottom w:val="single" w:sz="8" w:color="76AD9A"/>
            </w:tcBorders>
          </w:tcPr>
          <w:p>
            <w:pPr>
              <w:spacing w:after="0"/>
              <w:rPr>
                <w:sz w:val="13"/>
                <w:szCs w:val="13"/>
                <w:color w:val="auto"/>
              </w:rPr>
            </w:pPr>
          </w:p>
        </w:tc>
        <w:tc>
          <w:tcPr>
            <w:tcW w:w="220" w:type="dxa"/>
            <w:vAlign w:val="bottom"/>
            <w:tcBorders>
              <w:bottom w:val="single" w:sz="8" w:color="76AD9A"/>
            </w:tcBorders>
            <w:shd w:val="clear" w:color="auto" w:fill="76AD9A"/>
          </w:tcPr>
          <w:p>
            <w:pPr>
              <w:spacing w:after="0"/>
              <w:rPr>
                <w:sz w:val="13"/>
                <w:szCs w:val="13"/>
                <w:color w:val="auto"/>
              </w:rPr>
            </w:pPr>
          </w:p>
        </w:tc>
        <w:tc>
          <w:tcPr>
            <w:tcW w:w="960" w:type="dxa"/>
            <w:vAlign w:val="bottom"/>
            <w:tcBorders>
              <w:bottom w:val="single" w:sz="8" w:color="76AD9A"/>
            </w:tcBorders>
            <w:shd w:val="clear" w:color="auto" w:fill="76AD9A"/>
          </w:tcPr>
          <w:p>
            <w:pPr>
              <w:jc w:val="right"/>
              <w:ind w:right="21"/>
              <w:spacing w:after="0" w:line="151" w:lineRule="exact"/>
              <w:rPr>
                <w:sz w:val="20"/>
                <w:szCs w:val="20"/>
                <w:color w:val="auto"/>
              </w:rPr>
            </w:pPr>
            <w:r>
              <w:rPr>
                <w:rFonts w:ascii="Arial" w:cs="Arial" w:eastAsia="Arial" w:hAnsi="Arial"/>
                <w:sz w:val="14"/>
                <w:szCs w:val="14"/>
                <w:color w:val="FFFFFF"/>
              </w:rPr>
              <w:t>2013</w:t>
            </w:r>
          </w:p>
        </w:tc>
        <w:tc>
          <w:tcPr>
            <w:tcW w:w="280" w:type="dxa"/>
            <w:vAlign w:val="bottom"/>
            <w:tcBorders>
              <w:bottom w:val="single" w:sz="8" w:color="76AD9A"/>
            </w:tcBorders>
          </w:tcPr>
          <w:p>
            <w:pPr>
              <w:spacing w:after="0"/>
              <w:rPr>
                <w:sz w:val="13"/>
                <w:szCs w:val="13"/>
                <w:color w:val="auto"/>
              </w:rPr>
            </w:pPr>
          </w:p>
        </w:tc>
        <w:tc>
          <w:tcPr>
            <w:tcW w:w="78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(Level 1)</w:t>
            </w:r>
          </w:p>
        </w:tc>
        <w:tc>
          <w:tcPr>
            <w:tcW w:w="240" w:type="dxa"/>
            <w:vAlign w:val="bottom"/>
            <w:tcBorders>
              <w:bottom w:val="single" w:sz="8" w:color="76AD9A"/>
            </w:tcBorders>
          </w:tcPr>
          <w:p>
            <w:pPr>
              <w:spacing w:after="0"/>
              <w:rPr>
                <w:sz w:val="13"/>
                <w:szCs w:val="13"/>
                <w:color w:val="auto"/>
              </w:rPr>
            </w:pPr>
          </w:p>
        </w:tc>
        <w:tc>
          <w:tcPr>
            <w:tcW w:w="80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(Level 2)</w:t>
            </w:r>
          </w:p>
        </w:tc>
        <w:tc>
          <w:tcPr>
            <w:tcW w:w="240" w:type="dxa"/>
            <w:vAlign w:val="bottom"/>
            <w:tcBorders>
              <w:bottom w:val="single" w:sz="8" w:color="76AD9A"/>
            </w:tcBorders>
          </w:tcPr>
          <w:p>
            <w:pPr>
              <w:spacing w:after="0"/>
              <w:rPr>
                <w:sz w:val="13"/>
                <w:szCs w:val="13"/>
                <w:color w:val="auto"/>
              </w:rPr>
            </w:pPr>
          </w:p>
        </w:tc>
        <w:tc>
          <w:tcPr>
            <w:tcW w:w="780" w:type="dxa"/>
            <w:vAlign w:val="bottom"/>
            <w:tcBorders>
              <w:bottom w:val="single" w:sz="8" w:color="76AD9A"/>
            </w:tcBorders>
            <w:gridSpan w:val="2"/>
          </w:tcPr>
          <w:p>
            <w:pPr>
              <w:jc w:val="right"/>
              <w:ind w:right="60"/>
              <w:spacing w:after="0" w:line="151" w:lineRule="exact"/>
              <w:rPr>
                <w:sz w:val="20"/>
                <w:szCs w:val="20"/>
                <w:color w:val="auto"/>
              </w:rPr>
            </w:pPr>
            <w:r>
              <w:rPr>
                <w:rFonts w:ascii="Arial" w:cs="Arial" w:eastAsia="Arial" w:hAnsi="Arial"/>
                <w:sz w:val="14"/>
                <w:szCs w:val="14"/>
                <w:color w:val="76AD9A"/>
              </w:rPr>
              <w:t>(Level 3)</w:t>
            </w:r>
          </w:p>
        </w:tc>
        <w:tc>
          <w:tcPr>
            <w:tcW w:w="60" w:type="dxa"/>
            <w:vAlign w:val="bottom"/>
            <w:tcBorders>
              <w:bottom w:val="single" w:sz="8" w:color="76AD9A"/>
            </w:tcBorders>
          </w:tcPr>
          <w:p>
            <w:pPr>
              <w:spacing w:after="0"/>
              <w:rPr>
                <w:sz w:val="13"/>
                <w:szCs w:val="13"/>
                <w:color w:val="auto"/>
              </w:rPr>
            </w:pPr>
          </w:p>
        </w:tc>
        <w:tc>
          <w:tcPr>
            <w:tcW w:w="100" w:type="dxa"/>
            <w:vAlign w:val="bottom"/>
            <w:tcBorders>
              <w:bottom w:val="single" w:sz="8" w:color="76AD9A"/>
            </w:tcBorders>
          </w:tcPr>
          <w:p>
            <w:pPr>
              <w:spacing w:after="0"/>
              <w:rPr>
                <w:sz w:val="13"/>
                <w:szCs w:val="13"/>
                <w:color w:val="auto"/>
              </w:rPr>
            </w:pPr>
          </w:p>
        </w:tc>
        <w:tc>
          <w:tcPr>
            <w:tcW w:w="98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2012</w:t>
            </w:r>
          </w:p>
        </w:tc>
        <w:tc>
          <w:tcPr>
            <w:tcW w:w="220" w:type="dxa"/>
            <w:vAlign w:val="bottom"/>
            <w:tcBorders>
              <w:bottom w:val="single" w:sz="8" w:color="76AD9A"/>
            </w:tcBorders>
          </w:tcPr>
          <w:p>
            <w:pPr>
              <w:spacing w:after="0"/>
              <w:rPr>
                <w:sz w:val="13"/>
                <w:szCs w:val="13"/>
                <w:color w:val="auto"/>
              </w:rPr>
            </w:pPr>
          </w:p>
        </w:tc>
        <w:tc>
          <w:tcPr>
            <w:tcW w:w="78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(Level 1)</w:t>
            </w:r>
          </w:p>
        </w:tc>
        <w:tc>
          <w:tcPr>
            <w:tcW w:w="220" w:type="dxa"/>
            <w:vAlign w:val="bottom"/>
            <w:tcBorders>
              <w:bottom w:val="single" w:sz="8" w:color="76AD9A"/>
            </w:tcBorders>
          </w:tcPr>
          <w:p>
            <w:pPr>
              <w:spacing w:after="0"/>
              <w:rPr>
                <w:sz w:val="13"/>
                <w:szCs w:val="13"/>
                <w:color w:val="auto"/>
              </w:rPr>
            </w:pPr>
          </w:p>
        </w:tc>
        <w:tc>
          <w:tcPr>
            <w:tcW w:w="82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(Level 2)</w:t>
            </w:r>
          </w:p>
        </w:tc>
        <w:tc>
          <w:tcPr>
            <w:tcW w:w="240" w:type="dxa"/>
            <w:vAlign w:val="bottom"/>
            <w:tcBorders>
              <w:bottom w:val="single" w:sz="8" w:color="76AD9A"/>
            </w:tcBorders>
          </w:tcPr>
          <w:p>
            <w:pPr>
              <w:spacing w:after="0"/>
              <w:rPr>
                <w:sz w:val="13"/>
                <w:szCs w:val="13"/>
                <w:color w:val="auto"/>
              </w:rPr>
            </w:pPr>
          </w:p>
        </w:tc>
        <w:tc>
          <w:tcPr>
            <w:tcW w:w="72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(Level 3)</w:t>
            </w:r>
          </w:p>
        </w:tc>
      </w:tr>
      <w:tr>
        <w:trPr>
          <w:trHeight w:val="199"/>
        </w:trPr>
        <w:tc>
          <w:tcPr>
            <w:tcW w:w="2940" w:type="dxa"/>
            <w:vAlign w:val="bottom"/>
          </w:tcPr>
          <w:p>
            <w:pPr>
              <w:spacing w:after="0"/>
              <w:rPr>
                <w:sz w:val="20"/>
                <w:szCs w:val="20"/>
                <w:color w:val="auto"/>
              </w:rPr>
            </w:pPr>
            <w:r>
              <w:rPr>
                <w:rFonts w:ascii="Arial" w:cs="Arial" w:eastAsia="Arial" w:hAnsi="Arial"/>
                <w:sz w:val="17"/>
                <w:szCs w:val="17"/>
                <w:color w:val="777679"/>
              </w:rPr>
              <w:t>Assets</w:t>
            </w:r>
          </w:p>
        </w:tc>
        <w:tc>
          <w:tcPr>
            <w:tcW w:w="220" w:type="dxa"/>
            <w:vAlign w:val="bottom"/>
            <w:shd w:val="clear" w:color="auto" w:fill="EEF5F2"/>
          </w:tcPr>
          <w:p>
            <w:pPr>
              <w:spacing w:after="0"/>
              <w:rPr>
                <w:sz w:val="17"/>
                <w:szCs w:val="17"/>
                <w:color w:val="auto"/>
              </w:rPr>
            </w:pPr>
          </w:p>
        </w:tc>
        <w:tc>
          <w:tcPr>
            <w:tcW w:w="960" w:type="dxa"/>
            <w:vAlign w:val="bottom"/>
            <w:shd w:val="clear" w:color="auto" w:fill="EEF5F2"/>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2940" w:type="dxa"/>
            <w:vAlign w:val="bottom"/>
          </w:tcPr>
          <w:p>
            <w:pPr>
              <w:spacing w:after="0"/>
              <w:rPr>
                <w:sz w:val="20"/>
                <w:szCs w:val="20"/>
                <w:color w:val="auto"/>
              </w:rPr>
            </w:pPr>
            <w:r>
              <w:rPr>
                <w:rFonts w:ascii="Arial" w:cs="Arial" w:eastAsia="Arial" w:hAnsi="Arial"/>
                <w:sz w:val="17"/>
                <w:szCs w:val="17"/>
                <w:color w:val="373535"/>
              </w:rPr>
              <w:t>Foreign currency forward contracts</w:t>
            </w:r>
          </w:p>
        </w:tc>
        <w:tc>
          <w:tcPr>
            <w:tcW w:w="22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960" w:type="dxa"/>
            <w:vAlign w:val="bottom"/>
            <w:shd w:val="clear" w:color="auto" w:fill="EEF5F2"/>
          </w:tcPr>
          <w:p>
            <w:pPr>
              <w:jc w:val="right"/>
              <w:ind w:right="21"/>
              <w:spacing w:after="0"/>
              <w:rPr>
                <w:sz w:val="20"/>
                <w:szCs w:val="20"/>
                <w:color w:val="auto"/>
              </w:rPr>
            </w:pPr>
            <w:r>
              <w:rPr>
                <w:rFonts w:ascii="Arial" w:cs="Arial" w:eastAsia="Arial" w:hAnsi="Arial"/>
                <w:sz w:val="17"/>
                <w:szCs w:val="17"/>
                <w:color w:val="76AD9A"/>
              </w:rPr>
              <w:t>0.3</w:t>
            </w:r>
          </w:p>
        </w:tc>
        <w:tc>
          <w:tcPr>
            <w:tcW w:w="280" w:type="dxa"/>
            <w:vAlign w:val="bottom"/>
          </w:tcPr>
          <w:p>
            <w:pPr>
              <w:jc w:val="right"/>
              <w:spacing w:after="0"/>
              <w:rPr>
                <w:sz w:val="20"/>
                <w:szCs w:val="20"/>
                <w:color w:val="auto"/>
              </w:rPr>
            </w:pPr>
            <w:r>
              <w:rPr>
                <w:rFonts w:ascii="Arial" w:cs="Arial" w:eastAsia="Arial" w:hAnsi="Arial"/>
                <w:sz w:val="17"/>
                <w:szCs w:val="17"/>
                <w:color w:val="373535"/>
              </w:rPr>
              <w:t>$</w:t>
            </w:r>
          </w:p>
        </w:tc>
        <w:tc>
          <w:tcPr>
            <w:tcW w:w="780" w:type="dxa"/>
            <w:vAlign w:val="bottom"/>
          </w:tcPr>
          <w:p>
            <w:pPr>
              <w:jc w:val="right"/>
              <w:spacing w:after="0"/>
              <w:rPr>
                <w:sz w:val="20"/>
                <w:szCs w:val="20"/>
                <w:color w:val="auto"/>
              </w:rPr>
            </w:pPr>
            <w:r>
              <w:rPr>
                <w:rFonts w:ascii="Arial" w:cs="Arial" w:eastAsia="Arial" w:hAnsi="Arial"/>
                <w:sz w:val="17"/>
                <w:szCs w:val="17"/>
                <w:color w:val="373535"/>
              </w:rPr>
              <w:t>—</w:t>
            </w:r>
          </w:p>
        </w:tc>
        <w:tc>
          <w:tcPr>
            <w:tcW w:w="240" w:type="dxa"/>
            <w:vAlign w:val="bottom"/>
          </w:tcPr>
          <w:p>
            <w:pPr>
              <w:jc w:val="right"/>
              <w:spacing w:after="0"/>
              <w:rPr>
                <w:sz w:val="20"/>
                <w:szCs w:val="20"/>
                <w:color w:val="auto"/>
              </w:rPr>
            </w:pPr>
            <w:r>
              <w:rPr>
                <w:rFonts w:ascii="Arial" w:cs="Arial" w:eastAsia="Arial" w:hAnsi="Arial"/>
                <w:sz w:val="17"/>
                <w:szCs w:val="17"/>
                <w:color w:val="373535"/>
              </w:rPr>
              <w:t>$</w:t>
            </w:r>
          </w:p>
        </w:tc>
        <w:tc>
          <w:tcPr>
            <w:tcW w:w="800" w:type="dxa"/>
            <w:vAlign w:val="bottom"/>
          </w:tcPr>
          <w:p>
            <w:pPr>
              <w:jc w:val="right"/>
              <w:spacing w:after="0"/>
              <w:rPr>
                <w:sz w:val="20"/>
                <w:szCs w:val="20"/>
                <w:color w:val="auto"/>
              </w:rPr>
            </w:pPr>
            <w:r>
              <w:rPr>
                <w:rFonts w:ascii="Arial" w:cs="Arial" w:eastAsia="Arial" w:hAnsi="Arial"/>
                <w:sz w:val="17"/>
                <w:szCs w:val="17"/>
                <w:color w:val="373535"/>
              </w:rPr>
              <w:t>0.3</w:t>
            </w:r>
          </w:p>
        </w:tc>
        <w:tc>
          <w:tcPr>
            <w:tcW w:w="240" w:type="dxa"/>
            <w:vAlign w:val="bottom"/>
          </w:tcPr>
          <w:p>
            <w:pPr>
              <w:jc w:val="right"/>
              <w:spacing w:after="0"/>
              <w:rPr>
                <w:sz w:val="20"/>
                <w:szCs w:val="20"/>
                <w:color w:val="auto"/>
              </w:rPr>
            </w:pPr>
            <w:r>
              <w:rPr>
                <w:rFonts w:ascii="Arial" w:cs="Arial" w:eastAsia="Arial" w:hAnsi="Arial"/>
                <w:sz w:val="17"/>
                <w:szCs w:val="17"/>
                <w:color w:val="373535"/>
              </w:rPr>
              <w:t>$</w:t>
            </w:r>
          </w:p>
        </w:tc>
        <w:tc>
          <w:tcPr>
            <w:tcW w:w="780" w:type="dxa"/>
            <w:vAlign w:val="bottom"/>
            <w:gridSpan w:val="2"/>
          </w:tcPr>
          <w:p>
            <w:pPr>
              <w:jc w:val="right"/>
              <w:ind w:right="60"/>
              <w:spacing w:after="0"/>
              <w:rPr>
                <w:sz w:val="20"/>
                <w:szCs w:val="20"/>
                <w:color w:val="auto"/>
              </w:rPr>
            </w:pPr>
            <w:r>
              <w:rPr>
                <w:rFonts w:ascii="Arial" w:cs="Arial" w:eastAsia="Arial" w:hAnsi="Arial"/>
                <w:sz w:val="17"/>
                <w:szCs w:val="17"/>
                <w:color w:val="373535"/>
              </w:rPr>
              <w:t>—</w:t>
            </w:r>
          </w:p>
        </w:tc>
        <w:tc>
          <w:tcPr>
            <w:tcW w:w="160" w:type="dxa"/>
            <w:vAlign w:val="bottom"/>
            <w:gridSpan w:val="2"/>
          </w:tcPr>
          <w:p>
            <w:pPr>
              <w:jc w:val="right"/>
              <w:spacing w:after="0"/>
              <w:rPr>
                <w:sz w:val="20"/>
                <w:szCs w:val="20"/>
                <w:color w:val="auto"/>
              </w:rPr>
            </w:pPr>
            <w:r>
              <w:rPr>
                <w:rFonts w:ascii="Arial" w:cs="Arial" w:eastAsia="Arial" w:hAnsi="Arial"/>
                <w:sz w:val="17"/>
                <w:szCs w:val="17"/>
                <w:color w:val="373535"/>
              </w:rPr>
              <w:t>$</w:t>
            </w:r>
          </w:p>
        </w:tc>
        <w:tc>
          <w:tcPr>
            <w:tcW w:w="980" w:type="dxa"/>
            <w:vAlign w:val="bottom"/>
          </w:tcPr>
          <w:p>
            <w:pPr>
              <w:jc w:val="right"/>
              <w:spacing w:after="0"/>
              <w:rPr>
                <w:sz w:val="20"/>
                <w:szCs w:val="20"/>
                <w:color w:val="auto"/>
              </w:rPr>
            </w:pPr>
            <w:r>
              <w:rPr>
                <w:rFonts w:ascii="Arial" w:cs="Arial" w:eastAsia="Arial" w:hAnsi="Arial"/>
                <w:sz w:val="17"/>
                <w:szCs w:val="17"/>
                <w:color w:val="373535"/>
              </w:rPr>
              <w:t>0.1</w:t>
            </w:r>
          </w:p>
        </w:tc>
        <w:tc>
          <w:tcPr>
            <w:tcW w:w="220" w:type="dxa"/>
            <w:vAlign w:val="bottom"/>
          </w:tcPr>
          <w:p>
            <w:pPr>
              <w:jc w:val="right"/>
              <w:spacing w:after="0"/>
              <w:rPr>
                <w:sz w:val="20"/>
                <w:szCs w:val="20"/>
                <w:color w:val="auto"/>
              </w:rPr>
            </w:pPr>
            <w:r>
              <w:rPr>
                <w:rFonts w:ascii="Arial" w:cs="Arial" w:eastAsia="Arial" w:hAnsi="Arial"/>
                <w:sz w:val="17"/>
                <w:szCs w:val="17"/>
                <w:color w:val="373535"/>
              </w:rPr>
              <w:t>$</w:t>
            </w:r>
          </w:p>
        </w:tc>
        <w:tc>
          <w:tcPr>
            <w:tcW w:w="780" w:type="dxa"/>
            <w:vAlign w:val="bottom"/>
          </w:tcPr>
          <w:p>
            <w:pPr>
              <w:jc w:val="right"/>
              <w:spacing w:after="0"/>
              <w:rPr>
                <w:sz w:val="20"/>
                <w:szCs w:val="20"/>
                <w:color w:val="auto"/>
              </w:rPr>
            </w:pPr>
            <w:r>
              <w:rPr>
                <w:rFonts w:ascii="Arial" w:cs="Arial" w:eastAsia="Arial" w:hAnsi="Arial"/>
                <w:sz w:val="17"/>
                <w:szCs w:val="17"/>
                <w:color w:val="373535"/>
              </w:rPr>
              <w:t>—</w:t>
            </w:r>
          </w:p>
        </w:tc>
        <w:tc>
          <w:tcPr>
            <w:tcW w:w="220" w:type="dxa"/>
            <w:vAlign w:val="bottom"/>
          </w:tcPr>
          <w:p>
            <w:pPr>
              <w:jc w:val="right"/>
              <w:spacing w:after="0"/>
              <w:rPr>
                <w:sz w:val="20"/>
                <w:szCs w:val="20"/>
                <w:color w:val="auto"/>
              </w:rPr>
            </w:pPr>
            <w:r>
              <w:rPr>
                <w:rFonts w:ascii="Arial" w:cs="Arial" w:eastAsia="Arial" w:hAnsi="Arial"/>
                <w:sz w:val="17"/>
                <w:szCs w:val="17"/>
                <w:color w:val="373535"/>
              </w:rPr>
              <w:t>$</w:t>
            </w:r>
          </w:p>
        </w:tc>
        <w:tc>
          <w:tcPr>
            <w:tcW w:w="820" w:type="dxa"/>
            <w:vAlign w:val="bottom"/>
          </w:tcPr>
          <w:p>
            <w:pPr>
              <w:jc w:val="right"/>
              <w:spacing w:after="0"/>
              <w:rPr>
                <w:sz w:val="20"/>
                <w:szCs w:val="20"/>
                <w:color w:val="auto"/>
              </w:rPr>
            </w:pPr>
            <w:r>
              <w:rPr>
                <w:rFonts w:ascii="Arial" w:cs="Arial" w:eastAsia="Arial" w:hAnsi="Arial"/>
                <w:sz w:val="17"/>
                <w:szCs w:val="17"/>
                <w:color w:val="373535"/>
              </w:rPr>
              <w:t>0.1</w:t>
            </w:r>
          </w:p>
        </w:tc>
        <w:tc>
          <w:tcPr>
            <w:tcW w:w="240" w:type="dxa"/>
            <w:vAlign w:val="bottom"/>
          </w:tcPr>
          <w:p>
            <w:pPr>
              <w:jc w:val="right"/>
              <w:spacing w:after="0"/>
              <w:rPr>
                <w:sz w:val="20"/>
                <w:szCs w:val="20"/>
                <w:color w:val="auto"/>
              </w:rPr>
            </w:pPr>
            <w:r>
              <w:rPr>
                <w:rFonts w:ascii="Arial" w:cs="Arial" w:eastAsia="Arial" w:hAnsi="Arial"/>
                <w:sz w:val="17"/>
                <w:szCs w:val="17"/>
                <w:color w:val="373535"/>
              </w:rPr>
              <w:t>$</w:t>
            </w:r>
          </w:p>
        </w:tc>
        <w:tc>
          <w:tcPr>
            <w:tcW w:w="720" w:type="dxa"/>
            <w:vAlign w:val="bottom"/>
          </w:tcPr>
          <w:p>
            <w:pPr>
              <w:jc w:val="right"/>
              <w:spacing w:after="0"/>
              <w:rPr>
                <w:sz w:val="20"/>
                <w:szCs w:val="20"/>
                <w:color w:val="auto"/>
              </w:rPr>
            </w:pPr>
            <w:r>
              <w:rPr>
                <w:rFonts w:ascii="Arial" w:cs="Arial" w:eastAsia="Arial" w:hAnsi="Arial"/>
                <w:sz w:val="17"/>
                <w:szCs w:val="17"/>
                <w:color w:val="373535"/>
              </w:rPr>
              <w:t>—</w:t>
            </w:r>
          </w:p>
        </w:tc>
      </w:tr>
      <w:tr>
        <w:trPr>
          <w:trHeight w:val="206"/>
        </w:trPr>
        <w:tc>
          <w:tcPr>
            <w:tcW w:w="2940" w:type="dxa"/>
            <w:vAlign w:val="bottom"/>
            <w:tcBorders>
              <w:bottom w:val="single" w:sz="8" w:color="717073"/>
            </w:tcBorders>
          </w:tcPr>
          <w:p>
            <w:pPr>
              <w:spacing w:after="0"/>
              <w:rPr>
                <w:sz w:val="20"/>
                <w:szCs w:val="20"/>
                <w:color w:val="auto"/>
              </w:rPr>
            </w:pPr>
            <w:r>
              <w:rPr>
                <w:rFonts w:ascii="Arial" w:cs="Arial" w:eastAsia="Arial" w:hAnsi="Arial"/>
                <w:sz w:val="17"/>
                <w:szCs w:val="17"/>
                <w:color w:val="373535"/>
              </w:rPr>
              <w:t>Deferred compensation plan assets</w:t>
            </w:r>
          </w:p>
        </w:tc>
        <w:tc>
          <w:tcPr>
            <w:tcW w:w="220" w:type="dxa"/>
            <w:vAlign w:val="bottom"/>
            <w:tcBorders>
              <w:bottom w:val="single" w:sz="8" w:color="717073"/>
            </w:tcBorders>
            <w:shd w:val="clear" w:color="auto" w:fill="EEF5F2"/>
          </w:tcPr>
          <w:p>
            <w:pPr>
              <w:spacing w:after="0"/>
              <w:rPr>
                <w:sz w:val="17"/>
                <w:szCs w:val="17"/>
                <w:color w:val="auto"/>
              </w:rPr>
            </w:pPr>
          </w:p>
        </w:tc>
        <w:tc>
          <w:tcPr>
            <w:tcW w:w="960" w:type="dxa"/>
            <w:vAlign w:val="bottom"/>
            <w:tcBorders>
              <w:bottom w:val="single" w:sz="8" w:color="717073"/>
            </w:tcBorders>
            <w:shd w:val="clear" w:color="auto" w:fill="EEF5F2"/>
          </w:tcPr>
          <w:p>
            <w:pPr>
              <w:jc w:val="right"/>
              <w:ind w:right="21"/>
              <w:spacing w:after="0"/>
              <w:rPr>
                <w:sz w:val="20"/>
                <w:szCs w:val="20"/>
                <w:color w:val="auto"/>
              </w:rPr>
            </w:pPr>
            <w:r>
              <w:rPr>
                <w:rFonts w:ascii="Arial" w:cs="Arial" w:eastAsia="Arial" w:hAnsi="Arial"/>
                <w:sz w:val="17"/>
                <w:szCs w:val="17"/>
                <w:color w:val="76AD9A"/>
              </w:rPr>
              <w:t>71.6</w:t>
            </w:r>
          </w:p>
        </w:tc>
        <w:tc>
          <w:tcPr>
            <w:tcW w:w="280" w:type="dxa"/>
            <w:vAlign w:val="bottom"/>
            <w:tcBorders>
              <w:bottom w:val="single" w:sz="8" w:color="717073"/>
            </w:tcBorders>
          </w:tcPr>
          <w:p>
            <w:pPr>
              <w:spacing w:after="0"/>
              <w:rPr>
                <w:sz w:val="17"/>
                <w:szCs w:val="17"/>
                <w:color w:val="auto"/>
              </w:rPr>
            </w:pPr>
          </w:p>
        </w:tc>
        <w:tc>
          <w:tcPr>
            <w:tcW w:w="7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71.6</w:t>
            </w:r>
          </w:p>
        </w:tc>
        <w:tc>
          <w:tcPr>
            <w:tcW w:w="240" w:type="dxa"/>
            <w:vAlign w:val="bottom"/>
            <w:tcBorders>
              <w:bottom w:val="single" w:sz="8" w:color="717073"/>
            </w:tcBorders>
          </w:tcPr>
          <w:p>
            <w:pPr>
              <w:spacing w:after="0"/>
              <w:rPr>
                <w:sz w:val="17"/>
                <w:szCs w:val="17"/>
                <w:color w:val="auto"/>
              </w:rPr>
            </w:pPr>
          </w:p>
        </w:tc>
        <w:tc>
          <w:tcPr>
            <w:tcW w:w="80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240" w:type="dxa"/>
            <w:vAlign w:val="bottom"/>
            <w:tcBorders>
              <w:bottom w:val="single" w:sz="8" w:color="717073"/>
            </w:tcBorders>
          </w:tcPr>
          <w:p>
            <w:pPr>
              <w:spacing w:after="0"/>
              <w:rPr>
                <w:sz w:val="17"/>
                <w:szCs w:val="17"/>
                <w:color w:val="auto"/>
              </w:rPr>
            </w:pPr>
          </w:p>
        </w:tc>
        <w:tc>
          <w:tcPr>
            <w:tcW w:w="780" w:type="dxa"/>
            <w:vAlign w:val="bottom"/>
            <w:tcBorders>
              <w:bottom w:val="single" w:sz="8" w:color="717073"/>
            </w:tcBorders>
            <w:gridSpan w:val="2"/>
          </w:tcPr>
          <w:p>
            <w:pPr>
              <w:jc w:val="right"/>
              <w:ind w:right="60"/>
              <w:spacing w:after="0"/>
              <w:rPr>
                <w:sz w:val="20"/>
                <w:szCs w:val="20"/>
                <w:color w:val="auto"/>
              </w:rPr>
            </w:pPr>
            <w:r>
              <w:rPr>
                <w:rFonts w:ascii="Arial" w:cs="Arial" w:eastAsia="Arial" w:hAnsi="Arial"/>
                <w:sz w:val="17"/>
                <w:szCs w:val="17"/>
                <w:color w:val="373535"/>
              </w:rPr>
              <w:t>—</w:t>
            </w:r>
          </w:p>
        </w:tc>
        <w:tc>
          <w:tcPr>
            <w:tcW w:w="60" w:type="dxa"/>
            <w:vAlign w:val="bottom"/>
            <w:tcBorders>
              <w:bottom w:val="single" w:sz="8" w:color="717073"/>
            </w:tcBorders>
          </w:tcPr>
          <w:p>
            <w:pPr>
              <w:spacing w:after="0"/>
              <w:rPr>
                <w:sz w:val="17"/>
                <w:szCs w:val="17"/>
                <w:color w:val="auto"/>
              </w:rPr>
            </w:pPr>
          </w:p>
        </w:tc>
        <w:tc>
          <w:tcPr>
            <w:tcW w:w="100" w:type="dxa"/>
            <w:vAlign w:val="bottom"/>
            <w:tcBorders>
              <w:bottom w:val="single" w:sz="8" w:color="717073"/>
            </w:tcBorders>
          </w:tcPr>
          <w:p>
            <w:pPr>
              <w:spacing w:after="0"/>
              <w:rPr>
                <w:sz w:val="17"/>
                <w:szCs w:val="17"/>
                <w:color w:val="auto"/>
              </w:rPr>
            </w:pPr>
          </w:p>
        </w:tc>
        <w:tc>
          <w:tcPr>
            <w:tcW w:w="9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58.7</w:t>
            </w:r>
          </w:p>
        </w:tc>
        <w:tc>
          <w:tcPr>
            <w:tcW w:w="220" w:type="dxa"/>
            <w:vAlign w:val="bottom"/>
            <w:tcBorders>
              <w:bottom w:val="single" w:sz="8" w:color="717073"/>
            </w:tcBorders>
          </w:tcPr>
          <w:p>
            <w:pPr>
              <w:spacing w:after="0"/>
              <w:rPr>
                <w:sz w:val="17"/>
                <w:szCs w:val="17"/>
                <w:color w:val="auto"/>
              </w:rPr>
            </w:pPr>
          </w:p>
        </w:tc>
        <w:tc>
          <w:tcPr>
            <w:tcW w:w="7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58.7</w:t>
            </w:r>
          </w:p>
        </w:tc>
        <w:tc>
          <w:tcPr>
            <w:tcW w:w="220" w:type="dxa"/>
            <w:vAlign w:val="bottom"/>
            <w:tcBorders>
              <w:bottom w:val="single" w:sz="8" w:color="717073"/>
            </w:tcBorders>
          </w:tcPr>
          <w:p>
            <w:pPr>
              <w:spacing w:after="0"/>
              <w:rPr>
                <w:sz w:val="17"/>
                <w:szCs w:val="17"/>
                <w:color w:val="auto"/>
              </w:rPr>
            </w:pPr>
          </w:p>
        </w:tc>
        <w:tc>
          <w:tcPr>
            <w:tcW w:w="8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240" w:type="dxa"/>
            <w:vAlign w:val="bottom"/>
            <w:tcBorders>
              <w:bottom w:val="single" w:sz="8" w:color="717073"/>
            </w:tcBorders>
          </w:tcPr>
          <w:p>
            <w:pPr>
              <w:spacing w:after="0"/>
              <w:rPr>
                <w:sz w:val="17"/>
                <w:szCs w:val="17"/>
                <w:color w:val="auto"/>
              </w:rPr>
            </w:pPr>
          </w:p>
        </w:tc>
        <w:tc>
          <w:tcPr>
            <w:tcW w:w="7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r>
      <w:tr>
        <w:trPr>
          <w:trHeight w:val="199"/>
        </w:trPr>
        <w:tc>
          <w:tcPr>
            <w:tcW w:w="2940" w:type="dxa"/>
            <w:vAlign w:val="bottom"/>
            <w:tcBorders>
              <w:bottom w:val="single" w:sz="8" w:color="717073"/>
            </w:tcBorders>
          </w:tcPr>
          <w:p>
            <w:pPr>
              <w:spacing w:after="0"/>
              <w:rPr>
                <w:sz w:val="17"/>
                <w:szCs w:val="17"/>
                <w:color w:val="auto"/>
              </w:rPr>
            </w:pPr>
          </w:p>
        </w:tc>
        <w:tc>
          <w:tcPr>
            <w:tcW w:w="220" w:type="dxa"/>
            <w:vAlign w:val="bottom"/>
            <w:tcBorders>
              <w:bottom w:val="single" w:sz="8" w:color="717073"/>
            </w:tcBorders>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960" w:type="dxa"/>
            <w:vAlign w:val="bottom"/>
            <w:tcBorders>
              <w:bottom w:val="single" w:sz="8" w:color="717073"/>
            </w:tcBorders>
            <w:shd w:val="clear" w:color="auto" w:fill="EEF5F2"/>
          </w:tcPr>
          <w:p>
            <w:pPr>
              <w:jc w:val="right"/>
              <w:ind w:right="21"/>
              <w:spacing w:after="0"/>
              <w:rPr>
                <w:sz w:val="20"/>
                <w:szCs w:val="20"/>
                <w:color w:val="auto"/>
              </w:rPr>
            </w:pPr>
            <w:r>
              <w:rPr>
                <w:rFonts w:ascii="Arial" w:cs="Arial" w:eastAsia="Arial" w:hAnsi="Arial"/>
                <w:sz w:val="17"/>
                <w:szCs w:val="17"/>
                <w:color w:val="76AD9A"/>
              </w:rPr>
              <w:t>71.9</w:t>
            </w:r>
          </w:p>
        </w:tc>
        <w:tc>
          <w:tcPr>
            <w:tcW w:w="2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7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71.6</w:t>
            </w:r>
          </w:p>
        </w:tc>
        <w:tc>
          <w:tcPr>
            <w:tcW w:w="2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0.3</w:t>
            </w:r>
          </w:p>
        </w:tc>
        <w:tc>
          <w:tcPr>
            <w:tcW w:w="2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780" w:type="dxa"/>
            <w:vAlign w:val="bottom"/>
            <w:tcBorders>
              <w:bottom w:val="single" w:sz="8" w:color="717073"/>
            </w:tcBorders>
            <w:gridSpan w:val="2"/>
          </w:tcPr>
          <w:p>
            <w:pPr>
              <w:jc w:val="right"/>
              <w:ind w:right="60"/>
              <w:spacing w:after="0"/>
              <w:rPr>
                <w:sz w:val="20"/>
                <w:szCs w:val="20"/>
                <w:color w:val="auto"/>
              </w:rPr>
            </w:pPr>
            <w:r>
              <w:rPr>
                <w:rFonts w:ascii="Arial" w:cs="Arial" w:eastAsia="Arial" w:hAnsi="Arial"/>
                <w:sz w:val="17"/>
                <w:szCs w:val="17"/>
                <w:color w:val="373535"/>
              </w:rPr>
              <w:t>—</w:t>
            </w:r>
          </w:p>
        </w:tc>
        <w:tc>
          <w:tcPr>
            <w:tcW w:w="160" w:type="dxa"/>
            <w:vAlign w:val="bottom"/>
            <w:tcBorders>
              <w:bottom w:val="single" w:sz="8" w:color="717073"/>
            </w:tcBorders>
            <w:gridSpan w:val="2"/>
          </w:tcPr>
          <w:p>
            <w:pPr>
              <w:jc w:val="right"/>
              <w:spacing w:after="0"/>
              <w:rPr>
                <w:sz w:val="20"/>
                <w:szCs w:val="20"/>
                <w:color w:val="auto"/>
              </w:rPr>
            </w:pPr>
            <w:r>
              <w:rPr>
                <w:rFonts w:ascii="Arial" w:cs="Arial" w:eastAsia="Arial" w:hAnsi="Arial"/>
                <w:sz w:val="17"/>
                <w:szCs w:val="17"/>
                <w:color w:val="373535"/>
              </w:rPr>
              <w:t>$</w:t>
            </w:r>
          </w:p>
        </w:tc>
        <w:tc>
          <w:tcPr>
            <w:tcW w:w="9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58.8</w:t>
            </w:r>
          </w:p>
        </w:tc>
        <w:tc>
          <w:tcPr>
            <w:tcW w:w="2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7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58.7</w:t>
            </w:r>
          </w:p>
        </w:tc>
        <w:tc>
          <w:tcPr>
            <w:tcW w:w="2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8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0.1</w:t>
            </w:r>
          </w:p>
        </w:tc>
        <w:tc>
          <w:tcPr>
            <w:tcW w:w="2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c>
          <w:tcPr>
            <w:tcW w:w="7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r>
    </w:tbl>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373535"/>
        </w:rPr>
        <w:t>We determine the fair value of our deferred compensation plan assets, comprised of publicly traded securities, by using market quotes as of the last day of the period. The fair value of the foreign currency forward contracts is measured at the value from either directly or indirectly observable third parties.</w:t>
      </w:r>
    </w:p>
    <w:p>
      <w:pPr>
        <w:spacing w:after="0" w:line="34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carrying values of cash and cash equivalents, accounts receivable, accounts payable, and other current assets and liabilities approximate their fair values because of the short-term nature of these instruments. The carrying value of our variable-rate long-term debt approximates fair value. The fair value of the euro-denominated notes, as observable at commonly quoted intervals (Level 2 inputs), was $520.1 and $778.8 as of December 31, 2013 and 2012, respectively, compared to a carrying value of $480.9 and $725.5,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GOODWILL AND OTHER INTANGIBLE ASSETS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373535"/>
        </w:rPr>
        <w:t>We have goodwill, finite-lived intangible assets and indefinite-lived intangible assets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00" w:type="dxa"/>
            <w:vAlign w:val="bottom"/>
            <w:shd w:val="clear" w:color="auto" w:fill="76AD9A"/>
          </w:tcPr>
          <w:p>
            <w:pPr>
              <w:spacing w:after="0"/>
              <w:rPr>
                <w:sz w:val="16"/>
                <w:szCs w:val="16"/>
                <w:color w:val="auto"/>
              </w:rPr>
            </w:pPr>
          </w:p>
        </w:tc>
        <w:tc>
          <w:tcPr>
            <w:tcW w:w="850" w:type="dxa"/>
            <w:vAlign w:val="bottom"/>
            <w:shd w:val="clear" w:color="auto" w:fill="76AD9A"/>
          </w:tcPr>
          <w:p>
            <w:pPr>
              <w:spacing w:after="0"/>
              <w:rPr>
                <w:sz w:val="16"/>
                <w:szCs w:val="16"/>
                <w:color w:val="auto"/>
              </w:rPr>
            </w:pPr>
          </w:p>
        </w:tc>
        <w:tc>
          <w:tcPr>
            <w:tcW w:w="230" w:type="dxa"/>
            <w:vAlign w:val="bottom"/>
            <w:shd w:val="clear" w:color="auto" w:fill="76AD9A"/>
          </w:tcPr>
          <w:p>
            <w:pPr>
              <w:spacing w:after="0"/>
              <w:rPr>
                <w:sz w:val="16"/>
                <w:szCs w:val="16"/>
                <w:color w:val="auto"/>
              </w:rPr>
            </w:pPr>
          </w:p>
        </w:tc>
        <w:tc>
          <w:tcPr>
            <w:tcW w:w="1040" w:type="dxa"/>
            <w:vAlign w:val="bottom"/>
            <w:shd w:val="clear" w:color="auto" w:fill="76AD9A"/>
          </w:tcPr>
          <w:p>
            <w:pPr>
              <w:spacing w:after="0"/>
              <w:rPr>
                <w:sz w:val="16"/>
                <w:szCs w:val="16"/>
                <w:color w:val="auto"/>
              </w:rPr>
            </w:pPr>
          </w:p>
        </w:tc>
        <w:tc>
          <w:tcPr>
            <w:tcW w:w="120" w:type="dxa"/>
            <w:vAlign w:val="bottom"/>
            <w:shd w:val="clear" w:color="auto" w:fill="76AD9A"/>
          </w:tcPr>
          <w:p>
            <w:pPr>
              <w:spacing w:after="0"/>
              <w:rPr>
                <w:sz w:val="16"/>
                <w:szCs w:val="16"/>
                <w:color w:val="auto"/>
              </w:rPr>
            </w:pPr>
          </w:p>
        </w:tc>
        <w:tc>
          <w:tcPr>
            <w:tcW w:w="920" w:type="dxa"/>
            <w:vAlign w:val="bottom"/>
            <w:shd w:val="clear" w:color="auto" w:fill="76AD9A"/>
          </w:tcPr>
          <w:p>
            <w:pPr>
              <w:jc w:val="right"/>
              <w:ind w:right="37"/>
              <w:spacing w:after="0"/>
              <w:rPr>
                <w:sz w:val="20"/>
                <w:szCs w:val="20"/>
                <w:color w:val="auto"/>
              </w:rPr>
            </w:pPr>
            <w:r>
              <w:rPr>
                <w:rFonts w:ascii="Arial" w:cs="Arial" w:eastAsia="Arial" w:hAnsi="Arial"/>
                <w:sz w:val="14"/>
                <w:szCs w:val="14"/>
                <w:color w:val="FFFFFF"/>
              </w:rPr>
              <w:t>2013</w:t>
            </w: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76AD9A"/>
              </w:rPr>
              <w:t>2012</w:t>
            </w:r>
          </w:p>
        </w:tc>
      </w:tr>
      <w:tr>
        <w:trPr>
          <w:trHeight w:val="186"/>
        </w:trPr>
        <w:tc>
          <w:tcPr>
            <w:tcW w:w="20" w:type="dxa"/>
            <w:vAlign w:val="bottom"/>
          </w:tcPr>
          <w:p>
            <w:pPr>
              <w:spacing w:after="0"/>
              <w:rPr>
                <w:sz w:val="16"/>
                <w:szCs w:val="16"/>
                <w:color w:val="auto"/>
              </w:rPr>
            </w:pPr>
          </w:p>
        </w:tc>
        <w:tc>
          <w:tcPr>
            <w:tcW w:w="4560" w:type="dxa"/>
            <w:vAlign w:val="bottom"/>
            <w:tcBorders>
              <w:top w:val="single" w:sz="8" w:color="76AD9A"/>
            </w:tcBorders>
          </w:tcPr>
          <w:p>
            <w:pPr>
              <w:spacing w:after="0"/>
              <w:rPr>
                <w:sz w:val="16"/>
                <w:szCs w:val="16"/>
                <w:color w:val="auto"/>
              </w:rPr>
            </w:pPr>
          </w:p>
        </w:tc>
        <w:tc>
          <w:tcPr>
            <w:tcW w:w="300" w:type="dxa"/>
            <w:vAlign w:val="bottom"/>
            <w:tcBorders>
              <w:top w:val="single" w:sz="8" w:color="76AD9A"/>
            </w:tcBorders>
            <w:shd w:val="clear" w:color="auto" w:fill="EEF5F2"/>
          </w:tcPr>
          <w:p>
            <w:pPr>
              <w:spacing w:after="0"/>
              <w:rPr>
                <w:sz w:val="16"/>
                <w:szCs w:val="16"/>
                <w:color w:val="auto"/>
              </w:rPr>
            </w:pPr>
          </w:p>
        </w:tc>
        <w:tc>
          <w:tcPr>
            <w:tcW w:w="850" w:type="dxa"/>
            <w:vAlign w:val="bottom"/>
            <w:tcBorders>
              <w:top w:val="single" w:sz="8" w:color="76AD9A"/>
            </w:tcBorders>
            <w:shd w:val="clear" w:color="auto" w:fill="EEF5F2"/>
          </w:tcPr>
          <w:p>
            <w:pPr>
              <w:spacing w:after="0"/>
              <w:rPr>
                <w:sz w:val="16"/>
                <w:szCs w:val="16"/>
                <w:color w:val="auto"/>
              </w:rPr>
            </w:pPr>
          </w:p>
        </w:tc>
        <w:tc>
          <w:tcPr>
            <w:tcW w:w="230" w:type="dxa"/>
            <w:vAlign w:val="bottom"/>
            <w:tcBorders>
              <w:top w:val="single" w:sz="8" w:color="76AD9A"/>
            </w:tcBorders>
            <w:shd w:val="clear" w:color="auto" w:fill="EEF5F2"/>
          </w:tcPr>
          <w:p>
            <w:pPr>
              <w:spacing w:after="0"/>
              <w:rPr>
                <w:sz w:val="16"/>
                <w:szCs w:val="16"/>
                <w:color w:val="auto"/>
              </w:rPr>
            </w:pPr>
          </w:p>
        </w:tc>
        <w:tc>
          <w:tcPr>
            <w:tcW w:w="1040" w:type="dxa"/>
            <w:vAlign w:val="bottom"/>
            <w:tcBorders>
              <w:top w:val="single" w:sz="8" w:color="76AD9A"/>
            </w:tcBorders>
            <w:shd w:val="clear" w:color="auto" w:fill="EEF5F2"/>
          </w:tcPr>
          <w:p>
            <w:pPr>
              <w:jc w:val="right"/>
              <w:ind w:right="157"/>
              <w:spacing w:after="0"/>
              <w:rPr>
                <w:sz w:val="20"/>
                <w:szCs w:val="20"/>
                <w:color w:val="auto"/>
              </w:rPr>
            </w:pPr>
            <w:r>
              <w:rPr>
                <w:rFonts w:ascii="Arial" w:cs="Arial" w:eastAsia="Arial" w:hAnsi="Arial"/>
                <w:sz w:val="14"/>
                <w:szCs w:val="14"/>
                <w:color w:val="76AD9A"/>
                <w:w w:val="96"/>
              </w:rPr>
              <w:t>Accumulated</w:t>
            </w:r>
          </w:p>
        </w:tc>
        <w:tc>
          <w:tcPr>
            <w:tcW w:w="120" w:type="dxa"/>
            <w:vAlign w:val="bottom"/>
            <w:tcBorders>
              <w:top w:val="single" w:sz="8" w:color="76AD9A"/>
            </w:tcBorders>
            <w:shd w:val="clear" w:color="auto" w:fill="EEF5F2"/>
          </w:tcPr>
          <w:p>
            <w:pPr>
              <w:spacing w:after="0"/>
              <w:rPr>
                <w:sz w:val="16"/>
                <w:szCs w:val="16"/>
                <w:color w:val="auto"/>
              </w:rPr>
            </w:pPr>
          </w:p>
        </w:tc>
        <w:tc>
          <w:tcPr>
            <w:tcW w:w="920" w:type="dxa"/>
            <w:vAlign w:val="bottom"/>
            <w:tcBorders>
              <w:top w:val="single" w:sz="8" w:color="76AD9A"/>
            </w:tcBorders>
            <w:shd w:val="clear" w:color="auto" w:fill="EEF5F2"/>
          </w:tcPr>
          <w:p>
            <w:pPr>
              <w:spacing w:after="0"/>
              <w:rPr>
                <w:sz w:val="16"/>
                <w:szCs w:val="16"/>
                <w:color w:val="auto"/>
              </w:rPr>
            </w:pPr>
          </w:p>
        </w:tc>
        <w:tc>
          <w:tcPr>
            <w:tcW w:w="320" w:type="dxa"/>
            <w:vAlign w:val="bottom"/>
            <w:tcBorders>
              <w:top w:val="single" w:sz="8" w:color="76AD9A"/>
            </w:tcBorders>
          </w:tcPr>
          <w:p>
            <w:pPr>
              <w:spacing w:after="0"/>
              <w:rPr>
                <w:sz w:val="16"/>
                <w:szCs w:val="16"/>
                <w:color w:val="auto"/>
              </w:rPr>
            </w:pPr>
          </w:p>
        </w:tc>
        <w:tc>
          <w:tcPr>
            <w:tcW w:w="82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tcPr>
          <w:p>
            <w:pPr>
              <w:spacing w:after="0"/>
              <w:rPr>
                <w:sz w:val="16"/>
                <w:szCs w:val="16"/>
                <w:color w:val="auto"/>
              </w:rPr>
            </w:pPr>
          </w:p>
        </w:tc>
        <w:tc>
          <w:tcPr>
            <w:tcW w:w="920" w:type="dxa"/>
            <w:vAlign w:val="bottom"/>
            <w:tcBorders>
              <w:top w:val="single" w:sz="8" w:color="76AD9A"/>
            </w:tcBorders>
          </w:tcPr>
          <w:p>
            <w:pPr>
              <w:jc w:val="right"/>
              <w:ind w:right="17"/>
              <w:spacing w:after="0"/>
              <w:rPr>
                <w:sz w:val="20"/>
                <w:szCs w:val="20"/>
                <w:color w:val="auto"/>
              </w:rPr>
            </w:pPr>
            <w:r>
              <w:rPr>
                <w:rFonts w:ascii="Arial" w:cs="Arial" w:eastAsia="Arial" w:hAnsi="Arial"/>
                <w:sz w:val="14"/>
                <w:szCs w:val="14"/>
                <w:color w:val="76AD9A"/>
                <w:w w:val="98"/>
              </w:rPr>
              <w:t>Accumulated</w:t>
            </w:r>
          </w:p>
        </w:tc>
        <w:tc>
          <w:tcPr>
            <w:tcW w:w="320" w:type="dxa"/>
            <w:vAlign w:val="bottom"/>
            <w:tcBorders>
              <w:top w:val="single" w:sz="8" w:color="76AD9A"/>
            </w:tcBorders>
          </w:tcPr>
          <w:p>
            <w:pPr>
              <w:spacing w:after="0"/>
              <w:rPr>
                <w:sz w:val="16"/>
                <w:szCs w:val="16"/>
                <w:color w:val="auto"/>
              </w:rPr>
            </w:pPr>
          </w:p>
        </w:tc>
        <w:tc>
          <w:tcPr>
            <w:tcW w:w="68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58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300" w:type="dxa"/>
            <w:vAlign w:val="bottom"/>
            <w:shd w:val="clear" w:color="auto" w:fill="EEF5F2"/>
          </w:tcPr>
          <w:p>
            <w:pPr>
              <w:spacing w:after="0"/>
              <w:rPr>
                <w:sz w:val="17"/>
                <w:szCs w:val="17"/>
                <w:color w:val="auto"/>
              </w:rPr>
            </w:pPr>
          </w:p>
        </w:tc>
        <w:tc>
          <w:tcPr>
            <w:tcW w:w="850" w:type="dxa"/>
            <w:vAlign w:val="bottom"/>
            <w:shd w:val="clear" w:color="auto" w:fill="EEF5F2"/>
          </w:tcPr>
          <w:p>
            <w:pPr>
              <w:jc w:val="right"/>
              <w:ind w:right="26"/>
              <w:spacing w:after="0"/>
              <w:rPr>
                <w:sz w:val="20"/>
                <w:szCs w:val="20"/>
                <w:color w:val="auto"/>
              </w:rPr>
            </w:pPr>
            <w:r>
              <w:rPr>
                <w:rFonts w:ascii="Arial" w:cs="Arial" w:eastAsia="Arial" w:hAnsi="Arial"/>
                <w:sz w:val="14"/>
                <w:szCs w:val="14"/>
                <w:color w:val="76AD9A"/>
              </w:rPr>
              <w:t>Gross</w:t>
            </w:r>
          </w:p>
        </w:tc>
        <w:tc>
          <w:tcPr>
            <w:tcW w:w="230" w:type="dxa"/>
            <w:vAlign w:val="bottom"/>
            <w:shd w:val="clear" w:color="auto" w:fill="EEF5F2"/>
          </w:tcPr>
          <w:p>
            <w:pPr>
              <w:spacing w:after="0"/>
              <w:rPr>
                <w:sz w:val="17"/>
                <w:szCs w:val="17"/>
                <w:color w:val="auto"/>
              </w:rPr>
            </w:pPr>
          </w:p>
        </w:tc>
        <w:tc>
          <w:tcPr>
            <w:tcW w:w="1040" w:type="dxa"/>
            <w:vAlign w:val="bottom"/>
            <w:shd w:val="clear" w:color="auto" w:fill="EEF5F2"/>
          </w:tcPr>
          <w:p>
            <w:pPr>
              <w:jc w:val="right"/>
              <w:ind w:right="157"/>
              <w:spacing w:after="0"/>
              <w:rPr>
                <w:sz w:val="20"/>
                <w:szCs w:val="20"/>
                <w:color w:val="auto"/>
              </w:rPr>
            </w:pPr>
            <w:r>
              <w:rPr>
                <w:rFonts w:ascii="Arial" w:cs="Arial" w:eastAsia="Arial" w:hAnsi="Arial"/>
                <w:sz w:val="14"/>
                <w:szCs w:val="14"/>
                <w:color w:val="76AD9A"/>
              </w:rPr>
              <w:t>Amortization</w:t>
            </w:r>
          </w:p>
        </w:tc>
        <w:tc>
          <w:tcPr>
            <w:tcW w:w="120" w:type="dxa"/>
            <w:vAlign w:val="bottom"/>
            <w:shd w:val="clear" w:color="auto" w:fill="EEF5F2"/>
          </w:tcPr>
          <w:p>
            <w:pPr>
              <w:spacing w:after="0"/>
              <w:rPr>
                <w:sz w:val="17"/>
                <w:szCs w:val="17"/>
                <w:color w:val="auto"/>
              </w:rPr>
            </w:pPr>
          </w:p>
        </w:tc>
        <w:tc>
          <w:tcPr>
            <w:tcW w:w="920" w:type="dxa"/>
            <w:vAlign w:val="bottom"/>
            <w:shd w:val="clear" w:color="auto" w:fill="EEF5F2"/>
          </w:tcPr>
          <w:p>
            <w:pPr>
              <w:jc w:val="right"/>
              <w:ind w:right="37"/>
              <w:spacing w:after="0"/>
              <w:rPr>
                <w:sz w:val="20"/>
                <w:szCs w:val="20"/>
                <w:color w:val="auto"/>
              </w:rPr>
            </w:pPr>
            <w:r>
              <w:rPr>
                <w:rFonts w:ascii="Arial" w:cs="Arial" w:eastAsia="Arial" w:hAnsi="Arial"/>
                <w:sz w:val="14"/>
                <w:szCs w:val="14"/>
                <w:color w:val="76AD9A"/>
              </w:rPr>
              <w:t>Net</w:t>
            </w:r>
          </w:p>
        </w:tc>
        <w:tc>
          <w:tcPr>
            <w:tcW w:w="320" w:type="dxa"/>
            <w:vAlign w:val="bottom"/>
          </w:tcPr>
          <w:p>
            <w:pPr>
              <w:spacing w:after="0"/>
              <w:rPr>
                <w:sz w:val="17"/>
                <w:szCs w:val="17"/>
                <w:color w:val="auto"/>
              </w:rPr>
            </w:pPr>
          </w:p>
        </w:tc>
        <w:tc>
          <w:tcPr>
            <w:tcW w:w="820" w:type="dxa"/>
            <w:vAlign w:val="bottom"/>
          </w:tcPr>
          <w:p>
            <w:pPr>
              <w:jc w:val="right"/>
              <w:ind w:right="36"/>
              <w:spacing w:after="0"/>
              <w:rPr>
                <w:sz w:val="20"/>
                <w:szCs w:val="20"/>
                <w:color w:val="auto"/>
              </w:rPr>
            </w:pPr>
            <w:r>
              <w:rPr>
                <w:rFonts w:ascii="Arial" w:cs="Arial" w:eastAsia="Arial" w:hAnsi="Arial"/>
                <w:sz w:val="14"/>
                <w:szCs w:val="14"/>
                <w:color w:val="76AD9A"/>
              </w:rPr>
              <w:t>Gross</w:t>
            </w:r>
          </w:p>
        </w:tc>
        <w:tc>
          <w:tcPr>
            <w:tcW w:w="220" w:type="dxa"/>
            <w:vAlign w:val="bottom"/>
          </w:tcPr>
          <w:p>
            <w:pPr>
              <w:spacing w:after="0"/>
              <w:rPr>
                <w:sz w:val="17"/>
                <w:szCs w:val="17"/>
                <w:color w:val="auto"/>
              </w:rPr>
            </w:pPr>
          </w:p>
        </w:tc>
        <w:tc>
          <w:tcPr>
            <w:tcW w:w="920" w:type="dxa"/>
            <w:vAlign w:val="bottom"/>
          </w:tcPr>
          <w:p>
            <w:pPr>
              <w:jc w:val="right"/>
              <w:ind w:right="17"/>
              <w:spacing w:after="0"/>
              <w:rPr>
                <w:sz w:val="20"/>
                <w:szCs w:val="20"/>
                <w:color w:val="auto"/>
              </w:rPr>
            </w:pPr>
            <w:r>
              <w:rPr>
                <w:rFonts w:ascii="Arial" w:cs="Arial" w:eastAsia="Arial" w:hAnsi="Arial"/>
                <w:sz w:val="14"/>
                <w:szCs w:val="14"/>
                <w:color w:val="76AD9A"/>
              </w:rPr>
              <w:t>Amortization</w:t>
            </w:r>
          </w:p>
        </w:tc>
        <w:tc>
          <w:tcPr>
            <w:tcW w:w="320" w:type="dxa"/>
            <w:vAlign w:val="bottom"/>
          </w:tcPr>
          <w:p>
            <w:pPr>
              <w:spacing w:after="0"/>
              <w:rPr>
                <w:sz w:val="17"/>
                <w:szCs w:val="17"/>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76AD9A"/>
              </w:rPr>
              <w:t>Net</w:t>
            </w:r>
          </w:p>
        </w:tc>
      </w:tr>
      <w:tr>
        <w:trPr>
          <w:trHeight w:val="186"/>
        </w:trPr>
        <w:tc>
          <w:tcPr>
            <w:tcW w:w="20" w:type="dxa"/>
            <w:vAlign w:val="bottom"/>
          </w:tcPr>
          <w:p>
            <w:pPr>
              <w:spacing w:after="0"/>
              <w:rPr>
                <w:sz w:val="16"/>
                <w:szCs w:val="16"/>
                <w:color w:val="auto"/>
              </w:rPr>
            </w:pPr>
          </w:p>
        </w:tc>
        <w:tc>
          <w:tcPr>
            <w:tcW w:w="4560" w:type="dxa"/>
            <w:vAlign w:val="bottom"/>
            <w:tcBorders>
              <w:top w:val="single" w:sz="8" w:color="76AD9A"/>
              <w:bottom w:val="single" w:sz="8" w:color="717073"/>
            </w:tcBorders>
          </w:tcPr>
          <w:p>
            <w:pPr>
              <w:spacing w:after="0" w:line="187" w:lineRule="exact"/>
              <w:rPr>
                <w:sz w:val="20"/>
                <w:szCs w:val="20"/>
                <w:color w:val="auto"/>
              </w:rPr>
            </w:pPr>
            <w:r>
              <w:rPr>
                <w:rFonts w:ascii="Arial" w:cs="Arial" w:eastAsia="Arial" w:hAnsi="Arial"/>
                <w:sz w:val="15"/>
                <w:szCs w:val="15"/>
                <w:color w:val="373535"/>
              </w:rPr>
              <w:t>Goodwill</w:t>
            </w:r>
            <w:r>
              <w:rPr>
                <w:rFonts w:ascii="Arial" w:cs="Arial" w:eastAsia="Arial" w:hAnsi="Arial"/>
                <w:sz w:val="21"/>
                <w:szCs w:val="21"/>
                <w:color w:val="373535"/>
                <w:vertAlign w:val="superscript"/>
              </w:rPr>
              <w:t>(1)</w:t>
            </w:r>
          </w:p>
        </w:tc>
        <w:tc>
          <w:tcPr>
            <w:tcW w:w="300" w:type="dxa"/>
            <w:vAlign w:val="bottom"/>
            <w:tcBorders>
              <w:top w:val="single" w:sz="8" w:color="76AD9A"/>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850" w:type="dxa"/>
            <w:vAlign w:val="bottom"/>
            <w:tcBorders>
              <w:top w:val="single" w:sz="8" w:color="76AD9A"/>
              <w:bottom w:val="single" w:sz="8" w:color="717073"/>
            </w:tcBorders>
            <w:shd w:val="clear" w:color="auto" w:fill="EEF5F2"/>
          </w:tcPr>
          <w:p>
            <w:pPr>
              <w:jc w:val="right"/>
              <w:ind w:right="26"/>
              <w:spacing w:after="0" w:line="186" w:lineRule="exact"/>
              <w:rPr>
                <w:sz w:val="20"/>
                <w:szCs w:val="20"/>
                <w:color w:val="auto"/>
              </w:rPr>
            </w:pPr>
            <w:r>
              <w:rPr>
                <w:rFonts w:ascii="Arial" w:cs="Arial" w:eastAsia="Arial" w:hAnsi="Arial"/>
                <w:sz w:val="17"/>
                <w:szCs w:val="17"/>
                <w:color w:val="76AD9A"/>
              </w:rPr>
              <w:t>1,090.9</w:t>
            </w:r>
          </w:p>
        </w:tc>
        <w:tc>
          <w:tcPr>
            <w:tcW w:w="230" w:type="dxa"/>
            <w:vAlign w:val="bottom"/>
            <w:tcBorders>
              <w:top w:val="single" w:sz="8" w:color="76AD9A"/>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6AD9A"/>
              <w:bottom w:val="single" w:sz="8" w:color="717073"/>
            </w:tcBorders>
            <w:shd w:val="clear" w:color="auto" w:fill="EEF5F2"/>
          </w:tcPr>
          <w:p>
            <w:pPr>
              <w:jc w:val="right"/>
              <w:ind w:right="157"/>
              <w:spacing w:after="0" w:line="186" w:lineRule="exact"/>
              <w:rPr>
                <w:sz w:val="20"/>
                <w:szCs w:val="20"/>
                <w:color w:val="auto"/>
              </w:rPr>
            </w:pPr>
            <w:r>
              <w:rPr>
                <w:rFonts w:ascii="Arial" w:cs="Arial" w:eastAsia="Arial" w:hAnsi="Arial"/>
                <w:sz w:val="17"/>
                <w:szCs w:val="17"/>
                <w:color w:val="76AD9A"/>
              </w:rPr>
              <w:t>—</w:t>
            </w:r>
          </w:p>
        </w:tc>
        <w:tc>
          <w:tcPr>
            <w:tcW w:w="120" w:type="dxa"/>
            <w:vAlign w:val="bottom"/>
            <w:tcBorders>
              <w:top w:val="single" w:sz="8" w:color="76AD9A"/>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w w:val="84"/>
              </w:rPr>
              <w:t>$</w:t>
            </w:r>
          </w:p>
        </w:tc>
        <w:tc>
          <w:tcPr>
            <w:tcW w:w="920" w:type="dxa"/>
            <w:vAlign w:val="bottom"/>
            <w:tcBorders>
              <w:top w:val="single" w:sz="8" w:color="76AD9A"/>
              <w:bottom w:val="single" w:sz="8" w:color="717073"/>
            </w:tcBorders>
            <w:shd w:val="clear" w:color="auto" w:fill="EEF5F2"/>
          </w:tcPr>
          <w:p>
            <w:pPr>
              <w:jc w:val="right"/>
              <w:ind w:right="37"/>
              <w:spacing w:after="0" w:line="186" w:lineRule="exact"/>
              <w:rPr>
                <w:sz w:val="20"/>
                <w:szCs w:val="20"/>
                <w:color w:val="auto"/>
              </w:rPr>
            </w:pPr>
            <w:r>
              <w:rPr>
                <w:rFonts w:ascii="Arial" w:cs="Arial" w:eastAsia="Arial" w:hAnsi="Arial"/>
                <w:sz w:val="17"/>
                <w:szCs w:val="17"/>
                <w:color w:val="76AD9A"/>
              </w:rPr>
              <w:t>1,090.9</w:t>
            </w:r>
          </w:p>
        </w:tc>
        <w:tc>
          <w:tcPr>
            <w:tcW w:w="320" w:type="dxa"/>
            <w:vAlign w:val="bottom"/>
            <w:tcBorders>
              <w:top w:val="single" w:sz="8" w:color="76AD9A"/>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20" w:type="dxa"/>
            <w:vAlign w:val="bottom"/>
            <w:tcBorders>
              <w:top w:val="single" w:sz="8" w:color="76AD9A"/>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1,041.3</w:t>
            </w:r>
          </w:p>
        </w:tc>
        <w:tc>
          <w:tcPr>
            <w:tcW w:w="220" w:type="dxa"/>
            <w:vAlign w:val="bottom"/>
            <w:tcBorders>
              <w:top w:val="single" w:sz="8" w:color="76AD9A"/>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20" w:type="dxa"/>
            <w:vAlign w:val="bottom"/>
            <w:tcBorders>
              <w:top w:val="single" w:sz="8" w:color="76AD9A"/>
              <w:bottom w:val="single" w:sz="8" w:color="717073"/>
            </w:tcBorders>
          </w:tcPr>
          <w:p>
            <w:pPr>
              <w:jc w:val="right"/>
              <w:ind w:right="17"/>
              <w:spacing w:after="0" w:line="186" w:lineRule="exact"/>
              <w:rPr>
                <w:sz w:val="20"/>
                <w:szCs w:val="20"/>
                <w:color w:val="auto"/>
              </w:rPr>
            </w:pPr>
            <w:r>
              <w:rPr>
                <w:rFonts w:ascii="Arial" w:cs="Arial" w:eastAsia="Arial" w:hAnsi="Arial"/>
                <w:sz w:val="17"/>
                <w:szCs w:val="17"/>
                <w:color w:val="373535"/>
              </w:rPr>
              <w:t>—</w:t>
            </w:r>
          </w:p>
        </w:tc>
        <w:tc>
          <w:tcPr>
            <w:tcW w:w="320" w:type="dxa"/>
            <w:vAlign w:val="bottom"/>
            <w:tcBorders>
              <w:top w:val="single" w:sz="8" w:color="76AD9A"/>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1,041.3</w:t>
            </w:r>
          </w:p>
        </w:tc>
        <w:tc>
          <w:tcPr>
            <w:tcW w:w="2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560" w:type="dxa"/>
            <w:vAlign w:val="bottom"/>
          </w:tcPr>
          <w:p>
            <w:pPr>
              <w:spacing w:after="0" w:line="186" w:lineRule="exact"/>
              <w:rPr>
                <w:sz w:val="20"/>
                <w:szCs w:val="20"/>
                <w:color w:val="auto"/>
              </w:rPr>
            </w:pPr>
            <w:r>
              <w:rPr>
                <w:rFonts w:ascii="Arial" w:cs="Arial" w:eastAsia="Arial" w:hAnsi="Arial"/>
                <w:sz w:val="17"/>
                <w:szCs w:val="17"/>
                <w:color w:val="373535"/>
              </w:rPr>
              <w:t>Intangible assets:</w:t>
            </w:r>
          </w:p>
        </w:tc>
        <w:tc>
          <w:tcPr>
            <w:tcW w:w="300" w:type="dxa"/>
            <w:vAlign w:val="bottom"/>
            <w:shd w:val="clear" w:color="auto" w:fill="EEF5F2"/>
          </w:tcPr>
          <w:p>
            <w:pPr>
              <w:spacing w:after="0"/>
              <w:rPr>
                <w:sz w:val="16"/>
                <w:szCs w:val="16"/>
                <w:color w:val="auto"/>
              </w:rPr>
            </w:pPr>
          </w:p>
        </w:tc>
        <w:tc>
          <w:tcPr>
            <w:tcW w:w="850" w:type="dxa"/>
            <w:vAlign w:val="bottom"/>
            <w:shd w:val="clear" w:color="auto" w:fill="EEF5F2"/>
          </w:tcPr>
          <w:p>
            <w:pPr>
              <w:spacing w:after="0"/>
              <w:rPr>
                <w:sz w:val="16"/>
                <w:szCs w:val="16"/>
                <w:color w:val="auto"/>
              </w:rPr>
            </w:pPr>
          </w:p>
        </w:tc>
        <w:tc>
          <w:tcPr>
            <w:tcW w:w="230" w:type="dxa"/>
            <w:vAlign w:val="bottom"/>
            <w:shd w:val="clear" w:color="auto" w:fill="EEF5F2"/>
          </w:tcPr>
          <w:p>
            <w:pPr>
              <w:spacing w:after="0"/>
              <w:rPr>
                <w:sz w:val="16"/>
                <w:szCs w:val="16"/>
                <w:color w:val="auto"/>
              </w:rPr>
            </w:pPr>
          </w:p>
        </w:tc>
        <w:tc>
          <w:tcPr>
            <w:tcW w:w="1040" w:type="dxa"/>
            <w:vAlign w:val="bottom"/>
            <w:shd w:val="clear" w:color="auto" w:fill="EEF5F2"/>
          </w:tcPr>
          <w:p>
            <w:pPr>
              <w:spacing w:after="0"/>
              <w:rPr>
                <w:sz w:val="16"/>
                <w:szCs w:val="16"/>
                <w:color w:val="auto"/>
              </w:rPr>
            </w:pPr>
          </w:p>
        </w:tc>
        <w:tc>
          <w:tcPr>
            <w:tcW w:w="120" w:type="dxa"/>
            <w:vAlign w:val="bottom"/>
            <w:shd w:val="clear" w:color="auto" w:fill="EEF5F2"/>
          </w:tcPr>
          <w:p>
            <w:pPr>
              <w:spacing w:after="0"/>
              <w:rPr>
                <w:sz w:val="16"/>
                <w:szCs w:val="16"/>
                <w:color w:val="auto"/>
              </w:rPr>
            </w:pPr>
          </w:p>
        </w:tc>
        <w:tc>
          <w:tcPr>
            <w:tcW w:w="920" w:type="dxa"/>
            <w:vAlign w:val="bottom"/>
            <w:shd w:val="clear" w:color="auto" w:fill="EEF5F2"/>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4560" w:type="dxa"/>
            <w:vAlign w:val="bottom"/>
          </w:tcPr>
          <w:p>
            <w:pPr>
              <w:ind w:left="140"/>
              <w:spacing w:after="0"/>
              <w:rPr>
                <w:sz w:val="20"/>
                <w:szCs w:val="20"/>
                <w:color w:val="auto"/>
              </w:rPr>
            </w:pPr>
            <w:r>
              <w:rPr>
                <w:rFonts w:ascii="Arial" w:cs="Arial" w:eastAsia="Arial" w:hAnsi="Arial"/>
                <w:sz w:val="17"/>
                <w:szCs w:val="17"/>
                <w:color w:val="373535"/>
              </w:rPr>
              <w:t>Finite-lived:</w:t>
            </w:r>
          </w:p>
        </w:tc>
        <w:tc>
          <w:tcPr>
            <w:tcW w:w="300" w:type="dxa"/>
            <w:vAlign w:val="bottom"/>
            <w:shd w:val="clear" w:color="auto" w:fill="EEF5F2"/>
          </w:tcPr>
          <w:p>
            <w:pPr>
              <w:spacing w:after="0"/>
              <w:rPr>
                <w:sz w:val="19"/>
                <w:szCs w:val="19"/>
                <w:color w:val="auto"/>
              </w:rPr>
            </w:pPr>
          </w:p>
        </w:tc>
        <w:tc>
          <w:tcPr>
            <w:tcW w:w="850" w:type="dxa"/>
            <w:vAlign w:val="bottom"/>
            <w:shd w:val="clear" w:color="auto" w:fill="EEF5F2"/>
          </w:tcPr>
          <w:p>
            <w:pPr>
              <w:spacing w:after="0"/>
              <w:rPr>
                <w:sz w:val="19"/>
                <w:szCs w:val="19"/>
                <w:color w:val="auto"/>
              </w:rPr>
            </w:pPr>
          </w:p>
        </w:tc>
        <w:tc>
          <w:tcPr>
            <w:tcW w:w="230" w:type="dxa"/>
            <w:vAlign w:val="bottom"/>
            <w:shd w:val="clear" w:color="auto" w:fill="EEF5F2"/>
          </w:tcPr>
          <w:p>
            <w:pPr>
              <w:spacing w:after="0"/>
              <w:rPr>
                <w:sz w:val="19"/>
                <w:szCs w:val="19"/>
                <w:color w:val="auto"/>
              </w:rPr>
            </w:pPr>
          </w:p>
        </w:tc>
        <w:tc>
          <w:tcPr>
            <w:tcW w:w="1040" w:type="dxa"/>
            <w:vAlign w:val="bottom"/>
            <w:shd w:val="clear" w:color="auto" w:fill="EEF5F2"/>
          </w:tcPr>
          <w:p>
            <w:pPr>
              <w:spacing w:after="0"/>
              <w:rPr>
                <w:sz w:val="19"/>
                <w:szCs w:val="19"/>
                <w:color w:val="auto"/>
              </w:rPr>
            </w:pPr>
          </w:p>
        </w:tc>
        <w:tc>
          <w:tcPr>
            <w:tcW w:w="120" w:type="dxa"/>
            <w:vAlign w:val="bottom"/>
            <w:shd w:val="clear" w:color="auto" w:fill="EEF5F2"/>
          </w:tcPr>
          <w:p>
            <w:pPr>
              <w:spacing w:after="0"/>
              <w:rPr>
                <w:sz w:val="19"/>
                <w:szCs w:val="19"/>
                <w:color w:val="auto"/>
              </w:rPr>
            </w:pPr>
          </w:p>
        </w:tc>
        <w:tc>
          <w:tcPr>
            <w:tcW w:w="920" w:type="dxa"/>
            <w:vAlign w:val="bottom"/>
            <w:shd w:val="clear" w:color="auto" w:fill="EEF5F2"/>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560" w:type="dxa"/>
            <w:vAlign w:val="bottom"/>
          </w:tcPr>
          <w:p>
            <w:pPr>
              <w:ind w:left="280"/>
              <w:spacing w:after="0"/>
              <w:rPr>
                <w:sz w:val="20"/>
                <w:szCs w:val="20"/>
                <w:color w:val="auto"/>
              </w:rPr>
            </w:pPr>
            <w:r>
              <w:rPr>
                <w:rFonts w:ascii="Arial" w:cs="Arial" w:eastAsia="Arial" w:hAnsi="Arial"/>
                <w:sz w:val="17"/>
                <w:szCs w:val="17"/>
                <w:color w:val="373535"/>
              </w:rPr>
              <w:t>Technology</w:t>
            </w:r>
          </w:p>
        </w:tc>
        <w:tc>
          <w:tcPr>
            <w:tcW w:w="30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850" w:type="dxa"/>
            <w:vAlign w:val="bottom"/>
            <w:shd w:val="clear" w:color="auto" w:fill="EEF5F2"/>
          </w:tcPr>
          <w:p>
            <w:pPr>
              <w:jc w:val="right"/>
              <w:ind w:right="26"/>
              <w:spacing w:after="0"/>
              <w:rPr>
                <w:sz w:val="20"/>
                <w:szCs w:val="20"/>
                <w:color w:val="auto"/>
              </w:rPr>
            </w:pPr>
            <w:r>
              <w:rPr>
                <w:rFonts w:ascii="Arial" w:cs="Arial" w:eastAsia="Arial" w:hAnsi="Arial"/>
                <w:sz w:val="17"/>
                <w:szCs w:val="17"/>
                <w:color w:val="76AD9A"/>
              </w:rPr>
              <w:t>19.6</w:t>
            </w:r>
          </w:p>
        </w:tc>
        <w:tc>
          <w:tcPr>
            <w:tcW w:w="23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040" w:type="dxa"/>
            <w:vAlign w:val="bottom"/>
            <w:shd w:val="clear" w:color="auto" w:fill="EEF5F2"/>
          </w:tcPr>
          <w:p>
            <w:pPr>
              <w:jc w:val="right"/>
              <w:ind w:right="157"/>
              <w:spacing w:after="0"/>
              <w:rPr>
                <w:sz w:val="20"/>
                <w:szCs w:val="20"/>
                <w:color w:val="auto"/>
              </w:rPr>
            </w:pPr>
            <w:r>
              <w:rPr>
                <w:rFonts w:ascii="Arial" w:cs="Arial" w:eastAsia="Arial" w:hAnsi="Arial"/>
                <w:sz w:val="17"/>
                <w:szCs w:val="17"/>
                <w:color w:val="76AD9A"/>
              </w:rPr>
              <w:t>19.6</w:t>
            </w:r>
          </w:p>
        </w:tc>
        <w:tc>
          <w:tcPr>
            <w:tcW w:w="120" w:type="dxa"/>
            <w:vAlign w:val="bottom"/>
            <w:shd w:val="clear" w:color="auto" w:fill="EEF5F2"/>
          </w:tcPr>
          <w:p>
            <w:pPr>
              <w:jc w:val="right"/>
              <w:spacing w:after="0"/>
              <w:rPr>
                <w:sz w:val="20"/>
                <w:szCs w:val="20"/>
                <w:color w:val="auto"/>
              </w:rPr>
            </w:pPr>
            <w:r>
              <w:rPr>
                <w:rFonts w:ascii="Arial" w:cs="Arial" w:eastAsia="Arial" w:hAnsi="Arial"/>
                <w:sz w:val="17"/>
                <w:szCs w:val="17"/>
                <w:color w:val="76AD9A"/>
                <w:w w:val="84"/>
              </w:rPr>
              <w:t>$</w:t>
            </w:r>
          </w:p>
        </w:tc>
        <w:tc>
          <w:tcPr>
            <w:tcW w:w="920" w:type="dxa"/>
            <w:vAlign w:val="bottom"/>
            <w:shd w:val="clear" w:color="auto" w:fill="EEF5F2"/>
          </w:tcPr>
          <w:p>
            <w:pPr>
              <w:jc w:val="right"/>
              <w:ind w:right="37"/>
              <w:spacing w:after="0"/>
              <w:rPr>
                <w:sz w:val="20"/>
                <w:szCs w:val="20"/>
                <w:color w:val="auto"/>
              </w:rPr>
            </w:pPr>
            <w:r>
              <w:rPr>
                <w:rFonts w:ascii="Arial" w:cs="Arial" w:eastAsia="Arial" w:hAnsi="Arial"/>
                <w:sz w:val="17"/>
                <w:szCs w:val="17"/>
                <w:color w:val="76AD9A"/>
              </w:rPr>
              <w:t>—</w:t>
            </w:r>
          </w:p>
        </w:tc>
        <w:tc>
          <w:tcPr>
            <w:tcW w:w="32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820" w:type="dxa"/>
            <w:vAlign w:val="bottom"/>
          </w:tcPr>
          <w:p>
            <w:pPr>
              <w:jc w:val="right"/>
              <w:ind w:right="36"/>
              <w:spacing w:after="0"/>
              <w:rPr>
                <w:sz w:val="20"/>
                <w:szCs w:val="20"/>
                <w:color w:val="auto"/>
              </w:rPr>
            </w:pPr>
            <w:r>
              <w:rPr>
                <w:rFonts w:ascii="Arial" w:cs="Arial" w:eastAsia="Arial" w:hAnsi="Arial"/>
                <w:sz w:val="17"/>
                <w:szCs w:val="17"/>
                <w:color w:val="373535"/>
              </w:rPr>
              <w:t>19.6</w:t>
            </w:r>
          </w:p>
        </w:tc>
        <w:tc>
          <w:tcPr>
            <w:tcW w:w="220" w:type="dxa"/>
            <w:vAlign w:val="bottom"/>
          </w:tcPr>
          <w:p>
            <w:pPr>
              <w:jc w:val="right"/>
              <w:spacing w:after="0"/>
              <w:rPr>
                <w:sz w:val="20"/>
                <w:szCs w:val="20"/>
                <w:color w:val="auto"/>
              </w:rPr>
            </w:pPr>
            <w:r>
              <w:rPr>
                <w:rFonts w:ascii="Arial" w:cs="Arial" w:eastAsia="Arial" w:hAnsi="Arial"/>
                <w:sz w:val="17"/>
                <w:szCs w:val="17"/>
                <w:color w:val="373535"/>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373535"/>
              </w:rPr>
              <w:t>19.6</w:t>
            </w:r>
          </w:p>
        </w:tc>
        <w:tc>
          <w:tcPr>
            <w:tcW w:w="32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373535"/>
              </w:rPr>
              <w:t>—</w:t>
            </w:r>
          </w:p>
        </w:tc>
      </w:tr>
      <w:tr>
        <w:trPr>
          <w:trHeight w:val="219"/>
        </w:trPr>
        <w:tc>
          <w:tcPr>
            <w:tcW w:w="20" w:type="dxa"/>
            <w:vAlign w:val="bottom"/>
          </w:tcPr>
          <w:p>
            <w:pPr>
              <w:spacing w:after="0"/>
              <w:rPr>
                <w:sz w:val="19"/>
                <w:szCs w:val="19"/>
                <w:color w:val="auto"/>
              </w:rPr>
            </w:pPr>
          </w:p>
        </w:tc>
        <w:tc>
          <w:tcPr>
            <w:tcW w:w="4560" w:type="dxa"/>
            <w:vAlign w:val="bottom"/>
          </w:tcPr>
          <w:p>
            <w:pPr>
              <w:ind w:left="280"/>
              <w:spacing w:after="0"/>
              <w:rPr>
                <w:sz w:val="20"/>
                <w:szCs w:val="20"/>
                <w:color w:val="auto"/>
              </w:rPr>
            </w:pPr>
            <w:r>
              <w:rPr>
                <w:rFonts w:ascii="Arial" w:cs="Arial" w:eastAsia="Arial" w:hAnsi="Arial"/>
                <w:sz w:val="17"/>
                <w:szCs w:val="17"/>
                <w:color w:val="373535"/>
              </w:rPr>
              <w:t>Franchise agreements</w:t>
            </w:r>
          </w:p>
        </w:tc>
        <w:tc>
          <w:tcPr>
            <w:tcW w:w="300" w:type="dxa"/>
            <w:vAlign w:val="bottom"/>
            <w:shd w:val="clear" w:color="auto" w:fill="EEF5F2"/>
          </w:tcPr>
          <w:p>
            <w:pPr>
              <w:spacing w:after="0"/>
              <w:rPr>
                <w:sz w:val="19"/>
                <w:szCs w:val="19"/>
                <w:color w:val="auto"/>
              </w:rPr>
            </w:pPr>
          </w:p>
        </w:tc>
        <w:tc>
          <w:tcPr>
            <w:tcW w:w="850" w:type="dxa"/>
            <w:vAlign w:val="bottom"/>
            <w:shd w:val="clear" w:color="auto" w:fill="EEF5F2"/>
          </w:tcPr>
          <w:p>
            <w:pPr>
              <w:jc w:val="right"/>
              <w:ind w:right="26"/>
              <w:spacing w:after="0"/>
              <w:rPr>
                <w:sz w:val="20"/>
                <w:szCs w:val="20"/>
                <w:color w:val="auto"/>
              </w:rPr>
            </w:pPr>
            <w:r>
              <w:rPr>
                <w:rFonts w:ascii="Arial" w:cs="Arial" w:eastAsia="Arial" w:hAnsi="Arial"/>
                <w:sz w:val="17"/>
                <w:szCs w:val="17"/>
                <w:color w:val="76AD9A"/>
              </w:rPr>
              <w:t>18.0</w:t>
            </w:r>
          </w:p>
        </w:tc>
        <w:tc>
          <w:tcPr>
            <w:tcW w:w="230" w:type="dxa"/>
            <w:vAlign w:val="bottom"/>
            <w:shd w:val="clear" w:color="auto" w:fill="EEF5F2"/>
          </w:tcPr>
          <w:p>
            <w:pPr>
              <w:spacing w:after="0"/>
              <w:rPr>
                <w:sz w:val="19"/>
                <w:szCs w:val="19"/>
                <w:color w:val="auto"/>
              </w:rPr>
            </w:pPr>
          </w:p>
        </w:tc>
        <w:tc>
          <w:tcPr>
            <w:tcW w:w="1040" w:type="dxa"/>
            <w:vAlign w:val="bottom"/>
            <w:shd w:val="clear" w:color="auto" w:fill="EEF5F2"/>
          </w:tcPr>
          <w:p>
            <w:pPr>
              <w:jc w:val="right"/>
              <w:ind w:right="157"/>
              <w:spacing w:after="0"/>
              <w:rPr>
                <w:sz w:val="20"/>
                <w:szCs w:val="20"/>
                <w:color w:val="auto"/>
              </w:rPr>
            </w:pPr>
            <w:r>
              <w:rPr>
                <w:rFonts w:ascii="Arial" w:cs="Arial" w:eastAsia="Arial" w:hAnsi="Arial"/>
                <w:sz w:val="17"/>
                <w:szCs w:val="17"/>
                <w:color w:val="76AD9A"/>
              </w:rPr>
              <w:t>17.9</w:t>
            </w:r>
          </w:p>
        </w:tc>
        <w:tc>
          <w:tcPr>
            <w:tcW w:w="120" w:type="dxa"/>
            <w:vAlign w:val="bottom"/>
            <w:shd w:val="clear" w:color="auto" w:fill="EEF5F2"/>
          </w:tcPr>
          <w:p>
            <w:pPr>
              <w:spacing w:after="0"/>
              <w:rPr>
                <w:sz w:val="19"/>
                <w:szCs w:val="19"/>
                <w:color w:val="auto"/>
              </w:rPr>
            </w:pPr>
          </w:p>
        </w:tc>
        <w:tc>
          <w:tcPr>
            <w:tcW w:w="920" w:type="dxa"/>
            <w:vAlign w:val="bottom"/>
            <w:shd w:val="clear" w:color="auto" w:fill="EEF5F2"/>
          </w:tcPr>
          <w:p>
            <w:pPr>
              <w:jc w:val="right"/>
              <w:ind w:right="37"/>
              <w:spacing w:after="0"/>
              <w:rPr>
                <w:sz w:val="20"/>
                <w:szCs w:val="20"/>
                <w:color w:val="auto"/>
              </w:rPr>
            </w:pPr>
            <w:r>
              <w:rPr>
                <w:rFonts w:ascii="Arial" w:cs="Arial" w:eastAsia="Arial" w:hAnsi="Arial"/>
                <w:sz w:val="17"/>
                <w:szCs w:val="17"/>
                <w:color w:val="76AD9A"/>
              </w:rPr>
              <w:t>0.1</w:t>
            </w:r>
          </w:p>
        </w:tc>
        <w:tc>
          <w:tcPr>
            <w:tcW w:w="320" w:type="dxa"/>
            <w:vAlign w:val="bottom"/>
          </w:tcPr>
          <w:p>
            <w:pPr>
              <w:spacing w:after="0"/>
              <w:rPr>
                <w:sz w:val="19"/>
                <w:szCs w:val="19"/>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373535"/>
              </w:rPr>
              <w:t>18.0</w:t>
            </w:r>
          </w:p>
        </w:tc>
        <w:tc>
          <w:tcPr>
            <w:tcW w:w="22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373535"/>
              </w:rPr>
              <w:t>16.1</w:t>
            </w:r>
          </w:p>
        </w:tc>
        <w:tc>
          <w:tcPr>
            <w:tcW w:w="32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373535"/>
              </w:rPr>
              <w:t>1.9</w:t>
            </w:r>
          </w:p>
        </w:tc>
      </w:tr>
      <w:tr>
        <w:trPr>
          <w:trHeight w:val="231"/>
        </w:trPr>
        <w:tc>
          <w:tcPr>
            <w:tcW w:w="20" w:type="dxa"/>
            <w:vAlign w:val="bottom"/>
          </w:tcPr>
          <w:p>
            <w:pPr>
              <w:spacing w:after="0"/>
              <w:rPr>
                <w:sz w:val="20"/>
                <w:szCs w:val="20"/>
                <w:color w:val="auto"/>
              </w:rPr>
            </w:pPr>
          </w:p>
        </w:tc>
        <w:tc>
          <w:tcPr>
            <w:tcW w:w="4560" w:type="dxa"/>
            <w:vAlign w:val="bottom"/>
          </w:tcPr>
          <w:p>
            <w:pPr>
              <w:ind w:left="280"/>
              <w:spacing w:after="0"/>
              <w:rPr>
                <w:sz w:val="20"/>
                <w:szCs w:val="20"/>
                <w:color w:val="auto"/>
              </w:rPr>
            </w:pPr>
            <w:r>
              <w:rPr>
                <w:rFonts w:ascii="Arial" w:cs="Arial" w:eastAsia="Arial" w:hAnsi="Arial"/>
                <w:sz w:val="17"/>
                <w:szCs w:val="17"/>
                <w:color w:val="373535"/>
              </w:rPr>
              <w:t>Customer relationships</w:t>
            </w:r>
          </w:p>
        </w:tc>
        <w:tc>
          <w:tcPr>
            <w:tcW w:w="300" w:type="dxa"/>
            <w:vAlign w:val="bottom"/>
            <w:shd w:val="clear" w:color="auto" w:fill="EEF5F2"/>
          </w:tcPr>
          <w:p>
            <w:pPr>
              <w:spacing w:after="0"/>
              <w:rPr>
                <w:sz w:val="20"/>
                <w:szCs w:val="20"/>
                <w:color w:val="auto"/>
              </w:rPr>
            </w:pPr>
          </w:p>
        </w:tc>
        <w:tc>
          <w:tcPr>
            <w:tcW w:w="850" w:type="dxa"/>
            <w:vAlign w:val="bottom"/>
            <w:shd w:val="clear" w:color="auto" w:fill="EEF5F2"/>
          </w:tcPr>
          <w:p>
            <w:pPr>
              <w:jc w:val="right"/>
              <w:ind w:right="26"/>
              <w:spacing w:after="0"/>
              <w:rPr>
                <w:sz w:val="20"/>
                <w:szCs w:val="20"/>
                <w:color w:val="auto"/>
              </w:rPr>
            </w:pPr>
            <w:r>
              <w:rPr>
                <w:rFonts w:ascii="Arial" w:cs="Arial" w:eastAsia="Arial" w:hAnsi="Arial"/>
                <w:sz w:val="17"/>
                <w:szCs w:val="17"/>
                <w:color w:val="76AD9A"/>
              </w:rPr>
              <w:t>351.5</w:t>
            </w:r>
          </w:p>
        </w:tc>
        <w:tc>
          <w:tcPr>
            <w:tcW w:w="230" w:type="dxa"/>
            <w:vAlign w:val="bottom"/>
            <w:shd w:val="clear" w:color="auto" w:fill="EEF5F2"/>
          </w:tcPr>
          <w:p>
            <w:pPr>
              <w:spacing w:after="0"/>
              <w:rPr>
                <w:sz w:val="20"/>
                <w:szCs w:val="20"/>
                <w:color w:val="auto"/>
              </w:rPr>
            </w:pPr>
          </w:p>
        </w:tc>
        <w:tc>
          <w:tcPr>
            <w:tcW w:w="1040" w:type="dxa"/>
            <w:vAlign w:val="bottom"/>
            <w:shd w:val="clear" w:color="auto" w:fill="EEF5F2"/>
          </w:tcPr>
          <w:p>
            <w:pPr>
              <w:jc w:val="right"/>
              <w:ind w:right="157"/>
              <w:spacing w:after="0"/>
              <w:rPr>
                <w:sz w:val="20"/>
                <w:szCs w:val="20"/>
                <w:color w:val="auto"/>
              </w:rPr>
            </w:pPr>
            <w:r>
              <w:rPr>
                <w:rFonts w:ascii="Arial" w:cs="Arial" w:eastAsia="Arial" w:hAnsi="Arial"/>
                <w:sz w:val="17"/>
                <w:szCs w:val="17"/>
                <w:color w:val="76AD9A"/>
              </w:rPr>
              <w:t>196.4</w:t>
            </w:r>
          </w:p>
        </w:tc>
        <w:tc>
          <w:tcPr>
            <w:tcW w:w="120" w:type="dxa"/>
            <w:vAlign w:val="bottom"/>
            <w:shd w:val="clear" w:color="auto" w:fill="EEF5F2"/>
          </w:tcPr>
          <w:p>
            <w:pPr>
              <w:spacing w:after="0"/>
              <w:rPr>
                <w:sz w:val="20"/>
                <w:szCs w:val="20"/>
                <w:color w:val="auto"/>
              </w:rPr>
            </w:pPr>
          </w:p>
        </w:tc>
        <w:tc>
          <w:tcPr>
            <w:tcW w:w="920" w:type="dxa"/>
            <w:vAlign w:val="bottom"/>
            <w:shd w:val="clear" w:color="auto" w:fill="EEF5F2"/>
          </w:tcPr>
          <w:p>
            <w:pPr>
              <w:jc w:val="right"/>
              <w:ind w:right="37"/>
              <w:spacing w:after="0"/>
              <w:rPr>
                <w:sz w:val="20"/>
                <w:szCs w:val="20"/>
                <w:color w:val="auto"/>
              </w:rPr>
            </w:pPr>
            <w:r>
              <w:rPr>
                <w:rFonts w:ascii="Arial" w:cs="Arial" w:eastAsia="Arial" w:hAnsi="Arial"/>
                <w:sz w:val="17"/>
                <w:szCs w:val="17"/>
                <w:color w:val="76AD9A"/>
              </w:rPr>
              <w:t>155.1</w:t>
            </w:r>
          </w:p>
        </w:tc>
        <w:tc>
          <w:tcPr>
            <w:tcW w:w="32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373535"/>
              </w:rPr>
              <w:t>339.0</w:t>
            </w:r>
          </w:p>
        </w:tc>
        <w:tc>
          <w:tcPr>
            <w:tcW w:w="22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373535"/>
              </w:rPr>
              <w:t>165.1</w:t>
            </w:r>
          </w:p>
        </w:tc>
        <w:tc>
          <w:tcPr>
            <w:tcW w:w="3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373535"/>
              </w:rPr>
              <w:t>173.9</w:t>
            </w:r>
          </w:p>
        </w:tc>
      </w:tr>
      <w:tr>
        <w:trPr>
          <w:trHeight w:val="208"/>
        </w:trPr>
        <w:tc>
          <w:tcPr>
            <w:tcW w:w="20" w:type="dxa"/>
            <w:vAlign w:val="bottom"/>
          </w:tcPr>
          <w:p>
            <w:pPr>
              <w:spacing w:after="0"/>
              <w:rPr>
                <w:sz w:val="18"/>
                <w:szCs w:val="18"/>
                <w:color w:val="auto"/>
              </w:rPr>
            </w:pPr>
          </w:p>
        </w:tc>
        <w:tc>
          <w:tcPr>
            <w:tcW w:w="4560" w:type="dxa"/>
            <w:vAlign w:val="bottom"/>
            <w:tcBorders>
              <w:bottom w:val="single" w:sz="8" w:color="717073"/>
            </w:tcBorders>
          </w:tcPr>
          <w:p>
            <w:pPr>
              <w:ind w:left="280"/>
              <w:spacing w:after="0"/>
              <w:rPr>
                <w:sz w:val="20"/>
                <w:szCs w:val="20"/>
                <w:color w:val="auto"/>
              </w:rPr>
            </w:pPr>
            <w:r>
              <w:rPr>
                <w:rFonts w:ascii="Arial" w:cs="Arial" w:eastAsia="Arial" w:hAnsi="Arial"/>
                <w:sz w:val="17"/>
                <w:szCs w:val="17"/>
                <w:color w:val="373535"/>
              </w:rPr>
              <w:t>Other</w:t>
            </w:r>
          </w:p>
        </w:tc>
        <w:tc>
          <w:tcPr>
            <w:tcW w:w="300" w:type="dxa"/>
            <w:vAlign w:val="bottom"/>
            <w:tcBorders>
              <w:bottom w:val="single" w:sz="8" w:color="717073"/>
            </w:tcBorders>
            <w:shd w:val="clear" w:color="auto" w:fill="EEF5F2"/>
          </w:tcPr>
          <w:p>
            <w:pPr>
              <w:spacing w:after="0"/>
              <w:rPr>
                <w:sz w:val="18"/>
                <w:szCs w:val="18"/>
                <w:color w:val="auto"/>
              </w:rPr>
            </w:pPr>
          </w:p>
        </w:tc>
        <w:tc>
          <w:tcPr>
            <w:tcW w:w="850" w:type="dxa"/>
            <w:vAlign w:val="bottom"/>
            <w:tcBorders>
              <w:bottom w:val="single" w:sz="8" w:color="717073"/>
            </w:tcBorders>
            <w:shd w:val="clear" w:color="auto" w:fill="EEF5F2"/>
          </w:tcPr>
          <w:p>
            <w:pPr>
              <w:jc w:val="right"/>
              <w:ind w:right="26"/>
              <w:spacing w:after="0"/>
              <w:rPr>
                <w:sz w:val="20"/>
                <w:szCs w:val="20"/>
                <w:color w:val="auto"/>
              </w:rPr>
            </w:pPr>
            <w:r>
              <w:rPr>
                <w:rFonts w:ascii="Arial" w:cs="Arial" w:eastAsia="Arial" w:hAnsi="Arial"/>
                <w:sz w:val="17"/>
                <w:szCs w:val="17"/>
                <w:color w:val="76AD9A"/>
              </w:rPr>
              <w:t>16.2</w:t>
            </w:r>
          </w:p>
        </w:tc>
        <w:tc>
          <w:tcPr>
            <w:tcW w:w="230" w:type="dxa"/>
            <w:vAlign w:val="bottom"/>
            <w:tcBorders>
              <w:bottom w:val="single" w:sz="8" w:color="717073"/>
            </w:tcBorders>
            <w:shd w:val="clear" w:color="auto" w:fill="EEF5F2"/>
          </w:tcPr>
          <w:p>
            <w:pPr>
              <w:spacing w:after="0"/>
              <w:rPr>
                <w:sz w:val="18"/>
                <w:szCs w:val="18"/>
                <w:color w:val="auto"/>
              </w:rPr>
            </w:pPr>
          </w:p>
        </w:tc>
        <w:tc>
          <w:tcPr>
            <w:tcW w:w="1040" w:type="dxa"/>
            <w:vAlign w:val="bottom"/>
            <w:tcBorders>
              <w:bottom w:val="single" w:sz="8" w:color="717073"/>
            </w:tcBorders>
            <w:shd w:val="clear" w:color="auto" w:fill="EEF5F2"/>
          </w:tcPr>
          <w:p>
            <w:pPr>
              <w:jc w:val="right"/>
              <w:ind w:right="157"/>
              <w:spacing w:after="0"/>
              <w:rPr>
                <w:sz w:val="20"/>
                <w:szCs w:val="20"/>
                <w:color w:val="auto"/>
              </w:rPr>
            </w:pPr>
            <w:r>
              <w:rPr>
                <w:rFonts w:ascii="Arial" w:cs="Arial" w:eastAsia="Arial" w:hAnsi="Arial"/>
                <w:sz w:val="17"/>
                <w:szCs w:val="17"/>
                <w:color w:val="76AD9A"/>
              </w:rPr>
              <w:t>14.0</w:t>
            </w:r>
          </w:p>
        </w:tc>
        <w:tc>
          <w:tcPr>
            <w:tcW w:w="120" w:type="dxa"/>
            <w:vAlign w:val="bottom"/>
            <w:tcBorders>
              <w:bottom w:val="single" w:sz="8" w:color="717073"/>
            </w:tcBorders>
            <w:shd w:val="clear" w:color="auto" w:fill="EEF5F2"/>
          </w:tcPr>
          <w:p>
            <w:pPr>
              <w:spacing w:after="0"/>
              <w:rPr>
                <w:sz w:val="18"/>
                <w:szCs w:val="18"/>
                <w:color w:val="auto"/>
              </w:rPr>
            </w:pPr>
          </w:p>
        </w:tc>
        <w:tc>
          <w:tcPr>
            <w:tcW w:w="920" w:type="dxa"/>
            <w:vAlign w:val="bottom"/>
            <w:tcBorders>
              <w:bottom w:val="single" w:sz="8" w:color="717073"/>
            </w:tcBorders>
            <w:shd w:val="clear" w:color="auto" w:fill="EEF5F2"/>
          </w:tcPr>
          <w:p>
            <w:pPr>
              <w:jc w:val="right"/>
              <w:ind w:right="37"/>
              <w:spacing w:after="0"/>
              <w:rPr>
                <w:sz w:val="20"/>
                <w:szCs w:val="20"/>
                <w:color w:val="auto"/>
              </w:rPr>
            </w:pPr>
            <w:r>
              <w:rPr>
                <w:rFonts w:ascii="Arial" w:cs="Arial" w:eastAsia="Arial" w:hAnsi="Arial"/>
                <w:sz w:val="17"/>
                <w:szCs w:val="17"/>
                <w:color w:val="76AD9A"/>
              </w:rPr>
              <w:t>2.2</w:t>
            </w:r>
          </w:p>
        </w:tc>
        <w:tc>
          <w:tcPr>
            <w:tcW w:w="320" w:type="dxa"/>
            <w:vAlign w:val="bottom"/>
            <w:tcBorders>
              <w:bottom w:val="single" w:sz="8" w:color="717073"/>
            </w:tcBorders>
          </w:tcPr>
          <w:p>
            <w:pPr>
              <w:spacing w:after="0"/>
              <w:rPr>
                <w:sz w:val="18"/>
                <w:szCs w:val="18"/>
                <w:color w:val="auto"/>
              </w:rPr>
            </w:pPr>
          </w:p>
        </w:tc>
        <w:tc>
          <w:tcPr>
            <w:tcW w:w="820" w:type="dxa"/>
            <w:vAlign w:val="bottom"/>
            <w:tcBorders>
              <w:bottom w:val="single" w:sz="8" w:color="717073"/>
            </w:tcBorders>
          </w:tcPr>
          <w:p>
            <w:pPr>
              <w:jc w:val="right"/>
              <w:ind w:right="36"/>
              <w:spacing w:after="0"/>
              <w:rPr>
                <w:sz w:val="20"/>
                <w:szCs w:val="20"/>
                <w:color w:val="auto"/>
              </w:rPr>
            </w:pPr>
            <w:r>
              <w:rPr>
                <w:rFonts w:ascii="Arial" w:cs="Arial" w:eastAsia="Arial" w:hAnsi="Arial"/>
                <w:sz w:val="17"/>
                <w:szCs w:val="17"/>
                <w:color w:val="373535"/>
              </w:rPr>
              <w:t>15.2</w:t>
            </w:r>
          </w:p>
        </w:tc>
        <w:tc>
          <w:tcPr>
            <w:tcW w:w="220" w:type="dxa"/>
            <w:vAlign w:val="bottom"/>
            <w:tcBorders>
              <w:bottom w:val="single" w:sz="8" w:color="717073"/>
            </w:tcBorders>
          </w:tcPr>
          <w:p>
            <w:pPr>
              <w:spacing w:after="0"/>
              <w:rPr>
                <w:sz w:val="18"/>
                <w:szCs w:val="18"/>
                <w:color w:val="auto"/>
              </w:rPr>
            </w:pPr>
          </w:p>
        </w:tc>
        <w:tc>
          <w:tcPr>
            <w:tcW w:w="920" w:type="dxa"/>
            <w:vAlign w:val="bottom"/>
            <w:tcBorders>
              <w:bottom w:val="single" w:sz="8" w:color="717073"/>
            </w:tcBorders>
          </w:tcPr>
          <w:p>
            <w:pPr>
              <w:jc w:val="right"/>
              <w:ind w:right="17"/>
              <w:spacing w:after="0"/>
              <w:rPr>
                <w:sz w:val="20"/>
                <w:szCs w:val="20"/>
                <w:color w:val="auto"/>
              </w:rPr>
            </w:pPr>
            <w:r>
              <w:rPr>
                <w:rFonts w:ascii="Arial" w:cs="Arial" w:eastAsia="Arial" w:hAnsi="Arial"/>
                <w:sz w:val="17"/>
                <w:szCs w:val="17"/>
                <w:color w:val="373535"/>
              </w:rPr>
              <w:t>12.4</w:t>
            </w:r>
          </w:p>
        </w:tc>
        <w:tc>
          <w:tcPr>
            <w:tcW w:w="320" w:type="dxa"/>
            <w:vAlign w:val="bottom"/>
            <w:tcBorders>
              <w:bottom w:val="single" w:sz="8" w:color="717073"/>
            </w:tcBorders>
          </w:tcPr>
          <w:p>
            <w:pPr>
              <w:spacing w:after="0"/>
              <w:rPr>
                <w:sz w:val="18"/>
                <w:szCs w:val="18"/>
                <w:color w:val="auto"/>
              </w:rPr>
            </w:pPr>
          </w:p>
        </w:tc>
        <w:tc>
          <w:tcPr>
            <w:tcW w:w="70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2.8</w:t>
            </w:r>
          </w:p>
        </w:tc>
      </w:tr>
      <w:tr>
        <w:trPr>
          <w:trHeight w:val="186"/>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300" w:type="dxa"/>
            <w:vAlign w:val="bottom"/>
            <w:shd w:val="clear" w:color="auto" w:fill="EEF5F2"/>
          </w:tcPr>
          <w:p>
            <w:pPr>
              <w:spacing w:after="0"/>
              <w:rPr>
                <w:sz w:val="16"/>
                <w:szCs w:val="16"/>
                <w:color w:val="auto"/>
              </w:rPr>
            </w:pPr>
          </w:p>
        </w:tc>
        <w:tc>
          <w:tcPr>
            <w:tcW w:w="850" w:type="dxa"/>
            <w:vAlign w:val="bottom"/>
            <w:shd w:val="clear" w:color="auto" w:fill="EEF5F2"/>
          </w:tcPr>
          <w:p>
            <w:pPr>
              <w:jc w:val="right"/>
              <w:ind w:right="26"/>
              <w:spacing w:after="0" w:line="186" w:lineRule="exact"/>
              <w:rPr>
                <w:sz w:val="20"/>
                <w:szCs w:val="20"/>
                <w:color w:val="auto"/>
              </w:rPr>
            </w:pPr>
            <w:r>
              <w:rPr>
                <w:rFonts w:ascii="Arial" w:cs="Arial" w:eastAsia="Arial" w:hAnsi="Arial"/>
                <w:sz w:val="17"/>
                <w:szCs w:val="17"/>
                <w:color w:val="76AD9A"/>
              </w:rPr>
              <w:t>405.3</w:t>
            </w:r>
          </w:p>
        </w:tc>
        <w:tc>
          <w:tcPr>
            <w:tcW w:w="23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157"/>
              <w:spacing w:after="0" w:line="186" w:lineRule="exact"/>
              <w:rPr>
                <w:sz w:val="20"/>
                <w:szCs w:val="20"/>
                <w:color w:val="auto"/>
              </w:rPr>
            </w:pPr>
            <w:r>
              <w:rPr>
                <w:rFonts w:ascii="Arial" w:cs="Arial" w:eastAsia="Arial" w:hAnsi="Arial"/>
                <w:sz w:val="17"/>
                <w:szCs w:val="17"/>
                <w:color w:val="76AD9A"/>
              </w:rPr>
              <w:t>247.9</w:t>
            </w:r>
          </w:p>
        </w:tc>
        <w:tc>
          <w:tcPr>
            <w:tcW w:w="120" w:type="dxa"/>
            <w:vAlign w:val="bottom"/>
            <w:shd w:val="clear" w:color="auto" w:fill="EEF5F2"/>
          </w:tcPr>
          <w:p>
            <w:pPr>
              <w:spacing w:after="0"/>
              <w:rPr>
                <w:sz w:val="16"/>
                <w:szCs w:val="16"/>
                <w:color w:val="auto"/>
              </w:rPr>
            </w:pPr>
          </w:p>
        </w:tc>
        <w:tc>
          <w:tcPr>
            <w:tcW w:w="920" w:type="dxa"/>
            <w:vAlign w:val="bottom"/>
            <w:shd w:val="clear" w:color="auto" w:fill="EEF5F2"/>
          </w:tcPr>
          <w:p>
            <w:pPr>
              <w:jc w:val="right"/>
              <w:ind w:right="37"/>
              <w:spacing w:after="0" w:line="186" w:lineRule="exact"/>
              <w:rPr>
                <w:sz w:val="20"/>
                <w:szCs w:val="20"/>
                <w:color w:val="auto"/>
              </w:rPr>
            </w:pPr>
            <w:r>
              <w:rPr>
                <w:rFonts w:ascii="Arial" w:cs="Arial" w:eastAsia="Arial" w:hAnsi="Arial"/>
                <w:sz w:val="17"/>
                <w:szCs w:val="17"/>
                <w:color w:val="76AD9A"/>
              </w:rPr>
              <w:t>157.4</w:t>
            </w:r>
          </w:p>
        </w:tc>
        <w:tc>
          <w:tcPr>
            <w:tcW w:w="320" w:type="dxa"/>
            <w:vAlign w:val="bottom"/>
          </w:tcPr>
          <w:p>
            <w:pPr>
              <w:spacing w:after="0"/>
              <w:rPr>
                <w:sz w:val="16"/>
                <w:szCs w:val="16"/>
                <w:color w:val="auto"/>
              </w:rPr>
            </w:pPr>
          </w:p>
        </w:tc>
        <w:tc>
          <w:tcPr>
            <w:tcW w:w="820" w:type="dxa"/>
            <w:vAlign w:val="bottom"/>
          </w:tcPr>
          <w:p>
            <w:pPr>
              <w:jc w:val="right"/>
              <w:ind w:right="36"/>
              <w:spacing w:after="0" w:line="186" w:lineRule="exact"/>
              <w:rPr>
                <w:sz w:val="20"/>
                <w:szCs w:val="20"/>
                <w:color w:val="auto"/>
              </w:rPr>
            </w:pPr>
            <w:r>
              <w:rPr>
                <w:rFonts w:ascii="Arial" w:cs="Arial" w:eastAsia="Arial" w:hAnsi="Arial"/>
                <w:sz w:val="17"/>
                <w:szCs w:val="17"/>
                <w:color w:val="373535"/>
              </w:rPr>
              <w:t>391.8</w:t>
            </w:r>
          </w:p>
        </w:tc>
        <w:tc>
          <w:tcPr>
            <w:tcW w:w="220" w:type="dxa"/>
            <w:vAlign w:val="bottom"/>
          </w:tcPr>
          <w:p>
            <w:pPr>
              <w:spacing w:after="0"/>
              <w:rPr>
                <w:sz w:val="16"/>
                <w:szCs w:val="16"/>
                <w:color w:val="auto"/>
              </w:rPr>
            </w:pPr>
          </w:p>
        </w:tc>
        <w:tc>
          <w:tcPr>
            <w:tcW w:w="920" w:type="dxa"/>
            <w:vAlign w:val="bottom"/>
          </w:tcPr>
          <w:p>
            <w:pPr>
              <w:jc w:val="right"/>
              <w:ind w:right="17"/>
              <w:spacing w:after="0" w:line="186" w:lineRule="exact"/>
              <w:rPr>
                <w:sz w:val="20"/>
                <w:szCs w:val="20"/>
                <w:color w:val="auto"/>
              </w:rPr>
            </w:pPr>
            <w:r>
              <w:rPr>
                <w:rFonts w:ascii="Arial" w:cs="Arial" w:eastAsia="Arial" w:hAnsi="Arial"/>
                <w:sz w:val="17"/>
                <w:szCs w:val="17"/>
                <w:color w:val="373535"/>
              </w:rPr>
              <w:t>213.2</w:t>
            </w:r>
          </w:p>
        </w:tc>
        <w:tc>
          <w:tcPr>
            <w:tcW w:w="320" w:type="dxa"/>
            <w:vAlign w:val="bottom"/>
          </w:tcPr>
          <w:p>
            <w:pPr>
              <w:spacing w:after="0"/>
              <w:rPr>
                <w:sz w:val="16"/>
                <w:szCs w:val="16"/>
                <w:color w:val="auto"/>
              </w:rPr>
            </w:pPr>
          </w:p>
        </w:tc>
        <w:tc>
          <w:tcPr>
            <w:tcW w:w="70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178.6</w:t>
            </w:r>
          </w:p>
        </w:tc>
      </w:tr>
      <w:tr>
        <w:trPr>
          <w:trHeight w:val="224"/>
        </w:trPr>
        <w:tc>
          <w:tcPr>
            <w:tcW w:w="20" w:type="dxa"/>
            <w:vAlign w:val="bottom"/>
          </w:tcPr>
          <w:p>
            <w:pPr>
              <w:spacing w:after="0"/>
              <w:rPr>
                <w:sz w:val="19"/>
                <w:szCs w:val="19"/>
                <w:color w:val="auto"/>
              </w:rPr>
            </w:pPr>
          </w:p>
        </w:tc>
        <w:tc>
          <w:tcPr>
            <w:tcW w:w="4560" w:type="dxa"/>
            <w:vAlign w:val="bottom"/>
            <w:tcBorders>
              <w:top w:val="single" w:sz="8" w:color="717073"/>
            </w:tcBorders>
          </w:tcPr>
          <w:p>
            <w:pPr>
              <w:ind w:left="140"/>
              <w:spacing w:after="0"/>
              <w:rPr>
                <w:sz w:val="20"/>
                <w:szCs w:val="20"/>
                <w:color w:val="auto"/>
              </w:rPr>
            </w:pPr>
            <w:r>
              <w:rPr>
                <w:rFonts w:ascii="Arial" w:cs="Arial" w:eastAsia="Arial" w:hAnsi="Arial"/>
                <w:sz w:val="17"/>
                <w:szCs w:val="17"/>
                <w:color w:val="373535"/>
              </w:rPr>
              <w:t>Indefinite-lived:</w:t>
            </w:r>
          </w:p>
        </w:tc>
        <w:tc>
          <w:tcPr>
            <w:tcW w:w="300" w:type="dxa"/>
            <w:vAlign w:val="bottom"/>
            <w:tcBorders>
              <w:top w:val="single" w:sz="8" w:color="717073"/>
            </w:tcBorders>
            <w:shd w:val="clear" w:color="auto" w:fill="EEF5F2"/>
          </w:tcPr>
          <w:p>
            <w:pPr>
              <w:spacing w:after="0"/>
              <w:rPr>
                <w:sz w:val="19"/>
                <w:szCs w:val="19"/>
                <w:color w:val="auto"/>
              </w:rPr>
            </w:pPr>
          </w:p>
        </w:tc>
        <w:tc>
          <w:tcPr>
            <w:tcW w:w="850" w:type="dxa"/>
            <w:vAlign w:val="bottom"/>
            <w:tcBorders>
              <w:top w:val="single" w:sz="8" w:color="717073"/>
            </w:tcBorders>
            <w:shd w:val="clear" w:color="auto" w:fill="EEF5F2"/>
          </w:tcPr>
          <w:p>
            <w:pPr>
              <w:spacing w:after="0"/>
              <w:rPr>
                <w:sz w:val="19"/>
                <w:szCs w:val="19"/>
                <w:color w:val="auto"/>
              </w:rPr>
            </w:pPr>
          </w:p>
        </w:tc>
        <w:tc>
          <w:tcPr>
            <w:tcW w:w="230" w:type="dxa"/>
            <w:vAlign w:val="bottom"/>
            <w:tcBorders>
              <w:top w:val="single" w:sz="8" w:color="717073"/>
            </w:tcBorders>
            <w:shd w:val="clear" w:color="auto" w:fill="EEF5F2"/>
          </w:tcPr>
          <w:p>
            <w:pPr>
              <w:spacing w:after="0"/>
              <w:rPr>
                <w:sz w:val="19"/>
                <w:szCs w:val="19"/>
                <w:color w:val="auto"/>
              </w:rPr>
            </w:pPr>
          </w:p>
        </w:tc>
        <w:tc>
          <w:tcPr>
            <w:tcW w:w="1040" w:type="dxa"/>
            <w:vAlign w:val="bottom"/>
            <w:tcBorders>
              <w:top w:val="single" w:sz="8" w:color="717073"/>
            </w:tcBorders>
            <w:shd w:val="clear" w:color="auto" w:fill="EEF5F2"/>
          </w:tcPr>
          <w:p>
            <w:pPr>
              <w:spacing w:after="0"/>
              <w:rPr>
                <w:sz w:val="19"/>
                <w:szCs w:val="19"/>
                <w:color w:val="auto"/>
              </w:rPr>
            </w:pPr>
          </w:p>
        </w:tc>
        <w:tc>
          <w:tcPr>
            <w:tcW w:w="120" w:type="dxa"/>
            <w:vAlign w:val="bottom"/>
            <w:tcBorders>
              <w:top w:val="single" w:sz="8" w:color="717073"/>
            </w:tcBorders>
            <w:shd w:val="clear" w:color="auto" w:fill="EEF5F2"/>
          </w:tcPr>
          <w:p>
            <w:pPr>
              <w:spacing w:after="0"/>
              <w:rPr>
                <w:sz w:val="19"/>
                <w:szCs w:val="19"/>
                <w:color w:val="auto"/>
              </w:rPr>
            </w:pPr>
          </w:p>
        </w:tc>
        <w:tc>
          <w:tcPr>
            <w:tcW w:w="920" w:type="dxa"/>
            <w:vAlign w:val="bottom"/>
            <w:tcBorders>
              <w:top w:val="single" w:sz="8" w:color="717073"/>
            </w:tcBorders>
            <w:shd w:val="clear" w:color="auto" w:fill="EEF5F2"/>
          </w:tcPr>
          <w:p>
            <w:pPr>
              <w:spacing w:after="0"/>
              <w:rPr>
                <w:sz w:val="19"/>
                <w:szCs w:val="19"/>
                <w:color w:val="auto"/>
              </w:rPr>
            </w:pPr>
          </w:p>
        </w:tc>
        <w:tc>
          <w:tcPr>
            <w:tcW w:w="320" w:type="dxa"/>
            <w:vAlign w:val="bottom"/>
            <w:tcBorders>
              <w:top w:val="single" w:sz="8" w:color="717073"/>
            </w:tcBorders>
          </w:tcPr>
          <w:p>
            <w:pPr>
              <w:spacing w:after="0"/>
              <w:rPr>
                <w:sz w:val="19"/>
                <w:szCs w:val="19"/>
                <w:color w:val="auto"/>
              </w:rPr>
            </w:pPr>
          </w:p>
        </w:tc>
        <w:tc>
          <w:tcPr>
            <w:tcW w:w="820" w:type="dxa"/>
            <w:vAlign w:val="bottom"/>
            <w:tcBorders>
              <w:top w:val="single" w:sz="8" w:color="717073"/>
            </w:tcBorders>
          </w:tcPr>
          <w:p>
            <w:pPr>
              <w:spacing w:after="0"/>
              <w:rPr>
                <w:sz w:val="19"/>
                <w:szCs w:val="19"/>
                <w:color w:val="auto"/>
              </w:rPr>
            </w:pPr>
          </w:p>
        </w:tc>
        <w:tc>
          <w:tcPr>
            <w:tcW w:w="220" w:type="dxa"/>
            <w:vAlign w:val="bottom"/>
            <w:tcBorders>
              <w:top w:val="single" w:sz="8" w:color="717073"/>
            </w:tcBorders>
          </w:tcPr>
          <w:p>
            <w:pPr>
              <w:spacing w:after="0"/>
              <w:rPr>
                <w:sz w:val="19"/>
                <w:szCs w:val="19"/>
                <w:color w:val="auto"/>
              </w:rPr>
            </w:pPr>
          </w:p>
        </w:tc>
        <w:tc>
          <w:tcPr>
            <w:tcW w:w="920" w:type="dxa"/>
            <w:vAlign w:val="bottom"/>
            <w:tcBorders>
              <w:top w:val="single" w:sz="8" w:color="717073"/>
            </w:tcBorders>
          </w:tcPr>
          <w:p>
            <w:pPr>
              <w:spacing w:after="0"/>
              <w:rPr>
                <w:sz w:val="19"/>
                <w:szCs w:val="19"/>
                <w:color w:val="auto"/>
              </w:rPr>
            </w:pPr>
          </w:p>
        </w:tc>
        <w:tc>
          <w:tcPr>
            <w:tcW w:w="320" w:type="dxa"/>
            <w:vAlign w:val="bottom"/>
            <w:tcBorders>
              <w:top w:val="single" w:sz="8" w:color="717073"/>
            </w:tcBorders>
          </w:tcPr>
          <w:p>
            <w:pPr>
              <w:spacing w:after="0"/>
              <w:rPr>
                <w:sz w:val="19"/>
                <w:szCs w:val="19"/>
                <w:color w:val="auto"/>
              </w:rPr>
            </w:pPr>
          </w:p>
        </w:tc>
        <w:tc>
          <w:tcPr>
            <w:tcW w:w="680" w:type="dxa"/>
            <w:vAlign w:val="bottom"/>
            <w:tcBorders>
              <w:top w:val="single" w:sz="8" w:color="717073"/>
            </w:tcBorders>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4560" w:type="dxa"/>
            <w:vAlign w:val="bottom"/>
          </w:tcPr>
          <w:p>
            <w:pPr>
              <w:ind w:left="280"/>
              <w:spacing w:after="0" w:line="233" w:lineRule="exact"/>
              <w:rPr>
                <w:sz w:val="20"/>
                <w:szCs w:val="20"/>
                <w:color w:val="auto"/>
              </w:rPr>
            </w:pPr>
            <w:r>
              <w:rPr>
                <w:rFonts w:ascii="Arial" w:cs="Arial" w:eastAsia="Arial" w:hAnsi="Arial"/>
                <w:sz w:val="17"/>
                <w:szCs w:val="17"/>
                <w:color w:val="373535"/>
              </w:rPr>
              <w:t>Tradenames</w:t>
            </w:r>
            <w:r>
              <w:rPr>
                <w:rFonts w:ascii="Arial" w:cs="Arial" w:eastAsia="Arial" w:hAnsi="Arial"/>
                <w:sz w:val="24"/>
                <w:szCs w:val="24"/>
                <w:color w:val="373535"/>
                <w:vertAlign w:val="superscript"/>
              </w:rPr>
              <w:t>(2)</w:t>
            </w:r>
          </w:p>
        </w:tc>
        <w:tc>
          <w:tcPr>
            <w:tcW w:w="300" w:type="dxa"/>
            <w:vAlign w:val="bottom"/>
            <w:shd w:val="clear" w:color="auto" w:fill="EEF5F2"/>
          </w:tcPr>
          <w:p>
            <w:pPr>
              <w:spacing w:after="0"/>
              <w:rPr>
                <w:sz w:val="20"/>
                <w:szCs w:val="20"/>
                <w:color w:val="auto"/>
              </w:rPr>
            </w:pPr>
          </w:p>
        </w:tc>
        <w:tc>
          <w:tcPr>
            <w:tcW w:w="850" w:type="dxa"/>
            <w:vAlign w:val="bottom"/>
            <w:shd w:val="clear" w:color="auto" w:fill="EEF5F2"/>
          </w:tcPr>
          <w:p>
            <w:pPr>
              <w:jc w:val="right"/>
              <w:ind w:right="26"/>
              <w:spacing w:after="0"/>
              <w:rPr>
                <w:sz w:val="20"/>
                <w:szCs w:val="20"/>
                <w:color w:val="auto"/>
              </w:rPr>
            </w:pPr>
            <w:r>
              <w:rPr>
                <w:rFonts w:ascii="Arial" w:cs="Arial" w:eastAsia="Arial" w:hAnsi="Arial"/>
                <w:sz w:val="17"/>
                <w:szCs w:val="17"/>
                <w:color w:val="76AD9A"/>
              </w:rPr>
              <w:t>54.0</w:t>
            </w:r>
          </w:p>
        </w:tc>
        <w:tc>
          <w:tcPr>
            <w:tcW w:w="230" w:type="dxa"/>
            <w:vAlign w:val="bottom"/>
            <w:shd w:val="clear" w:color="auto" w:fill="EEF5F2"/>
          </w:tcPr>
          <w:p>
            <w:pPr>
              <w:spacing w:after="0"/>
              <w:rPr>
                <w:sz w:val="20"/>
                <w:szCs w:val="20"/>
                <w:color w:val="auto"/>
              </w:rPr>
            </w:pPr>
          </w:p>
        </w:tc>
        <w:tc>
          <w:tcPr>
            <w:tcW w:w="1040" w:type="dxa"/>
            <w:vAlign w:val="bottom"/>
            <w:shd w:val="clear" w:color="auto" w:fill="EEF5F2"/>
          </w:tcPr>
          <w:p>
            <w:pPr>
              <w:jc w:val="right"/>
              <w:ind w:right="157"/>
              <w:spacing w:after="0"/>
              <w:rPr>
                <w:sz w:val="20"/>
                <w:szCs w:val="20"/>
                <w:color w:val="auto"/>
              </w:rPr>
            </w:pPr>
            <w:r>
              <w:rPr>
                <w:rFonts w:ascii="Arial" w:cs="Arial" w:eastAsia="Arial" w:hAnsi="Arial"/>
                <w:sz w:val="17"/>
                <w:szCs w:val="17"/>
                <w:color w:val="76AD9A"/>
              </w:rPr>
              <w:t>—</w:t>
            </w:r>
          </w:p>
        </w:tc>
        <w:tc>
          <w:tcPr>
            <w:tcW w:w="120" w:type="dxa"/>
            <w:vAlign w:val="bottom"/>
            <w:shd w:val="clear" w:color="auto" w:fill="EEF5F2"/>
          </w:tcPr>
          <w:p>
            <w:pPr>
              <w:spacing w:after="0"/>
              <w:rPr>
                <w:sz w:val="20"/>
                <w:szCs w:val="20"/>
                <w:color w:val="auto"/>
              </w:rPr>
            </w:pPr>
          </w:p>
        </w:tc>
        <w:tc>
          <w:tcPr>
            <w:tcW w:w="920" w:type="dxa"/>
            <w:vAlign w:val="bottom"/>
            <w:shd w:val="clear" w:color="auto" w:fill="EEF5F2"/>
          </w:tcPr>
          <w:p>
            <w:pPr>
              <w:jc w:val="right"/>
              <w:ind w:right="37"/>
              <w:spacing w:after="0"/>
              <w:rPr>
                <w:sz w:val="20"/>
                <w:szCs w:val="20"/>
                <w:color w:val="auto"/>
              </w:rPr>
            </w:pPr>
            <w:r>
              <w:rPr>
                <w:rFonts w:ascii="Arial" w:cs="Arial" w:eastAsia="Arial" w:hAnsi="Arial"/>
                <w:sz w:val="17"/>
                <w:szCs w:val="17"/>
                <w:color w:val="76AD9A"/>
              </w:rPr>
              <w:t>54.0</w:t>
            </w:r>
          </w:p>
        </w:tc>
        <w:tc>
          <w:tcPr>
            <w:tcW w:w="320" w:type="dxa"/>
            <w:vAlign w:val="bottom"/>
          </w:tcPr>
          <w:p>
            <w:pPr>
              <w:spacing w:after="0"/>
              <w:rPr>
                <w:sz w:val="20"/>
                <w:szCs w:val="20"/>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373535"/>
              </w:rPr>
              <w:t>54.0</w:t>
            </w:r>
          </w:p>
        </w:tc>
        <w:tc>
          <w:tcPr>
            <w:tcW w:w="22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373535"/>
              </w:rPr>
              <w:t>—</w:t>
            </w:r>
          </w:p>
        </w:tc>
        <w:tc>
          <w:tcPr>
            <w:tcW w:w="3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7"/>
                <w:szCs w:val="17"/>
                <w:color w:val="373535"/>
              </w:rPr>
              <w:t>54.0</w:t>
            </w:r>
          </w:p>
        </w:tc>
      </w:tr>
      <w:tr>
        <w:trPr>
          <w:trHeight w:val="194"/>
        </w:trPr>
        <w:tc>
          <w:tcPr>
            <w:tcW w:w="20" w:type="dxa"/>
            <w:vAlign w:val="bottom"/>
          </w:tcPr>
          <w:p>
            <w:pPr>
              <w:spacing w:after="0"/>
              <w:rPr>
                <w:sz w:val="16"/>
                <w:szCs w:val="16"/>
                <w:color w:val="auto"/>
              </w:rPr>
            </w:pPr>
          </w:p>
        </w:tc>
        <w:tc>
          <w:tcPr>
            <w:tcW w:w="4560" w:type="dxa"/>
            <w:vAlign w:val="bottom"/>
            <w:tcBorders>
              <w:bottom w:val="single" w:sz="8" w:color="717073"/>
            </w:tcBorders>
          </w:tcPr>
          <w:p>
            <w:pPr>
              <w:ind w:left="280"/>
              <w:spacing w:after="0" w:line="194" w:lineRule="exact"/>
              <w:rPr>
                <w:sz w:val="20"/>
                <w:szCs w:val="20"/>
                <w:color w:val="auto"/>
              </w:rPr>
            </w:pPr>
            <w:r>
              <w:rPr>
                <w:rFonts w:ascii="Arial" w:cs="Arial" w:eastAsia="Arial" w:hAnsi="Arial"/>
                <w:sz w:val="17"/>
                <w:szCs w:val="17"/>
                <w:color w:val="373535"/>
              </w:rPr>
              <w:t>Reacquired franchise rights</w:t>
            </w:r>
          </w:p>
        </w:tc>
        <w:tc>
          <w:tcPr>
            <w:tcW w:w="300" w:type="dxa"/>
            <w:vAlign w:val="bottom"/>
            <w:tcBorders>
              <w:bottom w:val="single" w:sz="8" w:color="717073"/>
            </w:tcBorders>
            <w:shd w:val="clear" w:color="auto" w:fill="EEF5F2"/>
          </w:tcPr>
          <w:p>
            <w:pPr>
              <w:spacing w:after="0"/>
              <w:rPr>
                <w:sz w:val="16"/>
                <w:szCs w:val="16"/>
                <w:color w:val="auto"/>
              </w:rPr>
            </w:pPr>
          </w:p>
        </w:tc>
        <w:tc>
          <w:tcPr>
            <w:tcW w:w="850" w:type="dxa"/>
            <w:vAlign w:val="bottom"/>
            <w:tcBorders>
              <w:bottom w:val="single" w:sz="8" w:color="717073"/>
            </w:tcBorders>
            <w:shd w:val="clear" w:color="auto" w:fill="EEF5F2"/>
          </w:tcPr>
          <w:p>
            <w:pPr>
              <w:jc w:val="right"/>
              <w:ind w:right="26"/>
              <w:spacing w:after="0" w:line="194" w:lineRule="exact"/>
              <w:rPr>
                <w:sz w:val="20"/>
                <w:szCs w:val="20"/>
                <w:color w:val="auto"/>
              </w:rPr>
            </w:pPr>
            <w:r>
              <w:rPr>
                <w:rFonts w:ascii="Arial" w:cs="Arial" w:eastAsia="Arial" w:hAnsi="Arial"/>
                <w:sz w:val="17"/>
                <w:szCs w:val="17"/>
                <w:color w:val="76AD9A"/>
              </w:rPr>
              <w:t>97.7</w:t>
            </w:r>
          </w:p>
        </w:tc>
        <w:tc>
          <w:tcPr>
            <w:tcW w:w="23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shd w:val="clear" w:color="auto" w:fill="EEF5F2"/>
          </w:tcPr>
          <w:p>
            <w:pPr>
              <w:jc w:val="right"/>
              <w:ind w:right="157"/>
              <w:spacing w:after="0" w:line="194" w:lineRule="exact"/>
              <w:rPr>
                <w:sz w:val="20"/>
                <w:szCs w:val="20"/>
                <w:color w:val="auto"/>
              </w:rPr>
            </w:pPr>
            <w:r>
              <w:rPr>
                <w:rFonts w:ascii="Arial" w:cs="Arial" w:eastAsia="Arial" w:hAnsi="Arial"/>
                <w:sz w:val="17"/>
                <w:szCs w:val="17"/>
                <w:color w:val="76AD9A"/>
              </w:rPr>
              <w:t>—</w:t>
            </w:r>
          </w:p>
        </w:tc>
        <w:tc>
          <w:tcPr>
            <w:tcW w:w="120" w:type="dxa"/>
            <w:vAlign w:val="bottom"/>
            <w:tcBorders>
              <w:bottom w:val="single" w:sz="8" w:color="717073"/>
            </w:tcBorders>
            <w:shd w:val="clear" w:color="auto" w:fill="EEF5F2"/>
          </w:tcPr>
          <w:p>
            <w:pPr>
              <w:spacing w:after="0"/>
              <w:rPr>
                <w:sz w:val="16"/>
                <w:szCs w:val="16"/>
                <w:color w:val="auto"/>
              </w:rPr>
            </w:pPr>
          </w:p>
        </w:tc>
        <w:tc>
          <w:tcPr>
            <w:tcW w:w="920" w:type="dxa"/>
            <w:vAlign w:val="bottom"/>
            <w:tcBorders>
              <w:bottom w:val="single" w:sz="8" w:color="717073"/>
            </w:tcBorders>
            <w:shd w:val="clear" w:color="auto" w:fill="EEF5F2"/>
          </w:tcPr>
          <w:p>
            <w:pPr>
              <w:jc w:val="right"/>
              <w:ind w:right="37"/>
              <w:spacing w:after="0" w:line="194" w:lineRule="exact"/>
              <w:rPr>
                <w:sz w:val="20"/>
                <w:szCs w:val="20"/>
                <w:color w:val="auto"/>
              </w:rPr>
            </w:pPr>
            <w:r>
              <w:rPr>
                <w:rFonts w:ascii="Arial" w:cs="Arial" w:eastAsia="Arial" w:hAnsi="Arial"/>
                <w:sz w:val="17"/>
                <w:szCs w:val="17"/>
                <w:color w:val="76AD9A"/>
              </w:rPr>
              <w:t>97.7</w:t>
            </w:r>
          </w:p>
        </w:tc>
        <w:tc>
          <w:tcPr>
            <w:tcW w:w="320" w:type="dxa"/>
            <w:vAlign w:val="bottom"/>
            <w:tcBorders>
              <w:bottom w:val="single" w:sz="8" w:color="717073"/>
            </w:tcBorders>
          </w:tcPr>
          <w:p>
            <w:pPr>
              <w:spacing w:after="0"/>
              <w:rPr>
                <w:sz w:val="16"/>
                <w:szCs w:val="16"/>
                <w:color w:val="auto"/>
              </w:rPr>
            </w:pPr>
          </w:p>
        </w:tc>
        <w:tc>
          <w:tcPr>
            <w:tcW w:w="82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98.0</w:t>
            </w:r>
          </w:p>
        </w:tc>
        <w:tc>
          <w:tcPr>
            <w:tcW w:w="22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17"/>
              <w:spacing w:after="0" w:line="194" w:lineRule="exact"/>
              <w:rPr>
                <w:sz w:val="20"/>
                <w:szCs w:val="20"/>
                <w:color w:val="auto"/>
              </w:rPr>
            </w:pPr>
            <w:r>
              <w:rPr>
                <w:rFonts w:ascii="Arial" w:cs="Arial" w:eastAsia="Arial" w:hAnsi="Arial"/>
                <w:sz w:val="17"/>
                <w:szCs w:val="17"/>
                <w:color w:val="373535"/>
              </w:rPr>
              <w:t>—</w:t>
            </w:r>
          </w:p>
        </w:tc>
        <w:tc>
          <w:tcPr>
            <w:tcW w:w="320" w:type="dxa"/>
            <w:vAlign w:val="bottom"/>
            <w:tcBorders>
              <w:bottom w:val="single" w:sz="8" w:color="717073"/>
            </w:tcBorders>
          </w:tcPr>
          <w:p>
            <w:pPr>
              <w:spacing w:after="0"/>
              <w:rPr>
                <w:sz w:val="16"/>
                <w:szCs w:val="16"/>
                <w:color w:val="auto"/>
              </w:rPr>
            </w:pPr>
          </w:p>
        </w:tc>
        <w:tc>
          <w:tcPr>
            <w:tcW w:w="70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98.0</w:t>
            </w:r>
          </w:p>
        </w:tc>
      </w:tr>
      <w:tr>
        <w:trPr>
          <w:trHeight w:val="186"/>
        </w:trPr>
        <w:tc>
          <w:tcPr>
            <w:tcW w:w="20" w:type="dxa"/>
            <w:vAlign w:val="bottom"/>
          </w:tcPr>
          <w:p>
            <w:pPr>
              <w:spacing w:after="0"/>
              <w:rPr>
                <w:sz w:val="16"/>
                <w:szCs w:val="16"/>
                <w:color w:val="auto"/>
              </w:rPr>
            </w:pPr>
          </w:p>
        </w:tc>
        <w:tc>
          <w:tcPr>
            <w:tcW w:w="4560" w:type="dxa"/>
            <w:vAlign w:val="bottom"/>
            <w:tcBorders>
              <w:bottom w:val="single" w:sz="8" w:color="717073"/>
            </w:tcBorders>
          </w:tcPr>
          <w:p>
            <w:pPr>
              <w:spacing w:after="0"/>
              <w:rPr>
                <w:sz w:val="16"/>
                <w:szCs w:val="16"/>
                <w:color w:val="auto"/>
              </w:rPr>
            </w:pPr>
          </w:p>
        </w:tc>
        <w:tc>
          <w:tcPr>
            <w:tcW w:w="300" w:type="dxa"/>
            <w:vAlign w:val="bottom"/>
            <w:tcBorders>
              <w:bottom w:val="single" w:sz="8" w:color="717073"/>
            </w:tcBorders>
            <w:shd w:val="clear" w:color="auto" w:fill="EEF5F2"/>
          </w:tcPr>
          <w:p>
            <w:pPr>
              <w:spacing w:after="0"/>
              <w:rPr>
                <w:sz w:val="16"/>
                <w:szCs w:val="16"/>
                <w:color w:val="auto"/>
              </w:rPr>
            </w:pPr>
          </w:p>
        </w:tc>
        <w:tc>
          <w:tcPr>
            <w:tcW w:w="850" w:type="dxa"/>
            <w:vAlign w:val="bottom"/>
            <w:tcBorders>
              <w:bottom w:val="single" w:sz="8" w:color="717073"/>
            </w:tcBorders>
            <w:shd w:val="clear" w:color="auto" w:fill="EEF5F2"/>
          </w:tcPr>
          <w:p>
            <w:pPr>
              <w:jc w:val="right"/>
              <w:ind w:right="26"/>
              <w:spacing w:after="0" w:line="186" w:lineRule="exact"/>
              <w:rPr>
                <w:sz w:val="20"/>
                <w:szCs w:val="20"/>
                <w:color w:val="auto"/>
              </w:rPr>
            </w:pPr>
            <w:r>
              <w:rPr>
                <w:rFonts w:ascii="Arial" w:cs="Arial" w:eastAsia="Arial" w:hAnsi="Arial"/>
                <w:sz w:val="17"/>
                <w:szCs w:val="17"/>
                <w:color w:val="76AD9A"/>
              </w:rPr>
              <w:t>151.7</w:t>
            </w:r>
          </w:p>
        </w:tc>
        <w:tc>
          <w:tcPr>
            <w:tcW w:w="23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shd w:val="clear" w:color="auto" w:fill="EEF5F2"/>
          </w:tcPr>
          <w:p>
            <w:pPr>
              <w:jc w:val="right"/>
              <w:ind w:right="157"/>
              <w:spacing w:after="0" w:line="186" w:lineRule="exact"/>
              <w:rPr>
                <w:sz w:val="20"/>
                <w:szCs w:val="20"/>
                <w:color w:val="auto"/>
              </w:rPr>
            </w:pPr>
            <w:r>
              <w:rPr>
                <w:rFonts w:ascii="Arial" w:cs="Arial" w:eastAsia="Arial" w:hAnsi="Arial"/>
                <w:sz w:val="17"/>
                <w:szCs w:val="17"/>
                <w:color w:val="76AD9A"/>
              </w:rPr>
              <w:t>—</w:t>
            </w:r>
          </w:p>
        </w:tc>
        <w:tc>
          <w:tcPr>
            <w:tcW w:w="120" w:type="dxa"/>
            <w:vAlign w:val="bottom"/>
            <w:tcBorders>
              <w:bottom w:val="single" w:sz="8" w:color="717073"/>
            </w:tcBorders>
            <w:shd w:val="clear" w:color="auto" w:fill="EEF5F2"/>
          </w:tcPr>
          <w:p>
            <w:pPr>
              <w:spacing w:after="0"/>
              <w:rPr>
                <w:sz w:val="16"/>
                <w:szCs w:val="16"/>
                <w:color w:val="auto"/>
              </w:rPr>
            </w:pPr>
          </w:p>
        </w:tc>
        <w:tc>
          <w:tcPr>
            <w:tcW w:w="920" w:type="dxa"/>
            <w:vAlign w:val="bottom"/>
            <w:tcBorders>
              <w:bottom w:val="single" w:sz="8" w:color="717073"/>
            </w:tcBorders>
            <w:shd w:val="clear" w:color="auto" w:fill="EEF5F2"/>
          </w:tcPr>
          <w:p>
            <w:pPr>
              <w:jc w:val="right"/>
              <w:ind w:right="37"/>
              <w:spacing w:after="0" w:line="186" w:lineRule="exact"/>
              <w:rPr>
                <w:sz w:val="20"/>
                <w:szCs w:val="20"/>
                <w:color w:val="auto"/>
              </w:rPr>
            </w:pPr>
            <w:r>
              <w:rPr>
                <w:rFonts w:ascii="Arial" w:cs="Arial" w:eastAsia="Arial" w:hAnsi="Arial"/>
                <w:sz w:val="17"/>
                <w:szCs w:val="17"/>
                <w:color w:val="76AD9A"/>
              </w:rPr>
              <w:t>151.7</w:t>
            </w:r>
          </w:p>
        </w:tc>
        <w:tc>
          <w:tcPr>
            <w:tcW w:w="320" w:type="dxa"/>
            <w:vAlign w:val="bottom"/>
            <w:tcBorders>
              <w:bottom w:val="single" w:sz="8" w:color="717073"/>
            </w:tcBorders>
          </w:tcPr>
          <w:p>
            <w:pPr>
              <w:spacing w:after="0"/>
              <w:rPr>
                <w:sz w:val="16"/>
                <w:szCs w:val="16"/>
                <w:color w:val="auto"/>
              </w:rPr>
            </w:pPr>
          </w:p>
        </w:tc>
        <w:tc>
          <w:tcPr>
            <w:tcW w:w="8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152.0</w:t>
            </w:r>
          </w:p>
        </w:tc>
        <w:tc>
          <w:tcPr>
            <w:tcW w:w="22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17"/>
              <w:spacing w:after="0" w:line="186" w:lineRule="exact"/>
              <w:rPr>
                <w:sz w:val="20"/>
                <w:szCs w:val="20"/>
                <w:color w:val="auto"/>
              </w:rPr>
            </w:pPr>
            <w:r>
              <w:rPr>
                <w:rFonts w:ascii="Arial" w:cs="Arial" w:eastAsia="Arial" w:hAnsi="Arial"/>
                <w:sz w:val="17"/>
                <w:szCs w:val="17"/>
                <w:color w:val="373535"/>
              </w:rPr>
              <w:t>—</w:t>
            </w:r>
          </w:p>
        </w:tc>
        <w:tc>
          <w:tcPr>
            <w:tcW w:w="320" w:type="dxa"/>
            <w:vAlign w:val="bottom"/>
            <w:tcBorders>
              <w:bottom w:val="single" w:sz="8" w:color="717073"/>
            </w:tcBorders>
          </w:tcPr>
          <w:p>
            <w:pPr>
              <w:spacing w:after="0"/>
              <w:rPr>
                <w:sz w:val="16"/>
                <w:szCs w:val="16"/>
                <w:color w:val="auto"/>
              </w:rPr>
            </w:pPr>
          </w:p>
        </w:tc>
        <w:tc>
          <w:tcPr>
            <w:tcW w:w="70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152.0</w:t>
            </w:r>
          </w:p>
        </w:tc>
      </w:tr>
      <w:tr>
        <w:trPr>
          <w:trHeight w:val="186"/>
        </w:trPr>
        <w:tc>
          <w:tcPr>
            <w:tcW w:w="20" w:type="dxa"/>
            <w:vAlign w:val="bottom"/>
          </w:tcPr>
          <w:p>
            <w:pPr>
              <w:spacing w:after="0"/>
              <w:rPr>
                <w:sz w:val="16"/>
                <w:szCs w:val="16"/>
                <w:color w:val="auto"/>
              </w:rPr>
            </w:pPr>
          </w:p>
        </w:tc>
        <w:tc>
          <w:tcPr>
            <w:tcW w:w="456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Total intangible assets</w:t>
            </w:r>
          </w:p>
        </w:tc>
        <w:tc>
          <w:tcPr>
            <w:tcW w:w="30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850" w:type="dxa"/>
            <w:vAlign w:val="bottom"/>
            <w:tcBorders>
              <w:bottom w:val="single" w:sz="8" w:color="717073"/>
            </w:tcBorders>
            <w:shd w:val="clear" w:color="auto" w:fill="EEF5F2"/>
          </w:tcPr>
          <w:p>
            <w:pPr>
              <w:jc w:val="right"/>
              <w:ind w:right="26"/>
              <w:spacing w:after="0" w:line="186" w:lineRule="exact"/>
              <w:rPr>
                <w:sz w:val="20"/>
                <w:szCs w:val="20"/>
                <w:color w:val="auto"/>
              </w:rPr>
            </w:pPr>
            <w:r>
              <w:rPr>
                <w:rFonts w:ascii="Arial" w:cs="Arial" w:eastAsia="Arial" w:hAnsi="Arial"/>
                <w:sz w:val="17"/>
                <w:szCs w:val="17"/>
                <w:color w:val="76AD9A"/>
              </w:rPr>
              <w:t>557.0</w:t>
            </w:r>
          </w:p>
        </w:tc>
        <w:tc>
          <w:tcPr>
            <w:tcW w:w="23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bottom w:val="single" w:sz="8" w:color="717073"/>
            </w:tcBorders>
            <w:shd w:val="clear" w:color="auto" w:fill="EEF5F2"/>
          </w:tcPr>
          <w:p>
            <w:pPr>
              <w:jc w:val="right"/>
              <w:ind w:right="157"/>
              <w:spacing w:after="0" w:line="186" w:lineRule="exact"/>
              <w:rPr>
                <w:sz w:val="20"/>
                <w:szCs w:val="20"/>
                <w:color w:val="auto"/>
              </w:rPr>
            </w:pPr>
            <w:r>
              <w:rPr>
                <w:rFonts w:ascii="Arial" w:cs="Arial" w:eastAsia="Arial" w:hAnsi="Arial"/>
                <w:sz w:val="17"/>
                <w:szCs w:val="17"/>
                <w:color w:val="76AD9A"/>
              </w:rPr>
              <w:t>247.9</w:t>
            </w:r>
          </w:p>
        </w:tc>
        <w:tc>
          <w:tcPr>
            <w:tcW w:w="1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w w:val="84"/>
              </w:rPr>
              <w:t>$</w:t>
            </w:r>
          </w:p>
        </w:tc>
        <w:tc>
          <w:tcPr>
            <w:tcW w:w="920" w:type="dxa"/>
            <w:vAlign w:val="bottom"/>
            <w:tcBorders>
              <w:bottom w:val="single" w:sz="8" w:color="717073"/>
            </w:tcBorders>
            <w:shd w:val="clear" w:color="auto" w:fill="EEF5F2"/>
          </w:tcPr>
          <w:p>
            <w:pPr>
              <w:jc w:val="right"/>
              <w:ind w:right="37"/>
              <w:spacing w:after="0" w:line="186" w:lineRule="exact"/>
              <w:rPr>
                <w:sz w:val="20"/>
                <w:szCs w:val="20"/>
                <w:color w:val="auto"/>
              </w:rPr>
            </w:pPr>
            <w:r>
              <w:rPr>
                <w:rFonts w:ascii="Arial" w:cs="Arial" w:eastAsia="Arial" w:hAnsi="Arial"/>
                <w:sz w:val="17"/>
                <w:szCs w:val="17"/>
                <w:color w:val="76AD9A"/>
              </w:rPr>
              <w:t>309.1</w:t>
            </w:r>
          </w:p>
        </w:tc>
        <w:tc>
          <w:tcPr>
            <w:tcW w:w="3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543.8</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20" w:type="dxa"/>
            <w:vAlign w:val="bottom"/>
            <w:tcBorders>
              <w:bottom w:val="single" w:sz="8" w:color="717073"/>
            </w:tcBorders>
          </w:tcPr>
          <w:p>
            <w:pPr>
              <w:jc w:val="right"/>
              <w:ind w:right="17"/>
              <w:spacing w:after="0" w:line="186" w:lineRule="exact"/>
              <w:rPr>
                <w:sz w:val="20"/>
                <w:szCs w:val="20"/>
                <w:color w:val="auto"/>
              </w:rPr>
            </w:pPr>
            <w:r>
              <w:rPr>
                <w:rFonts w:ascii="Arial" w:cs="Arial" w:eastAsia="Arial" w:hAnsi="Arial"/>
                <w:sz w:val="17"/>
                <w:szCs w:val="17"/>
                <w:color w:val="373535"/>
              </w:rPr>
              <w:t>213.2</w:t>
            </w:r>
          </w:p>
        </w:tc>
        <w:tc>
          <w:tcPr>
            <w:tcW w:w="32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6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330.6</w:t>
            </w:r>
          </w:p>
        </w:tc>
        <w:tc>
          <w:tcPr>
            <w:tcW w:w="20" w:type="dxa"/>
            <w:vAlign w:val="bottom"/>
          </w:tcPr>
          <w:p>
            <w:pPr>
              <w:spacing w:after="0"/>
              <w:rPr>
                <w:sz w:val="16"/>
                <w:szCs w:val="16"/>
                <w:color w:val="auto"/>
              </w:rPr>
            </w:pPr>
          </w:p>
        </w:tc>
      </w:tr>
    </w:tbl>
    <w:p>
      <w:pPr>
        <w:spacing w:after="0" w:line="193" w:lineRule="exact"/>
        <w:rPr>
          <w:sz w:val="20"/>
          <w:szCs w:val="20"/>
          <w:color w:val="auto"/>
        </w:rPr>
      </w:pPr>
    </w:p>
    <w:p>
      <w:pPr>
        <w:ind w:left="360" w:hanging="357"/>
        <w:spacing w:after="0"/>
        <w:tabs>
          <w:tab w:leader="none" w:pos="360" w:val="left"/>
        </w:tabs>
        <w:numPr>
          <w:ilvl w:val="0"/>
          <w:numId w:val="104"/>
        </w:numPr>
        <w:rPr>
          <w:rFonts w:ascii="Arial" w:cs="Arial" w:eastAsia="Arial" w:hAnsi="Arial"/>
          <w:sz w:val="17"/>
          <w:szCs w:val="17"/>
          <w:color w:val="373535"/>
        </w:rPr>
      </w:pPr>
      <w:r>
        <w:rPr>
          <w:rFonts w:ascii="Arial" w:cs="Arial" w:eastAsia="Arial" w:hAnsi="Arial"/>
          <w:sz w:val="17"/>
          <w:szCs w:val="17"/>
          <w:color w:val="373535"/>
        </w:rPr>
        <w:t>Balances were net of accumulated impairment loss of $513.4 as of both December 31, 2013 and 2012.</w:t>
      </w:r>
    </w:p>
    <w:p>
      <w:pPr>
        <w:spacing w:after="0" w:line="191" w:lineRule="exact"/>
        <w:rPr>
          <w:rFonts w:ascii="Arial" w:cs="Arial" w:eastAsia="Arial" w:hAnsi="Arial"/>
          <w:sz w:val="17"/>
          <w:szCs w:val="17"/>
          <w:color w:val="373535"/>
        </w:rPr>
      </w:pPr>
    </w:p>
    <w:p>
      <w:pPr>
        <w:ind w:left="360" w:hanging="357"/>
        <w:spacing w:after="0"/>
        <w:tabs>
          <w:tab w:leader="none" w:pos="360" w:val="left"/>
        </w:tabs>
        <w:numPr>
          <w:ilvl w:val="0"/>
          <w:numId w:val="104"/>
        </w:numPr>
        <w:rPr>
          <w:rFonts w:ascii="Arial" w:cs="Arial" w:eastAsia="Arial" w:hAnsi="Arial"/>
          <w:sz w:val="17"/>
          <w:szCs w:val="17"/>
          <w:color w:val="373535"/>
        </w:rPr>
      </w:pPr>
      <w:r>
        <w:rPr>
          <w:rFonts w:ascii="Arial" w:cs="Arial" w:eastAsia="Arial" w:hAnsi="Arial"/>
          <w:sz w:val="17"/>
          <w:szCs w:val="17"/>
          <w:color w:val="373535"/>
        </w:rPr>
        <w:t>Balances were net of accumulated impairment loss of $139.5 as of both December 31, 2013 and 2012.</w:t>
      </w:r>
    </w:p>
    <w:p>
      <w:pPr>
        <w:spacing w:after="0" w:line="155"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373535"/>
        </w:rPr>
        <w:t>58</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6" w:name="page97"/>
    <w:bookmarkEnd w:id="96"/>
    <w:p>
      <w:pPr>
        <w:jc w:val="both"/>
        <w:spacing w:after="0"/>
        <w:rPr>
          <w:sz w:val="20"/>
          <w:szCs w:val="20"/>
          <w:color w:val="auto"/>
        </w:rPr>
      </w:pPr>
      <w:r>
        <w:rPr>
          <w:rFonts w:ascii="Arial" w:cs="Arial" w:eastAsia="Arial" w:hAnsi="Arial"/>
          <w:sz w:val="17"/>
          <w:szCs w:val="17"/>
          <w:color w:val="373535"/>
        </w:rPr>
        <w:t>Amortization expense related to intangibles was $34.1, $36.7 and $38.9 in 2013, 2012 and 2011, respectively. Amortization expense expected in each of the next five years related to acquisitions completed as of December 31, 2013 is as follows: 2014 — $30.3, 2015 — $27.0, 2016 — $23.9, 2017 — $20.3 and 2018 — $18.0. The weighted-average useful lives of the technology, franchise agreements, customer relationships and other are 5, 10, 14 and 3 years, respectively. The tradenames have been assigned an indefinite life based on our expectation of renewing the tradenames, as required, without material modifications and at a minimal cost, and our expectation of positive cash flows beyond the foreseeable future. The reacquired franchise rights result from our franchise acquisitions in the United States and Canada completed prior to 2009.</w:t>
      </w:r>
    </w:p>
    <w:p>
      <w:pPr>
        <w:spacing w:after="0" w:line="18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performed our annual impairment test of our goodwill and indefinite-lived intangible assets during the third quarter of 2013, 2012 and 2011, and there was no impairment of our goodwill or indefinite-lived intangible as a result of our annual tests.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utilize a two-step method for determining goodwill impairment. In the first step, we determined the fair value of each reporting unit, generally by utilizing an income approach derived from a discounted cash flow methodology. For certain of our reporting units, a combination of the income approach (weighted 75%) and the market approach (weighted 25%) derived from comparable public companies was utilized. The income approach is developed from management’s forecasted cash flow data. Therefore, it represents an indication of fair market value reflecting management’s internal outlook for the reporting unit. The market approach utilizes the Guideline Public Company Method to quantify the respective reporting unit’s fair value based on revenues and earnings multiples realized by similar public companies. The market approach is more volatile as an indicator of fair value as compared to the income approach. We believe that each approach has its merits. However in the instances where we have utilized both approaches, we have weighted the income approach more heavily than the market approach because we believe that management’s assumptions generally provide greater insight into the reporting unit’s fair value.</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Significant assumptions used in our goodwill impairment tests during 2013, 2012 and 2011 included: expected revenue growth rates, operating unit profit margins, working capital levels, discount rates ranging from 11.7% to 16.5% for 2013, and a terminal value multiple. The expected future revenue growth rates and the expected operating unit profit margins were determined after considering our historical revenue growth rates and operating unit profit margins, our assessment of future market potential, and our expectations of future business performance, including the effects of our simplification and recalibration plan.</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If the reporting unit’s fair value is less than its carrying value, we are required to perform a second step. In the second step, we allocate the fair value of the reporting unit to all of the assets and liabilities of the reporting unit, including any unrecognized intangible assets, in a “hypothetical” calculation to determine the implied fair value of the goodwill. The impairment charge, if any, is measured as the difference between the implied fair value of the goodwill and its carrying value.</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Under the current accounting guidance, we are also required to test our indefinite-lived intangible assets for impairment by comparing the fair value of the intangible asset with its carrying value. If the intangible asset’s fair value is less than its carrying value, an impairment loss is recognized for the difference.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MARKETABLE SECURITIES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account for our marketable security investments under the accounting guidance on certain investments in debt and equity securities, and have determined that all such investments are classified as available-for-sale. Accordingly, unrealized gains and unrealized losses that are determined to be temporary, net of related income taxes, are included in accumulated other comprehensive income, which is a separate component of shareholders’ equity. Realized gains and losses, and unrealized losses determined to be other-than-temporary, are recorded in our Consolidated Statements of Operations. We had no available-for-sale investments as of December 31, 2013 or 2012.</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566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59</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97" w:name="page98"/>
    <w:bookmarkEnd w:id="97"/>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hold a 49% interest in our Swiss franchise, which maintained an investment portfolio with a market value of $204.2 and $192.5 as of December 31, 2013 and 2012, respectively. This portfolio is comprised of a wide variety of European and United States debt and equity securities as well as various professionally-managed funds, all of which are classified as available-for-sale. Our share of net realized gains and losses, and declines in value determined to be other-than-temporary, are included in our Consolidated Statements of Operations. For the years ended December 31, 2013, 2012 and 2011, realized gains totaled $3.6, $0.1 and $0.1, respectively, and realized losses totaled $1.4, $0.2 and $0.3, respectively. Our share of net unrealized gains and unrealized losses that are determined to be temporary related to these investments are included in accumulated other comprehensive income, with the offsetting amount increasing or decreasing our investment in the franchise.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CAPITALIZED SOFTWARE FOR INTERNAL USE</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capitalize purchased software as well as internally developed software. Internal software development costs are capitalized from the time the internal use software is considered probable of completion until the software is ready for use. Business analysis, system evaluation, selection and software maintenance costs are expensed as incurred. Capitalized software costs are amortized using the straight-line method over the estimated useful life of the software which ranges from 3 to 10 years. The net capitalized software balance of $4.6 and $10.6 as of December 31, 2013 and 2012, respectively, is included in other assets in the Consolidated Balance Sheets. Amortization expense related to the capitalized software costs was $5.6, $7.3 and $7.8 for 2013, 2012 and 2011,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PROPERTY AND EQUIPMENT</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373535"/>
        </w:rPr>
        <w:t>A summary of property and equipment as of December 31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780" w:type="dxa"/>
            <w:vAlign w:val="bottom"/>
          </w:tcPr>
          <w:p>
            <w:pPr>
              <w:spacing w:after="0"/>
              <w:rPr>
                <w:sz w:val="16"/>
                <w:szCs w:val="16"/>
                <w:color w:val="auto"/>
              </w:rPr>
            </w:pPr>
          </w:p>
        </w:tc>
        <w:tc>
          <w:tcPr>
            <w:tcW w:w="240" w:type="dxa"/>
            <w:vAlign w:val="bottom"/>
            <w:shd w:val="clear" w:color="auto" w:fill="76AD9A"/>
          </w:tcPr>
          <w:p>
            <w:pPr>
              <w:spacing w:after="0"/>
              <w:rPr>
                <w:sz w:val="16"/>
                <w:szCs w:val="16"/>
                <w:color w:val="auto"/>
              </w:rPr>
            </w:pPr>
          </w:p>
        </w:tc>
        <w:tc>
          <w:tcPr>
            <w:tcW w:w="1140" w:type="dxa"/>
            <w:vAlign w:val="bottom"/>
            <w:shd w:val="clear" w:color="auto" w:fill="76AD9A"/>
          </w:tcPr>
          <w:p>
            <w:pPr>
              <w:jc w:val="right"/>
              <w:ind w:right="136"/>
              <w:spacing w:after="0"/>
              <w:rPr>
                <w:sz w:val="20"/>
                <w:szCs w:val="20"/>
                <w:color w:val="auto"/>
              </w:rPr>
            </w:pPr>
            <w:r>
              <w:rPr>
                <w:rFonts w:ascii="Arial" w:cs="Arial" w:eastAsia="Arial" w:hAnsi="Arial"/>
                <w:sz w:val="14"/>
                <w:szCs w:val="14"/>
                <w:color w:val="FFFFFF"/>
              </w:rPr>
              <w:t>2013</w:t>
            </w:r>
          </w:p>
        </w:tc>
        <w:tc>
          <w:tcPr>
            <w:tcW w:w="46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76AD9A"/>
              </w:rPr>
              <w:t>2012</w:t>
            </w: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Land</w:t>
            </w:r>
          </w:p>
        </w:tc>
        <w:tc>
          <w:tcPr>
            <w:tcW w:w="24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140" w:type="dxa"/>
            <w:vAlign w:val="bottom"/>
            <w:tcBorders>
              <w:top w:val="single" w:sz="8" w:color="76AD9A"/>
            </w:tcBorders>
            <w:shd w:val="clear" w:color="auto" w:fill="EEF5F2"/>
          </w:tcPr>
          <w:p>
            <w:pPr>
              <w:jc w:val="right"/>
              <w:ind w:right="136"/>
              <w:spacing w:after="0" w:line="185" w:lineRule="exact"/>
              <w:rPr>
                <w:sz w:val="20"/>
                <w:szCs w:val="20"/>
                <w:color w:val="auto"/>
              </w:rPr>
            </w:pPr>
            <w:r>
              <w:rPr>
                <w:rFonts w:ascii="Arial" w:cs="Arial" w:eastAsia="Arial" w:hAnsi="Arial"/>
                <w:sz w:val="17"/>
                <w:szCs w:val="17"/>
                <w:color w:val="76AD9A"/>
              </w:rPr>
              <w:t>6.2</w:t>
            </w:r>
          </w:p>
        </w:tc>
        <w:tc>
          <w:tcPr>
            <w:tcW w:w="46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6.8</w:t>
            </w:r>
          </w:p>
        </w:tc>
        <w:tc>
          <w:tcPr>
            <w:tcW w:w="2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Buildings</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6"/>
              <w:spacing w:after="0" w:line="194" w:lineRule="exact"/>
              <w:rPr>
                <w:sz w:val="20"/>
                <w:szCs w:val="20"/>
                <w:color w:val="auto"/>
              </w:rPr>
            </w:pPr>
            <w:r>
              <w:rPr>
                <w:rFonts w:ascii="Arial" w:cs="Arial" w:eastAsia="Arial" w:hAnsi="Arial"/>
                <w:sz w:val="17"/>
                <w:szCs w:val="17"/>
                <w:color w:val="76AD9A"/>
              </w:rPr>
              <w:t>20.8</w:t>
            </w:r>
          </w:p>
        </w:tc>
        <w:tc>
          <w:tcPr>
            <w:tcW w:w="460" w:type="dxa"/>
            <w:vAlign w:val="bottom"/>
          </w:tcPr>
          <w:p>
            <w:pPr>
              <w:spacing w:after="0"/>
              <w:rPr>
                <w:sz w:val="16"/>
                <w:szCs w:val="16"/>
                <w:color w:val="auto"/>
              </w:rPr>
            </w:pPr>
          </w:p>
        </w:tc>
        <w:tc>
          <w:tcPr>
            <w:tcW w:w="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21.0</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Furniture, fixtures, and autos</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6"/>
              <w:spacing w:after="0" w:line="194" w:lineRule="exact"/>
              <w:rPr>
                <w:sz w:val="20"/>
                <w:szCs w:val="20"/>
                <w:color w:val="auto"/>
              </w:rPr>
            </w:pPr>
            <w:r>
              <w:rPr>
                <w:rFonts w:ascii="Arial" w:cs="Arial" w:eastAsia="Arial" w:hAnsi="Arial"/>
                <w:sz w:val="17"/>
                <w:szCs w:val="17"/>
                <w:color w:val="76AD9A"/>
              </w:rPr>
              <w:t>194.1</w:t>
            </w:r>
          </w:p>
        </w:tc>
        <w:tc>
          <w:tcPr>
            <w:tcW w:w="460" w:type="dxa"/>
            <w:vAlign w:val="bottom"/>
          </w:tcPr>
          <w:p>
            <w:pPr>
              <w:spacing w:after="0"/>
              <w:rPr>
                <w:sz w:val="16"/>
                <w:szCs w:val="16"/>
                <w:color w:val="auto"/>
              </w:rPr>
            </w:pPr>
          </w:p>
        </w:tc>
        <w:tc>
          <w:tcPr>
            <w:tcW w:w="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198.4</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Computer equipment</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6"/>
              <w:spacing w:after="0" w:line="194" w:lineRule="exact"/>
              <w:rPr>
                <w:sz w:val="20"/>
                <w:szCs w:val="20"/>
                <w:color w:val="auto"/>
              </w:rPr>
            </w:pPr>
            <w:r>
              <w:rPr>
                <w:rFonts w:ascii="Arial" w:cs="Arial" w:eastAsia="Arial" w:hAnsi="Arial"/>
                <w:sz w:val="17"/>
                <w:szCs w:val="17"/>
                <w:color w:val="76AD9A"/>
              </w:rPr>
              <w:t>168.1</w:t>
            </w:r>
          </w:p>
        </w:tc>
        <w:tc>
          <w:tcPr>
            <w:tcW w:w="460" w:type="dxa"/>
            <w:vAlign w:val="bottom"/>
          </w:tcPr>
          <w:p>
            <w:pPr>
              <w:spacing w:after="0"/>
              <w:rPr>
                <w:sz w:val="16"/>
                <w:szCs w:val="16"/>
                <w:color w:val="auto"/>
              </w:rPr>
            </w:pPr>
          </w:p>
        </w:tc>
        <w:tc>
          <w:tcPr>
            <w:tcW w:w="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169.2</w:t>
            </w:r>
          </w:p>
        </w:tc>
      </w:tr>
      <w:tr>
        <w:trPr>
          <w:trHeight w:val="194"/>
        </w:trPr>
        <w:tc>
          <w:tcPr>
            <w:tcW w:w="880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Leasehold improvements</w:t>
            </w: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shd w:val="clear" w:color="auto" w:fill="EEF5F2"/>
          </w:tcPr>
          <w:p>
            <w:pPr>
              <w:jc w:val="right"/>
              <w:ind w:right="136"/>
              <w:spacing w:after="0" w:line="194" w:lineRule="exact"/>
              <w:rPr>
                <w:sz w:val="20"/>
                <w:szCs w:val="20"/>
                <w:color w:val="auto"/>
              </w:rPr>
            </w:pPr>
            <w:r>
              <w:rPr>
                <w:rFonts w:ascii="Arial" w:cs="Arial" w:eastAsia="Arial" w:hAnsi="Arial"/>
                <w:sz w:val="17"/>
                <w:szCs w:val="17"/>
                <w:color w:val="76AD9A"/>
              </w:rPr>
              <w:t>317.0</w:t>
            </w:r>
          </w:p>
        </w:tc>
        <w:tc>
          <w:tcPr>
            <w:tcW w:w="460" w:type="dxa"/>
            <w:vAlign w:val="bottom"/>
            <w:tcBorders>
              <w:bottom w:val="single" w:sz="8" w:color="717073"/>
            </w:tcBorders>
          </w:tcPr>
          <w:p>
            <w:pPr>
              <w:spacing w:after="0"/>
              <w:rPr>
                <w:sz w:val="16"/>
                <w:szCs w:val="16"/>
                <w:color w:val="auto"/>
              </w:rPr>
            </w:pPr>
          </w:p>
        </w:tc>
        <w:tc>
          <w:tcPr>
            <w:tcW w:w="70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308.7</w:t>
            </w:r>
          </w:p>
        </w:tc>
      </w:tr>
      <w:tr>
        <w:trPr>
          <w:trHeight w:val="186"/>
        </w:trPr>
        <w:tc>
          <w:tcPr>
            <w:tcW w:w="8800" w:type="dxa"/>
            <w:vAlign w:val="bottom"/>
            <w:gridSpan w:val="2"/>
          </w:tcPr>
          <w:p>
            <w:pPr>
              <w:spacing w:after="0" w:line="186" w:lineRule="exact"/>
              <w:rPr>
                <w:sz w:val="20"/>
                <w:szCs w:val="20"/>
                <w:color w:val="auto"/>
              </w:rPr>
            </w:pPr>
            <w:r>
              <w:rPr>
                <w:rFonts w:ascii="Arial" w:cs="Arial" w:eastAsia="Arial" w:hAnsi="Arial"/>
                <w:sz w:val="17"/>
                <w:szCs w:val="17"/>
                <w:color w:val="373535"/>
              </w:rPr>
              <w:t>Property and equipment</w:t>
            </w:r>
          </w:p>
        </w:tc>
        <w:tc>
          <w:tcPr>
            <w:tcW w:w="24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40" w:type="dxa"/>
            <w:vAlign w:val="bottom"/>
            <w:shd w:val="clear" w:color="auto" w:fill="EEF5F2"/>
          </w:tcPr>
          <w:p>
            <w:pPr>
              <w:jc w:val="right"/>
              <w:ind w:right="136"/>
              <w:spacing w:after="0" w:line="186" w:lineRule="exact"/>
              <w:rPr>
                <w:sz w:val="20"/>
                <w:szCs w:val="20"/>
                <w:color w:val="auto"/>
              </w:rPr>
            </w:pPr>
            <w:r>
              <w:rPr>
                <w:rFonts w:ascii="Arial" w:cs="Arial" w:eastAsia="Arial" w:hAnsi="Arial"/>
                <w:sz w:val="17"/>
                <w:szCs w:val="17"/>
                <w:color w:val="76AD9A"/>
              </w:rPr>
              <w:t>706.2</w:t>
            </w:r>
          </w:p>
        </w:tc>
        <w:tc>
          <w:tcPr>
            <w:tcW w:w="460" w:type="dxa"/>
            <w:vAlign w:val="bottom"/>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70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704.1</w:t>
            </w:r>
          </w:p>
        </w:tc>
      </w:tr>
      <w:tr>
        <w:trPr>
          <w:trHeight w:val="20"/>
        </w:trPr>
        <w:tc>
          <w:tcPr>
            <w:tcW w:w="20" w:type="dxa"/>
            <w:vAlign w:val="bottom"/>
          </w:tcPr>
          <w:p>
            <w:pPr>
              <w:spacing w:after="0" w:line="20" w:lineRule="exact"/>
              <w:rPr>
                <w:sz w:val="1"/>
                <w:szCs w:val="1"/>
                <w:color w:val="auto"/>
              </w:rPr>
            </w:pPr>
          </w:p>
        </w:tc>
        <w:tc>
          <w:tcPr>
            <w:tcW w:w="87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68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Property and equipment are stated at cost and are depreciated using primarily the straight-line method over the following estimated useful lives: buildings — up to 40 years; furniture, fixtures, autos and computer equipment — 2 to 16 years; leasehold improvements — lesser of life of asset or expected lease term. Expenditures for renewals and betterments are capitalized whereas expenditures for repairs and maintenance are charged to income as incurred. Upon sale or disposition of property and equipment, the difference between the unamortized cost and the proceeds is recorded as either a gain or a loss and is included in our Consolidated Statements of Operations. Long-lived assets are evaluated for impairment in accordance with the provisions of the accounting guidance on the impairment or disposal of long-lived assets.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DERIVATIVE FINANCIAL INSTRUMENTS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account for our derivative instruments in accordance with the accounting guidance on derivative instruments and hedging activities. Derivative instruments are recorded on the balance sheet as either an asset or liability measured at their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and recognized in the Consolidated Statements of Operations when the hedged item affects earnings. The ineffective portions of the changes in the fair value of cash flow hedges are recognized in earnings.</w:t>
      </w:r>
    </w:p>
    <w:p>
      <w:pPr>
        <w:spacing w:after="0" w:line="146"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373535"/>
        </w:rPr>
        <w:t>60</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4C8ABF"/>
        </w:rPr>
        <w:t>FOREIGN CURRENCY TRANSLATION</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financial statements of our non-United States subsidiaries have been translated in accordance with the accounting guidance on foreign currency translation. Under the accounting guidance, asset and liability accounts are translated at the current exchange rate and income statement items are translated at the weighted-average exchange rate for the year. The resulting translation adjustments are recorded as a component of accumulated other comprehensive income, which is included in shareholders’ equity.</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Our euro-denominated notes are accounted for as a hedge of our net investment in our subsidiaries with a euro-functional currency. Since our net investment in these subsidiaries exceeds the amount of the related borrowings, all translation gains or losses related to these borrowings are included as a component of accumulated other comprehensive income.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SHAREHOLDERS’ EQUITY</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December 2012 and November 2011, the Board of Directors authorized the repurchase of 8.0 million and 3.0 million shares of our common stock, respectively. Share repurchases may be made from time to time through a variety of methods, including open market purchases, block transactions, privately negotiated transactions, accelerated share repurchase programs, forward repurchase agreements or similar facilities. No repurchases were made in 2013. In 2012, we repurchased a total of 3.6 million shares, comprised of 0.6 million shares under a previous authorization and 3.0 million shares under the 2011 authorization, at a total cost of $138.2. In 2011, we repurchased a total of 2.6 million shares under previous authorizations at a total cost of $104.5. As of December 31, 2013, there were 8.0 million shares remaining authorized for repurchase under the 2012 authorization and no shares remaining under any previous authorizations.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During 2013, 2012 and 2011, the Board of Directors declared total cash dividends of $0.92, $0.86 and $0.80 per share, respectively, resulting in total dividend payments of $72.0, $67.8 and $65.1,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CASH AND CASH EQUIVALENTS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We consider all highly liquid investments with an original maturity of three months or less when purchased to be cash equivalents.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PAYROLL TAX CREDIT</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January 2013, the French government passed legislation, Credit d’Impôt pour la Compétitivité et l’Emploi (“CICE”), effective January 1, 2013, that provides payroll tax credits based on a percentage of wages paid to employees receiving less than two-and-a-half times the French minimum wage. The payroll tax credit is equal to 4% of eligible wages in 2013 and increases to 6% of eligible wages starting in 2014. The CICE payroll tax credit is accounted for as a reduction of our cost of services in the period earned.</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 payroll tax credit is creditable against our current income tax payable, with any remaining amount being paid after three years. Given the amount of our current income taxes payable, we would generally receive the vast majority of these payroll tax credits after the three-year period. However, we entered into an agreement in December 2013 to sell a portion of the credits earned in 2013 for net proceeds of $104.0. We derecognized these receivables upon sale date as the terms of the agreement are such that the transaction qualifies for sale treatment according to the accounting guidance on the transfer and servicing of assets. The discount on the sale of this receivable was recorded as a reduction of the 2013 payroll tax credits in cost of services.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60" w:type="dxa"/>
            <w:vAlign w:val="bottom"/>
          </w:tcPr>
          <w:p>
            <w:pPr>
              <w:ind w:left="566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61</w:t>
            </w:r>
          </w:p>
        </w:tc>
      </w:tr>
      <w:tr>
        <w:trPr>
          <w:trHeight w:val="405"/>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33" w:right="2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RECENTLY ISSUED ACCOUNTING STANDARDS</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In March 2013, the FASB issued new accounting guidance on cumulative translation adjustment. The new guidance requires that currency translation adjustments should be released into net income only if the sale of a foreign subsidiary results in the complete liquidation of the entity. For an equity method investment that is a foreign entity, a pro rata portion of the currency translation adjustments should be released into net income upon a partial sale of such an equity method investment. The new guidance also clarifies that the sale of an investment in a foreign entity includes both (1) events that result in the loss of a controlling financial interest in the foreign entity and (2) events that result in an acquirer’s obtaining control of an acquiree in which it held an equity interest immediately before the acquisition date, otherwise known as a “step acquisition.” Accordingly, the cumulative translation adjustment should be released into net income upon the occurrence of those events. The guidance is effective for us in 2014. We are currently assessing the impact of the adoption of this guidance on our Consolidated Financial Statements.</w:t>
      </w:r>
    </w:p>
    <w:p>
      <w:pPr>
        <w:spacing w:after="0" w:line="159"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July 2013, the FASB issued new accounting guidance on presentation of an unrecognized tax benefit. The new guidance requires that, in certain cases, an unrecognized tax benefit should be presented in the financial statements as a reduction to the deferred tax asset when there is an existing net operating loss carryforward, a similar tax loss or an existing tax credit carryforward. The guidance is effective for us in 2014. We are currently assessing the impact of the adoption of this guidance on our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SUBSEQUENT EVENTS</w:t>
      </w:r>
    </w:p>
    <w:p>
      <w:pPr>
        <w:spacing w:after="0" w:line="9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have evaluated events and transactions occurring after the balance sheet date through our filing date and noted no events that are subject to recognition or disclosure.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76AD9A"/>
        </w:rPr>
        <w:t>02.</w:t>
      </w:r>
    </w:p>
    <w:p>
      <w:pPr>
        <w:spacing w:after="0"/>
        <w:rPr>
          <w:sz w:val="20"/>
          <w:szCs w:val="20"/>
          <w:color w:val="auto"/>
        </w:rPr>
      </w:pPr>
      <w:r>
        <w:rPr>
          <w:rFonts w:ascii="Arial" w:cs="Arial" w:eastAsia="Arial" w:hAnsi="Arial"/>
          <w:sz w:val="17"/>
          <w:szCs w:val="17"/>
          <w:color w:val="76AD9A"/>
        </w:rPr>
        <w:t>Acquisitions</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From time to time, we acquire and invest in companies throughout the world, including franchises. The total cash consideration paid for acquisitions, net of cash acquired, for the years ended December 31, 2013, 2012 and 2011 was $46.3, $49.0 and $49.0, respectively. Goodwill and intangible assets resulting from the 2013 acquisitions, the majority of which took place in the United Kingdom and Norway, were $52.2 and $10.1, respectively, as of December 31, 2013. Goodwill and intangible assets resulting from the 2012 acquisitions were $46.2 and $7.6 as of December 31, 2012, respectively.</w:t>
      </w:r>
    </w:p>
    <w:p>
      <w:pPr>
        <w:spacing w:after="0" w:line="36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On April 16, 2012, we acquired Damilo Group (“Damilo”), a French firm specializing in IT design solutions, for total consideration, net of cash acquired, of €21.2 ($28.0). Goodwill arising from this transaction was €30.8 ($40.6). The assumed liabilities and acquired assets, net of goodwill, related intangible assets and cash arising from the transaction were €33.8 ($44.6) and €17.9 ($ 23.6), respectively. The related intangible assets were €6.3 ($8.0), €5.8 ($7.6) and €5.0 ($6.8) as of April 16, 2012, December 31, 2012 and December 31, 2013, respectively.</w:t>
      </w:r>
    </w:p>
    <w:p>
      <w:pPr>
        <w:spacing w:after="0" w:line="157" w:lineRule="exact"/>
        <w:rPr>
          <w:sz w:val="20"/>
          <w:szCs w:val="20"/>
          <w:color w:val="auto"/>
        </w:rPr>
      </w:pPr>
    </w:p>
    <w:p>
      <w:pPr>
        <w:jc w:val="both"/>
        <w:spacing w:after="0" w:line="242" w:lineRule="auto"/>
        <w:rPr>
          <w:sz w:val="20"/>
          <w:szCs w:val="20"/>
          <w:color w:val="auto"/>
        </w:rPr>
      </w:pPr>
      <w:r>
        <w:rPr>
          <w:rFonts w:ascii="Arial" w:cs="Arial" w:eastAsia="Arial" w:hAnsi="Arial"/>
          <w:sz w:val="17"/>
          <w:szCs w:val="17"/>
          <w:color w:val="373535"/>
        </w:rPr>
        <w:t>In 2011, we acquired the shares and voting rights of Proservia SA (“Proservia”), a provider of information technology and systems engineering solutions in France. The purchase price was € 14.89 ($19.93) per share. The total consideration, net of cash acquired, was €21.6 ($29.4). Goodwill arising from this transaction was €20.7 ($27.7). The related intangible assets were €9.4 ($12.4) and €8.1 ($11.2) as of December 31, 2012 and 2013, respectively.</w:t>
      </w:r>
    </w:p>
    <w:p>
      <w:pPr>
        <w:spacing w:after="0" w:line="340" w:lineRule="exact"/>
        <w:rPr>
          <w:sz w:val="20"/>
          <w:szCs w:val="20"/>
          <w:color w:val="auto"/>
        </w:rPr>
      </w:pPr>
    </w:p>
    <w:p>
      <w:pPr>
        <w:spacing w:after="0"/>
        <w:tabs>
          <w:tab w:leader="none" w:pos="560" w:val="left"/>
        </w:tabs>
        <w:rPr>
          <w:sz w:val="20"/>
          <w:szCs w:val="20"/>
          <w:color w:val="auto"/>
        </w:rPr>
      </w:pPr>
      <w:r>
        <w:rPr>
          <w:rFonts w:ascii="Arial" w:cs="Arial" w:eastAsia="Arial" w:hAnsi="Arial"/>
          <w:sz w:val="14"/>
          <w:szCs w:val="14"/>
          <w:b w:val="1"/>
          <w:bCs w:val="1"/>
          <w:color w:val="373535"/>
        </w:rPr>
        <w:t>62</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color w:val="76AD9A"/>
        </w:rPr>
        <w:t>03.</w:t>
      </w:r>
    </w:p>
    <w:p>
      <w:pPr>
        <w:spacing w:after="0"/>
        <w:rPr>
          <w:sz w:val="20"/>
          <w:szCs w:val="20"/>
          <w:color w:val="auto"/>
        </w:rPr>
      </w:pPr>
      <w:r>
        <w:rPr>
          <w:rFonts w:ascii="Arial" w:cs="Arial" w:eastAsia="Arial" w:hAnsi="Arial"/>
          <w:sz w:val="17"/>
          <w:szCs w:val="17"/>
          <w:color w:val="76AD9A"/>
        </w:rPr>
        <w:t>Share-Based Compensation Plans</w:t>
      </w:r>
    </w:p>
    <w:p>
      <w:pPr>
        <w:spacing w:after="0" w:line="63"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account for share-based payments according to the accounting guidance on share-based payments. During 2013, 2012 and 2011, we recognized approximately $31.5, $30.0 and $31.4, respectively, in share-based compensation expense related to stock options, deferred stock, restricted stock and performance share units, all of which is recorded in selling and administrative expenses. The total income tax benefit recognized related to share-based compensation during 2013, 2012 and 2011 was $21.2, $2.4 and $3.0, respectively. Consideration received from share-based awards for 2013, 2012 and 2011 was $101.0, $6.0 and $31.8, respectively. The excess income tax benefit/(deficit) recognized related to share-based compensation awards, which is recorded in capital in excess of par value, for 2013, 2012 and 2011 was approximately $8.4, $(2.1) and $3.1, respectively. We recognize compensation expense on grants of share-based compensation awards on a straight-line basis over the vesting period of each award.</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STOCK OPTIONS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Until May 3, 2011, all share-based compensation was granted under the 2003 Equity Incentive Plan of Manpower Inc. (“2003 Plan”). Following this date, all share-based compensation has been granted under the 2011 Equity Incentive Plan of Manpower Inc. (“2011 Plan”). Options and stock appreciation rights are granted at a price not less than 100% of the fair market value of the common stock at the date of grant. Generally, options are granted with a ratable vesting period of up to four years and expire ten years from date of grant. No stock appreciation rights had been granted or were outstanding as of December 31, 2013 or 2012.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373535"/>
        </w:rPr>
        <w:t>A summary of stock option activity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19"/>
              <w:spacing w:after="0"/>
              <w:rPr>
                <w:sz w:val="20"/>
                <w:szCs w:val="20"/>
                <w:color w:val="auto"/>
              </w:rPr>
            </w:pPr>
            <w:r>
              <w:rPr>
                <w:rFonts w:ascii="Arial" w:cs="Arial" w:eastAsia="Arial" w:hAnsi="Arial"/>
                <w:sz w:val="14"/>
                <w:szCs w:val="14"/>
                <w:color w:val="76AD9A"/>
              </w:rPr>
              <w:t>Wtd. Avg.</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6"/>
              <w:spacing w:after="0" w:line="155" w:lineRule="exact"/>
              <w:rPr>
                <w:sz w:val="20"/>
                <w:szCs w:val="20"/>
                <w:color w:val="auto"/>
              </w:rPr>
            </w:pPr>
            <w:r>
              <w:rPr>
                <w:rFonts w:ascii="Arial" w:cs="Arial" w:eastAsia="Arial" w:hAnsi="Arial"/>
                <w:sz w:val="14"/>
                <w:szCs w:val="14"/>
                <w:color w:val="76AD9A"/>
              </w:rPr>
              <w:t>Wtd. Avg.</w:t>
            </w:r>
          </w:p>
        </w:tc>
        <w:tc>
          <w:tcPr>
            <w:tcW w:w="1260" w:type="dxa"/>
            <w:vAlign w:val="bottom"/>
          </w:tcPr>
          <w:p>
            <w:pPr>
              <w:jc w:val="right"/>
              <w:ind w:right="19"/>
              <w:spacing w:after="0" w:line="155" w:lineRule="exact"/>
              <w:rPr>
                <w:sz w:val="20"/>
                <w:szCs w:val="20"/>
                <w:color w:val="auto"/>
              </w:rPr>
            </w:pPr>
            <w:r>
              <w:rPr>
                <w:rFonts w:ascii="Arial" w:cs="Arial" w:eastAsia="Arial" w:hAnsi="Arial"/>
                <w:sz w:val="14"/>
                <w:szCs w:val="14"/>
                <w:color w:val="76AD9A"/>
              </w:rPr>
              <w:t>Remaining</w:t>
            </w:r>
          </w:p>
        </w:tc>
        <w:tc>
          <w:tcPr>
            <w:tcW w:w="240" w:type="dxa"/>
            <w:vAlign w:val="bottom"/>
          </w:tcPr>
          <w:p>
            <w:pPr>
              <w:spacing w:after="0"/>
              <w:rPr>
                <w:sz w:val="13"/>
                <w:szCs w:val="13"/>
                <w:color w:val="auto"/>
              </w:rPr>
            </w:pPr>
          </w:p>
        </w:tc>
        <w:tc>
          <w:tcPr>
            <w:tcW w:w="9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76AD9A"/>
              </w:rPr>
              <w:t>Aggregate</w:t>
            </w: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36"/>
              <w:spacing w:after="0" w:line="155" w:lineRule="exact"/>
              <w:rPr>
                <w:sz w:val="20"/>
                <w:szCs w:val="20"/>
                <w:color w:val="auto"/>
              </w:rPr>
            </w:pPr>
            <w:r>
              <w:rPr>
                <w:rFonts w:ascii="Arial" w:cs="Arial" w:eastAsia="Arial" w:hAnsi="Arial"/>
                <w:sz w:val="14"/>
                <w:szCs w:val="14"/>
                <w:color w:val="76AD9A"/>
                <w:w w:val="98"/>
              </w:rPr>
              <w:t>Exercise Price</w:t>
            </w:r>
          </w:p>
        </w:tc>
        <w:tc>
          <w:tcPr>
            <w:tcW w:w="1260" w:type="dxa"/>
            <w:vAlign w:val="bottom"/>
          </w:tcPr>
          <w:p>
            <w:pPr>
              <w:jc w:val="right"/>
              <w:ind w:right="19"/>
              <w:spacing w:after="0" w:line="155" w:lineRule="exact"/>
              <w:rPr>
                <w:sz w:val="20"/>
                <w:szCs w:val="20"/>
                <w:color w:val="auto"/>
              </w:rPr>
            </w:pPr>
            <w:r>
              <w:rPr>
                <w:rFonts w:ascii="Arial" w:cs="Arial" w:eastAsia="Arial" w:hAnsi="Arial"/>
                <w:sz w:val="14"/>
                <w:szCs w:val="14"/>
                <w:color w:val="76AD9A"/>
              </w:rPr>
              <w:t>Contractual Term</w:t>
            </w:r>
          </w:p>
        </w:tc>
        <w:tc>
          <w:tcPr>
            <w:tcW w:w="240" w:type="dxa"/>
            <w:vAlign w:val="bottom"/>
          </w:tcPr>
          <w:p>
            <w:pPr>
              <w:spacing w:after="0"/>
              <w:rPr>
                <w:sz w:val="13"/>
                <w:szCs w:val="13"/>
                <w:color w:val="auto"/>
              </w:rPr>
            </w:pPr>
          </w:p>
        </w:tc>
        <w:tc>
          <w:tcPr>
            <w:tcW w:w="980" w:type="dxa"/>
            <w:vAlign w:val="bottom"/>
            <w:gridSpan w:val="3"/>
          </w:tcPr>
          <w:p>
            <w:pPr>
              <w:jc w:val="right"/>
              <w:ind w:right="100"/>
              <w:spacing w:after="0" w:line="155" w:lineRule="exact"/>
              <w:rPr>
                <w:sz w:val="20"/>
                <w:szCs w:val="20"/>
                <w:color w:val="auto"/>
              </w:rPr>
            </w:pPr>
            <w:r>
              <w:rPr>
                <w:rFonts w:ascii="Arial" w:cs="Arial" w:eastAsia="Arial" w:hAnsi="Arial"/>
                <w:sz w:val="14"/>
                <w:szCs w:val="14"/>
                <w:color w:val="76AD9A"/>
                <w:w w:val="97"/>
              </w:rPr>
              <w:t>Intrinsic Value</w:t>
            </w:r>
          </w:p>
        </w:tc>
      </w:tr>
      <w:tr>
        <w:trPr>
          <w:trHeight w:val="150"/>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3060" w:type="dxa"/>
            <w:vAlign w:val="bottom"/>
          </w:tcPr>
          <w:p>
            <w:pPr>
              <w:jc w:val="right"/>
              <w:ind w:right="55"/>
              <w:spacing w:after="0" w:line="151" w:lineRule="exact"/>
              <w:rPr>
                <w:sz w:val="20"/>
                <w:szCs w:val="20"/>
                <w:color w:val="auto"/>
              </w:rPr>
            </w:pPr>
            <w:r>
              <w:rPr>
                <w:rFonts w:ascii="Arial" w:cs="Arial" w:eastAsia="Arial" w:hAnsi="Arial"/>
                <w:sz w:val="14"/>
                <w:szCs w:val="14"/>
                <w:color w:val="76AD9A"/>
              </w:rPr>
              <w:t>Shares (000)</w:t>
            </w:r>
          </w:p>
        </w:tc>
        <w:tc>
          <w:tcPr>
            <w:tcW w:w="220" w:type="dxa"/>
            <w:vAlign w:val="bottom"/>
          </w:tcPr>
          <w:p>
            <w:pPr>
              <w:spacing w:after="0"/>
              <w:rPr>
                <w:sz w:val="13"/>
                <w:szCs w:val="13"/>
                <w:color w:val="auto"/>
              </w:rPr>
            </w:pPr>
          </w:p>
        </w:tc>
        <w:tc>
          <w:tcPr>
            <w:tcW w:w="1020" w:type="dxa"/>
            <w:vAlign w:val="bottom"/>
          </w:tcPr>
          <w:p>
            <w:pPr>
              <w:jc w:val="right"/>
              <w:ind w:right="36"/>
              <w:spacing w:after="0" w:line="151" w:lineRule="exact"/>
              <w:rPr>
                <w:sz w:val="20"/>
                <w:szCs w:val="20"/>
                <w:color w:val="auto"/>
              </w:rPr>
            </w:pPr>
            <w:r>
              <w:rPr>
                <w:rFonts w:ascii="Arial" w:cs="Arial" w:eastAsia="Arial" w:hAnsi="Arial"/>
                <w:sz w:val="14"/>
                <w:szCs w:val="14"/>
                <w:color w:val="76AD9A"/>
              </w:rPr>
              <w:t>Per Share</w:t>
            </w:r>
          </w:p>
        </w:tc>
        <w:tc>
          <w:tcPr>
            <w:tcW w:w="1260" w:type="dxa"/>
            <w:vAlign w:val="bottom"/>
          </w:tcPr>
          <w:p>
            <w:pPr>
              <w:jc w:val="right"/>
              <w:ind w:right="19"/>
              <w:spacing w:after="0" w:line="151" w:lineRule="exact"/>
              <w:rPr>
                <w:sz w:val="20"/>
                <w:szCs w:val="20"/>
                <w:color w:val="auto"/>
              </w:rPr>
            </w:pPr>
            <w:r>
              <w:rPr>
                <w:rFonts w:ascii="Arial" w:cs="Arial" w:eastAsia="Arial" w:hAnsi="Arial"/>
                <w:sz w:val="14"/>
                <w:szCs w:val="14"/>
                <w:color w:val="76AD9A"/>
              </w:rPr>
              <w:t>(years)</w:t>
            </w:r>
          </w:p>
        </w:tc>
        <w:tc>
          <w:tcPr>
            <w:tcW w:w="240" w:type="dxa"/>
            <w:vAlign w:val="bottom"/>
          </w:tcPr>
          <w:p>
            <w:pPr>
              <w:spacing w:after="0"/>
              <w:rPr>
                <w:sz w:val="13"/>
                <w:szCs w:val="13"/>
                <w:color w:val="auto"/>
              </w:rPr>
            </w:pPr>
          </w:p>
        </w:tc>
        <w:tc>
          <w:tcPr>
            <w:tcW w:w="980" w:type="dxa"/>
            <w:vAlign w:val="bottom"/>
            <w:gridSpan w:val="3"/>
          </w:tcPr>
          <w:p>
            <w:pPr>
              <w:jc w:val="right"/>
              <w:ind w:right="100"/>
              <w:spacing w:after="0" w:line="151" w:lineRule="exact"/>
              <w:rPr>
                <w:sz w:val="20"/>
                <w:szCs w:val="20"/>
                <w:color w:val="auto"/>
              </w:rPr>
            </w:pPr>
            <w:r>
              <w:rPr>
                <w:rFonts w:ascii="Arial" w:cs="Arial" w:eastAsia="Arial" w:hAnsi="Arial"/>
                <w:sz w:val="14"/>
                <w:szCs w:val="14"/>
                <w:color w:val="76AD9A"/>
              </w:rPr>
              <w:t>(in millions)</w:t>
            </w:r>
          </w:p>
        </w:tc>
      </w:tr>
      <w:tr>
        <w:trPr>
          <w:trHeight w:val="186"/>
        </w:trPr>
        <w:tc>
          <w:tcPr>
            <w:tcW w:w="20" w:type="dxa"/>
            <w:vAlign w:val="bottom"/>
          </w:tcPr>
          <w:p>
            <w:pPr>
              <w:spacing w:after="0"/>
              <w:rPr>
                <w:sz w:val="16"/>
                <w:szCs w:val="16"/>
                <w:color w:val="auto"/>
              </w:rPr>
            </w:pPr>
          </w:p>
        </w:tc>
        <w:tc>
          <w:tcPr>
            <w:tcW w:w="462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Outstanding, January 1, 2011</w:t>
            </w:r>
          </w:p>
        </w:tc>
        <w:tc>
          <w:tcPr>
            <w:tcW w:w="3060" w:type="dxa"/>
            <w:vAlign w:val="bottom"/>
            <w:tcBorders>
              <w:top w:val="single" w:sz="8" w:color="76AD9A"/>
            </w:tcBorders>
          </w:tcPr>
          <w:p>
            <w:pPr>
              <w:jc w:val="right"/>
              <w:ind w:right="55"/>
              <w:spacing w:after="0" w:line="185" w:lineRule="exact"/>
              <w:rPr>
                <w:sz w:val="20"/>
                <w:szCs w:val="20"/>
                <w:color w:val="auto"/>
              </w:rPr>
            </w:pPr>
            <w:r>
              <w:rPr>
                <w:rFonts w:ascii="Arial" w:cs="Arial" w:eastAsia="Arial" w:hAnsi="Arial"/>
                <w:sz w:val="17"/>
                <w:szCs w:val="17"/>
                <w:color w:val="373535"/>
              </w:rPr>
              <w:t>5,940</w:t>
            </w:r>
          </w:p>
        </w:tc>
        <w:tc>
          <w:tcPr>
            <w:tcW w:w="22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w:t>
            </w:r>
          </w:p>
        </w:tc>
        <w:tc>
          <w:tcPr>
            <w:tcW w:w="1020" w:type="dxa"/>
            <w:vAlign w:val="bottom"/>
            <w:tcBorders>
              <w:top w:val="single" w:sz="8" w:color="76AD9A"/>
            </w:tcBorders>
          </w:tcPr>
          <w:p>
            <w:pPr>
              <w:jc w:val="right"/>
              <w:ind w:right="36"/>
              <w:spacing w:after="0" w:line="185" w:lineRule="exact"/>
              <w:rPr>
                <w:sz w:val="20"/>
                <w:szCs w:val="20"/>
                <w:color w:val="auto"/>
              </w:rPr>
            </w:pPr>
            <w:r>
              <w:rPr>
                <w:rFonts w:ascii="Arial" w:cs="Arial" w:eastAsia="Arial" w:hAnsi="Arial"/>
                <w:sz w:val="17"/>
                <w:szCs w:val="17"/>
                <w:color w:val="373535"/>
              </w:rPr>
              <w:t>48</w:t>
            </w:r>
          </w:p>
        </w:tc>
        <w:tc>
          <w:tcPr>
            <w:tcW w:w="1260" w:type="dxa"/>
            <w:vAlign w:val="bottom"/>
            <w:tcBorders>
              <w:top w:val="single" w:sz="8" w:color="76AD9A"/>
            </w:tcBorders>
          </w:tcPr>
          <w:p>
            <w:pPr>
              <w:spacing w:after="0"/>
              <w:rPr>
                <w:sz w:val="16"/>
                <w:szCs w:val="16"/>
                <w:color w:val="auto"/>
              </w:rPr>
            </w:pPr>
          </w:p>
        </w:tc>
        <w:tc>
          <w:tcPr>
            <w:tcW w:w="240" w:type="dxa"/>
            <w:vAlign w:val="bottom"/>
            <w:tcBorders>
              <w:top w:val="single" w:sz="8" w:color="76AD9A"/>
            </w:tcBorders>
          </w:tcPr>
          <w:p>
            <w:pPr>
              <w:spacing w:after="0"/>
              <w:rPr>
                <w:sz w:val="16"/>
                <w:szCs w:val="16"/>
                <w:color w:val="auto"/>
              </w:rPr>
            </w:pPr>
          </w:p>
        </w:tc>
        <w:tc>
          <w:tcPr>
            <w:tcW w:w="56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Granted</w:t>
            </w:r>
          </w:p>
        </w:tc>
        <w:tc>
          <w:tcPr>
            <w:tcW w:w="306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199</w:t>
            </w:r>
          </w:p>
        </w:tc>
        <w:tc>
          <w:tcPr>
            <w:tcW w:w="22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67</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Exercised</w:t>
            </w:r>
          </w:p>
        </w:tc>
        <w:tc>
          <w:tcPr>
            <w:tcW w:w="3060" w:type="dxa"/>
            <w:vAlign w:val="bottom"/>
          </w:tcPr>
          <w:p>
            <w:pPr>
              <w:jc w:val="right"/>
              <w:spacing w:after="0" w:line="194" w:lineRule="exact"/>
              <w:rPr>
                <w:sz w:val="20"/>
                <w:szCs w:val="20"/>
                <w:color w:val="auto"/>
              </w:rPr>
            </w:pPr>
            <w:r>
              <w:rPr>
                <w:rFonts w:ascii="Arial" w:cs="Arial" w:eastAsia="Arial" w:hAnsi="Arial"/>
                <w:sz w:val="17"/>
                <w:szCs w:val="17"/>
                <w:color w:val="373535"/>
              </w:rPr>
              <w:t>(721)</w:t>
            </w:r>
          </w:p>
        </w:tc>
        <w:tc>
          <w:tcPr>
            <w:tcW w:w="22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39</w:t>
            </w:r>
          </w:p>
        </w:tc>
        <w:tc>
          <w:tcPr>
            <w:tcW w:w="1260" w:type="dxa"/>
            <w:vAlign w:val="bottom"/>
          </w:tcPr>
          <w:p>
            <w:pPr>
              <w:spacing w:after="0"/>
              <w:rPr>
                <w:sz w:val="16"/>
                <w:szCs w:val="16"/>
                <w:color w:val="auto"/>
              </w:rPr>
            </w:pP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560" w:type="dxa"/>
            <w:vAlign w:val="bottom"/>
          </w:tcPr>
          <w:p>
            <w:pPr>
              <w:spacing w:after="0"/>
              <w:rPr>
                <w:sz w:val="16"/>
                <w:szCs w:val="16"/>
                <w:color w:val="auto"/>
              </w:rPr>
            </w:pP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373535"/>
              </w:rPr>
              <w:t>13</w:t>
            </w:r>
          </w:p>
        </w:tc>
        <w:tc>
          <w:tcPr>
            <w:tcW w:w="80" w:type="dxa"/>
            <w:vAlign w:val="bottom"/>
          </w:tcPr>
          <w:p>
            <w:pPr>
              <w:spacing w:after="0"/>
              <w:rPr>
                <w:sz w:val="16"/>
                <w:szCs w:val="16"/>
                <w:color w:val="auto"/>
              </w:rPr>
            </w:pPr>
          </w:p>
        </w:tc>
      </w:tr>
      <w:tr>
        <w:trPr>
          <w:trHeight w:val="194"/>
        </w:trPr>
        <w:tc>
          <w:tcPr>
            <w:tcW w:w="464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Expired or cancelled</w:t>
            </w:r>
          </w:p>
        </w:tc>
        <w:tc>
          <w:tcPr>
            <w:tcW w:w="30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(153)</w:t>
            </w:r>
          </w:p>
        </w:tc>
        <w:tc>
          <w:tcPr>
            <w:tcW w:w="220" w:type="dxa"/>
            <w:vAlign w:val="bottom"/>
            <w:tcBorders>
              <w:bottom w:val="single" w:sz="8" w:color="717073"/>
            </w:tcBorders>
          </w:tcPr>
          <w:p>
            <w:pPr>
              <w:spacing w:after="0"/>
              <w:rPr>
                <w:sz w:val="16"/>
                <w:szCs w:val="16"/>
                <w:color w:val="auto"/>
              </w:rPr>
            </w:pPr>
          </w:p>
        </w:tc>
        <w:tc>
          <w:tcPr>
            <w:tcW w:w="102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49</w:t>
            </w:r>
          </w:p>
        </w:tc>
        <w:tc>
          <w:tcPr>
            <w:tcW w:w="1260" w:type="dxa"/>
            <w:vAlign w:val="bottom"/>
            <w:tcBorders>
              <w:bottom w:val="single" w:sz="8" w:color="717073"/>
            </w:tcBorders>
          </w:tcPr>
          <w:p>
            <w:pPr>
              <w:spacing w:after="0"/>
              <w:rPr>
                <w:sz w:val="16"/>
                <w:szCs w:val="16"/>
                <w:color w:val="auto"/>
              </w:rPr>
            </w:pPr>
          </w:p>
        </w:tc>
        <w:tc>
          <w:tcPr>
            <w:tcW w:w="240" w:type="dxa"/>
            <w:vAlign w:val="bottom"/>
            <w:tcBorders>
              <w:bottom w:val="single" w:sz="8" w:color="717073"/>
            </w:tcBorders>
          </w:tcPr>
          <w:p>
            <w:pPr>
              <w:spacing w:after="0"/>
              <w:rPr>
                <w:sz w:val="16"/>
                <w:szCs w:val="16"/>
                <w:color w:val="auto"/>
              </w:rPr>
            </w:pP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Outstanding, December 31, 2011</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5,265</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50</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5.7</w:t>
            </w:r>
          </w:p>
        </w:tc>
        <w:tc>
          <w:tcPr>
            <w:tcW w:w="2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7</w:t>
            </w: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Vested or expected to vest, December 31, 2011</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5,235</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50</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5.6</w:t>
            </w:r>
          </w:p>
        </w:tc>
        <w:tc>
          <w:tcPr>
            <w:tcW w:w="240" w:type="dxa"/>
            <w:vAlign w:val="bottom"/>
            <w:tcBorders>
              <w:bottom w:val="single" w:sz="8" w:color="717073"/>
            </w:tcBorders>
          </w:tcPr>
          <w:p>
            <w:pPr>
              <w:spacing w:after="0"/>
              <w:rPr>
                <w:sz w:val="16"/>
                <w:szCs w:val="16"/>
                <w:color w:val="auto"/>
              </w:rPr>
            </w:pP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Exercisable, December 31, 2011</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3,626</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51</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4.8</w:t>
            </w:r>
          </w:p>
        </w:tc>
        <w:tc>
          <w:tcPr>
            <w:tcW w:w="2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4</w:t>
            </w:r>
          </w:p>
        </w:tc>
        <w:tc>
          <w:tcPr>
            <w:tcW w:w="80" w:type="dxa"/>
            <w:vAlign w:val="bottom"/>
          </w:tcPr>
          <w:p>
            <w:pPr>
              <w:spacing w:after="0"/>
              <w:rPr>
                <w:sz w:val="16"/>
                <w:szCs w:val="16"/>
                <w:color w:val="auto"/>
              </w:rPr>
            </w:pPr>
          </w:p>
        </w:tc>
      </w:tr>
      <w:tr>
        <w:trPr>
          <w:trHeight w:val="186"/>
        </w:trPr>
        <w:tc>
          <w:tcPr>
            <w:tcW w:w="4640" w:type="dxa"/>
            <w:vAlign w:val="bottom"/>
            <w:gridSpan w:val="2"/>
          </w:tcPr>
          <w:p>
            <w:pPr>
              <w:spacing w:after="0" w:line="185" w:lineRule="exact"/>
              <w:rPr>
                <w:sz w:val="20"/>
                <w:szCs w:val="20"/>
                <w:color w:val="auto"/>
              </w:rPr>
            </w:pPr>
            <w:r>
              <w:rPr>
                <w:rFonts w:ascii="Arial" w:cs="Arial" w:eastAsia="Arial" w:hAnsi="Arial"/>
                <w:sz w:val="17"/>
                <w:szCs w:val="17"/>
                <w:color w:val="373535"/>
              </w:rPr>
              <w:t>Outstanding, January 1, 2012</w:t>
            </w:r>
          </w:p>
        </w:tc>
        <w:tc>
          <w:tcPr>
            <w:tcW w:w="3060" w:type="dxa"/>
            <w:vAlign w:val="bottom"/>
          </w:tcPr>
          <w:p>
            <w:pPr>
              <w:jc w:val="right"/>
              <w:ind w:right="55"/>
              <w:spacing w:after="0" w:line="185" w:lineRule="exact"/>
              <w:rPr>
                <w:sz w:val="20"/>
                <w:szCs w:val="20"/>
                <w:color w:val="auto"/>
              </w:rPr>
            </w:pPr>
            <w:r>
              <w:rPr>
                <w:rFonts w:ascii="Arial" w:cs="Arial" w:eastAsia="Arial" w:hAnsi="Arial"/>
                <w:sz w:val="17"/>
                <w:szCs w:val="17"/>
                <w:color w:val="373535"/>
              </w:rPr>
              <w:t>5,265</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020" w:type="dxa"/>
            <w:vAlign w:val="bottom"/>
          </w:tcPr>
          <w:p>
            <w:pPr>
              <w:jc w:val="right"/>
              <w:ind w:right="36"/>
              <w:spacing w:after="0" w:line="185" w:lineRule="exact"/>
              <w:rPr>
                <w:sz w:val="20"/>
                <w:szCs w:val="20"/>
                <w:color w:val="auto"/>
              </w:rPr>
            </w:pPr>
            <w:r>
              <w:rPr>
                <w:rFonts w:ascii="Arial" w:cs="Arial" w:eastAsia="Arial" w:hAnsi="Arial"/>
                <w:sz w:val="17"/>
                <w:szCs w:val="17"/>
                <w:color w:val="373535"/>
              </w:rPr>
              <w:t>50</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Granted</w:t>
            </w:r>
          </w:p>
        </w:tc>
        <w:tc>
          <w:tcPr>
            <w:tcW w:w="306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302</w:t>
            </w:r>
          </w:p>
        </w:tc>
        <w:tc>
          <w:tcPr>
            <w:tcW w:w="22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45</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Exercised</w:t>
            </w:r>
          </w:p>
        </w:tc>
        <w:tc>
          <w:tcPr>
            <w:tcW w:w="3060" w:type="dxa"/>
            <w:vAlign w:val="bottom"/>
          </w:tcPr>
          <w:p>
            <w:pPr>
              <w:jc w:val="right"/>
              <w:spacing w:after="0" w:line="194" w:lineRule="exact"/>
              <w:rPr>
                <w:sz w:val="20"/>
                <w:szCs w:val="20"/>
                <w:color w:val="auto"/>
              </w:rPr>
            </w:pPr>
            <w:r>
              <w:rPr>
                <w:rFonts w:ascii="Arial" w:cs="Arial" w:eastAsia="Arial" w:hAnsi="Arial"/>
                <w:sz w:val="17"/>
                <w:szCs w:val="17"/>
                <w:color w:val="373535"/>
              </w:rPr>
              <w:t>(116)</w:t>
            </w:r>
          </w:p>
        </w:tc>
        <w:tc>
          <w:tcPr>
            <w:tcW w:w="22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34</w:t>
            </w:r>
          </w:p>
        </w:tc>
        <w:tc>
          <w:tcPr>
            <w:tcW w:w="1260" w:type="dxa"/>
            <w:vAlign w:val="bottom"/>
          </w:tcPr>
          <w:p>
            <w:pPr>
              <w:spacing w:after="0"/>
              <w:rPr>
                <w:sz w:val="16"/>
                <w:szCs w:val="16"/>
                <w:color w:val="auto"/>
              </w:rPr>
            </w:pP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560" w:type="dxa"/>
            <w:vAlign w:val="bottom"/>
          </w:tcPr>
          <w:p>
            <w:pPr>
              <w:spacing w:after="0"/>
              <w:rPr>
                <w:sz w:val="16"/>
                <w:szCs w:val="16"/>
                <w:color w:val="auto"/>
              </w:rPr>
            </w:pP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373535"/>
              </w:rPr>
              <w:t>1</w:t>
            </w:r>
          </w:p>
        </w:tc>
        <w:tc>
          <w:tcPr>
            <w:tcW w:w="80" w:type="dxa"/>
            <w:vAlign w:val="bottom"/>
          </w:tcPr>
          <w:p>
            <w:pPr>
              <w:spacing w:after="0"/>
              <w:rPr>
                <w:sz w:val="16"/>
                <w:szCs w:val="16"/>
                <w:color w:val="auto"/>
              </w:rPr>
            </w:pPr>
          </w:p>
        </w:tc>
      </w:tr>
      <w:tr>
        <w:trPr>
          <w:trHeight w:val="194"/>
        </w:trPr>
        <w:tc>
          <w:tcPr>
            <w:tcW w:w="464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Expired or cancelled</w:t>
            </w:r>
          </w:p>
        </w:tc>
        <w:tc>
          <w:tcPr>
            <w:tcW w:w="30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(107)</w:t>
            </w:r>
          </w:p>
        </w:tc>
        <w:tc>
          <w:tcPr>
            <w:tcW w:w="220" w:type="dxa"/>
            <w:vAlign w:val="bottom"/>
            <w:tcBorders>
              <w:bottom w:val="single" w:sz="8" w:color="717073"/>
            </w:tcBorders>
          </w:tcPr>
          <w:p>
            <w:pPr>
              <w:spacing w:after="0"/>
              <w:rPr>
                <w:sz w:val="16"/>
                <w:szCs w:val="16"/>
                <w:color w:val="auto"/>
              </w:rPr>
            </w:pPr>
          </w:p>
        </w:tc>
        <w:tc>
          <w:tcPr>
            <w:tcW w:w="102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51</w:t>
            </w:r>
          </w:p>
        </w:tc>
        <w:tc>
          <w:tcPr>
            <w:tcW w:w="1260" w:type="dxa"/>
            <w:vAlign w:val="bottom"/>
            <w:tcBorders>
              <w:bottom w:val="single" w:sz="8" w:color="717073"/>
            </w:tcBorders>
          </w:tcPr>
          <w:p>
            <w:pPr>
              <w:spacing w:after="0"/>
              <w:rPr>
                <w:sz w:val="16"/>
                <w:szCs w:val="16"/>
                <w:color w:val="auto"/>
              </w:rPr>
            </w:pPr>
          </w:p>
        </w:tc>
        <w:tc>
          <w:tcPr>
            <w:tcW w:w="240" w:type="dxa"/>
            <w:vAlign w:val="bottom"/>
            <w:tcBorders>
              <w:bottom w:val="single" w:sz="8" w:color="717073"/>
            </w:tcBorders>
          </w:tcPr>
          <w:p>
            <w:pPr>
              <w:spacing w:after="0"/>
              <w:rPr>
                <w:sz w:val="16"/>
                <w:szCs w:val="16"/>
                <w:color w:val="auto"/>
              </w:rPr>
            </w:pP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Outstanding, December 31, 2012</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5,344</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50</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5.0</w:t>
            </w:r>
          </w:p>
        </w:tc>
        <w:tc>
          <w:tcPr>
            <w:tcW w:w="2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14</w:t>
            </w: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Vested or expected to vest, December 31, 2012</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5,326</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50</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4.9</w:t>
            </w:r>
          </w:p>
        </w:tc>
        <w:tc>
          <w:tcPr>
            <w:tcW w:w="240" w:type="dxa"/>
            <w:vAlign w:val="bottom"/>
            <w:tcBorders>
              <w:bottom w:val="single" w:sz="8" w:color="717073"/>
            </w:tcBorders>
          </w:tcPr>
          <w:p>
            <w:pPr>
              <w:spacing w:after="0"/>
              <w:rPr>
                <w:sz w:val="16"/>
                <w:szCs w:val="16"/>
                <w:color w:val="auto"/>
              </w:rPr>
            </w:pP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Exercisable, December 31, 2012</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4,210</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51</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4.3</w:t>
            </w:r>
          </w:p>
        </w:tc>
        <w:tc>
          <w:tcPr>
            <w:tcW w:w="2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11</w:t>
            </w:r>
          </w:p>
        </w:tc>
        <w:tc>
          <w:tcPr>
            <w:tcW w:w="80" w:type="dxa"/>
            <w:vAlign w:val="bottom"/>
          </w:tcPr>
          <w:p>
            <w:pPr>
              <w:spacing w:after="0"/>
              <w:rPr>
                <w:sz w:val="16"/>
                <w:szCs w:val="16"/>
                <w:color w:val="auto"/>
              </w:rPr>
            </w:pPr>
          </w:p>
        </w:tc>
      </w:tr>
      <w:tr>
        <w:trPr>
          <w:trHeight w:val="186"/>
        </w:trPr>
        <w:tc>
          <w:tcPr>
            <w:tcW w:w="4640" w:type="dxa"/>
            <w:vAlign w:val="bottom"/>
            <w:gridSpan w:val="2"/>
          </w:tcPr>
          <w:p>
            <w:pPr>
              <w:spacing w:after="0" w:line="185" w:lineRule="exact"/>
              <w:rPr>
                <w:sz w:val="20"/>
                <w:szCs w:val="20"/>
                <w:color w:val="auto"/>
              </w:rPr>
            </w:pPr>
            <w:r>
              <w:rPr>
                <w:rFonts w:ascii="Arial" w:cs="Arial" w:eastAsia="Arial" w:hAnsi="Arial"/>
                <w:sz w:val="17"/>
                <w:szCs w:val="17"/>
                <w:color w:val="373535"/>
              </w:rPr>
              <w:t>Outstanding, January 1, 2013</w:t>
            </w:r>
          </w:p>
        </w:tc>
        <w:tc>
          <w:tcPr>
            <w:tcW w:w="3060" w:type="dxa"/>
            <w:vAlign w:val="bottom"/>
          </w:tcPr>
          <w:p>
            <w:pPr>
              <w:jc w:val="right"/>
              <w:ind w:right="55"/>
              <w:spacing w:after="0" w:line="185" w:lineRule="exact"/>
              <w:rPr>
                <w:sz w:val="20"/>
                <w:szCs w:val="20"/>
                <w:color w:val="auto"/>
              </w:rPr>
            </w:pPr>
            <w:r>
              <w:rPr>
                <w:rFonts w:ascii="Arial" w:cs="Arial" w:eastAsia="Arial" w:hAnsi="Arial"/>
                <w:sz w:val="17"/>
                <w:szCs w:val="17"/>
                <w:color w:val="373535"/>
              </w:rPr>
              <w:t>5,344</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020" w:type="dxa"/>
            <w:vAlign w:val="bottom"/>
          </w:tcPr>
          <w:p>
            <w:pPr>
              <w:jc w:val="right"/>
              <w:ind w:right="36"/>
              <w:spacing w:after="0" w:line="185" w:lineRule="exact"/>
              <w:rPr>
                <w:sz w:val="20"/>
                <w:szCs w:val="20"/>
                <w:color w:val="auto"/>
              </w:rPr>
            </w:pPr>
            <w:r>
              <w:rPr>
                <w:rFonts w:ascii="Arial" w:cs="Arial" w:eastAsia="Arial" w:hAnsi="Arial"/>
                <w:sz w:val="17"/>
                <w:szCs w:val="17"/>
                <w:color w:val="373535"/>
              </w:rPr>
              <w:t>50</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Granted</w:t>
            </w:r>
          </w:p>
        </w:tc>
        <w:tc>
          <w:tcPr>
            <w:tcW w:w="306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221</w:t>
            </w:r>
          </w:p>
        </w:tc>
        <w:tc>
          <w:tcPr>
            <w:tcW w:w="22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53</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Exercised</w:t>
            </w:r>
          </w:p>
        </w:tc>
        <w:tc>
          <w:tcPr>
            <w:tcW w:w="3060" w:type="dxa"/>
            <w:vAlign w:val="bottom"/>
          </w:tcPr>
          <w:p>
            <w:pPr>
              <w:jc w:val="right"/>
              <w:spacing w:after="0" w:line="194" w:lineRule="exact"/>
              <w:rPr>
                <w:sz w:val="20"/>
                <w:szCs w:val="20"/>
                <w:color w:val="auto"/>
              </w:rPr>
            </w:pPr>
            <w:r>
              <w:rPr>
                <w:rFonts w:ascii="Arial" w:cs="Arial" w:eastAsia="Arial" w:hAnsi="Arial"/>
                <w:sz w:val="17"/>
                <w:szCs w:val="17"/>
                <w:color w:val="373535"/>
              </w:rPr>
              <w:t>(2,576)</w:t>
            </w:r>
          </w:p>
        </w:tc>
        <w:tc>
          <w:tcPr>
            <w:tcW w:w="22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43</w:t>
            </w:r>
          </w:p>
        </w:tc>
        <w:tc>
          <w:tcPr>
            <w:tcW w:w="1260" w:type="dxa"/>
            <w:vAlign w:val="bottom"/>
          </w:tcPr>
          <w:p>
            <w:pPr>
              <w:spacing w:after="0"/>
              <w:rPr>
                <w:sz w:val="16"/>
                <w:szCs w:val="16"/>
                <w:color w:val="auto"/>
              </w:rPr>
            </w:pPr>
          </w:p>
        </w:tc>
        <w:tc>
          <w:tcPr>
            <w:tcW w:w="24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560" w:type="dxa"/>
            <w:vAlign w:val="bottom"/>
          </w:tcPr>
          <w:p>
            <w:pPr>
              <w:spacing w:after="0"/>
              <w:rPr>
                <w:sz w:val="16"/>
                <w:szCs w:val="16"/>
                <w:color w:val="auto"/>
              </w:rPr>
            </w:pP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373535"/>
              </w:rPr>
              <w:t>63</w:t>
            </w:r>
          </w:p>
        </w:tc>
        <w:tc>
          <w:tcPr>
            <w:tcW w:w="80" w:type="dxa"/>
            <w:vAlign w:val="bottom"/>
          </w:tcPr>
          <w:p>
            <w:pPr>
              <w:spacing w:after="0"/>
              <w:rPr>
                <w:sz w:val="16"/>
                <w:szCs w:val="16"/>
                <w:color w:val="auto"/>
              </w:rPr>
            </w:pPr>
          </w:p>
        </w:tc>
      </w:tr>
      <w:tr>
        <w:trPr>
          <w:trHeight w:val="194"/>
        </w:trPr>
        <w:tc>
          <w:tcPr>
            <w:tcW w:w="464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Expired or cancelled</w:t>
            </w:r>
          </w:p>
        </w:tc>
        <w:tc>
          <w:tcPr>
            <w:tcW w:w="30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(206)</w:t>
            </w:r>
          </w:p>
        </w:tc>
        <w:tc>
          <w:tcPr>
            <w:tcW w:w="220" w:type="dxa"/>
            <w:vAlign w:val="bottom"/>
            <w:tcBorders>
              <w:bottom w:val="single" w:sz="8" w:color="717073"/>
            </w:tcBorders>
          </w:tcPr>
          <w:p>
            <w:pPr>
              <w:spacing w:after="0"/>
              <w:rPr>
                <w:sz w:val="16"/>
                <w:szCs w:val="16"/>
                <w:color w:val="auto"/>
              </w:rPr>
            </w:pPr>
          </w:p>
        </w:tc>
        <w:tc>
          <w:tcPr>
            <w:tcW w:w="1020" w:type="dxa"/>
            <w:vAlign w:val="bottom"/>
            <w:tcBorders>
              <w:bottom w:val="single" w:sz="8" w:color="717073"/>
            </w:tcBorders>
          </w:tcPr>
          <w:p>
            <w:pPr>
              <w:jc w:val="right"/>
              <w:ind w:right="36"/>
              <w:spacing w:after="0" w:line="194" w:lineRule="exact"/>
              <w:rPr>
                <w:sz w:val="20"/>
                <w:szCs w:val="20"/>
                <w:color w:val="auto"/>
              </w:rPr>
            </w:pPr>
            <w:r>
              <w:rPr>
                <w:rFonts w:ascii="Arial" w:cs="Arial" w:eastAsia="Arial" w:hAnsi="Arial"/>
                <w:sz w:val="17"/>
                <w:szCs w:val="17"/>
                <w:color w:val="373535"/>
              </w:rPr>
              <w:t>51</w:t>
            </w:r>
          </w:p>
        </w:tc>
        <w:tc>
          <w:tcPr>
            <w:tcW w:w="1260" w:type="dxa"/>
            <w:vAlign w:val="bottom"/>
            <w:tcBorders>
              <w:bottom w:val="single" w:sz="8" w:color="717073"/>
            </w:tcBorders>
          </w:tcPr>
          <w:p>
            <w:pPr>
              <w:spacing w:after="0"/>
              <w:rPr>
                <w:sz w:val="16"/>
                <w:szCs w:val="16"/>
                <w:color w:val="auto"/>
              </w:rPr>
            </w:pPr>
          </w:p>
        </w:tc>
        <w:tc>
          <w:tcPr>
            <w:tcW w:w="240" w:type="dxa"/>
            <w:vAlign w:val="bottom"/>
            <w:tcBorders>
              <w:bottom w:val="single" w:sz="8" w:color="717073"/>
            </w:tcBorders>
          </w:tcPr>
          <w:p>
            <w:pPr>
              <w:spacing w:after="0"/>
              <w:rPr>
                <w:sz w:val="16"/>
                <w:szCs w:val="16"/>
                <w:color w:val="auto"/>
              </w:rPr>
            </w:pP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Outstanding, December 31, 2013</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2,783</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57</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5.1</w:t>
            </w:r>
          </w:p>
        </w:tc>
        <w:tc>
          <w:tcPr>
            <w:tcW w:w="2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81</w:t>
            </w: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Vested or expected to vest, December 31, 2013</w:t>
            </w:r>
          </w:p>
        </w:tc>
        <w:tc>
          <w:tcPr>
            <w:tcW w:w="306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2,769</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57</w:t>
            </w:r>
          </w:p>
        </w:tc>
        <w:tc>
          <w:tcPr>
            <w:tcW w:w="1260" w:type="dxa"/>
            <w:vAlign w:val="bottom"/>
            <w:tcBorders>
              <w:bottom w:val="single" w:sz="8" w:color="717073"/>
            </w:tcBorders>
          </w:tcPr>
          <w:p>
            <w:pPr>
              <w:jc w:val="right"/>
              <w:ind w:right="19"/>
              <w:spacing w:after="0" w:line="186" w:lineRule="exact"/>
              <w:rPr>
                <w:sz w:val="20"/>
                <w:szCs w:val="20"/>
                <w:color w:val="auto"/>
              </w:rPr>
            </w:pPr>
            <w:r>
              <w:rPr>
                <w:rFonts w:ascii="Arial" w:cs="Arial" w:eastAsia="Arial" w:hAnsi="Arial"/>
                <w:sz w:val="17"/>
                <w:szCs w:val="17"/>
                <w:color w:val="373535"/>
              </w:rPr>
              <w:t>4.8</w:t>
            </w:r>
          </w:p>
        </w:tc>
        <w:tc>
          <w:tcPr>
            <w:tcW w:w="240" w:type="dxa"/>
            <w:vAlign w:val="bottom"/>
            <w:tcBorders>
              <w:bottom w:val="single" w:sz="8" w:color="717073"/>
            </w:tcBorders>
          </w:tcPr>
          <w:p>
            <w:pPr>
              <w:spacing w:after="0"/>
              <w:rPr>
                <w:sz w:val="16"/>
                <w:szCs w:val="16"/>
                <w:color w:val="auto"/>
              </w:rPr>
            </w:pPr>
          </w:p>
        </w:tc>
        <w:tc>
          <w:tcPr>
            <w:tcW w:w="560" w:type="dxa"/>
            <w:vAlign w:val="bottom"/>
            <w:tcBorders>
              <w:bottom w:val="single" w:sz="8" w:color="717073"/>
            </w:tcBorders>
          </w:tcPr>
          <w:p>
            <w:pPr>
              <w:spacing w:after="0"/>
              <w:rPr>
                <w:sz w:val="16"/>
                <w:szCs w:val="16"/>
                <w:color w:val="auto"/>
              </w:rPr>
            </w:pPr>
          </w:p>
        </w:tc>
        <w:tc>
          <w:tcPr>
            <w:tcW w:w="340" w:type="dxa"/>
            <w:vAlign w:val="bottom"/>
            <w:tcBorders>
              <w:bottom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4640" w:type="dxa"/>
            <w:vAlign w:val="bottom"/>
            <w:gridSpan w:val="2"/>
          </w:tcPr>
          <w:p>
            <w:pPr>
              <w:spacing w:after="0" w:line="186" w:lineRule="exact"/>
              <w:rPr>
                <w:sz w:val="20"/>
                <w:szCs w:val="20"/>
                <w:color w:val="auto"/>
              </w:rPr>
            </w:pPr>
            <w:r>
              <w:rPr>
                <w:rFonts w:ascii="Arial" w:cs="Arial" w:eastAsia="Arial" w:hAnsi="Arial"/>
                <w:sz w:val="17"/>
                <w:szCs w:val="17"/>
                <w:color w:val="373535"/>
              </w:rPr>
              <w:t>Exercisable, December 31, 2013</w:t>
            </w:r>
          </w:p>
        </w:tc>
        <w:tc>
          <w:tcPr>
            <w:tcW w:w="3060" w:type="dxa"/>
            <w:vAlign w:val="bottom"/>
          </w:tcPr>
          <w:p>
            <w:pPr>
              <w:jc w:val="right"/>
              <w:ind w:right="55"/>
              <w:spacing w:after="0" w:line="186" w:lineRule="exact"/>
              <w:rPr>
                <w:sz w:val="20"/>
                <w:szCs w:val="20"/>
                <w:color w:val="auto"/>
              </w:rPr>
            </w:pPr>
            <w:r>
              <w:rPr>
                <w:rFonts w:ascii="Arial" w:cs="Arial" w:eastAsia="Arial" w:hAnsi="Arial"/>
                <w:sz w:val="17"/>
                <w:szCs w:val="17"/>
                <w:color w:val="373535"/>
              </w:rPr>
              <w:t>2,153</w:t>
            </w:r>
          </w:p>
        </w:tc>
        <w:tc>
          <w:tcPr>
            <w:tcW w:w="220" w:type="dxa"/>
            <w:vAlign w:val="bottom"/>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Pr>
          <w:p>
            <w:pPr>
              <w:jc w:val="right"/>
              <w:ind w:right="36"/>
              <w:spacing w:after="0" w:line="186" w:lineRule="exact"/>
              <w:rPr>
                <w:sz w:val="20"/>
                <w:szCs w:val="20"/>
                <w:color w:val="auto"/>
              </w:rPr>
            </w:pPr>
            <w:r>
              <w:rPr>
                <w:rFonts w:ascii="Arial" w:cs="Arial" w:eastAsia="Arial" w:hAnsi="Arial"/>
                <w:sz w:val="17"/>
                <w:szCs w:val="17"/>
                <w:color w:val="373535"/>
              </w:rPr>
              <w:t>58</w:t>
            </w:r>
          </w:p>
        </w:tc>
        <w:tc>
          <w:tcPr>
            <w:tcW w:w="1260" w:type="dxa"/>
            <w:vAlign w:val="bottom"/>
          </w:tcPr>
          <w:p>
            <w:pPr>
              <w:jc w:val="right"/>
              <w:ind w:right="19"/>
              <w:spacing w:after="0" w:line="186" w:lineRule="exact"/>
              <w:rPr>
                <w:sz w:val="20"/>
                <w:szCs w:val="20"/>
                <w:color w:val="auto"/>
              </w:rPr>
            </w:pPr>
            <w:r>
              <w:rPr>
                <w:rFonts w:ascii="Arial" w:cs="Arial" w:eastAsia="Arial" w:hAnsi="Arial"/>
                <w:sz w:val="17"/>
                <w:szCs w:val="17"/>
                <w:color w:val="373535"/>
              </w:rPr>
              <w:t>4.2</w:t>
            </w:r>
          </w:p>
        </w:tc>
        <w:tc>
          <w:tcPr>
            <w:tcW w:w="240" w:type="dxa"/>
            <w:vAlign w:val="bottom"/>
          </w:tcPr>
          <w:p>
            <w:pPr>
              <w:jc w:val="right"/>
              <w:spacing w:after="0" w:line="186" w:lineRule="exact"/>
              <w:rPr>
                <w:sz w:val="20"/>
                <w:szCs w:val="20"/>
                <w:color w:val="auto"/>
              </w:rPr>
            </w:pPr>
            <w:r>
              <w:rPr>
                <w:rFonts w:ascii="Arial" w:cs="Arial" w:eastAsia="Arial" w:hAnsi="Arial"/>
                <w:sz w:val="17"/>
                <w:szCs w:val="17"/>
                <w:color w:val="373535"/>
              </w:rPr>
              <w:t>$</w:t>
            </w:r>
          </w:p>
        </w:tc>
        <w:tc>
          <w:tcPr>
            <w:tcW w:w="560" w:type="dxa"/>
            <w:vAlign w:val="bottom"/>
          </w:tcPr>
          <w:p>
            <w:pPr>
              <w:spacing w:after="0"/>
              <w:rPr>
                <w:sz w:val="16"/>
                <w:szCs w:val="16"/>
                <w:color w:val="auto"/>
              </w:rPr>
            </w:pPr>
          </w:p>
        </w:tc>
        <w:tc>
          <w:tcPr>
            <w:tcW w:w="340" w:type="dxa"/>
            <w:vAlign w:val="bottom"/>
          </w:tcPr>
          <w:p>
            <w:pPr>
              <w:jc w:val="right"/>
              <w:spacing w:after="0" w:line="186" w:lineRule="exact"/>
              <w:rPr>
                <w:sz w:val="20"/>
                <w:szCs w:val="20"/>
                <w:color w:val="auto"/>
              </w:rPr>
            </w:pPr>
            <w:r>
              <w:rPr>
                <w:rFonts w:ascii="Arial" w:cs="Arial" w:eastAsia="Arial" w:hAnsi="Arial"/>
                <w:sz w:val="17"/>
                <w:szCs w:val="17"/>
                <w:color w:val="373535"/>
              </w:rPr>
              <w:t>60</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717073"/>
          </w:tcPr>
          <w:p>
            <w:pPr>
              <w:spacing w:after="0" w:line="20" w:lineRule="exact"/>
              <w:rPr>
                <w:sz w:val="1"/>
                <w:szCs w:val="1"/>
                <w:color w:val="auto"/>
              </w:rPr>
            </w:pPr>
          </w:p>
        </w:tc>
        <w:tc>
          <w:tcPr>
            <w:tcW w:w="6360" w:type="dxa"/>
            <w:vAlign w:val="bottom"/>
            <w:gridSpan w:val="6"/>
            <w:shd w:val="clear" w:color="auto" w:fill="717073"/>
          </w:tcPr>
          <w:p>
            <w:pPr>
              <w:spacing w:after="0" w:line="20" w:lineRule="exact"/>
              <w:rPr>
                <w:sz w:val="1"/>
                <w:szCs w:val="1"/>
                <w:color w:val="auto"/>
              </w:rPr>
            </w:pPr>
          </w:p>
        </w:tc>
        <w:tc>
          <w:tcPr>
            <w:tcW w:w="340" w:type="dxa"/>
            <w:vAlign w:val="bottom"/>
            <w:tcBorders>
              <w:right w:val="single" w:sz="8" w:color="717073"/>
            </w:tcBorders>
            <w:shd w:val="clear" w:color="auto" w:fill="71707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360" w:type="dxa"/>
            <w:vAlign w:val="bottom"/>
            <w:gridSpan w:val="6"/>
          </w:tcPr>
          <w:p>
            <w:pPr>
              <w:ind w:left="102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373535"/>
              </w:rPr>
              <w:t>63</w:t>
            </w:r>
          </w:p>
        </w:tc>
      </w:tr>
      <w:tr>
        <w:trPr>
          <w:trHeight w:val="405"/>
        </w:trPr>
        <w:tc>
          <w:tcPr>
            <w:tcW w:w="20" w:type="dxa"/>
            <w:vAlign w:val="bottom"/>
          </w:tcPr>
          <w:p>
            <w:pPr>
              <w:spacing w:after="0"/>
              <w:rPr>
                <w:sz w:val="24"/>
                <w:szCs w:val="24"/>
                <w:color w:val="auto"/>
              </w:rPr>
            </w:pPr>
          </w:p>
        </w:tc>
        <w:tc>
          <w:tcPr>
            <w:tcW w:w="4620" w:type="dxa"/>
            <w:vAlign w:val="bottom"/>
            <w:tcBorders>
              <w:bottom w:val="single" w:sz="8" w:color="DCDCDC"/>
            </w:tcBorders>
          </w:tcPr>
          <w:p>
            <w:pPr>
              <w:spacing w:after="0"/>
              <w:rPr>
                <w:sz w:val="24"/>
                <w:szCs w:val="24"/>
                <w:color w:val="auto"/>
              </w:rPr>
            </w:pPr>
          </w:p>
        </w:tc>
        <w:tc>
          <w:tcPr>
            <w:tcW w:w="30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373535"/>
        </w:rPr>
        <w:t>Options outstanding and exercisable as of December 31, 2013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76AD9A"/>
              </w:rPr>
              <w:t>Options Outstanding</w:t>
            </w:r>
          </w:p>
        </w:tc>
        <w:tc>
          <w:tcPr>
            <w:tcW w:w="104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76AD9A"/>
                <w:w w:val="96"/>
              </w:rPr>
              <w:t>Options Exercisable</w:t>
            </w:r>
          </w:p>
        </w:tc>
      </w:tr>
      <w:tr>
        <w:trPr>
          <w:trHeight w:val="152"/>
        </w:trPr>
        <w:tc>
          <w:tcPr>
            <w:tcW w:w="5160" w:type="dxa"/>
            <w:vAlign w:val="bottom"/>
          </w:tcPr>
          <w:p>
            <w:pPr>
              <w:spacing w:after="0"/>
              <w:rPr>
                <w:sz w:val="13"/>
                <w:szCs w:val="13"/>
                <w:color w:val="auto"/>
              </w:rPr>
            </w:pPr>
          </w:p>
        </w:tc>
        <w:tc>
          <w:tcPr>
            <w:tcW w:w="1280" w:type="dxa"/>
            <w:vAlign w:val="bottom"/>
            <w:tcBorders>
              <w:top w:val="single" w:sz="8" w:color="717073"/>
            </w:tcBorders>
          </w:tcPr>
          <w:p>
            <w:pPr>
              <w:spacing w:after="0"/>
              <w:rPr>
                <w:sz w:val="13"/>
                <w:szCs w:val="13"/>
                <w:color w:val="auto"/>
              </w:rPr>
            </w:pPr>
          </w:p>
        </w:tc>
        <w:tc>
          <w:tcPr>
            <w:tcW w:w="1080" w:type="dxa"/>
            <w:vAlign w:val="bottom"/>
            <w:tcBorders>
              <w:top w:val="single" w:sz="8" w:color="717073"/>
            </w:tcBorders>
          </w:tcPr>
          <w:p>
            <w:pPr>
              <w:jc w:val="right"/>
              <w:ind w:right="23"/>
              <w:spacing w:after="0" w:line="153" w:lineRule="exact"/>
              <w:rPr>
                <w:sz w:val="20"/>
                <w:szCs w:val="20"/>
                <w:color w:val="auto"/>
              </w:rPr>
            </w:pPr>
            <w:r>
              <w:rPr>
                <w:rFonts w:ascii="Arial" w:cs="Arial" w:eastAsia="Arial" w:hAnsi="Arial"/>
                <w:sz w:val="14"/>
                <w:szCs w:val="14"/>
                <w:color w:val="76AD9A"/>
              </w:rPr>
              <w:t>Weighted-</w:t>
            </w:r>
          </w:p>
        </w:tc>
        <w:tc>
          <w:tcPr>
            <w:tcW w:w="340" w:type="dxa"/>
            <w:vAlign w:val="bottom"/>
            <w:tcBorders>
              <w:top w:val="single" w:sz="8" w:color="717073"/>
            </w:tcBorders>
          </w:tcPr>
          <w:p>
            <w:pPr>
              <w:spacing w:after="0"/>
              <w:rPr>
                <w:sz w:val="13"/>
                <w:szCs w:val="13"/>
                <w:color w:val="auto"/>
              </w:rPr>
            </w:pPr>
          </w:p>
        </w:tc>
        <w:tc>
          <w:tcPr>
            <w:tcW w:w="980" w:type="dxa"/>
            <w:vAlign w:val="bottom"/>
            <w:tcBorders>
              <w:top w:val="single" w:sz="8" w:color="717073"/>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717073"/>
            </w:tcBorders>
          </w:tcPr>
          <w:p>
            <w:pPr>
              <w:spacing w:after="0"/>
              <w:rPr>
                <w:sz w:val="13"/>
                <w:szCs w:val="13"/>
                <w:color w:val="auto"/>
              </w:rPr>
            </w:pPr>
          </w:p>
        </w:tc>
        <w:tc>
          <w:tcPr>
            <w:tcW w:w="320" w:type="dxa"/>
            <w:vAlign w:val="bottom"/>
            <w:tcBorders>
              <w:top w:val="single" w:sz="8" w:color="717073"/>
            </w:tcBorders>
          </w:tcPr>
          <w:p>
            <w:pPr>
              <w:spacing w:after="0"/>
              <w:rPr>
                <w:sz w:val="13"/>
                <w:szCs w:val="13"/>
                <w:color w:val="auto"/>
              </w:rPr>
            </w:pPr>
          </w:p>
        </w:tc>
        <w:tc>
          <w:tcPr>
            <w:tcW w:w="900" w:type="dxa"/>
            <w:vAlign w:val="bottom"/>
            <w:tcBorders>
              <w:top w:val="single" w:sz="8" w:color="717073"/>
            </w:tcBorders>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jc w:val="right"/>
              <w:ind w:right="23"/>
              <w:spacing w:after="0" w:line="155" w:lineRule="exact"/>
              <w:rPr>
                <w:sz w:val="20"/>
                <w:szCs w:val="20"/>
                <w:color w:val="auto"/>
              </w:rPr>
            </w:pPr>
            <w:r>
              <w:rPr>
                <w:rFonts w:ascii="Arial" w:cs="Arial" w:eastAsia="Arial" w:hAnsi="Arial"/>
                <w:sz w:val="14"/>
                <w:szCs w:val="14"/>
                <w:color w:val="76AD9A"/>
              </w:rPr>
              <w:t>Average</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jc w:val="right"/>
              <w:ind w:right="23"/>
              <w:spacing w:after="0" w:line="155" w:lineRule="exact"/>
              <w:rPr>
                <w:sz w:val="20"/>
                <w:szCs w:val="20"/>
                <w:color w:val="auto"/>
              </w:rPr>
            </w:pPr>
            <w:r>
              <w:rPr>
                <w:rFonts w:ascii="Arial" w:cs="Arial" w:eastAsia="Arial" w:hAnsi="Arial"/>
                <w:sz w:val="14"/>
                <w:szCs w:val="14"/>
                <w:color w:val="76AD9A"/>
              </w:rPr>
              <w:t>Remaining</w:t>
            </w:r>
          </w:p>
        </w:tc>
        <w:tc>
          <w:tcPr>
            <w:tcW w:w="340" w:type="dxa"/>
            <w:vAlign w:val="bottom"/>
          </w:tcPr>
          <w:p>
            <w:pPr>
              <w:spacing w:after="0"/>
              <w:rPr>
                <w:sz w:val="13"/>
                <w:szCs w:val="13"/>
                <w:color w:val="auto"/>
              </w:rPr>
            </w:pPr>
          </w:p>
        </w:tc>
        <w:tc>
          <w:tcPr>
            <w:tcW w:w="12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76AD9A"/>
              </w:rPr>
              <w:t>Weighted-</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76AD9A"/>
              </w:rPr>
              <w:t>Weighted-</w:t>
            </w:r>
          </w:p>
        </w:tc>
      </w:tr>
      <w:tr>
        <w:trPr>
          <w:trHeight w:val="155"/>
        </w:trPr>
        <w:tc>
          <w:tcPr>
            <w:tcW w:w="5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jc w:val="right"/>
              <w:ind w:right="23"/>
              <w:spacing w:after="0" w:line="155" w:lineRule="exact"/>
              <w:rPr>
                <w:sz w:val="20"/>
                <w:szCs w:val="20"/>
                <w:color w:val="auto"/>
              </w:rPr>
            </w:pPr>
            <w:r>
              <w:rPr>
                <w:rFonts w:ascii="Arial" w:cs="Arial" w:eastAsia="Arial" w:hAnsi="Arial"/>
                <w:sz w:val="14"/>
                <w:szCs w:val="14"/>
                <w:color w:val="76AD9A"/>
              </w:rPr>
              <w:t>Contractual</w:t>
            </w:r>
          </w:p>
        </w:tc>
        <w:tc>
          <w:tcPr>
            <w:tcW w:w="340" w:type="dxa"/>
            <w:vAlign w:val="bottom"/>
          </w:tcPr>
          <w:p>
            <w:pPr>
              <w:spacing w:after="0"/>
              <w:rPr>
                <w:sz w:val="13"/>
                <w:szCs w:val="13"/>
                <w:color w:val="auto"/>
              </w:rPr>
            </w:pPr>
          </w:p>
        </w:tc>
        <w:tc>
          <w:tcPr>
            <w:tcW w:w="12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76AD9A"/>
              </w:rPr>
              <w:t>Average</w:t>
            </w: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76AD9A"/>
              </w:rPr>
              <w:t>Average</w:t>
            </w:r>
          </w:p>
        </w:tc>
      </w:tr>
      <w:tr>
        <w:trPr>
          <w:trHeight w:val="150"/>
        </w:trPr>
        <w:tc>
          <w:tcPr>
            <w:tcW w:w="5160" w:type="dxa"/>
            <w:vAlign w:val="bottom"/>
            <w:tcBorders>
              <w:bottom w:val="single" w:sz="8" w:color="76AD9A"/>
            </w:tcBorders>
          </w:tcPr>
          <w:p>
            <w:pPr>
              <w:spacing w:after="0" w:line="151" w:lineRule="exact"/>
              <w:rPr>
                <w:sz w:val="20"/>
                <w:szCs w:val="20"/>
                <w:color w:val="auto"/>
              </w:rPr>
            </w:pPr>
            <w:r>
              <w:rPr>
                <w:rFonts w:ascii="Arial" w:cs="Arial" w:eastAsia="Arial" w:hAnsi="Arial"/>
                <w:sz w:val="14"/>
                <w:szCs w:val="14"/>
                <w:color w:val="76AD9A"/>
              </w:rPr>
              <w:t>Exercise Price</w:t>
            </w:r>
          </w:p>
        </w:tc>
        <w:tc>
          <w:tcPr>
            <w:tcW w:w="1280" w:type="dxa"/>
            <w:vAlign w:val="bottom"/>
            <w:tcBorders>
              <w:bottom w:val="single" w:sz="8" w:color="76AD9A"/>
            </w:tcBorders>
          </w:tcPr>
          <w:p>
            <w:pPr>
              <w:jc w:val="right"/>
              <w:ind w:right="177"/>
              <w:spacing w:after="0" w:line="151" w:lineRule="exact"/>
              <w:rPr>
                <w:sz w:val="20"/>
                <w:szCs w:val="20"/>
                <w:color w:val="auto"/>
              </w:rPr>
            </w:pPr>
            <w:r>
              <w:rPr>
                <w:rFonts w:ascii="Arial" w:cs="Arial" w:eastAsia="Arial" w:hAnsi="Arial"/>
                <w:sz w:val="14"/>
                <w:szCs w:val="14"/>
                <w:color w:val="76AD9A"/>
              </w:rPr>
              <w:t>Shares (000)</w:t>
            </w:r>
          </w:p>
        </w:tc>
        <w:tc>
          <w:tcPr>
            <w:tcW w:w="108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Life (years)</w:t>
            </w:r>
          </w:p>
        </w:tc>
        <w:tc>
          <w:tcPr>
            <w:tcW w:w="340" w:type="dxa"/>
            <w:vAlign w:val="bottom"/>
            <w:tcBorders>
              <w:bottom w:val="single" w:sz="8" w:color="76AD9A"/>
            </w:tcBorders>
          </w:tcPr>
          <w:p>
            <w:pPr>
              <w:spacing w:after="0"/>
              <w:rPr>
                <w:sz w:val="13"/>
                <w:szCs w:val="13"/>
                <w:color w:val="auto"/>
              </w:rPr>
            </w:pPr>
          </w:p>
        </w:tc>
        <w:tc>
          <w:tcPr>
            <w:tcW w:w="1200" w:type="dxa"/>
            <w:vAlign w:val="bottom"/>
            <w:tcBorders>
              <w:bottom w:val="single" w:sz="8" w:color="76AD9A"/>
            </w:tcBorders>
            <w:gridSpan w:val="2"/>
          </w:tcPr>
          <w:p>
            <w:pPr>
              <w:jc w:val="right"/>
              <w:ind w:right="220"/>
              <w:spacing w:after="0" w:line="151" w:lineRule="exact"/>
              <w:rPr>
                <w:sz w:val="20"/>
                <w:szCs w:val="20"/>
                <w:color w:val="auto"/>
              </w:rPr>
            </w:pPr>
            <w:r>
              <w:rPr>
                <w:rFonts w:ascii="Arial" w:cs="Arial" w:eastAsia="Arial" w:hAnsi="Arial"/>
                <w:sz w:val="14"/>
                <w:szCs w:val="14"/>
                <w:color w:val="76AD9A"/>
              </w:rPr>
              <w:t>Exercise Price</w:t>
            </w:r>
          </w:p>
        </w:tc>
        <w:tc>
          <w:tcPr>
            <w:tcW w:w="104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Shares (000)</w:t>
            </w:r>
          </w:p>
        </w:tc>
        <w:tc>
          <w:tcPr>
            <w:tcW w:w="320" w:type="dxa"/>
            <w:vAlign w:val="bottom"/>
            <w:tcBorders>
              <w:bottom w:val="single" w:sz="8" w:color="76AD9A"/>
            </w:tcBorders>
          </w:tcPr>
          <w:p>
            <w:pPr>
              <w:spacing w:after="0"/>
              <w:rPr>
                <w:sz w:val="13"/>
                <w:szCs w:val="13"/>
                <w:color w:val="auto"/>
              </w:rPr>
            </w:pPr>
          </w:p>
        </w:tc>
        <w:tc>
          <w:tcPr>
            <w:tcW w:w="90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w w:val="98"/>
              </w:rPr>
              <w:t>Exercise Price</w:t>
            </w:r>
          </w:p>
        </w:tc>
      </w:tr>
      <w:tr>
        <w:trPr>
          <w:trHeight w:val="186"/>
        </w:trPr>
        <w:tc>
          <w:tcPr>
            <w:tcW w:w="5160" w:type="dxa"/>
            <w:vAlign w:val="bottom"/>
          </w:tcPr>
          <w:p>
            <w:pPr>
              <w:spacing w:after="0" w:line="185" w:lineRule="exact"/>
              <w:rPr>
                <w:sz w:val="20"/>
                <w:szCs w:val="20"/>
                <w:color w:val="auto"/>
              </w:rPr>
            </w:pPr>
            <w:r>
              <w:rPr>
                <w:rFonts w:ascii="Arial" w:cs="Arial" w:eastAsia="Arial" w:hAnsi="Arial"/>
                <w:sz w:val="17"/>
                <w:szCs w:val="17"/>
                <w:color w:val="373535"/>
              </w:rPr>
              <w:t>$27–$34</w:t>
            </w:r>
          </w:p>
        </w:tc>
        <w:tc>
          <w:tcPr>
            <w:tcW w:w="1280" w:type="dxa"/>
            <w:vAlign w:val="bottom"/>
          </w:tcPr>
          <w:p>
            <w:pPr>
              <w:jc w:val="right"/>
              <w:ind w:right="177"/>
              <w:spacing w:after="0" w:line="185" w:lineRule="exact"/>
              <w:rPr>
                <w:sz w:val="20"/>
                <w:szCs w:val="20"/>
                <w:color w:val="auto"/>
              </w:rPr>
            </w:pPr>
            <w:r>
              <w:rPr>
                <w:rFonts w:ascii="Arial" w:cs="Arial" w:eastAsia="Arial" w:hAnsi="Arial"/>
                <w:sz w:val="17"/>
                <w:szCs w:val="17"/>
                <w:color w:val="373535"/>
              </w:rPr>
              <w:t>204</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373535"/>
              </w:rPr>
              <w:t>4.6</w:t>
            </w:r>
          </w:p>
        </w:tc>
        <w:tc>
          <w:tcPr>
            <w:tcW w:w="34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200" w:type="dxa"/>
            <w:vAlign w:val="bottom"/>
            <w:gridSpan w:val="2"/>
          </w:tcPr>
          <w:p>
            <w:pPr>
              <w:jc w:val="right"/>
              <w:ind w:right="220"/>
              <w:spacing w:after="0" w:line="185" w:lineRule="exact"/>
              <w:rPr>
                <w:sz w:val="20"/>
                <w:szCs w:val="20"/>
                <w:color w:val="auto"/>
              </w:rPr>
            </w:pPr>
            <w:r>
              <w:rPr>
                <w:rFonts w:ascii="Arial" w:cs="Arial" w:eastAsia="Arial" w:hAnsi="Arial"/>
                <w:sz w:val="17"/>
                <w:szCs w:val="17"/>
                <w:color w:val="373535"/>
              </w:rPr>
              <w:t>30</w:t>
            </w:r>
          </w:p>
        </w:tc>
        <w:tc>
          <w:tcPr>
            <w:tcW w:w="1040" w:type="dxa"/>
            <w:vAlign w:val="bottom"/>
          </w:tcPr>
          <w:p>
            <w:pPr>
              <w:jc w:val="right"/>
              <w:spacing w:after="0" w:line="185" w:lineRule="exact"/>
              <w:rPr>
                <w:sz w:val="20"/>
                <w:szCs w:val="20"/>
                <w:color w:val="auto"/>
              </w:rPr>
            </w:pPr>
            <w:r>
              <w:rPr>
                <w:rFonts w:ascii="Arial" w:cs="Arial" w:eastAsia="Arial" w:hAnsi="Arial"/>
                <w:sz w:val="17"/>
                <w:szCs w:val="17"/>
                <w:color w:val="373535"/>
              </w:rPr>
              <w:t>204</w:t>
            </w: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900" w:type="dxa"/>
            <w:vAlign w:val="bottom"/>
          </w:tcPr>
          <w:p>
            <w:pPr>
              <w:jc w:val="right"/>
              <w:spacing w:after="0" w:line="185" w:lineRule="exact"/>
              <w:rPr>
                <w:sz w:val="20"/>
                <w:szCs w:val="20"/>
                <w:color w:val="auto"/>
              </w:rPr>
            </w:pPr>
            <w:r>
              <w:rPr>
                <w:rFonts w:ascii="Arial" w:cs="Arial" w:eastAsia="Arial" w:hAnsi="Arial"/>
                <w:sz w:val="17"/>
                <w:szCs w:val="17"/>
                <w:color w:val="373535"/>
              </w:rPr>
              <w:t>30</w:t>
            </w:r>
          </w:p>
        </w:tc>
      </w:tr>
      <w:tr>
        <w:trPr>
          <w:trHeight w:val="194"/>
        </w:trPr>
        <w:tc>
          <w:tcPr>
            <w:tcW w:w="5160" w:type="dxa"/>
            <w:vAlign w:val="bottom"/>
          </w:tcPr>
          <w:p>
            <w:pPr>
              <w:spacing w:after="0" w:line="194" w:lineRule="exact"/>
              <w:rPr>
                <w:sz w:val="20"/>
                <w:szCs w:val="20"/>
                <w:color w:val="auto"/>
              </w:rPr>
            </w:pPr>
            <w:r>
              <w:rPr>
                <w:rFonts w:ascii="Arial" w:cs="Arial" w:eastAsia="Arial" w:hAnsi="Arial"/>
                <w:sz w:val="17"/>
                <w:szCs w:val="17"/>
                <w:color w:val="373535"/>
              </w:rPr>
              <w:t>$35–$44</w:t>
            </w:r>
          </w:p>
        </w:tc>
        <w:tc>
          <w:tcPr>
            <w:tcW w:w="1280" w:type="dxa"/>
            <w:vAlign w:val="bottom"/>
          </w:tcPr>
          <w:p>
            <w:pPr>
              <w:jc w:val="right"/>
              <w:ind w:right="177"/>
              <w:spacing w:after="0" w:line="194" w:lineRule="exact"/>
              <w:rPr>
                <w:sz w:val="20"/>
                <w:szCs w:val="20"/>
                <w:color w:val="auto"/>
              </w:rPr>
            </w:pPr>
            <w:r>
              <w:rPr>
                <w:rFonts w:ascii="Arial" w:cs="Arial" w:eastAsia="Arial" w:hAnsi="Arial"/>
                <w:sz w:val="17"/>
                <w:szCs w:val="17"/>
                <w:color w:val="373535"/>
              </w:rPr>
              <w:t>342</w:t>
            </w: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373535"/>
              </w:rPr>
              <w:t>5.8</w:t>
            </w:r>
          </w:p>
        </w:tc>
        <w:tc>
          <w:tcPr>
            <w:tcW w:w="340" w:type="dxa"/>
            <w:vAlign w:val="bottom"/>
          </w:tcPr>
          <w:p>
            <w:pPr>
              <w:spacing w:after="0"/>
              <w:rPr>
                <w:sz w:val="16"/>
                <w:szCs w:val="16"/>
                <w:color w:val="auto"/>
              </w:rPr>
            </w:pPr>
          </w:p>
        </w:tc>
        <w:tc>
          <w:tcPr>
            <w:tcW w:w="12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44</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373535"/>
              </w:rPr>
              <w:t>164</w:t>
            </w:r>
          </w:p>
        </w:tc>
        <w:tc>
          <w:tcPr>
            <w:tcW w:w="32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Arial" w:cs="Arial" w:eastAsia="Arial" w:hAnsi="Arial"/>
                <w:sz w:val="17"/>
                <w:szCs w:val="17"/>
                <w:color w:val="373535"/>
              </w:rPr>
              <w:t>44</w:t>
            </w:r>
          </w:p>
        </w:tc>
      </w:tr>
      <w:tr>
        <w:trPr>
          <w:trHeight w:val="206"/>
        </w:trPr>
        <w:tc>
          <w:tcPr>
            <w:tcW w:w="5160" w:type="dxa"/>
            <w:vAlign w:val="bottom"/>
          </w:tcPr>
          <w:p>
            <w:pPr>
              <w:spacing w:after="0"/>
              <w:rPr>
                <w:sz w:val="20"/>
                <w:szCs w:val="20"/>
                <w:color w:val="auto"/>
              </w:rPr>
            </w:pPr>
            <w:r>
              <w:rPr>
                <w:rFonts w:ascii="Arial" w:cs="Arial" w:eastAsia="Arial" w:hAnsi="Arial"/>
                <w:sz w:val="17"/>
                <w:szCs w:val="17"/>
                <w:color w:val="373535"/>
              </w:rPr>
              <w:t>$45–$55</w:t>
            </w:r>
          </w:p>
        </w:tc>
        <w:tc>
          <w:tcPr>
            <w:tcW w:w="1280" w:type="dxa"/>
            <w:vAlign w:val="bottom"/>
          </w:tcPr>
          <w:p>
            <w:pPr>
              <w:jc w:val="right"/>
              <w:ind w:right="177"/>
              <w:spacing w:after="0"/>
              <w:rPr>
                <w:sz w:val="20"/>
                <w:szCs w:val="20"/>
                <w:color w:val="auto"/>
              </w:rPr>
            </w:pPr>
            <w:r>
              <w:rPr>
                <w:rFonts w:ascii="Arial" w:cs="Arial" w:eastAsia="Arial" w:hAnsi="Arial"/>
                <w:sz w:val="17"/>
                <w:szCs w:val="17"/>
                <w:color w:val="373535"/>
              </w:rPr>
              <w:t>991</w:t>
            </w:r>
          </w:p>
        </w:tc>
        <w:tc>
          <w:tcPr>
            <w:tcW w:w="1080" w:type="dxa"/>
            <w:vAlign w:val="bottom"/>
          </w:tcPr>
          <w:p>
            <w:pPr>
              <w:jc w:val="right"/>
              <w:spacing w:after="0"/>
              <w:rPr>
                <w:sz w:val="20"/>
                <w:szCs w:val="20"/>
                <w:color w:val="auto"/>
              </w:rPr>
            </w:pPr>
            <w:r>
              <w:rPr>
                <w:rFonts w:ascii="Arial" w:cs="Arial" w:eastAsia="Arial" w:hAnsi="Arial"/>
                <w:sz w:val="17"/>
                <w:szCs w:val="17"/>
                <w:color w:val="373535"/>
              </w:rPr>
              <w:t>5.8</w:t>
            </w:r>
          </w:p>
        </w:tc>
        <w:tc>
          <w:tcPr>
            <w:tcW w:w="3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373535"/>
              </w:rPr>
              <w:t>53</w:t>
            </w:r>
          </w:p>
        </w:tc>
        <w:tc>
          <w:tcPr>
            <w:tcW w:w="1040" w:type="dxa"/>
            <w:vAlign w:val="bottom"/>
          </w:tcPr>
          <w:p>
            <w:pPr>
              <w:jc w:val="right"/>
              <w:spacing w:after="0"/>
              <w:rPr>
                <w:sz w:val="20"/>
                <w:szCs w:val="20"/>
                <w:color w:val="auto"/>
              </w:rPr>
            </w:pPr>
            <w:r>
              <w:rPr>
                <w:rFonts w:ascii="Arial" w:cs="Arial" w:eastAsia="Arial" w:hAnsi="Arial"/>
                <w:sz w:val="17"/>
                <w:szCs w:val="17"/>
                <w:color w:val="373535"/>
              </w:rPr>
              <w:t>625</w:t>
            </w:r>
          </w:p>
        </w:tc>
        <w:tc>
          <w:tcPr>
            <w:tcW w:w="3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373535"/>
              </w:rPr>
              <w:t>53</w:t>
            </w:r>
          </w:p>
        </w:tc>
      </w:tr>
      <w:tr>
        <w:trPr>
          <w:trHeight w:val="195"/>
        </w:trPr>
        <w:tc>
          <w:tcPr>
            <w:tcW w:w="5160" w:type="dxa"/>
            <w:vAlign w:val="bottom"/>
            <w:tcBorders>
              <w:bottom w:val="single" w:sz="8" w:color="717073"/>
            </w:tcBorders>
          </w:tcPr>
          <w:p>
            <w:pPr>
              <w:spacing w:after="0"/>
              <w:rPr>
                <w:sz w:val="20"/>
                <w:szCs w:val="20"/>
                <w:color w:val="auto"/>
              </w:rPr>
            </w:pPr>
            <w:r>
              <w:rPr>
                <w:rFonts w:ascii="Arial" w:cs="Arial" w:eastAsia="Arial" w:hAnsi="Arial"/>
                <w:sz w:val="17"/>
                <w:szCs w:val="17"/>
                <w:color w:val="373535"/>
              </w:rPr>
              <w:t>$56–$93</w:t>
            </w:r>
          </w:p>
        </w:tc>
        <w:tc>
          <w:tcPr>
            <w:tcW w:w="1280" w:type="dxa"/>
            <w:vAlign w:val="bottom"/>
            <w:tcBorders>
              <w:bottom w:val="single" w:sz="8" w:color="717073"/>
            </w:tcBorders>
          </w:tcPr>
          <w:p>
            <w:pPr>
              <w:jc w:val="right"/>
              <w:ind w:right="177"/>
              <w:spacing w:after="0"/>
              <w:rPr>
                <w:sz w:val="20"/>
                <w:szCs w:val="20"/>
                <w:color w:val="auto"/>
              </w:rPr>
            </w:pPr>
            <w:r>
              <w:rPr>
                <w:rFonts w:ascii="Arial" w:cs="Arial" w:eastAsia="Arial" w:hAnsi="Arial"/>
                <w:sz w:val="17"/>
                <w:szCs w:val="17"/>
                <w:color w:val="373535"/>
              </w:rPr>
              <w:t>1,246</w:t>
            </w:r>
          </w:p>
        </w:tc>
        <w:tc>
          <w:tcPr>
            <w:tcW w:w="10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3.8</w:t>
            </w:r>
          </w:p>
        </w:tc>
        <w:tc>
          <w:tcPr>
            <w:tcW w:w="340" w:type="dxa"/>
            <w:vAlign w:val="bottom"/>
            <w:tcBorders>
              <w:bottom w:val="single" w:sz="8" w:color="717073"/>
            </w:tcBorders>
          </w:tcPr>
          <w:p>
            <w:pPr>
              <w:spacing w:after="0"/>
              <w:rPr>
                <w:sz w:val="16"/>
                <w:szCs w:val="16"/>
                <w:color w:val="auto"/>
              </w:rPr>
            </w:pPr>
          </w:p>
        </w:tc>
        <w:tc>
          <w:tcPr>
            <w:tcW w:w="1200" w:type="dxa"/>
            <w:vAlign w:val="bottom"/>
            <w:tcBorders>
              <w:bottom w:val="single" w:sz="8" w:color="717073"/>
            </w:tcBorders>
            <w:gridSpan w:val="2"/>
          </w:tcPr>
          <w:p>
            <w:pPr>
              <w:jc w:val="right"/>
              <w:ind w:right="220"/>
              <w:spacing w:after="0"/>
              <w:rPr>
                <w:sz w:val="20"/>
                <w:szCs w:val="20"/>
                <w:color w:val="auto"/>
              </w:rPr>
            </w:pPr>
            <w:r>
              <w:rPr>
                <w:rFonts w:ascii="Arial" w:cs="Arial" w:eastAsia="Arial" w:hAnsi="Arial"/>
                <w:sz w:val="17"/>
                <w:szCs w:val="17"/>
                <w:color w:val="373535"/>
              </w:rPr>
              <w:t>67</w:t>
            </w:r>
          </w:p>
        </w:tc>
        <w:tc>
          <w:tcPr>
            <w:tcW w:w="10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1,160</w:t>
            </w:r>
          </w:p>
        </w:tc>
        <w:tc>
          <w:tcPr>
            <w:tcW w:w="32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67</w:t>
            </w:r>
          </w:p>
        </w:tc>
      </w:tr>
      <w:tr>
        <w:trPr>
          <w:trHeight w:val="186"/>
        </w:trPr>
        <w:tc>
          <w:tcPr>
            <w:tcW w:w="5160" w:type="dxa"/>
            <w:vAlign w:val="bottom"/>
            <w:tcBorders>
              <w:bottom w:val="single" w:sz="8" w:color="717073"/>
            </w:tcBorders>
          </w:tcPr>
          <w:p>
            <w:pPr>
              <w:spacing w:after="0"/>
              <w:rPr>
                <w:sz w:val="16"/>
                <w:szCs w:val="16"/>
                <w:color w:val="auto"/>
              </w:rPr>
            </w:pPr>
          </w:p>
        </w:tc>
        <w:tc>
          <w:tcPr>
            <w:tcW w:w="1280" w:type="dxa"/>
            <w:vAlign w:val="bottom"/>
            <w:tcBorders>
              <w:bottom w:val="single" w:sz="8" w:color="717073"/>
            </w:tcBorders>
          </w:tcPr>
          <w:p>
            <w:pPr>
              <w:jc w:val="right"/>
              <w:ind w:right="177"/>
              <w:spacing w:after="0" w:line="186" w:lineRule="exact"/>
              <w:rPr>
                <w:sz w:val="20"/>
                <w:szCs w:val="20"/>
                <w:color w:val="auto"/>
              </w:rPr>
            </w:pPr>
            <w:r>
              <w:rPr>
                <w:rFonts w:ascii="Arial" w:cs="Arial" w:eastAsia="Arial" w:hAnsi="Arial"/>
                <w:sz w:val="17"/>
                <w:szCs w:val="17"/>
                <w:color w:val="373535"/>
              </w:rPr>
              <w:t>2,783</w:t>
            </w:r>
          </w:p>
        </w:tc>
        <w:tc>
          <w:tcPr>
            <w:tcW w:w="10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5.1</w:t>
            </w:r>
          </w:p>
        </w:tc>
        <w:tc>
          <w:tcPr>
            <w:tcW w:w="3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200" w:type="dxa"/>
            <w:vAlign w:val="bottom"/>
            <w:tcBorders>
              <w:bottom w:val="single" w:sz="8" w:color="717073"/>
            </w:tcBorders>
            <w:gridSpan w:val="2"/>
          </w:tcPr>
          <w:p>
            <w:pPr>
              <w:jc w:val="right"/>
              <w:ind w:right="220"/>
              <w:spacing w:after="0" w:line="186" w:lineRule="exact"/>
              <w:rPr>
                <w:sz w:val="20"/>
                <w:szCs w:val="20"/>
                <w:color w:val="auto"/>
              </w:rPr>
            </w:pPr>
            <w:r>
              <w:rPr>
                <w:rFonts w:ascii="Arial" w:cs="Arial" w:eastAsia="Arial" w:hAnsi="Arial"/>
                <w:sz w:val="17"/>
                <w:szCs w:val="17"/>
                <w:color w:val="373535"/>
              </w:rPr>
              <w:t>57</w:t>
            </w:r>
          </w:p>
        </w:tc>
        <w:tc>
          <w:tcPr>
            <w:tcW w:w="10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2,153</w:t>
            </w:r>
          </w:p>
        </w:tc>
        <w:tc>
          <w:tcPr>
            <w:tcW w:w="3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58</w:t>
            </w:r>
          </w:p>
        </w:tc>
      </w:tr>
    </w:tbl>
    <w:p>
      <w:pPr>
        <w:spacing w:after="0" w:line="18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have recognized expense of $7.5, $9.4 and $12.1 related to stock options for the years ended December 31, 2013, 2012 and 2011, respectively. The total fair value of options vested during the same periods was $9.0, $11.4 and $ 14.3, respectively. As of December 31, 2013, total unrecognized compensation cost was approximately $6.5, net of estimated forfeitures, which we expect to recognize over a weighted-average period of approximately 1.3 years.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373535"/>
        </w:rPr>
        <w:t>We estimated the fair value of each stock option on the date of grant using the Black-Scholes option pricing model and the following assumptions: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0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1140" w:type="dxa"/>
            <w:vAlign w:val="bottom"/>
            <w:shd w:val="clear" w:color="auto" w:fill="76AD9A"/>
          </w:tcPr>
          <w:p>
            <w:pPr>
              <w:jc w:val="right"/>
              <w:ind w:right="137"/>
              <w:spacing w:after="0"/>
              <w:rPr>
                <w:sz w:val="20"/>
                <w:szCs w:val="20"/>
                <w:color w:val="auto"/>
              </w:rPr>
            </w:pPr>
            <w:r>
              <w:rPr>
                <w:rFonts w:ascii="Arial" w:cs="Arial" w:eastAsia="Arial" w:hAnsi="Arial"/>
                <w:sz w:val="14"/>
                <w:szCs w:val="14"/>
                <w:color w:val="FFFFFF"/>
              </w:rPr>
              <w:t>2013</w:t>
            </w:r>
          </w:p>
        </w:tc>
        <w:tc>
          <w:tcPr>
            <w:tcW w:w="1520" w:type="dxa"/>
            <w:vAlign w:val="bottom"/>
          </w:tcPr>
          <w:p>
            <w:pPr>
              <w:jc w:val="right"/>
              <w:ind w:right="437"/>
              <w:spacing w:after="0"/>
              <w:rPr>
                <w:sz w:val="20"/>
                <w:szCs w:val="20"/>
                <w:color w:val="auto"/>
              </w:rPr>
            </w:pPr>
            <w:r>
              <w:rPr>
                <w:rFonts w:ascii="Arial" w:cs="Arial" w:eastAsia="Arial" w:hAnsi="Arial"/>
                <w:sz w:val="14"/>
                <w:szCs w:val="14"/>
                <w:color w:val="76AD9A"/>
              </w:rPr>
              <w:t>2012</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76AD9A"/>
              </w:rPr>
              <w:t>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880" w:type="dxa"/>
            <w:vAlign w:val="bottom"/>
            <w:shd w:val="clear" w:color="auto" w:fill="76AD9A"/>
          </w:tcPr>
          <w:p>
            <w:pPr>
              <w:spacing w:after="0" w:line="20" w:lineRule="exact"/>
              <w:rPr>
                <w:sz w:val="1"/>
                <w:szCs w:val="1"/>
                <w:color w:val="auto"/>
              </w:rPr>
            </w:pPr>
          </w:p>
        </w:tc>
        <w:tc>
          <w:tcPr>
            <w:tcW w:w="1140" w:type="dxa"/>
            <w:vAlign w:val="bottom"/>
            <w:shd w:val="clear" w:color="auto" w:fill="76AD9A"/>
          </w:tcPr>
          <w:p>
            <w:pPr>
              <w:spacing w:after="0" w:line="20" w:lineRule="exact"/>
              <w:rPr>
                <w:sz w:val="1"/>
                <w:szCs w:val="1"/>
                <w:color w:val="auto"/>
              </w:rPr>
            </w:pPr>
          </w:p>
        </w:tc>
        <w:tc>
          <w:tcPr>
            <w:tcW w:w="1520" w:type="dxa"/>
            <w:vAlign w:val="bottom"/>
            <w:shd w:val="clear" w:color="auto" w:fill="76AD9A"/>
          </w:tcPr>
          <w:p>
            <w:pPr>
              <w:spacing w:after="0" w:line="20" w:lineRule="exact"/>
              <w:rPr>
                <w:sz w:val="1"/>
                <w:szCs w:val="1"/>
                <w:color w:val="auto"/>
              </w:rPr>
            </w:pPr>
          </w:p>
        </w:tc>
        <w:tc>
          <w:tcPr>
            <w:tcW w:w="700" w:type="dxa"/>
            <w:vAlign w:val="bottom"/>
            <w:shd w:val="clear" w:color="auto" w:fill="76AD9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7880" w:type="dxa"/>
            <w:vAlign w:val="bottom"/>
          </w:tcPr>
          <w:p>
            <w:pPr>
              <w:spacing w:after="0" w:line="186" w:lineRule="exact"/>
              <w:rPr>
                <w:sz w:val="20"/>
                <w:szCs w:val="20"/>
                <w:color w:val="auto"/>
              </w:rPr>
            </w:pPr>
            <w:r>
              <w:rPr>
                <w:rFonts w:ascii="Arial" w:cs="Arial" w:eastAsia="Arial" w:hAnsi="Arial"/>
                <w:sz w:val="17"/>
                <w:szCs w:val="17"/>
                <w:color w:val="373535"/>
              </w:rPr>
              <w:t>Average risk-free interest rate</w:t>
            </w:r>
          </w:p>
        </w:tc>
        <w:tc>
          <w:tcPr>
            <w:tcW w:w="114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1.1%</w:t>
            </w:r>
          </w:p>
        </w:tc>
        <w:tc>
          <w:tcPr>
            <w:tcW w:w="1520" w:type="dxa"/>
            <w:vAlign w:val="bottom"/>
          </w:tcPr>
          <w:p>
            <w:pPr>
              <w:jc w:val="right"/>
              <w:ind w:right="277"/>
              <w:spacing w:after="0" w:line="186" w:lineRule="exact"/>
              <w:rPr>
                <w:sz w:val="20"/>
                <w:szCs w:val="20"/>
                <w:color w:val="auto"/>
              </w:rPr>
            </w:pPr>
            <w:r>
              <w:rPr>
                <w:rFonts w:ascii="Arial" w:cs="Arial" w:eastAsia="Arial" w:hAnsi="Arial"/>
                <w:sz w:val="17"/>
                <w:szCs w:val="17"/>
                <w:color w:val="373535"/>
              </w:rPr>
              <w:t>1.1%</w:t>
            </w:r>
          </w:p>
        </w:tc>
        <w:tc>
          <w:tcPr>
            <w:tcW w:w="860" w:type="dxa"/>
            <w:vAlign w:val="bottom"/>
            <w:gridSpan w:val="2"/>
          </w:tcPr>
          <w:p>
            <w:pPr>
              <w:jc w:val="right"/>
              <w:spacing w:after="0" w:line="186" w:lineRule="exact"/>
              <w:rPr>
                <w:sz w:val="20"/>
                <w:szCs w:val="20"/>
                <w:color w:val="auto"/>
              </w:rPr>
            </w:pPr>
            <w:r>
              <w:rPr>
                <w:rFonts w:ascii="Arial" w:cs="Arial" w:eastAsia="Arial" w:hAnsi="Arial"/>
                <w:sz w:val="17"/>
                <w:szCs w:val="17"/>
                <w:color w:val="373535"/>
              </w:rPr>
              <w:t>2.6%</w:t>
            </w:r>
          </w:p>
        </w:tc>
        <w:tc>
          <w:tcPr>
            <w:tcW w:w="0" w:type="dxa"/>
            <w:vAlign w:val="bottom"/>
          </w:tcPr>
          <w:p>
            <w:pPr>
              <w:spacing w:after="0"/>
              <w:rPr>
                <w:sz w:val="1"/>
                <w:szCs w:val="1"/>
                <w:color w:val="auto"/>
              </w:rPr>
            </w:pPr>
          </w:p>
        </w:tc>
      </w:tr>
      <w:tr>
        <w:trPr>
          <w:trHeight w:val="193"/>
        </w:trPr>
        <w:tc>
          <w:tcPr>
            <w:tcW w:w="7900" w:type="dxa"/>
            <w:vAlign w:val="bottom"/>
            <w:gridSpan w:val="2"/>
          </w:tcPr>
          <w:p>
            <w:pPr>
              <w:spacing w:after="0" w:line="193" w:lineRule="exact"/>
              <w:rPr>
                <w:sz w:val="20"/>
                <w:szCs w:val="20"/>
                <w:color w:val="auto"/>
              </w:rPr>
            </w:pPr>
            <w:r>
              <w:rPr>
                <w:rFonts w:ascii="Arial" w:cs="Arial" w:eastAsia="Arial" w:hAnsi="Arial"/>
                <w:sz w:val="17"/>
                <w:szCs w:val="17"/>
                <w:color w:val="373535"/>
              </w:rPr>
              <w:t>Expected dividend yield</w:t>
            </w:r>
          </w:p>
        </w:tc>
        <w:tc>
          <w:tcPr>
            <w:tcW w:w="1140" w:type="dxa"/>
            <w:vAlign w:val="bottom"/>
          </w:tcPr>
          <w:p>
            <w:pPr>
              <w:jc w:val="right"/>
              <w:spacing w:after="0" w:line="193" w:lineRule="exact"/>
              <w:rPr>
                <w:sz w:val="20"/>
                <w:szCs w:val="20"/>
                <w:color w:val="auto"/>
              </w:rPr>
            </w:pPr>
            <w:r>
              <w:rPr>
                <w:rFonts w:ascii="Arial" w:cs="Arial" w:eastAsia="Arial" w:hAnsi="Arial"/>
                <w:sz w:val="17"/>
                <w:szCs w:val="17"/>
                <w:color w:val="76AD9A"/>
              </w:rPr>
              <w:t>1.7%</w:t>
            </w:r>
          </w:p>
        </w:tc>
        <w:tc>
          <w:tcPr>
            <w:tcW w:w="1520" w:type="dxa"/>
            <w:vAlign w:val="bottom"/>
          </w:tcPr>
          <w:p>
            <w:pPr>
              <w:jc w:val="right"/>
              <w:ind w:right="277"/>
              <w:spacing w:after="0" w:line="193" w:lineRule="exact"/>
              <w:rPr>
                <w:sz w:val="20"/>
                <w:szCs w:val="20"/>
                <w:color w:val="auto"/>
              </w:rPr>
            </w:pPr>
            <w:r>
              <w:rPr>
                <w:rFonts w:ascii="Arial" w:cs="Arial" w:eastAsia="Arial" w:hAnsi="Arial"/>
                <w:sz w:val="17"/>
                <w:szCs w:val="17"/>
                <w:color w:val="373535"/>
              </w:rPr>
              <w:t>1.8%</w:t>
            </w:r>
          </w:p>
        </w:tc>
        <w:tc>
          <w:tcPr>
            <w:tcW w:w="860" w:type="dxa"/>
            <w:vAlign w:val="bottom"/>
            <w:gridSpan w:val="2"/>
          </w:tcPr>
          <w:p>
            <w:pPr>
              <w:jc w:val="right"/>
              <w:spacing w:after="0" w:line="193" w:lineRule="exact"/>
              <w:rPr>
                <w:sz w:val="20"/>
                <w:szCs w:val="20"/>
                <w:color w:val="auto"/>
              </w:rPr>
            </w:pPr>
            <w:r>
              <w:rPr>
                <w:rFonts w:ascii="Arial" w:cs="Arial" w:eastAsia="Arial" w:hAnsi="Arial"/>
                <w:sz w:val="17"/>
                <w:szCs w:val="17"/>
                <w:color w:val="373535"/>
              </w:rPr>
              <w:t>1.1%</w:t>
            </w:r>
          </w:p>
        </w:tc>
        <w:tc>
          <w:tcPr>
            <w:tcW w:w="0" w:type="dxa"/>
            <w:vAlign w:val="bottom"/>
          </w:tcPr>
          <w:p>
            <w:pPr>
              <w:spacing w:after="0"/>
              <w:rPr>
                <w:sz w:val="1"/>
                <w:szCs w:val="1"/>
                <w:color w:val="auto"/>
              </w:rPr>
            </w:pPr>
          </w:p>
        </w:tc>
      </w:tr>
      <w:tr>
        <w:trPr>
          <w:trHeight w:val="206"/>
        </w:trPr>
        <w:tc>
          <w:tcPr>
            <w:tcW w:w="7900" w:type="dxa"/>
            <w:vAlign w:val="bottom"/>
            <w:gridSpan w:val="2"/>
          </w:tcPr>
          <w:p>
            <w:pPr>
              <w:spacing w:after="0"/>
              <w:rPr>
                <w:sz w:val="20"/>
                <w:szCs w:val="20"/>
                <w:color w:val="auto"/>
              </w:rPr>
            </w:pPr>
            <w:r>
              <w:rPr>
                <w:rFonts w:ascii="Arial" w:cs="Arial" w:eastAsia="Arial" w:hAnsi="Arial"/>
                <w:sz w:val="17"/>
                <w:szCs w:val="17"/>
                <w:color w:val="373535"/>
              </w:rPr>
              <w:t>Expected volatility</w:t>
            </w:r>
          </w:p>
        </w:tc>
        <w:tc>
          <w:tcPr>
            <w:tcW w:w="1140" w:type="dxa"/>
            <w:vAlign w:val="bottom"/>
          </w:tcPr>
          <w:p>
            <w:pPr>
              <w:jc w:val="right"/>
              <w:spacing w:after="0"/>
              <w:rPr>
                <w:sz w:val="20"/>
                <w:szCs w:val="20"/>
                <w:color w:val="auto"/>
              </w:rPr>
            </w:pPr>
            <w:r>
              <w:rPr>
                <w:rFonts w:ascii="Arial" w:cs="Arial" w:eastAsia="Arial" w:hAnsi="Arial"/>
                <w:sz w:val="17"/>
                <w:szCs w:val="17"/>
                <w:color w:val="76AD9A"/>
              </w:rPr>
              <w:t>42.0%</w:t>
            </w:r>
          </w:p>
        </w:tc>
        <w:tc>
          <w:tcPr>
            <w:tcW w:w="1520" w:type="dxa"/>
            <w:vAlign w:val="bottom"/>
          </w:tcPr>
          <w:p>
            <w:pPr>
              <w:jc w:val="right"/>
              <w:ind w:right="277"/>
              <w:spacing w:after="0"/>
              <w:rPr>
                <w:sz w:val="20"/>
                <w:szCs w:val="20"/>
                <w:color w:val="auto"/>
              </w:rPr>
            </w:pPr>
            <w:r>
              <w:rPr>
                <w:rFonts w:ascii="Arial" w:cs="Arial" w:eastAsia="Arial" w:hAnsi="Arial"/>
                <w:sz w:val="17"/>
                <w:szCs w:val="17"/>
                <w:color w:val="373535"/>
              </w:rPr>
              <w:t>44.0%</w:t>
            </w:r>
          </w:p>
        </w:tc>
        <w:tc>
          <w:tcPr>
            <w:tcW w:w="860" w:type="dxa"/>
            <w:vAlign w:val="bottom"/>
            <w:gridSpan w:val="2"/>
          </w:tcPr>
          <w:p>
            <w:pPr>
              <w:jc w:val="right"/>
              <w:spacing w:after="0"/>
              <w:rPr>
                <w:sz w:val="20"/>
                <w:szCs w:val="20"/>
                <w:color w:val="auto"/>
              </w:rPr>
            </w:pPr>
            <w:r>
              <w:rPr>
                <w:rFonts w:ascii="Arial" w:cs="Arial" w:eastAsia="Arial" w:hAnsi="Arial"/>
                <w:sz w:val="17"/>
                <w:szCs w:val="17"/>
                <w:color w:val="373535"/>
              </w:rPr>
              <w:t>41.0%</w:t>
            </w:r>
          </w:p>
        </w:tc>
        <w:tc>
          <w:tcPr>
            <w:tcW w:w="0" w:type="dxa"/>
            <w:vAlign w:val="bottom"/>
          </w:tcPr>
          <w:p>
            <w:pPr>
              <w:spacing w:after="0"/>
              <w:rPr>
                <w:sz w:val="1"/>
                <w:szCs w:val="1"/>
                <w:color w:val="auto"/>
              </w:rPr>
            </w:pPr>
          </w:p>
        </w:tc>
      </w:tr>
      <w:tr>
        <w:trPr>
          <w:trHeight w:val="195"/>
        </w:trPr>
        <w:tc>
          <w:tcPr>
            <w:tcW w:w="7900" w:type="dxa"/>
            <w:vAlign w:val="bottom"/>
            <w:gridSpan w:val="2"/>
          </w:tcPr>
          <w:p>
            <w:pPr>
              <w:spacing w:after="0"/>
              <w:rPr>
                <w:sz w:val="20"/>
                <w:szCs w:val="20"/>
                <w:color w:val="auto"/>
              </w:rPr>
            </w:pPr>
            <w:r>
              <w:rPr>
                <w:rFonts w:ascii="Arial" w:cs="Arial" w:eastAsia="Arial" w:hAnsi="Arial"/>
                <w:sz w:val="17"/>
                <w:szCs w:val="17"/>
                <w:color w:val="373535"/>
              </w:rPr>
              <w:t>Expected term (years)</w:t>
            </w:r>
          </w:p>
        </w:tc>
        <w:tc>
          <w:tcPr>
            <w:tcW w:w="1140" w:type="dxa"/>
            <w:vAlign w:val="bottom"/>
          </w:tcPr>
          <w:p>
            <w:pPr>
              <w:jc w:val="right"/>
              <w:ind w:right="137"/>
              <w:spacing w:after="0"/>
              <w:rPr>
                <w:sz w:val="20"/>
                <w:szCs w:val="20"/>
                <w:color w:val="auto"/>
              </w:rPr>
            </w:pPr>
            <w:r>
              <w:rPr>
                <w:rFonts w:ascii="Arial" w:cs="Arial" w:eastAsia="Arial" w:hAnsi="Arial"/>
                <w:sz w:val="17"/>
                <w:szCs w:val="17"/>
                <w:color w:val="76AD9A"/>
              </w:rPr>
              <w:t>5.9</w:t>
            </w:r>
          </w:p>
        </w:tc>
        <w:tc>
          <w:tcPr>
            <w:tcW w:w="1520" w:type="dxa"/>
            <w:vAlign w:val="bottom"/>
          </w:tcPr>
          <w:p>
            <w:pPr>
              <w:jc w:val="right"/>
              <w:ind w:right="437"/>
              <w:spacing w:after="0"/>
              <w:rPr>
                <w:sz w:val="20"/>
                <w:szCs w:val="20"/>
                <w:color w:val="auto"/>
              </w:rPr>
            </w:pPr>
            <w:r>
              <w:rPr>
                <w:rFonts w:ascii="Arial" w:cs="Arial" w:eastAsia="Arial" w:hAnsi="Arial"/>
                <w:sz w:val="17"/>
                <w:szCs w:val="17"/>
                <w:color w:val="373535"/>
              </w:rPr>
              <w:t>5.9</w:t>
            </w: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373535"/>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1520" w:type="dxa"/>
            <w:vAlign w:val="bottom"/>
            <w:shd w:val="clear" w:color="auto" w:fill="717073"/>
          </w:tcPr>
          <w:p>
            <w:pPr>
              <w:spacing w:after="0" w:line="20" w:lineRule="exact"/>
              <w:rPr>
                <w:sz w:val="1"/>
                <w:szCs w:val="1"/>
                <w:color w:val="auto"/>
              </w:rPr>
            </w:pPr>
          </w:p>
        </w:tc>
        <w:tc>
          <w:tcPr>
            <w:tcW w:w="700" w:type="dxa"/>
            <w:vAlign w:val="bottom"/>
            <w:shd w:val="clear" w:color="auto" w:fill="71707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-515620</wp:posOffset>
            </wp:positionV>
            <wp:extent cx="721360" cy="5080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360" cy="508000"/>
                    </a:xfrm>
                    <a:prstGeom prst="rect">
                      <a:avLst/>
                    </a:prstGeom>
                    <a:noFill/>
                  </pic:spPr>
                </pic:pic>
              </a:graphicData>
            </a:graphic>
          </wp:anchor>
        </w:drawing>
      </w:r>
    </w:p>
    <w:p>
      <w:pPr>
        <w:spacing w:after="0" w:line="147"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The average risk-free interest rate is based on the five-year United States Treasury security rate in effect as of the grant date. The expected dividend yield is based on the expected annual dividend as a percentage of the market value of our common stock as of the grant date. We determined expected volatility using a weighted average of daily historical volatility (weighted 75%) of our stock price over the past five years and implied volatility (weighted 25%) based upon exchange traded options for our common stock. We believe that a blend of historical volatility and implied volatility better reflects future market conditions and better indicates expected volatility than considering purely historical volatility. We determined the expected term of the stock options using historical data. The weighted-average grant-date fair value per option granted during the year was $17.99, $15.88 and $25.21 in 2013, 2012 and 2011,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DEFERRED STOCK</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non-employee directors may elect to receive deferred stock in lieu of part or all of their annual cash retainer otherwise payable to them. The number of shares of deferred stock is determined pursuant to a formula set forth in the terms and conditions adopted under the 2003 Plan and subsequently under the 2011 Plan and the deferred stock is settled in shares of common stock according to these terms and conditions. As of December 31, 2013, 2012 and 2011, there were 31,733, 28,400 and 23,566, respectively, shares of deferred stock awarded under this arrangement, all of which are vested.</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Non-employee directors also receive an annual grant of deferred stock (or restricted stock, if they so elect) as additional compensation for board service. The award vests in one year in equal quarterly installments and the vested portion of the deferred stock is settled in shares of common stock either upon a director’s termination of service or three years after the date of grant (which may in most cases be extended at the directors’ election) in accordance with the terms and conditions under the 2003 Plan and the 2011 Plan. As of December 31, 2013, 2012 and 2011, there were 14,844, 14,685 and 8,732, respectively, shares of deferred stock and 14,844, 20,559 and 9,978, respectively, shares of restricted stock granted under this arrangement, all of which are vested. We recognized expense of $0.9, $0.8 and $0.8 related to deferred stock in 2013, 2012 and 2011, respectively.</w:t>
      </w:r>
    </w:p>
    <w:p>
      <w:pPr>
        <w:spacing w:after="0" w:line="172" w:lineRule="exact"/>
        <w:rPr>
          <w:sz w:val="20"/>
          <w:szCs w:val="20"/>
          <w:color w:val="auto"/>
        </w:rPr>
      </w:pPr>
    </w:p>
    <w:p>
      <w:pPr>
        <w:ind w:left="580" w:hanging="577"/>
        <w:spacing w:after="0"/>
        <w:tabs>
          <w:tab w:leader="none" w:pos="580" w:val="left"/>
        </w:tabs>
        <w:numPr>
          <w:ilvl w:val="0"/>
          <w:numId w:val="105"/>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4C8ABF"/>
        </w:rPr>
        <w:t>RESTRICTED STOCK</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grant restricted stock and restricted stock unit awards to certain employees and to non-employee directors who may elect to receive restricted stock rather than deferred stock as described above. Restrictions lapse over periods ranging up to six years, and in some cases upon retirement. We value restricted stock awards at the closing market value of our common stock on the date of grant.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373535"/>
        </w:rPr>
        <w:t>A summary of restricted stock activity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00" w:type="dxa"/>
            <w:vAlign w:val="bottom"/>
          </w:tcPr>
          <w:p>
            <w:pPr>
              <w:jc w:val="right"/>
              <w:ind w:right="63"/>
              <w:spacing w:after="0"/>
              <w:rPr>
                <w:sz w:val="20"/>
                <w:szCs w:val="20"/>
                <w:color w:val="auto"/>
              </w:rPr>
            </w:pPr>
            <w:r>
              <w:rPr>
                <w:rFonts w:ascii="Arial" w:cs="Arial" w:eastAsia="Arial" w:hAnsi="Arial"/>
                <w:sz w:val="14"/>
                <w:szCs w:val="14"/>
                <w:color w:val="76AD9A"/>
              </w:rPr>
              <w:t>Wtd. Avg</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jc w:val="right"/>
              <w:ind w:right="63"/>
              <w:spacing w:after="0" w:line="155" w:lineRule="exact"/>
              <w:rPr>
                <w:sz w:val="20"/>
                <w:szCs w:val="20"/>
                <w:color w:val="auto"/>
              </w:rPr>
            </w:pPr>
            <w:r>
              <w:rPr>
                <w:rFonts w:ascii="Arial" w:cs="Arial" w:eastAsia="Arial" w:hAnsi="Arial"/>
                <w:sz w:val="14"/>
                <w:szCs w:val="14"/>
                <w:color w:val="76AD9A"/>
              </w:rPr>
              <w:t>Remaining</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76AD9A"/>
              </w:rPr>
              <w:t>Aggregate</w:t>
            </w:r>
          </w:p>
        </w:tc>
      </w:tr>
      <w:tr>
        <w:trPr>
          <w:trHeight w:val="155"/>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right"/>
              <w:ind w:right="156"/>
              <w:spacing w:after="0" w:line="155" w:lineRule="exact"/>
              <w:rPr>
                <w:sz w:val="20"/>
                <w:szCs w:val="20"/>
                <w:color w:val="auto"/>
              </w:rPr>
            </w:pPr>
            <w:r>
              <w:rPr>
                <w:rFonts w:ascii="Arial" w:cs="Arial" w:eastAsia="Arial" w:hAnsi="Arial"/>
                <w:sz w:val="14"/>
                <w:szCs w:val="14"/>
                <w:color w:val="76AD9A"/>
              </w:rPr>
              <w:t>Wtd. Avg.</w:t>
            </w:r>
          </w:p>
        </w:tc>
        <w:tc>
          <w:tcPr>
            <w:tcW w:w="1100" w:type="dxa"/>
            <w:vAlign w:val="bottom"/>
          </w:tcPr>
          <w:p>
            <w:pPr>
              <w:jc w:val="right"/>
              <w:ind w:right="63"/>
              <w:spacing w:after="0" w:line="155" w:lineRule="exact"/>
              <w:rPr>
                <w:sz w:val="20"/>
                <w:szCs w:val="20"/>
                <w:color w:val="auto"/>
              </w:rPr>
            </w:pPr>
            <w:r>
              <w:rPr>
                <w:rFonts w:ascii="Arial" w:cs="Arial" w:eastAsia="Arial" w:hAnsi="Arial"/>
                <w:sz w:val="14"/>
                <w:szCs w:val="14"/>
                <w:color w:val="76AD9A"/>
              </w:rPr>
              <w:t>Contractual</w:t>
            </w:r>
          </w:p>
        </w:tc>
        <w:tc>
          <w:tcPr>
            <w:tcW w:w="220" w:type="dxa"/>
            <w:vAlign w:val="bottom"/>
          </w:tcPr>
          <w:p>
            <w:pPr>
              <w:spacing w:after="0"/>
              <w:rPr>
                <w:sz w:val="13"/>
                <w:szCs w:val="13"/>
                <w:color w:val="auto"/>
              </w:rPr>
            </w:pPr>
          </w:p>
        </w:tc>
        <w:tc>
          <w:tcPr>
            <w:tcW w:w="9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76AD9A"/>
                <w:w w:val="95"/>
              </w:rPr>
              <w:t>Intrinsic Value</w:t>
            </w:r>
          </w:p>
        </w:tc>
      </w:tr>
      <w:tr>
        <w:trPr>
          <w:trHeight w:val="150"/>
        </w:trPr>
        <w:tc>
          <w:tcPr>
            <w:tcW w:w="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3140" w:type="dxa"/>
            <w:vAlign w:val="bottom"/>
          </w:tcPr>
          <w:p>
            <w:pPr>
              <w:jc w:val="right"/>
              <w:ind w:right="55"/>
              <w:spacing w:after="0" w:line="151" w:lineRule="exact"/>
              <w:rPr>
                <w:sz w:val="20"/>
                <w:szCs w:val="20"/>
                <w:color w:val="auto"/>
              </w:rPr>
            </w:pPr>
            <w:r>
              <w:rPr>
                <w:rFonts w:ascii="Arial" w:cs="Arial" w:eastAsia="Arial" w:hAnsi="Arial"/>
                <w:sz w:val="14"/>
                <w:szCs w:val="14"/>
                <w:color w:val="76AD9A"/>
              </w:rPr>
              <w:t>Shares (000)</w:t>
            </w:r>
          </w:p>
        </w:tc>
        <w:tc>
          <w:tcPr>
            <w:tcW w:w="180" w:type="dxa"/>
            <w:vAlign w:val="bottom"/>
          </w:tcPr>
          <w:p>
            <w:pPr>
              <w:spacing w:after="0"/>
              <w:rPr>
                <w:sz w:val="13"/>
                <w:szCs w:val="13"/>
                <w:color w:val="auto"/>
              </w:rPr>
            </w:pPr>
          </w:p>
        </w:tc>
        <w:tc>
          <w:tcPr>
            <w:tcW w:w="1220" w:type="dxa"/>
            <w:vAlign w:val="bottom"/>
          </w:tcPr>
          <w:p>
            <w:pPr>
              <w:jc w:val="right"/>
              <w:ind w:right="156"/>
              <w:spacing w:after="0" w:line="151" w:lineRule="exact"/>
              <w:rPr>
                <w:sz w:val="20"/>
                <w:szCs w:val="20"/>
                <w:color w:val="auto"/>
              </w:rPr>
            </w:pPr>
            <w:r>
              <w:rPr>
                <w:rFonts w:ascii="Arial" w:cs="Arial" w:eastAsia="Arial" w:hAnsi="Arial"/>
                <w:sz w:val="14"/>
                <w:szCs w:val="14"/>
                <w:color w:val="76AD9A"/>
                <w:w w:val="97"/>
              </w:rPr>
              <w:t>Price Per Share</w:t>
            </w:r>
          </w:p>
        </w:tc>
        <w:tc>
          <w:tcPr>
            <w:tcW w:w="1100" w:type="dxa"/>
            <w:vAlign w:val="bottom"/>
          </w:tcPr>
          <w:p>
            <w:pPr>
              <w:jc w:val="right"/>
              <w:ind w:right="23"/>
              <w:spacing w:after="0" w:line="151" w:lineRule="exact"/>
              <w:rPr>
                <w:sz w:val="20"/>
                <w:szCs w:val="20"/>
                <w:color w:val="auto"/>
              </w:rPr>
            </w:pPr>
            <w:r>
              <w:rPr>
                <w:rFonts w:ascii="Arial" w:cs="Arial" w:eastAsia="Arial" w:hAnsi="Arial"/>
                <w:sz w:val="14"/>
                <w:szCs w:val="14"/>
                <w:color w:val="76AD9A"/>
              </w:rPr>
              <w:t>Term (years)</w:t>
            </w:r>
          </w:p>
        </w:tc>
        <w:tc>
          <w:tcPr>
            <w:tcW w:w="220" w:type="dxa"/>
            <w:vAlign w:val="bottom"/>
          </w:tcPr>
          <w:p>
            <w:pPr>
              <w:spacing w:after="0"/>
              <w:rPr>
                <w:sz w:val="13"/>
                <w:szCs w:val="13"/>
                <w:color w:val="auto"/>
              </w:rPr>
            </w:pPr>
          </w:p>
        </w:tc>
        <w:tc>
          <w:tcPr>
            <w:tcW w:w="920" w:type="dxa"/>
            <w:vAlign w:val="bottom"/>
            <w:gridSpan w:val="2"/>
          </w:tcPr>
          <w:p>
            <w:pPr>
              <w:jc w:val="right"/>
              <w:ind w:right="20"/>
              <w:spacing w:after="0" w:line="151" w:lineRule="exact"/>
              <w:rPr>
                <w:sz w:val="20"/>
                <w:szCs w:val="20"/>
                <w:color w:val="auto"/>
              </w:rPr>
            </w:pPr>
            <w:r>
              <w:rPr>
                <w:rFonts w:ascii="Arial" w:cs="Arial" w:eastAsia="Arial" w:hAnsi="Arial"/>
                <w:sz w:val="14"/>
                <w:szCs w:val="14"/>
                <w:color w:val="76AD9A"/>
              </w:rPr>
              <w:t>(in millions)</w:t>
            </w:r>
          </w:p>
        </w:tc>
      </w:tr>
      <w:tr>
        <w:trPr>
          <w:trHeight w:val="186"/>
        </w:trPr>
        <w:tc>
          <w:tcPr>
            <w:tcW w:w="20" w:type="dxa"/>
            <w:vAlign w:val="bottom"/>
          </w:tcPr>
          <w:p>
            <w:pPr>
              <w:spacing w:after="0"/>
              <w:rPr>
                <w:sz w:val="16"/>
                <w:szCs w:val="16"/>
                <w:color w:val="auto"/>
              </w:rPr>
            </w:pPr>
          </w:p>
        </w:tc>
        <w:tc>
          <w:tcPr>
            <w:tcW w:w="45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Unvested, January 1, 2011</w:t>
            </w:r>
          </w:p>
        </w:tc>
        <w:tc>
          <w:tcPr>
            <w:tcW w:w="3140" w:type="dxa"/>
            <w:vAlign w:val="bottom"/>
            <w:tcBorders>
              <w:top w:val="single" w:sz="8" w:color="76AD9A"/>
            </w:tcBorders>
          </w:tcPr>
          <w:p>
            <w:pPr>
              <w:jc w:val="right"/>
              <w:ind w:right="55"/>
              <w:spacing w:after="0" w:line="185" w:lineRule="exact"/>
              <w:rPr>
                <w:sz w:val="20"/>
                <w:szCs w:val="20"/>
                <w:color w:val="auto"/>
              </w:rPr>
            </w:pPr>
            <w:r>
              <w:rPr>
                <w:rFonts w:ascii="Arial" w:cs="Arial" w:eastAsia="Arial" w:hAnsi="Arial"/>
                <w:sz w:val="17"/>
                <w:szCs w:val="17"/>
                <w:color w:val="373535"/>
              </w:rPr>
              <w:t>295</w:t>
            </w:r>
          </w:p>
        </w:tc>
        <w:tc>
          <w:tcPr>
            <w:tcW w:w="1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w:t>
            </w:r>
          </w:p>
        </w:tc>
        <w:tc>
          <w:tcPr>
            <w:tcW w:w="1220" w:type="dxa"/>
            <w:vAlign w:val="bottom"/>
            <w:tcBorders>
              <w:top w:val="single" w:sz="8" w:color="76AD9A"/>
            </w:tcBorders>
          </w:tcPr>
          <w:p>
            <w:pPr>
              <w:jc w:val="right"/>
              <w:ind w:right="156"/>
              <w:spacing w:after="0" w:line="185" w:lineRule="exact"/>
              <w:rPr>
                <w:sz w:val="20"/>
                <w:szCs w:val="20"/>
                <w:color w:val="auto"/>
              </w:rPr>
            </w:pPr>
            <w:r>
              <w:rPr>
                <w:rFonts w:ascii="Arial" w:cs="Arial" w:eastAsia="Arial" w:hAnsi="Arial"/>
                <w:sz w:val="17"/>
                <w:szCs w:val="17"/>
                <w:color w:val="373535"/>
              </w:rPr>
              <w:t>45</w:t>
            </w:r>
          </w:p>
        </w:tc>
        <w:tc>
          <w:tcPr>
            <w:tcW w:w="1100" w:type="dxa"/>
            <w:vAlign w:val="bottom"/>
            <w:tcBorders>
              <w:top w:val="single" w:sz="8" w:color="76AD9A"/>
            </w:tcBorders>
          </w:tcPr>
          <w:p>
            <w:pPr>
              <w:jc w:val="right"/>
              <w:ind w:right="23"/>
              <w:spacing w:after="0" w:line="185" w:lineRule="exact"/>
              <w:rPr>
                <w:sz w:val="20"/>
                <w:szCs w:val="20"/>
                <w:color w:val="auto"/>
              </w:rPr>
            </w:pPr>
            <w:r>
              <w:rPr>
                <w:rFonts w:ascii="Arial" w:cs="Arial" w:eastAsia="Arial" w:hAnsi="Arial"/>
                <w:sz w:val="17"/>
                <w:szCs w:val="17"/>
                <w:color w:val="373535"/>
              </w:rPr>
              <w:t>0.9</w:t>
            </w:r>
          </w:p>
        </w:tc>
        <w:tc>
          <w:tcPr>
            <w:tcW w:w="220" w:type="dxa"/>
            <w:vAlign w:val="bottom"/>
            <w:tcBorders>
              <w:top w:val="single" w:sz="8" w:color="76AD9A"/>
            </w:tcBorders>
          </w:tcPr>
          <w:p>
            <w:pPr>
              <w:spacing w:after="0"/>
              <w:rPr>
                <w:sz w:val="16"/>
                <w:szCs w:val="16"/>
                <w:color w:val="auto"/>
              </w:rPr>
            </w:pPr>
          </w:p>
        </w:tc>
        <w:tc>
          <w:tcPr>
            <w:tcW w:w="90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r>
      <w:tr>
        <w:trPr>
          <w:trHeight w:val="194"/>
        </w:trPr>
        <w:tc>
          <w:tcPr>
            <w:tcW w:w="4560" w:type="dxa"/>
            <w:vAlign w:val="bottom"/>
            <w:gridSpan w:val="2"/>
          </w:tcPr>
          <w:p>
            <w:pPr>
              <w:spacing w:after="0" w:line="194" w:lineRule="exact"/>
              <w:rPr>
                <w:sz w:val="20"/>
                <w:szCs w:val="20"/>
                <w:color w:val="auto"/>
              </w:rPr>
            </w:pPr>
            <w:r>
              <w:rPr>
                <w:rFonts w:ascii="Arial" w:cs="Arial" w:eastAsia="Arial" w:hAnsi="Arial"/>
                <w:sz w:val="17"/>
                <w:szCs w:val="17"/>
                <w:color w:val="373535"/>
              </w:rPr>
              <w:t>Granted</w:t>
            </w:r>
          </w:p>
        </w:tc>
        <w:tc>
          <w:tcPr>
            <w:tcW w:w="31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264</w:t>
            </w:r>
          </w:p>
        </w:tc>
        <w:tc>
          <w:tcPr>
            <w:tcW w:w="180" w:type="dxa"/>
            <w:vAlign w:val="bottom"/>
          </w:tcPr>
          <w:p>
            <w:pPr>
              <w:spacing w:after="0"/>
              <w:rPr>
                <w:sz w:val="16"/>
                <w:szCs w:val="16"/>
                <w:color w:val="auto"/>
              </w:rPr>
            </w:pPr>
          </w:p>
        </w:tc>
        <w:tc>
          <w:tcPr>
            <w:tcW w:w="1220" w:type="dxa"/>
            <w:vAlign w:val="bottom"/>
          </w:tcPr>
          <w:p>
            <w:pPr>
              <w:jc w:val="right"/>
              <w:ind w:right="156"/>
              <w:spacing w:after="0" w:line="194" w:lineRule="exact"/>
              <w:rPr>
                <w:sz w:val="20"/>
                <w:szCs w:val="20"/>
                <w:color w:val="auto"/>
              </w:rPr>
            </w:pPr>
            <w:r>
              <w:rPr>
                <w:rFonts w:ascii="Arial" w:cs="Arial" w:eastAsia="Arial" w:hAnsi="Arial"/>
                <w:sz w:val="17"/>
                <w:szCs w:val="17"/>
                <w:color w:val="373535"/>
              </w:rPr>
              <w:t>67</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373535"/>
              </w:rPr>
              <w:t>Vested</w:t>
            </w:r>
          </w:p>
        </w:tc>
        <w:tc>
          <w:tcPr>
            <w:tcW w:w="3140" w:type="dxa"/>
            <w:vAlign w:val="bottom"/>
          </w:tcPr>
          <w:p>
            <w:pPr>
              <w:jc w:val="right"/>
              <w:spacing w:after="0"/>
              <w:rPr>
                <w:sz w:val="20"/>
                <w:szCs w:val="20"/>
                <w:color w:val="auto"/>
              </w:rPr>
            </w:pPr>
            <w:r>
              <w:rPr>
                <w:rFonts w:ascii="Arial" w:cs="Arial" w:eastAsia="Arial" w:hAnsi="Arial"/>
                <w:sz w:val="17"/>
                <w:szCs w:val="17"/>
                <w:color w:val="373535"/>
              </w:rPr>
              <w:t>(143)</w:t>
            </w:r>
          </w:p>
        </w:tc>
        <w:tc>
          <w:tcPr>
            <w:tcW w:w="180" w:type="dxa"/>
            <w:vAlign w:val="bottom"/>
          </w:tcPr>
          <w:p>
            <w:pPr>
              <w:spacing w:after="0"/>
              <w:rPr>
                <w:sz w:val="17"/>
                <w:szCs w:val="17"/>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373535"/>
              </w:rPr>
              <w:t>46</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56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Forfeited</w:t>
            </w:r>
          </w:p>
        </w:tc>
        <w:tc>
          <w:tcPr>
            <w:tcW w:w="31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(7)</w:t>
            </w:r>
          </w:p>
        </w:tc>
        <w:tc>
          <w:tcPr>
            <w:tcW w:w="180" w:type="dxa"/>
            <w:vAlign w:val="bottom"/>
            <w:tcBorders>
              <w:bottom w:val="single" w:sz="8" w:color="717073"/>
            </w:tcBorders>
          </w:tcPr>
          <w:p>
            <w:pPr>
              <w:spacing w:after="0"/>
              <w:rPr>
                <w:sz w:val="16"/>
                <w:szCs w:val="16"/>
                <w:color w:val="auto"/>
              </w:rPr>
            </w:pPr>
          </w:p>
        </w:tc>
        <w:tc>
          <w:tcPr>
            <w:tcW w:w="1220" w:type="dxa"/>
            <w:vAlign w:val="bottom"/>
            <w:tcBorders>
              <w:bottom w:val="single" w:sz="8" w:color="717073"/>
            </w:tcBorders>
          </w:tcPr>
          <w:p>
            <w:pPr>
              <w:jc w:val="right"/>
              <w:ind w:right="156"/>
              <w:spacing w:after="0"/>
              <w:rPr>
                <w:sz w:val="20"/>
                <w:szCs w:val="20"/>
                <w:color w:val="auto"/>
              </w:rPr>
            </w:pPr>
            <w:r>
              <w:rPr>
                <w:rFonts w:ascii="Arial" w:cs="Arial" w:eastAsia="Arial" w:hAnsi="Arial"/>
                <w:sz w:val="17"/>
                <w:szCs w:val="17"/>
                <w:color w:val="373535"/>
              </w:rPr>
              <w:t>52</w:t>
            </w:r>
          </w:p>
        </w:tc>
        <w:tc>
          <w:tcPr>
            <w:tcW w:w="110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4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Unvested, December 31, 2011</w:t>
            </w:r>
          </w:p>
        </w:tc>
        <w:tc>
          <w:tcPr>
            <w:tcW w:w="314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409</w:t>
            </w:r>
          </w:p>
        </w:tc>
        <w:tc>
          <w:tcPr>
            <w:tcW w:w="1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220" w:type="dxa"/>
            <w:vAlign w:val="bottom"/>
            <w:tcBorders>
              <w:bottom w:val="single" w:sz="8" w:color="717073"/>
            </w:tcBorders>
          </w:tcPr>
          <w:p>
            <w:pPr>
              <w:jc w:val="right"/>
              <w:ind w:right="156"/>
              <w:spacing w:after="0" w:line="186" w:lineRule="exact"/>
              <w:rPr>
                <w:sz w:val="20"/>
                <w:szCs w:val="20"/>
                <w:color w:val="auto"/>
              </w:rPr>
            </w:pPr>
            <w:r>
              <w:rPr>
                <w:rFonts w:ascii="Arial" w:cs="Arial" w:eastAsia="Arial" w:hAnsi="Arial"/>
                <w:sz w:val="17"/>
                <w:szCs w:val="17"/>
                <w:color w:val="373535"/>
              </w:rPr>
              <w:t>59</w:t>
            </w:r>
          </w:p>
        </w:tc>
        <w:tc>
          <w:tcPr>
            <w:tcW w:w="1100" w:type="dxa"/>
            <w:vAlign w:val="bottom"/>
            <w:tcBorders>
              <w:bottom w:val="single" w:sz="8" w:color="717073"/>
            </w:tcBorders>
          </w:tcPr>
          <w:p>
            <w:pPr>
              <w:jc w:val="right"/>
              <w:ind w:right="23"/>
              <w:spacing w:after="0" w:line="186" w:lineRule="exact"/>
              <w:rPr>
                <w:sz w:val="20"/>
                <w:szCs w:val="20"/>
                <w:color w:val="auto"/>
              </w:rPr>
            </w:pPr>
            <w:r>
              <w:rPr>
                <w:rFonts w:ascii="Arial" w:cs="Arial" w:eastAsia="Arial" w:hAnsi="Arial"/>
                <w:sz w:val="17"/>
                <w:szCs w:val="17"/>
                <w:color w:val="373535"/>
              </w:rPr>
              <w:t>1.8</w:t>
            </w:r>
          </w:p>
        </w:tc>
        <w:tc>
          <w:tcPr>
            <w:tcW w:w="22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4560" w:type="dxa"/>
            <w:vAlign w:val="bottom"/>
            <w:gridSpan w:val="2"/>
          </w:tcPr>
          <w:p>
            <w:pPr>
              <w:spacing w:after="0" w:line="185" w:lineRule="exact"/>
              <w:rPr>
                <w:sz w:val="20"/>
                <w:szCs w:val="20"/>
                <w:color w:val="auto"/>
              </w:rPr>
            </w:pPr>
            <w:r>
              <w:rPr>
                <w:rFonts w:ascii="Arial" w:cs="Arial" w:eastAsia="Arial" w:hAnsi="Arial"/>
                <w:sz w:val="17"/>
                <w:szCs w:val="17"/>
                <w:color w:val="373535"/>
              </w:rPr>
              <w:t>Granted</w:t>
            </w:r>
          </w:p>
        </w:tc>
        <w:tc>
          <w:tcPr>
            <w:tcW w:w="3140" w:type="dxa"/>
            <w:vAlign w:val="bottom"/>
          </w:tcPr>
          <w:p>
            <w:pPr>
              <w:jc w:val="right"/>
              <w:ind w:right="55"/>
              <w:spacing w:after="0" w:line="185" w:lineRule="exact"/>
              <w:rPr>
                <w:sz w:val="20"/>
                <w:szCs w:val="20"/>
                <w:color w:val="auto"/>
              </w:rPr>
            </w:pPr>
            <w:r>
              <w:rPr>
                <w:rFonts w:ascii="Arial" w:cs="Arial" w:eastAsia="Arial" w:hAnsi="Arial"/>
                <w:sz w:val="17"/>
                <w:szCs w:val="17"/>
                <w:color w:val="373535"/>
              </w:rPr>
              <w:t>309</w:t>
            </w:r>
          </w:p>
        </w:tc>
        <w:tc>
          <w:tcPr>
            <w:tcW w:w="18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220" w:type="dxa"/>
            <w:vAlign w:val="bottom"/>
          </w:tcPr>
          <w:p>
            <w:pPr>
              <w:jc w:val="right"/>
              <w:ind w:right="156"/>
              <w:spacing w:after="0" w:line="185" w:lineRule="exact"/>
              <w:rPr>
                <w:sz w:val="20"/>
                <w:szCs w:val="20"/>
                <w:color w:val="auto"/>
              </w:rPr>
            </w:pPr>
            <w:r>
              <w:rPr>
                <w:rFonts w:ascii="Arial" w:cs="Arial" w:eastAsia="Arial" w:hAnsi="Arial"/>
                <w:sz w:val="17"/>
                <w:szCs w:val="17"/>
                <w:color w:val="373535"/>
              </w:rPr>
              <w:t>44</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373535"/>
              </w:rPr>
              <w:t>Vested</w:t>
            </w:r>
          </w:p>
        </w:tc>
        <w:tc>
          <w:tcPr>
            <w:tcW w:w="3140" w:type="dxa"/>
            <w:vAlign w:val="bottom"/>
          </w:tcPr>
          <w:p>
            <w:pPr>
              <w:jc w:val="right"/>
              <w:spacing w:after="0"/>
              <w:rPr>
                <w:sz w:val="20"/>
                <w:szCs w:val="20"/>
                <w:color w:val="auto"/>
              </w:rPr>
            </w:pPr>
            <w:r>
              <w:rPr>
                <w:rFonts w:ascii="Arial" w:cs="Arial" w:eastAsia="Arial" w:hAnsi="Arial"/>
                <w:sz w:val="17"/>
                <w:szCs w:val="17"/>
                <w:color w:val="373535"/>
              </w:rPr>
              <w:t>(124)</w:t>
            </w:r>
          </w:p>
        </w:tc>
        <w:tc>
          <w:tcPr>
            <w:tcW w:w="180" w:type="dxa"/>
            <w:vAlign w:val="bottom"/>
          </w:tcPr>
          <w:p>
            <w:pPr>
              <w:spacing w:after="0"/>
              <w:rPr>
                <w:sz w:val="17"/>
                <w:szCs w:val="17"/>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373535"/>
              </w:rPr>
              <w:t>40</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56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Forfeited</w:t>
            </w:r>
          </w:p>
        </w:tc>
        <w:tc>
          <w:tcPr>
            <w:tcW w:w="31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(5)</w:t>
            </w:r>
          </w:p>
        </w:tc>
        <w:tc>
          <w:tcPr>
            <w:tcW w:w="180" w:type="dxa"/>
            <w:vAlign w:val="bottom"/>
            <w:tcBorders>
              <w:bottom w:val="single" w:sz="8" w:color="717073"/>
            </w:tcBorders>
          </w:tcPr>
          <w:p>
            <w:pPr>
              <w:spacing w:after="0"/>
              <w:rPr>
                <w:sz w:val="16"/>
                <w:szCs w:val="16"/>
                <w:color w:val="auto"/>
              </w:rPr>
            </w:pPr>
          </w:p>
        </w:tc>
        <w:tc>
          <w:tcPr>
            <w:tcW w:w="1220" w:type="dxa"/>
            <w:vAlign w:val="bottom"/>
            <w:tcBorders>
              <w:bottom w:val="single" w:sz="8" w:color="717073"/>
            </w:tcBorders>
          </w:tcPr>
          <w:p>
            <w:pPr>
              <w:jc w:val="right"/>
              <w:ind w:right="156"/>
              <w:spacing w:after="0"/>
              <w:rPr>
                <w:sz w:val="20"/>
                <w:szCs w:val="20"/>
                <w:color w:val="auto"/>
              </w:rPr>
            </w:pPr>
            <w:r>
              <w:rPr>
                <w:rFonts w:ascii="Arial" w:cs="Arial" w:eastAsia="Arial" w:hAnsi="Arial"/>
                <w:sz w:val="17"/>
                <w:szCs w:val="17"/>
                <w:color w:val="373535"/>
              </w:rPr>
              <w:t>67</w:t>
            </w:r>
          </w:p>
        </w:tc>
        <w:tc>
          <w:tcPr>
            <w:tcW w:w="110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4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Unvested, December 31, 2012</w:t>
            </w:r>
          </w:p>
        </w:tc>
        <w:tc>
          <w:tcPr>
            <w:tcW w:w="314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589</w:t>
            </w:r>
          </w:p>
        </w:tc>
        <w:tc>
          <w:tcPr>
            <w:tcW w:w="1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220" w:type="dxa"/>
            <w:vAlign w:val="bottom"/>
            <w:tcBorders>
              <w:bottom w:val="single" w:sz="8" w:color="717073"/>
            </w:tcBorders>
          </w:tcPr>
          <w:p>
            <w:pPr>
              <w:jc w:val="right"/>
              <w:ind w:right="156"/>
              <w:spacing w:after="0" w:line="186" w:lineRule="exact"/>
              <w:rPr>
                <w:sz w:val="20"/>
                <w:szCs w:val="20"/>
                <w:color w:val="auto"/>
              </w:rPr>
            </w:pPr>
            <w:r>
              <w:rPr>
                <w:rFonts w:ascii="Arial" w:cs="Arial" w:eastAsia="Arial" w:hAnsi="Arial"/>
                <w:sz w:val="17"/>
                <w:szCs w:val="17"/>
                <w:color w:val="373535"/>
              </w:rPr>
              <w:t>55</w:t>
            </w:r>
          </w:p>
        </w:tc>
        <w:tc>
          <w:tcPr>
            <w:tcW w:w="1100" w:type="dxa"/>
            <w:vAlign w:val="bottom"/>
            <w:tcBorders>
              <w:bottom w:val="single" w:sz="8" w:color="717073"/>
            </w:tcBorders>
          </w:tcPr>
          <w:p>
            <w:pPr>
              <w:jc w:val="right"/>
              <w:ind w:right="23"/>
              <w:spacing w:after="0" w:line="186" w:lineRule="exact"/>
              <w:rPr>
                <w:sz w:val="20"/>
                <w:szCs w:val="20"/>
                <w:color w:val="auto"/>
              </w:rPr>
            </w:pPr>
            <w:r>
              <w:rPr>
                <w:rFonts w:ascii="Arial" w:cs="Arial" w:eastAsia="Arial" w:hAnsi="Arial"/>
                <w:sz w:val="17"/>
                <w:szCs w:val="17"/>
                <w:color w:val="373535"/>
              </w:rPr>
              <w:t>1.7</w:t>
            </w:r>
          </w:p>
        </w:tc>
        <w:tc>
          <w:tcPr>
            <w:tcW w:w="22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4560" w:type="dxa"/>
            <w:vAlign w:val="bottom"/>
            <w:gridSpan w:val="2"/>
          </w:tcPr>
          <w:p>
            <w:pPr>
              <w:spacing w:after="0" w:line="185" w:lineRule="exact"/>
              <w:rPr>
                <w:sz w:val="20"/>
                <w:szCs w:val="20"/>
                <w:color w:val="auto"/>
              </w:rPr>
            </w:pPr>
            <w:r>
              <w:rPr>
                <w:rFonts w:ascii="Arial" w:cs="Arial" w:eastAsia="Arial" w:hAnsi="Arial"/>
                <w:sz w:val="17"/>
                <w:szCs w:val="17"/>
                <w:color w:val="373535"/>
              </w:rPr>
              <w:t>Granted</w:t>
            </w:r>
          </w:p>
        </w:tc>
        <w:tc>
          <w:tcPr>
            <w:tcW w:w="3140" w:type="dxa"/>
            <w:vAlign w:val="bottom"/>
          </w:tcPr>
          <w:p>
            <w:pPr>
              <w:jc w:val="right"/>
              <w:ind w:right="55"/>
              <w:spacing w:after="0" w:line="185" w:lineRule="exact"/>
              <w:rPr>
                <w:sz w:val="20"/>
                <w:szCs w:val="20"/>
                <w:color w:val="auto"/>
              </w:rPr>
            </w:pPr>
            <w:r>
              <w:rPr>
                <w:rFonts w:ascii="Arial" w:cs="Arial" w:eastAsia="Arial" w:hAnsi="Arial"/>
                <w:sz w:val="17"/>
                <w:szCs w:val="17"/>
                <w:color w:val="373535"/>
              </w:rPr>
              <w:t>192</w:t>
            </w:r>
          </w:p>
        </w:tc>
        <w:tc>
          <w:tcPr>
            <w:tcW w:w="18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220" w:type="dxa"/>
            <w:vAlign w:val="bottom"/>
          </w:tcPr>
          <w:p>
            <w:pPr>
              <w:jc w:val="right"/>
              <w:ind w:right="156"/>
              <w:spacing w:after="0" w:line="185" w:lineRule="exact"/>
              <w:rPr>
                <w:sz w:val="20"/>
                <w:szCs w:val="20"/>
                <w:color w:val="auto"/>
              </w:rPr>
            </w:pPr>
            <w:r>
              <w:rPr>
                <w:rFonts w:ascii="Arial" w:cs="Arial" w:eastAsia="Arial" w:hAnsi="Arial"/>
                <w:sz w:val="17"/>
                <w:szCs w:val="17"/>
                <w:color w:val="373535"/>
              </w:rPr>
              <w:t>52</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6"/>
        </w:trPr>
        <w:tc>
          <w:tcPr>
            <w:tcW w:w="4560" w:type="dxa"/>
            <w:vAlign w:val="bottom"/>
            <w:gridSpan w:val="2"/>
          </w:tcPr>
          <w:p>
            <w:pPr>
              <w:spacing w:after="0"/>
              <w:rPr>
                <w:sz w:val="20"/>
                <w:szCs w:val="20"/>
                <w:color w:val="auto"/>
              </w:rPr>
            </w:pPr>
            <w:r>
              <w:rPr>
                <w:rFonts w:ascii="Arial" w:cs="Arial" w:eastAsia="Arial" w:hAnsi="Arial"/>
                <w:sz w:val="17"/>
                <w:szCs w:val="17"/>
                <w:color w:val="373535"/>
              </w:rPr>
              <w:t>Vested</w:t>
            </w:r>
          </w:p>
        </w:tc>
        <w:tc>
          <w:tcPr>
            <w:tcW w:w="3140" w:type="dxa"/>
            <w:vAlign w:val="bottom"/>
          </w:tcPr>
          <w:p>
            <w:pPr>
              <w:jc w:val="right"/>
              <w:spacing w:after="0"/>
              <w:rPr>
                <w:sz w:val="20"/>
                <w:szCs w:val="20"/>
                <w:color w:val="auto"/>
              </w:rPr>
            </w:pPr>
            <w:r>
              <w:rPr>
                <w:rFonts w:ascii="Arial" w:cs="Arial" w:eastAsia="Arial" w:hAnsi="Arial"/>
                <w:sz w:val="17"/>
                <w:szCs w:val="17"/>
                <w:color w:val="373535"/>
              </w:rPr>
              <w:t>(90)</w:t>
            </w:r>
          </w:p>
        </w:tc>
        <w:tc>
          <w:tcPr>
            <w:tcW w:w="180" w:type="dxa"/>
            <w:vAlign w:val="bottom"/>
          </w:tcPr>
          <w:p>
            <w:pPr>
              <w:spacing w:after="0"/>
              <w:rPr>
                <w:sz w:val="17"/>
                <w:szCs w:val="17"/>
                <w:color w:val="auto"/>
              </w:rPr>
            </w:pPr>
          </w:p>
        </w:tc>
        <w:tc>
          <w:tcPr>
            <w:tcW w:w="1220" w:type="dxa"/>
            <w:vAlign w:val="bottom"/>
          </w:tcPr>
          <w:p>
            <w:pPr>
              <w:jc w:val="right"/>
              <w:ind w:right="156"/>
              <w:spacing w:after="0"/>
              <w:rPr>
                <w:sz w:val="20"/>
                <w:szCs w:val="20"/>
                <w:color w:val="auto"/>
              </w:rPr>
            </w:pPr>
            <w:r>
              <w:rPr>
                <w:rFonts w:ascii="Arial" w:cs="Arial" w:eastAsia="Arial" w:hAnsi="Arial"/>
                <w:sz w:val="17"/>
                <w:szCs w:val="17"/>
                <w:color w:val="373535"/>
              </w:rPr>
              <w:t>52</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5"/>
        </w:trPr>
        <w:tc>
          <w:tcPr>
            <w:tcW w:w="456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Forfeited</w:t>
            </w:r>
          </w:p>
        </w:tc>
        <w:tc>
          <w:tcPr>
            <w:tcW w:w="31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(64)</w:t>
            </w:r>
          </w:p>
        </w:tc>
        <w:tc>
          <w:tcPr>
            <w:tcW w:w="180" w:type="dxa"/>
            <w:vAlign w:val="bottom"/>
            <w:tcBorders>
              <w:bottom w:val="single" w:sz="8" w:color="717073"/>
            </w:tcBorders>
          </w:tcPr>
          <w:p>
            <w:pPr>
              <w:spacing w:after="0"/>
              <w:rPr>
                <w:sz w:val="16"/>
                <w:szCs w:val="16"/>
                <w:color w:val="auto"/>
              </w:rPr>
            </w:pPr>
          </w:p>
        </w:tc>
        <w:tc>
          <w:tcPr>
            <w:tcW w:w="1220" w:type="dxa"/>
            <w:vAlign w:val="bottom"/>
            <w:tcBorders>
              <w:bottom w:val="single" w:sz="8" w:color="717073"/>
            </w:tcBorders>
          </w:tcPr>
          <w:p>
            <w:pPr>
              <w:jc w:val="right"/>
              <w:ind w:right="156"/>
              <w:spacing w:after="0"/>
              <w:rPr>
                <w:sz w:val="20"/>
                <w:szCs w:val="20"/>
                <w:color w:val="auto"/>
              </w:rPr>
            </w:pPr>
            <w:r>
              <w:rPr>
                <w:rFonts w:ascii="Arial" w:cs="Arial" w:eastAsia="Arial" w:hAnsi="Arial"/>
                <w:sz w:val="17"/>
                <w:szCs w:val="17"/>
                <w:color w:val="373535"/>
              </w:rPr>
              <w:t>56</w:t>
            </w:r>
          </w:p>
        </w:tc>
        <w:tc>
          <w:tcPr>
            <w:tcW w:w="110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spacing w:after="0"/>
              <w:rPr>
                <w:sz w:val="16"/>
                <w:szCs w:val="16"/>
                <w:color w:val="auto"/>
              </w:rPr>
            </w:pPr>
          </w:p>
        </w:tc>
        <w:tc>
          <w:tcPr>
            <w:tcW w:w="20" w:type="dxa"/>
            <w:vAlign w:val="bottom"/>
          </w:tcPr>
          <w:p>
            <w:pPr>
              <w:spacing w:after="0"/>
              <w:rPr>
                <w:sz w:val="16"/>
                <w:szCs w:val="16"/>
                <w:color w:val="auto"/>
              </w:rPr>
            </w:pPr>
          </w:p>
        </w:tc>
      </w:tr>
      <w:tr>
        <w:trPr>
          <w:trHeight w:val="186"/>
        </w:trPr>
        <w:tc>
          <w:tcPr>
            <w:tcW w:w="4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Unvested, December 31, 2013</w:t>
            </w:r>
          </w:p>
        </w:tc>
        <w:tc>
          <w:tcPr>
            <w:tcW w:w="3140" w:type="dxa"/>
            <w:vAlign w:val="bottom"/>
            <w:tcBorders>
              <w:bottom w:val="single" w:sz="8" w:color="717073"/>
            </w:tcBorders>
          </w:tcPr>
          <w:p>
            <w:pPr>
              <w:jc w:val="right"/>
              <w:ind w:right="55"/>
              <w:spacing w:after="0" w:line="186" w:lineRule="exact"/>
              <w:rPr>
                <w:sz w:val="20"/>
                <w:szCs w:val="20"/>
                <w:color w:val="auto"/>
              </w:rPr>
            </w:pPr>
            <w:r>
              <w:rPr>
                <w:rFonts w:ascii="Arial" w:cs="Arial" w:eastAsia="Arial" w:hAnsi="Arial"/>
                <w:sz w:val="17"/>
                <w:szCs w:val="17"/>
                <w:color w:val="373535"/>
              </w:rPr>
              <w:t>627</w:t>
            </w:r>
          </w:p>
        </w:tc>
        <w:tc>
          <w:tcPr>
            <w:tcW w:w="1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220" w:type="dxa"/>
            <w:vAlign w:val="bottom"/>
            <w:tcBorders>
              <w:bottom w:val="single" w:sz="8" w:color="717073"/>
            </w:tcBorders>
          </w:tcPr>
          <w:p>
            <w:pPr>
              <w:jc w:val="right"/>
              <w:ind w:right="156"/>
              <w:spacing w:after="0" w:line="186" w:lineRule="exact"/>
              <w:rPr>
                <w:sz w:val="20"/>
                <w:szCs w:val="20"/>
                <w:color w:val="auto"/>
              </w:rPr>
            </w:pPr>
            <w:r>
              <w:rPr>
                <w:rFonts w:ascii="Arial" w:cs="Arial" w:eastAsia="Arial" w:hAnsi="Arial"/>
                <w:sz w:val="17"/>
                <w:szCs w:val="17"/>
                <w:color w:val="373535"/>
              </w:rPr>
              <w:t>54</w:t>
            </w:r>
          </w:p>
        </w:tc>
        <w:tc>
          <w:tcPr>
            <w:tcW w:w="1100" w:type="dxa"/>
            <w:vAlign w:val="bottom"/>
            <w:tcBorders>
              <w:bottom w:val="single" w:sz="8" w:color="717073"/>
            </w:tcBorders>
          </w:tcPr>
          <w:p>
            <w:pPr>
              <w:jc w:val="right"/>
              <w:ind w:right="23"/>
              <w:spacing w:after="0" w:line="186" w:lineRule="exact"/>
              <w:rPr>
                <w:sz w:val="20"/>
                <w:szCs w:val="20"/>
                <w:color w:val="auto"/>
              </w:rPr>
            </w:pPr>
            <w:r>
              <w:rPr>
                <w:rFonts w:ascii="Arial" w:cs="Arial" w:eastAsia="Arial" w:hAnsi="Arial"/>
                <w:sz w:val="17"/>
                <w:szCs w:val="17"/>
                <w:color w:val="373535"/>
              </w:rPr>
              <w:t>1.3</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54</w:t>
            </w:r>
          </w:p>
        </w:tc>
        <w:tc>
          <w:tcPr>
            <w:tcW w:w="20" w:type="dxa"/>
            <w:vAlign w:val="bottom"/>
            <w:tcBorders>
              <w:bottom w:val="single" w:sz="8" w:color="717073"/>
            </w:tcBorders>
          </w:tcPr>
          <w:p>
            <w:pPr>
              <w:spacing w:after="0"/>
              <w:rPr>
                <w:sz w:val="16"/>
                <w:szCs w:val="16"/>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During 2013, 2012 and 2011, we recognized $9.8, $10.0 and $7.0, respectively, of expense related to restricted stock awards. As of December 31, 2013, there was approximately $10.8 of total unrecognized compensation cost related to unvested restricted stock, which we expect to recognize over a weighted-average period of approximately 2.0 years.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PERFORMANCE SHARE UNITS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2003 Plan and our 2011 Plan allow us to grant performance share units. We grant performance share units with a performance period ranging from one to three years. Vesting of units occurs at the end of the performance period or after a subsequent holding period, except in the case of termination of employment where the units are forfeited immediately. Upon retirement, a prorated number of units vest depending on the period worked from the grant date to retirement date. In the case of death or disability, the units immediately vest at the Target Award level if the death or disability date is during the performance period, or at the level determined by the performance criteria met during the performance period if the death or disability occurs during the subsequent holding period. The units are settled in shares of our common stock. A payout multiple is applied to the units awarded based on the performance criteria determined by the Executive Compensation and Human Resources Committee of the Board of Directors at the time of grant.</w:t>
      </w:r>
    </w:p>
    <w:p>
      <w:pPr>
        <w:spacing w:after="0" w:line="34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the event the performance criteria exceed the target performance level, an additional number of shares, up to the Outstanding Award level, may be granted. In the event the performance criteria falls below the target performance level, a reduced number of shares, as low as the Threshold Award level, may be granted. If the performance criteria falls below the threshold performance level, no shares will be granted.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100" w:type="dxa"/>
            <w:vAlign w:val="bottom"/>
          </w:tcPr>
          <w:p>
            <w:pPr>
              <w:ind w:left="570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373535"/>
              </w:rPr>
              <w:t>65</w:t>
            </w:r>
          </w:p>
        </w:tc>
      </w:tr>
      <w:tr>
        <w:trPr>
          <w:trHeight w:val="418"/>
        </w:trPr>
        <w:tc>
          <w:tcPr>
            <w:tcW w:w="111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33"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373535"/>
        </w:rPr>
        <w:t>A summary of the performance share units detail by grant year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00" w:type="dxa"/>
            <w:vAlign w:val="bottom"/>
          </w:tcPr>
          <w:p>
            <w:pPr>
              <w:jc w:val="right"/>
              <w:ind w:right="115"/>
              <w:spacing w:after="0"/>
              <w:rPr>
                <w:sz w:val="20"/>
                <w:szCs w:val="20"/>
                <w:color w:val="auto"/>
              </w:rPr>
            </w:pPr>
            <w:r>
              <w:rPr>
                <w:rFonts w:ascii="Arial" w:cs="Arial" w:eastAsia="Arial" w:hAnsi="Arial"/>
                <w:sz w:val="14"/>
                <w:szCs w:val="14"/>
                <w:color w:val="76AD9A"/>
              </w:rPr>
              <w:t>July 2012 and</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40" w:type="dxa"/>
            <w:vAlign w:val="bottom"/>
          </w:tcPr>
          <w:p>
            <w:pPr>
              <w:jc w:val="right"/>
              <w:ind w:right="215"/>
              <w:spacing w:after="0"/>
              <w:rPr>
                <w:sz w:val="20"/>
                <w:szCs w:val="20"/>
                <w:color w:val="auto"/>
              </w:rPr>
            </w:pPr>
            <w:r>
              <w:rPr>
                <w:rFonts w:ascii="Arial" w:cs="Arial" w:eastAsia="Arial" w:hAnsi="Arial"/>
                <w:sz w:val="14"/>
                <w:szCs w:val="14"/>
                <w:color w:val="76AD9A"/>
              </w:rPr>
              <w:t>2011</w:t>
            </w:r>
          </w:p>
        </w:tc>
        <w:tc>
          <w:tcPr>
            <w:tcW w:w="1540" w:type="dxa"/>
            <w:vAlign w:val="bottom"/>
          </w:tcPr>
          <w:p>
            <w:pPr>
              <w:jc w:val="right"/>
              <w:ind w:right="155"/>
              <w:spacing w:after="0"/>
              <w:rPr>
                <w:sz w:val="20"/>
                <w:szCs w:val="20"/>
                <w:color w:val="auto"/>
              </w:rPr>
            </w:pPr>
            <w:r>
              <w:rPr>
                <w:rFonts w:ascii="Arial" w:cs="Arial" w:eastAsia="Arial" w:hAnsi="Arial"/>
                <w:sz w:val="14"/>
                <w:szCs w:val="14"/>
                <w:color w:val="76AD9A"/>
              </w:rPr>
              <w:t>2012</w:t>
            </w: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76AD9A"/>
              </w:rPr>
              <w:t>February 2013</w:t>
            </w:r>
          </w:p>
        </w:tc>
        <w:tc>
          <w:tcPr>
            <w:tcW w:w="1460" w:type="dxa"/>
            <w:vAlign w:val="bottom"/>
            <w:gridSpan w:val="2"/>
          </w:tcPr>
          <w:p>
            <w:pPr>
              <w:jc w:val="right"/>
              <w:ind w:right="140"/>
              <w:spacing w:after="0" w:line="194" w:lineRule="exact"/>
              <w:rPr>
                <w:sz w:val="20"/>
                <w:szCs w:val="20"/>
                <w:color w:val="auto"/>
              </w:rPr>
            </w:pPr>
            <w:r>
              <w:rPr>
                <w:rFonts w:ascii="Arial" w:cs="Arial" w:eastAsia="Arial" w:hAnsi="Arial"/>
                <w:sz w:val="14"/>
                <w:szCs w:val="14"/>
                <w:color w:val="76AD9A"/>
              </w:rPr>
              <w:t>2013</w:t>
            </w:r>
            <w:r>
              <w:rPr>
                <w:rFonts w:ascii="Arial" w:cs="Arial" w:eastAsia="Arial" w:hAnsi="Arial"/>
                <w:sz w:val="19"/>
                <w:szCs w:val="19"/>
                <w:color w:val="76AD9A"/>
                <w:vertAlign w:val="superscript"/>
              </w:rPr>
              <w:t>(a)</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Grant Date(s)</w:t>
            </w:r>
          </w:p>
        </w:tc>
        <w:tc>
          <w:tcPr>
            <w:tcW w:w="1840" w:type="dxa"/>
            <w:vAlign w:val="bottom"/>
            <w:tcBorders>
              <w:top w:val="single" w:sz="8" w:color="76AD9A"/>
            </w:tcBorders>
          </w:tcPr>
          <w:p>
            <w:pPr>
              <w:jc w:val="right"/>
              <w:ind w:right="215"/>
              <w:spacing w:after="0" w:line="185" w:lineRule="exact"/>
              <w:rPr>
                <w:sz w:val="20"/>
                <w:szCs w:val="20"/>
                <w:color w:val="auto"/>
              </w:rPr>
            </w:pPr>
            <w:r>
              <w:rPr>
                <w:rFonts w:ascii="Arial" w:cs="Arial" w:eastAsia="Arial" w:hAnsi="Arial"/>
                <w:sz w:val="17"/>
                <w:szCs w:val="17"/>
                <w:color w:val="373535"/>
              </w:rPr>
              <w:t>February 16,</w:t>
            </w:r>
          </w:p>
        </w:tc>
        <w:tc>
          <w:tcPr>
            <w:tcW w:w="1540" w:type="dxa"/>
            <w:vAlign w:val="bottom"/>
            <w:tcBorders>
              <w:top w:val="single" w:sz="8" w:color="76AD9A"/>
            </w:tcBorders>
          </w:tcPr>
          <w:p>
            <w:pPr>
              <w:jc w:val="right"/>
              <w:ind w:right="155"/>
              <w:spacing w:after="0" w:line="185" w:lineRule="exact"/>
              <w:rPr>
                <w:sz w:val="20"/>
                <w:szCs w:val="20"/>
                <w:color w:val="auto"/>
              </w:rPr>
            </w:pPr>
            <w:r>
              <w:rPr>
                <w:rFonts w:ascii="Arial" w:cs="Arial" w:eastAsia="Arial" w:hAnsi="Arial"/>
                <w:sz w:val="17"/>
                <w:szCs w:val="17"/>
                <w:color w:val="373535"/>
              </w:rPr>
              <w:t>February 15,</w:t>
            </w:r>
          </w:p>
        </w:tc>
        <w:tc>
          <w:tcPr>
            <w:tcW w:w="1500" w:type="dxa"/>
            <w:vAlign w:val="bottom"/>
            <w:tcBorders>
              <w:top w:val="single" w:sz="8" w:color="76AD9A"/>
            </w:tcBorders>
          </w:tcPr>
          <w:p>
            <w:pPr>
              <w:jc w:val="right"/>
              <w:ind w:right="75"/>
              <w:spacing w:after="0" w:line="185" w:lineRule="exact"/>
              <w:rPr>
                <w:sz w:val="20"/>
                <w:szCs w:val="20"/>
                <w:color w:val="auto"/>
              </w:rPr>
            </w:pPr>
            <w:r>
              <w:rPr>
                <w:rFonts w:ascii="Arial" w:cs="Arial" w:eastAsia="Arial" w:hAnsi="Arial"/>
                <w:sz w:val="17"/>
                <w:szCs w:val="17"/>
                <w:color w:val="373535"/>
              </w:rPr>
              <w:t>July 1, 2012 and</w:t>
            </w:r>
          </w:p>
        </w:tc>
        <w:tc>
          <w:tcPr>
            <w:tcW w:w="132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February 14,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4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2011</w:t>
            </w:r>
          </w:p>
        </w:tc>
        <w:tc>
          <w:tcPr>
            <w:tcW w:w="1540" w:type="dxa"/>
            <w:vAlign w:val="bottom"/>
          </w:tcPr>
          <w:p>
            <w:pPr>
              <w:jc w:val="right"/>
              <w:ind w:right="155"/>
              <w:spacing w:after="0" w:line="194" w:lineRule="exact"/>
              <w:rPr>
                <w:sz w:val="20"/>
                <w:szCs w:val="20"/>
                <w:color w:val="auto"/>
              </w:rPr>
            </w:pPr>
            <w:r>
              <w:rPr>
                <w:rFonts w:ascii="Arial" w:cs="Arial" w:eastAsia="Arial" w:hAnsi="Arial"/>
                <w:sz w:val="17"/>
                <w:szCs w:val="17"/>
                <w:color w:val="373535"/>
              </w:rPr>
              <w:t>2012</w:t>
            </w: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373535"/>
              </w:rPr>
              <w:t>February 14,</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373535"/>
              </w:rPr>
              <w:t>2013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auto"/>
              </w:rPr>
              <w:t>2013</w:t>
            </w: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gridSpan w:val="2"/>
          </w:tcPr>
          <w:p>
            <w:pPr>
              <w:spacing w:after="0" w:line="194" w:lineRule="exact"/>
              <w:rPr>
                <w:sz w:val="20"/>
                <w:szCs w:val="20"/>
                <w:color w:val="auto"/>
              </w:rPr>
            </w:pPr>
            <w:r>
              <w:rPr>
                <w:rFonts w:ascii="Arial" w:cs="Arial" w:eastAsia="Arial" w:hAnsi="Arial"/>
                <w:sz w:val="17"/>
                <w:szCs w:val="17"/>
                <w:color w:val="373535"/>
              </w:rPr>
              <w:t>Performance Period (Years)</w:t>
            </w:r>
          </w:p>
        </w:tc>
        <w:tc>
          <w:tcPr>
            <w:tcW w:w="184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2011</w:t>
            </w:r>
          </w:p>
        </w:tc>
        <w:tc>
          <w:tcPr>
            <w:tcW w:w="1540" w:type="dxa"/>
            <w:vAlign w:val="bottom"/>
          </w:tcPr>
          <w:p>
            <w:pPr>
              <w:jc w:val="right"/>
              <w:ind w:right="155"/>
              <w:spacing w:after="0" w:line="194" w:lineRule="exact"/>
              <w:rPr>
                <w:sz w:val="20"/>
                <w:szCs w:val="20"/>
                <w:color w:val="auto"/>
              </w:rPr>
            </w:pPr>
            <w:r>
              <w:rPr>
                <w:rFonts w:ascii="Arial" w:cs="Arial" w:eastAsia="Arial" w:hAnsi="Arial"/>
                <w:sz w:val="17"/>
                <w:szCs w:val="17"/>
                <w:color w:val="373535"/>
              </w:rPr>
              <w:t>2012</w:t>
            </w: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373535"/>
              </w:rPr>
              <w:t>2012–2014</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373535"/>
              </w:rPr>
              <w:t>2013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080" w:type="dxa"/>
            <w:vAlign w:val="bottom"/>
            <w:gridSpan w:val="2"/>
          </w:tcPr>
          <w:p>
            <w:pPr>
              <w:spacing w:after="0" w:line="194" w:lineRule="exact"/>
              <w:rPr>
                <w:sz w:val="20"/>
                <w:szCs w:val="20"/>
                <w:color w:val="auto"/>
              </w:rPr>
            </w:pPr>
            <w:r>
              <w:rPr>
                <w:rFonts w:ascii="Arial" w:cs="Arial" w:eastAsia="Arial" w:hAnsi="Arial"/>
                <w:sz w:val="17"/>
                <w:szCs w:val="17"/>
                <w:color w:val="373535"/>
              </w:rPr>
              <w:t>Vesting Date(s)</w:t>
            </w:r>
          </w:p>
        </w:tc>
        <w:tc>
          <w:tcPr>
            <w:tcW w:w="184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50% on</w:t>
            </w:r>
          </w:p>
        </w:tc>
        <w:tc>
          <w:tcPr>
            <w:tcW w:w="1540" w:type="dxa"/>
            <w:vAlign w:val="bottom"/>
          </w:tcPr>
          <w:p>
            <w:pPr>
              <w:jc w:val="right"/>
              <w:ind w:right="155"/>
              <w:spacing w:after="0" w:line="194" w:lineRule="exact"/>
              <w:rPr>
                <w:sz w:val="20"/>
                <w:szCs w:val="20"/>
                <w:color w:val="auto"/>
              </w:rPr>
            </w:pPr>
            <w:r>
              <w:rPr>
                <w:rFonts w:ascii="Arial" w:cs="Arial" w:eastAsia="Arial" w:hAnsi="Arial"/>
                <w:sz w:val="17"/>
                <w:szCs w:val="17"/>
                <w:color w:val="373535"/>
              </w:rPr>
              <w:t>50% on</w:t>
            </w: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373535"/>
              </w:rPr>
              <w:t>50% on</w:t>
            </w:r>
          </w:p>
        </w:tc>
        <w:tc>
          <w:tcPr>
            <w:tcW w:w="146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50% on</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1840" w:type="dxa"/>
            <w:vAlign w:val="bottom"/>
          </w:tcPr>
          <w:p>
            <w:pPr>
              <w:jc w:val="right"/>
              <w:ind w:right="215"/>
              <w:spacing w:after="0"/>
              <w:rPr>
                <w:sz w:val="20"/>
                <w:szCs w:val="20"/>
                <w:color w:val="auto"/>
              </w:rPr>
            </w:pPr>
            <w:r>
              <w:rPr>
                <w:rFonts w:ascii="Arial" w:cs="Arial" w:eastAsia="Arial" w:hAnsi="Arial"/>
                <w:sz w:val="17"/>
                <w:szCs w:val="17"/>
                <w:color w:val="373535"/>
              </w:rPr>
              <w:t>December 31,</w:t>
            </w:r>
          </w:p>
        </w:tc>
        <w:tc>
          <w:tcPr>
            <w:tcW w:w="1540" w:type="dxa"/>
            <w:vAlign w:val="bottom"/>
          </w:tcPr>
          <w:p>
            <w:pPr>
              <w:jc w:val="right"/>
              <w:ind w:right="155"/>
              <w:spacing w:after="0"/>
              <w:rPr>
                <w:sz w:val="20"/>
                <w:szCs w:val="20"/>
                <w:color w:val="auto"/>
              </w:rPr>
            </w:pPr>
            <w:r>
              <w:rPr>
                <w:rFonts w:ascii="Arial" w:cs="Arial" w:eastAsia="Arial" w:hAnsi="Arial"/>
                <w:sz w:val="17"/>
                <w:szCs w:val="17"/>
                <w:color w:val="373535"/>
              </w:rPr>
              <w:t>December 31,</w:t>
            </w:r>
          </w:p>
        </w:tc>
        <w:tc>
          <w:tcPr>
            <w:tcW w:w="1500" w:type="dxa"/>
            <w:vAlign w:val="bottom"/>
          </w:tcPr>
          <w:p>
            <w:pPr>
              <w:jc w:val="right"/>
              <w:ind w:right="75"/>
              <w:spacing w:after="0"/>
              <w:rPr>
                <w:sz w:val="20"/>
                <w:szCs w:val="20"/>
                <w:color w:val="auto"/>
              </w:rPr>
            </w:pPr>
            <w:r>
              <w:rPr>
                <w:rFonts w:ascii="Arial" w:cs="Arial" w:eastAsia="Arial" w:hAnsi="Arial"/>
                <w:sz w:val="17"/>
                <w:szCs w:val="17"/>
                <w:color w:val="373535"/>
              </w:rPr>
              <w:t>July 1,</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373535"/>
              </w:rPr>
              <w:t>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1840" w:type="dxa"/>
            <w:vAlign w:val="bottom"/>
          </w:tcPr>
          <w:p>
            <w:pPr>
              <w:jc w:val="right"/>
              <w:ind w:right="215"/>
              <w:spacing w:after="0"/>
              <w:rPr>
                <w:sz w:val="20"/>
                <w:szCs w:val="20"/>
                <w:color w:val="auto"/>
              </w:rPr>
            </w:pPr>
            <w:r>
              <w:rPr>
                <w:rFonts w:ascii="Arial" w:cs="Arial" w:eastAsia="Arial" w:hAnsi="Arial"/>
                <w:sz w:val="17"/>
                <w:szCs w:val="17"/>
                <w:color w:val="373535"/>
              </w:rPr>
              <w:t>2012 and 2013</w:t>
            </w:r>
          </w:p>
        </w:tc>
        <w:tc>
          <w:tcPr>
            <w:tcW w:w="1540" w:type="dxa"/>
            <w:vAlign w:val="bottom"/>
          </w:tcPr>
          <w:p>
            <w:pPr>
              <w:jc w:val="right"/>
              <w:ind w:right="155"/>
              <w:spacing w:after="0"/>
              <w:rPr>
                <w:sz w:val="20"/>
                <w:szCs w:val="20"/>
                <w:color w:val="auto"/>
              </w:rPr>
            </w:pPr>
            <w:r>
              <w:rPr>
                <w:rFonts w:ascii="Arial" w:cs="Arial" w:eastAsia="Arial" w:hAnsi="Arial"/>
                <w:sz w:val="17"/>
                <w:szCs w:val="17"/>
                <w:color w:val="373535"/>
              </w:rPr>
              <w:t>2013 and 2014</w:t>
            </w:r>
          </w:p>
        </w:tc>
        <w:tc>
          <w:tcPr>
            <w:tcW w:w="1500" w:type="dxa"/>
            <w:vAlign w:val="bottom"/>
          </w:tcPr>
          <w:p>
            <w:pPr>
              <w:jc w:val="right"/>
              <w:ind w:right="75"/>
              <w:spacing w:after="0"/>
              <w:rPr>
                <w:sz w:val="20"/>
                <w:szCs w:val="20"/>
                <w:color w:val="auto"/>
              </w:rPr>
            </w:pPr>
            <w:r>
              <w:rPr>
                <w:rFonts w:ascii="Arial" w:cs="Arial" w:eastAsia="Arial" w:hAnsi="Arial"/>
                <w:sz w:val="17"/>
                <w:szCs w:val="17"/>
                <w:color w:val="373535"/>
              </w:rPr>
              <w:t>2015 and 2016</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373535"/>
              </w:rPr>
              <w:t>2014 and 2015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060" w:type="dxa"/>
            <w:vAlign w:val="bottom"/>
            <w:tcBorders>
              <w:top w:val="single" w:sz="8" w:color="717073"/>
            </w:tcBorders>
          </w:tcPr>
          <w:p>
            <w:pPr>
              <w:spacing w:after="0"/>
              <w:rPr>
                <w:sz w:val="20"/>
                <w:szCs w:val="20"/>
                <w:color w:val="auto"/>
              </w:rPr>
            </w:pPr>
            <w:r>
              <w:rPr>
                <w:rFonts w:ascii="Arial" w:cs="Arial" w:eastAsia="Arial" w:hAnsi="Arial"/>
                <w:sz w:val="17"/>
                <w:szCs w:val="17"/>
                <w:color w:val="373535"/>
              </w:rPr>
              <w:t>Payout Levels (in units):</w:t>
            </w:r>
          </w:p>
        </w:tc>
        <w:tc>
          <w:tcPr>
            <w:tcW w:w="1840" w:type="dxa"/>
            <w:vAlign w:val="bottom"/>
            <w:tcBorders>
              <w:top w:val="single" w:sz="8" w:color="717073"/>
            </w:tcBorders>
          </w:tcPr>
          <w:p>
            <w:pPr>
              <w:spacing w:after="0"/>
              <w:rPr>
                <w:sz w:val="17"/>
                <w:szCs w:val="17"/>
                <w:color w:val="auto"/>
              </w:rPr>
            </w:pPr>
          </w:p>
        </w:tc>
        <w:tc>
          <w:tcPr>
            <w:tcW w:w="1540" w:type="dxa"/>
            <w:vAlign w:val="bottom"/>
            <w:tcBorders>
              <w:top w:val="single" w:sz="8" w:color="717073"/>
            </w:tcBorders>
          </w:tcPr>
          <w:p>
            <w:pPr>
              <w:spacing w:after="0"/>
              <w:rPr>
                <w:sz w:val="17"/>
                <w:szCs w:val="17"/>
                <w:color w:val="auto"/>
              </w:rPr>
            </w:pPr>
          </w:p>
        </w:tc>
        <w:tc>
          <w:tcPr>
            <w:tcW w:w="1500" w:type="dxa"/>
            <w:vAlign w:val="bottom"/>
            <w:tcBorders>
              <w:top w:val="single" w:sz="8" w:color="717073"/>
            </w:tcBorders>
          </w:tcPr>
          <w:p>
            <w:pPr>
              <w:spacing w:after="0"/>
              <w:rPr>
                <w:sz w:val="17"/>
                <w:szCs w:val="17"/>
                <w:color w:val="auto"/>
              </w:rPr>
            </w:pPr>
          </w:p>
        </w:tc>
        <w:tc>
          <w:tcPr>
            <w:tcW w:w="1320" w:type="dxa"/>
            <w:vAlign w:val="bottom"/>
            <w:tcBorders>
              <w:top w:val="single" w:sz="8" w:color="717073"/>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Arial" w:cs="Arial" w:eastAsia="Arial" w:hAnsi="Arial"/>
                <w:sz w:val="17"/>
                <w:szCs w:val="17"/>
                <w:color w:val="373535"/>
              </w:rPr>
              <w:t>Threshold Award</w:t>
            </w:r>
          </w:p>
        </w:tc>
        <w:tc>
          <w:tcPr>
            <w:tcW w:w="1840" w:type="dxa"/>
            <w:vAlign w:val="bottom"/>
          </w:tcPr>
          <w:p>
            <w:pPr>
              <w:jc w:val="right"/>
              <w:ind w:right="215"/>
              <w:spacing w:after="0"/>
              <w:rPr>
                <w:sz w:val="20"/>
                <w:szCs w:val="20"/>
                <w:color w:val="auto"/>
              </w:rPr>
            </w:pPr>
            <w:r>
              <w:rPr>
                <w:rFonts w:ascii="Arial" w:cs="Arial" w:eastAsia="Arial" w:hAnsi="Arial"/>
                <w:sz w:val="17"/>
                <w:szCs w:val="17"/>
                <w:color w:val="373535"/>
              </w:rPr>
              <w:t>61,182</w:t>
            </w:r>
          </w:p>
        </w:tc>
        <w:tc>
          <w:tcPr>
            <w:tcW w:w="1540" w:type="dxa"/>
            <w:vAlign w:val="bottom"/>
          </w:tcPr>
          <w:p>
            <w:pPr>
              <w:jc w:val="right"/>
              <w:ind w:right="155"/>
              <w:spacing w:after="0"/>
              <w:rPr>
                <w:sz w:val="20"/>
                <w:szCs w:val="20"/>
                <w:color w:val="auto"/>
              </w:rPr>
            </w:pPr>
            <w:r>
              <w:rPr>
                <w:rFonts w:ascii="Arial" w:cs="Arial" w:eastAsia="Arial" w:hAnsi="Arial"/>
                <w:sz w:val="17"/>
                <w:szCs w:val="17"/>
                <w:color w:val="373535"/>
              </w:rPr>
              <w:t>84,480</w:t>
            </w:r>
          </w:p>
        </w:tc>
        <w:tc>
          <w:tcPr>
            <w:tcW w:w="1500" w:type="dxa"/>
            <w:vAlign w:val="bottom"/>
          </w:tcPr>
          <w:p>
            <w:pPr>
              <w:jc w:val="right"/>
              <w:ind w:right="75"/>
              <w:spacing w:after="0"/>
              <w:rPr>
                <w:sz w:val="20"/>
                <w:szCs w:val="20"/>
                <w:color w:val="auto"/>
              </w:rPr>
            </w:pPr>
            <w:r>
              <w:rPr>
                <w:rFonts w:ascii="Arial" w:cs="Arial" w:eastAsia="Arial" w:hAnsi="Arial"/>
                <w:sz w:val="17"/>
                <w:szCs w:val="17"/>
                <w:color w:val="373535"/>
              </w:rPr>
              <w:t>66,949</w:t>
            </w:r>
          </w:p>
        </w:tc>
        <w:tc>
          <w:tcPr>
            <w:tcW w:w="1320" w:type="dxa"/>
            <w:vAlign w:val="bottom"/>
          </w:tcPr>
          <w:p>
            <w:pPr>
              <w:jc w:val="right"/>
              <w:spacing w:after="0"/>
              <w:rPr>
                <w:sz w:val="20"/>
                <w:szCs w:val="20"/>
                <w:color w:val="auto"/>
              </w:rPr>
            </w:pPr>
            <w:r>
              <w:rPr>
                <w:rFonts w:ascii="Arial" w:cs="Arial" w:eastAsia="Arial" w:hAnsi="Arial"/>
                <w:sz w:val="17"/>
                <w:szCs w:val="17"/>
                <w:color w:val="373535"/>
              </w:rPr>
              <w:t>76,120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60" w:type="dxa"/>
            <w:vAlign w:val="bottom"/>
          </w:tcPr>
          <w:p>
            <w:pPr>
              <w:ind w:left="140"/>
              <w:spacing w:after="0"/>
              <w:rPr>
                <w:sz w:val="20"/>
                <w:szCs w:val="20"/>
                <w:color w:val="auto"/>
              </w:rPr>
            </w:pPr>
            <w:r>
              <w:rPr>
                <w:rFonts w:ascii="Arial" w:cs="Arial" w:eastAsia="Arial" w:hAnsi="Arial"/>
                <w:sz w:val="17"/>
                <w:szCs w:val="17"/>
                <w:color w:val="373535"/>
              </w:rPr>
              <w:t>Target Award</w:t>
            </w:r>
          </w:p>
        </w:tc>
        <w:tc>
          <w:tcPr>
            <w:tcW w:w="1840" w:type="dxa"/>
            <w:vAlign w:val="bottom"/>
          </w:tcPr>
          <w:p>
            <w:pPr>
              <w:jc w:val="right"/>
              <w:ind w:right="215"/>
              <w:spacing w:after="0"/>
              <w:rPr>
                <w:sz w:val="20"/>
                <w:szCs w:val="20"/>
                <w:color w:val="auto"/>
              </w:rPr>
            </w:pPr>
            <w:r>
              <w:rPr>
                <w:rFonts w:ascii="Arial" w:cs="Arial" w:eastAsia="Arial" w:hAnsi="Arial"/>
                <w:sz w:val="17"/>
                <w:szCs w:val="17"/>
                <w:color w:val="373535"/>
              </w:rPr>
              <w:t>122,364</w:t>
            </w:r>
          </w:p>
        </w:tc>
        <w:tc>
          <w:tcPr>
            <w:tcW w:w="1540" w:type="dxa"/>
            <w:vAlign w:val="bottom"/>
          </w:tcPr>
          <w:p>
            <w:pPr>
              <w:jc w:val="right"/>
              <w:ind w:right="155"/>
              <w:spacing w:after="0"/>
              <w:rPr>
                <w:sz w:val="20"/>
                <w:szCs w:val="20"/>
                <w:color w:val="auto"/>
              </w:rPr>
            </w:pPr>
            <w:r>
              <w:rPr>
                <w:rFonts w:ascii="Arial" w:cs="Arial" w:eastAsia="Arial" w:hAnsi="Arial"/>
                <w:sz w:val="17"/>
                <w:szCs w:val="17"/>
                <w:color w:val="373535"/>
              </w:rPr>
              <w:t>168,960</w:t>
            </w:r>
          </w:p>
        </w:tc>
        <w:tc>
          <w:tcPr>
            <w:tcW w:w="1500" w:type="dxa"/>
            <w:vAlign w:val="bottom"/>
          </w:tcPr>
          <w:p>
            <w:pPr>
              <w:jc w:val="right"/>
              <w:ind w:right="75"/>
              <w:spacing w:after="0"/>
              <w:rPr>
                <w:sz w:val="20"/>
                <w:szCs w:val="20"/>
                <w:color w:val="auto"/>
              </w:rPr>
            </w:pPr>
            <w:r>
              <w:rPr>
                <w:rFonts w:ascii="Arial" w:cs="Arial" w:eastAsia="Arial" w:hAnsi="Arial"/>
                <w:sz w:val="17"/>
                <w:szCs w:val="17"/>
                <w:color w:val="373535"/>
              </w:rPr>
              <w:t>133,898</w:t>
            </w:r>
          </w:p>
        </w:tc>
        <w:tc>
          <w:tcPr>
            <w:tcW w:w="1320" w:type="dxa"/>
            <w:vAlign w:val="bottom"/>
          </w:tcPr>
          <w:p>
            <w:pPr>
              <w:jc w:val="right"/>
              <w:spacing w:after="0"/>
              <w:rPr>
                <w:sz w:val="20"/>
                <w:szCs w:val="20"/>
                <w:color w:val="auto"/>
              </w:rPr>
            </w:pPr>
            <w:r>
              <w:rPr>
                <w:rFonts w:ascii="Arial" w:cs="Arial" w:eastAsia="Arial" w:hAnsi="Arial"/>
                <w:sz w:val="17"/>
                <w:szCs w:val="17"/>
                <w:color w:val="373535"/>
              </w:rPr>
              <w:t>152,240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6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Outstanding Award</w:t>
            </w:r>
          </w:p>
        </w:tc>
        <w:tc>
          <w:tcPr>
            <w:tcW w:w="1840" w:type="dxa"/>
            <w:vAlign w:val="bottom"/>
            <w:tcBorders>
              <w:bottom w:val="single" w:sz="8" w:color="717073"/>
            </w:tcBorders>
          </w:tcPr>
          <w:p>
            <w:pPr>
              <w:jc w:val="right"/>
              <w:ind w:right="215"/>
              <w:spacing w:after="0"/>
              <w:rPr>
                <w:sz w:val="20"/>
                <w:szCs w:val="20"/>
                <w:color w:val="auto"/>
              </w:rPr>
            </w:pPr>
            <w:r>
              <w:rPr>
                <w:rFonts w:ascii="Arial" w:cs="Arial" w:eastAsia="Arial" w:hAnsi="Arial"/>
                <w:sz w:val="17"/>
                <w:szCs w:val="17"/>
                <w:color w:val="373535"/>
              </w:rPr>
              <w:t>244,728</w:t>
            </w:r>
          </w:p>
        </w:tc>
        <w:tc>
          <w:tcPr>
            <w:tcW w:w="1540" w:type="dxa"/>
            <w:vAlign w:val="bottom"/>
            <w:tcBorders>
              <w:bottom w:val="single" w:sz="8" w:color="717073"/>
            </w:tcBorders>
          </w:tcPr>
          <w:p>
            <w:pPr>
              <w:jc w:val="right"/>
              <w:ind w:right="155"/>
              <w:spacing w:after="0"/>
              <w:rPr>
                <w:sz w:val="20"/>
                <w:szCs w:val="20"/>
                <w:color w:val="auto"/>
              </w:rPr>
            </w:pPr>
            <w:r>
              <w:rPr>
                <w:rFonts w:ascii="Arial" w:cs="Arial" w:eastAsia="Arial" w:hAnsi="Arial"/>
                <w:sz w:val="17"/>
                <w:szCs w:val="17"/>
                <w:color w:val="373535"/>
              </w:rPr>
              <w:t>337,920</w:t>
            </w:r>
          </w:p>
        </w:tc>
        <w:tc>
          <w:tcPr>
            <w:tcW w:w="1500" w:type="dxa"/>
            <w:vAlign w:val="bottom"/>
            <w:tcBorders>
              <w:bottom w:val="single" w:sz="8" w:color="717073"/>
            </w:tcBorders>
          </w:tcPr>
          <w:p>
            <w:pPr>
              <w:jc w:val="right"/>
              <w:ind w:right="75"/>
              <w:spacing w:after="0"/>
              <w:rPr>
                <w:sz w:val="20"/>
                <w:szCs w:val="20"/>
                <w:color w:val="auto"/>
              </w:rPr>
            </w:pPr>
            <w:r>
              <w:rPr>
                <w:rFonts w:ascii="Arial" w:cs="Arial" w:eastAsia="Arial" w:hAnsi="Arial"/>
                <w:sz w:val="17"/>
                <w:szCs w:val="17"/>
                <w:color w:val="373535"/>
              </w:rPr>
              <w:t>267,796</w:t>
            </w:r>
          </w:p>
        </w:tc>
        <w:tc>
          <w:tcPr>
            <w:tcW w:w="13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304,480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Pr>
          <w:p>
            <w:pPr>
              <w:spacing w:after="0" w:line="185" w:lineRule="exact"/>
              <w:rPr>
                <w:sz w:val="20"/>
                <w:szCs w:val="20"/>
                <w:color w:val="auto"/>
              </w:rPr>
            </w:pPr>
            <w:r>
              <w:rPr>
                <w:rFonts w:ascii="Arial" w:cs="Arial" w:eastAsia="Arial" w:hAnsi="Arial"/>
                <w:sz w:val="17"/>
                <w:szCs w:val="17"/>
                <w:color w:val="373535"/>
              </w:rPr>
              <w:t>Units Forfeited in 2013 (at Target Award level)</w:t>
            </w:r>
          </w:p>
        </w:tc>
        <w:tc>
          <w:tcPr>
            <w:tcW w:w="1840" w:type="dxa"/>
            <w:vAlign w:val="bottom"/>
          </w:tcPr>
          <w:p>
            <w:pPr>
              <w:jc w:val="right"/>
              <w:ind w:right="215"/>
              <w:spacing w:after="0" w:line="185" w:lineRule="exact"/>
              <w:rPr>
                <w:sz w:val="20"/>
                <w:szCs w:val="20"/>
                <w:color w:val="auto"/>
              </w:rPr>
            </w:pPr>
            <w:r>
              <w:rPr>
                <w:rFonts w:ascii="Arial" w:cs="Arial" w:eastAsia="Arial" w:hAnsi="Arial"/>
                <w:sz w:val="17"/>
                <w:szCs w:val="17"/>
                <w:color w:val="373535"/>
              </w:rPr>
              <w:t>4,946</w:t>
            </w:r>
          </w:p>
        </w:tc>
        <w:tc>
          <w:tcPr>
            <w:tcW w:w="1540" w:type="dxa"/>
            <w:vAlign w:val="bottom"/>
          </w:tcPr>
          <w:p>
            <w:pPr>
              <w:jc w:val="right"/>
              <w:ind w:right="155"/>
              <w:spacing w:after="0" w:line="185" w:lineRule="exact"/>
              <w:rPr>
                <w:sz w:val="20"/>
                <w:szCs w:val="20"/>
                <w:color w:val="auto"/>
              </w:rPr>
            </w:pPr>
            <w:r>
              <w:rPr>
                <w:rFonts w:ascii="Arial" w:cs="Arial" w:eastAsia="Arial" w:hAnsi="Arial"/>
                <w:sz w:val="17"/>
                <w:szCs w:val="17"/>
                <w:color w:val="373535"/>
              </w:rPr>
              <w:t>8,854</w:t>
            </w:r>
          </w:p>
        </w:tc>
        <w:tc>
          <w:tcPr>
            <w:tcW w:w="1500" w:type="dxa"/>
            <w:vAlign w:val="bottom"/>
          </w:tcPr>
          <w:p>
            <w:pPr>
              <w:jc w:val="right"/>
              <w:ind w:right="75"/>
              <w:spacing w:after="0" w:line="185" w:lineRule="exact"/>
              <w:rPr>
                <w:sz w:val="20"/>
                <w:szCs w:val="20"/>
                <w:color w:val="auto"/>
              </w:rPr>
            </w:pPr>
            <w:r>
              <w:rPr>
                <w:rFonts w:ascii="Arial" w:cs="Arial" w:eastAsia="Arial" w:hAnsi="Arial"/>
                <w:sz w:val="17"/>
                <w:szCs w:val="17"/>
                <w:color w:val="373535"/>
              </w:rPr>
              <w:t>10,715</w:t>
            </w:r>
          </w:p>
        </w:tc>
        <w:tc>
          <w:tcPr>
            <w:tcW w:w="13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080" w:type="dxa"/>
            <w:vAlign w:val="bottom"/>
            <w:gridSpan w:val="2"/>
          </w:tcPr>
          <w:p>
            <w:pPr>
              <w:spacing w:after="0"/>
              <w:rPr>
                <w:sz w:val="20"/>
                <w:szCs w:val="20"/>
                <w:color w:val="auto"/>
              </w:rPr>
            </w:pPr>
            <w:r>
              <w:rPr>
                <w:rFonts w:ascii="Arial" w:cs="Arial" w:eastAsia="Arial" w:hAnsi="Arial"/>
                <w:sz w:val="17"/>
                <w:szCs w:val="17"/>
                <w:color w:val="373535"/>
              </w:rPr>
              <w:t>Shares Issued in 2013</w:t>
            </w:r>
          </w:p>
        </w:tc>
        <w:tc>
          <w:tcPr>
            <w:tcW w:w="1840" w:type="dxa"/>
            <w:vAlign w:val="bottom"/>
          </w:tcPr>
          <w:p>
            <w:pPr>
              <w:jc w:val="right"/>
              <w:ind w:right="215"/>
              <w:spacing w:after="0"/>
              <w:rPr>
                <w:sz w:val="20"/>
                <w:szCs w:val="20"/>
                <w:color w:val="auto"/>
              </w:rPr>
            </w:pPr>
            <w:r>
              <w:rPr>
                <w:rFonts w:ascii="Arial" w:cs="Arial" w:eastAsia="Arial" w:hAnsi="Arial"/>
                <w:sz w:val="17"/>
                <w:szCs w:val="17"/>
                <w:color w:val="373535"/>
              </w:rPr>
              <w:t>86,951</w:t>
            </w:r>
          </w:p>
        </w:tc>
        <w:tc>
          <w:tcPr>
            <w:tcW w:w="1540" w:type="dxa"/>
            <w:vAlign w:val="bottom"/>
          </w:tcPr>
          <w:p>
            <w:pPr>
              <w:jc w:val="right"/>
              <w:ind w:right="155"/>
              <w:spacing w:after="0"/>
              <w:rPr>
                <w:sz w:val="20"/>
                <w:szCs w:val="20"/>
                <w:color w:val="auto"/>
              </w:rPr>
            </w:pPr>
            <w:r>
              <w:rPr>
                <w:rFonts w:ascii="Arial" w:cs="Arial" w:eastAsia="Arial" w:hAnsi="Arial"/>
                <w:sz w:val="17"/>
                <w:szCs w:val="17"/>
                <w:color w:val="373535"/>
              </w:rPr>
              <w:t>79,963</w:t>
            </w:r>
          </w:p>
        </w:tc>
        <w:tc>
          <w:tcPr>
            <w:tcW w:w="1500" w:type="dxa"/>
            <w:vAlign w:val="bottom"/>
          </w:tcPr>
          <w:p>
            <w:pPr>
              <w:jc w:val="right"/>
              <w:ind w:right="75"/>
              <w:spacing w:after="0"/>
              <w:rPr>
                <w:sz w:val="20"/>
                <w:szCs w:val="20"/>
                <w:color w:val="auto"/>
              </w:rPr>
            </w:pPr>
            <w:r>
              <w:rPr>
                <w:rFonts w:ascii="Arial" w:cs="Arial" w:eastAsia="Arial" w:hAnsi="Arial"/>
                <w:sz w:val="17"/>
                <w:szCs w:val="17"/>
                <w:color w:val="373535"/>
              </w:rPr>
              <w:t>—</w:t>
            </w:r>
          </w:p>
        </w:tc>
        <w:tc>
          <w:tcPr>
            <w:tcW w:w="1460" w:type="dxa"/>
            <w:vAlign w:val="bottom"/>
            <w:gridSpan w:val="2"/>
          </w:tcPr>
          <w:p>
            <w:pPr>
              <w:jc w:val="right"/>
              <w:ind w:right="140"/>
              <w:spacing w:after="0"/>
              <w:rPr>
                <w:sz w:val="20"/>
                <w:szCs w:val="20"/>
                <w:color w:val="auto"/>
              </w:rPr>
            </w:pPr>
            <w:r>
              <w:rPr>
                <w:rFonts w:ascii="Arial" w:cs="Arial" w:eastAsia="Arial" w:hAnsi="Arial"/>
                <w:sz w:val="17"/>
                <w:szCs w:val="17"/>
                <w:color w:val="373535"/>
              </w:rPr>
              <w:t>—</w:t>
            </w:r>
          </w:p>
        </w:tc>
        <w:tc>
          <w:tcPr>
            <w:tcW w:w="0" w:type="dxa"/>
            <w:vAlign w:val="bottom"/>
          </w:tcPr>
          <w:p>
            <w:pPr>
              <w:spacing w:after="0"/>
              <w:rPr>
                <w:sz w:val="1"/>
                <w:szCs w:val="1"/>
                <w:color w:val="auto"/>
              </w:rPr>
            </w:pPr>
          </w:p>
        </w:tc>
      </w:tr>
      <w:tr>
        <w:trPr>
          <w:trHeight w:val="207"/>
        </w:trPr>
        <w:tc>
          <w:tcPr>
            <w:tcW w:w="5080" w:type="dxa"/>
            <w:vAlign w:val="bottom"/>
            <w:gridSpan w:val="2"/>
          </w:tcPr>
          <w:p>
            <w:pPr>
              <w:spacing w:after="0"/>
              <w:rPr>
                <w:sz w:val="20"/>
                <w:szCs w:val="20"/>
                <w:color w:val="auto"/>
              </w:rPr>
            </w:pPr>
            <w:r>
              <w:rPr>
                <w:rFonts w:ascii="Arial" w:cs="Arial" w:eastAsia="Arial" w:hAnsi="Arial"/>
                <w:sz w:val="17"/>
                <w:szCs w:val="17"/>
                <w:color w:val="373535"/>
              </w:rPr>
              <w:t>Shares Subject to Holding Period as of</w:t>
            </w:r>
          </w:p>
        </w:tc>
        <w:tc>
          <w:tcPr>
            <w:tcW w:w="18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ind w:left="140"/>
              <w:spacing w:after="0" w:line="194" w:lineRule="exact"/>
              <w:rPr>
                <w:sz w:val="20"/>
                <w:szCs w:val="20"/>
                <w:color w:val="auto"/>
              </w:rPr>
            </w:pPr>
            <w:r>
              <w:rPr>
                <w:rFonts w:ascii="Arial" w:cs="Arial" w:eastAsia="Arial" w:hAnsi="Arial"/>
                <w:sz w:val="17"/>
                <w:szCs w:val="17"/>
                <w:color w:val="373535"/>
              </w:rPr>
              <w:t>December 31, 2013</w:t>
            </w:r>
          </w:p>
        </w:tc>
        <w:tc>
          <w:tcPr>
            <w:tcW w:w="1840" w:type="dxa"/>
            <w:vAlign w:val="bottom"/>
          </w:tcPr>
          <w:p>
            <w:pPr>
              <w:jc w:val="right"/>
              <w:ind w:right="215"/>
              <w:spacing w:after="0" w:line="194" w:lineRule="exact"/>
              <w:rPr>
                <w:sz w:val="20"/>
                <w:szCs w:val="20"/>
                <w:color w:val="auto"/>
              </w:rPr>
            </w:pPr>
            <w:r>
              <w:rPr>
                <w:rFonts w:ascii="Arial" w:cs="Arial" w:eastAsia="Arial" w:hAnsi="Arial"/>
                <w:sz w:val="17"/>
                <w:szCs w:val="17"/>
                <w:color w:val="373535"/>
              </w:rPr>
              <w:t>—</w:t>
            </w:r>
          </w:p>
        </w:tc>
        <w:tc>
          <w:tcPr>
            <w:tcW w:w="1540" w:type="dxa"/>
            <w:vAlign w:val="bottom"/>
          </w:tcPr>
          <w:p>
            <w:pPr>
              <w:jc w:val="right"/>
              <w:ind w:right="155"/>
              <w:spacing w:after="0" w:line="194" w:lineRule="exact"/>
              <w:rPr>
                <w:sz w:val="20"/>
                <w:szCs w:val="20"/>
                <w:color w:val="auto"/>
              </w:rPr>
            </w:pPr>
            <w:r>
              <w:rPr>
                <w:rFonts w:ascii="Arial" w:cs="Arial" w:eastAsia="Arial" w:hAnsi="Arial"/>
                <w:sz w:val="17"/>
                <w:szCs w:val="17"/>
                <w:color w:val="373535"/>
              </w:rPr>
              <w:t>72,843</w:t>
            </w: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373535"/>
              </w:rPr>
              <w:t>—</w:t>
            </w:r>
          </w:p>
        </w:tc>
        <w:tc>
          <w:tcPr>
            <w:tcW w:w="1320" w:type="dxa"/>
            <w:vAlign w:val="bottom"/>
          </w:tcPr>
          <w:p>
            <w:pPr>
              <w:jc w:val="right"/>
              <w:spacing w:after="0" w:line="194" w:lineRule="exact"/>
              <w:rPr>
                <w:sz w:val="20"/>
                <w:szCs w:val="20"/>
                <w:color w:val="auto"/>
              </w:rPr>
            </w:pPr>
            <w:r>
              <w:rPr>
                <w:rFonts w:ascii="Arial" w:cs="Arial" w:eastAsia="Arial" w:hAnsi="Arial"/>
                <w:sz w:val="17"/>
                <w:szCs w:val="17"/>
                <w:color w:val="373535"/>
              </w:rPr>
              <w:t>210,091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0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 of the Target Performance Level based on the</w:t>
            </w:r>
          </w:p>
        </w:tc>
        <w:tc>
          <w:tcPr>
            <w:tcW w:w="1840" w:type="dxa"/>
            <w:vAlign w:val="bottom"/>
            <w:tcBorders>
              <w:top w:val="single" w:sz="8" w:color="717073"/>
            </w:tcBorders>
          </w:tcPr>
          <w:p>
            <w:pPr>
              <w:spacing w:after="0"/>
              <w:rPr>
                <w:sz w:val="16"/>
                <w:szCs w:val="16"/>
                <w:color w:val="auto"/>
              </w:rPr>
            </w:pPr>
          </w:p>
        </w:tc>
        <w:tc>
          <w:tcPr>
            <w:tcW w:w="1540" w:type="dxa"/>
            <w:vAlign w:val="bottom"/>
            <w:tcBorders>
              <w:top w:val="single" w:sz="8" w:color="717073"/>
            </w:tcBorders>
          </w:tcPr>
          <w:p>
            <w:pPr>
              <w:spacing w:after="0"/>
              <w:rPr>
                <w:sz w:val="16"/>
                <w:szCs w:val="16"/>
                <w:color w:val="auto"/>
              </w:rPr>
            </w:pPr>
          </w:p>
        </w:tc>
        <w:tc>
          <w:tcPr>
            <w:tcW w:w="1500" w:type="dxa"/>
            <w:vAlign w:val="bottom"/>
            <w:tcBorders>
              <w:top w:val="single" w:sz="8" w:color="717073"/>
            </w:tcBorders>
          </w:tcPr>
          <w:p>
            <w:pPr>
              <w:spacing w:after="0"/>
              <w:rPr>
                <w:sz w:val="16"/>
                <w:szCs w:val="16"/>
                <w:color w:val="auto"/>
              </w:rPr>
            </w:pPr>
          </w:p>
        </w:tc>
        <w:tc>
          <w:tcPr>
            <w:tcW w:w="1320" w:type="dxa"/>
            <w:vAlign w:val="bottom"/>
            <w:tcBorders>
              <w:top w:val="single" w:sz="8" w:color="717073"/>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ind w:left="140"/>
              <w:spacing w:after="0" w:line="194" w:lineRule="exact"/>
              <w:rPr>
                <w:sz w:val="20"/>
                <w:szCs w:val="20"/>
                <w:color w:val="auto"/>
              </w:rPr>
            </w:pPr>
            <w:r>
              <w:rPr>
                <w:rFonts w:ascii="Arial" w:cs="Arial" w:eastAsia="Arial" w:hAnsi="Arial"/>
                <w:sz w:val="17"/>
                <w:szCs w:val="17"/>
                <w:color w:val="373535"/>
              </w:rPr>
              <w:t>Current/Expected Average Operating Profit Margin over the</w:t>
            </w:r>
          </w:p>
        </w:tc>
        <w:tc>
          <w:tcPr>
            <w:tcW w:w="18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7"/>
                <w:szCs w:val="17"/>
                <w:color w:val="373535"/>
              </w:rPr>
              <w:t>140%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Pr>
          <w:p>
            <w:pPr>
              <w:ind w:left="140"/>
              <w:spacing w:after="0" w:line="194" w:lineRule="exact"/>
              <w:rPr>
                <w:sz w:val="20"/>
                <w:szCs w:val="20"/>
                <w:color w:val="auto"/>
              </w:rPr>
            </w:pPr>
            <w:r>
              <w:rPr>
                <w:rFonts w:ascii="Arial" w:cs="Arial" w:eastAsia="Arial" w:hAnsi="Arial"/>
                <w:sz w:val="17"/>
                <w:szCs w:val="17"/>
                <w:color w:val="373535"/>
              </w:rPr>
              <w:t>Performance Period</w:t>
            </w:r>
          </w:p>
        </w:tc>
        <w:tc>
          <w:tcPr>
            <w:tcW w:w="184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158%</w:t>
            </w:r>
          </w:p>
        </w:tc>
        <w:tc>
          <w:tcPr>
            <w:tcW w:w="1540" w:type="dxa"/>
            <w:vAlign w:val="bottom"/>
          </w:tcPr>
          <w:p>
            <w:pPr>
              <w:jc w:val="right"/>
              <w:ind w:right="15"/>
              <w:spacing w:after="0" w:line="194" w:lineRule="exact"/>
              <w:rPr>
                <w:sz w:val="20"/>
                <w:szCs w:val="20"/>
                <w:color w:val="auto"/>
              </w:rPr>
            </w:pPr>
            <w:r>
              <w:rPr>
                <w:rFonts w:ascii="Arial" w:cs="Arial" w:eastAsia="Arial" w:hAnsi="Arial"/>
                <w:sz w:val="17"/>
                <w:szCs w:val="17"/>
                <w:color w:val="373535"/>
              </w:rPr>
              <w:t>96%</w:t>
            </w:r>
          </w:p>
        </w:tc>
        <w:tc>
          <w:tcPr>
            <w:tcW w:w="1500" w:type="dxa"/>
            <w:vAlign w:val="bottom"/>
          </w:tcPr>
          <w:p>
            <w:pPr>
              <w:jc w:val="right"/>
              <w:ind w:right="75"/>
              <w:spacing w:after="0" w:line="194" w:lineRule="exact"/>
              <w:rPr>
                <w:sz w:val="20"/>
                <w:szCs w:val="20"/>
                <w:color w:val="auto"/>
              </w:rPr>
            </w:pPr>
            <w:r>
              <w:rPr>
                <w:rFonts w:ascii="Arial" w:cs="Arial" w:eastAsia="Arial" w:hAnsi="Arial"/>
                <w:sz w:val="17"/>
                <w:szCs w:val="17"/>
                <w:color w:val="373535"/>
              </w:rPr>
              <w:t>—</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shd w:val="clear" w:color="auto" w:fill="717073"/>
          </w:tcPr>
          <w:p>
            <w:pPr>
              <w:spacing w:after="0" w:line="20" w:lineRule="exact"/>
              <w:rPr>
                <w:sz w:val="1"/>
                <w:szCs w:val="1"/>
                <w:color w:val="auto"/>
              </w:rPr>
            </w:pPr>
          </w:p>
        </w:tc>
        <w:tc>
          <w:tcPr>
            <w:tcW w:w="1840" w:type="dxa"/>
            <w:vAlign w:val="bottom"/>
            <w:shd w:val="clear" w:color="auto" w:fill="717073"/>
          </w:tcPr>
          <w:p>
            <w:pPr>
              <w:spacing w:after="0" w:line="20" w:lineRule="exact"/>
              <w:rPr>
                <w:sz w:val="1"/>
                <w:szCs w:val="1"/>
                <w:color w:val="auto"/>
              </w:rPr>
            </w:pPr>
          </w:p>
        </w:tc>
        <w:tc>
          <w:tcPr>
            <w:tcW w:w="1540" w:type="dxa"/>
            <w:vAlign w:val="bottom"/>
            <w:shd w:val="clear" w:color="auto" w:fill="717073"/>
          </w:tcPr>
          <w:p>
            <w:pPr>
              <w:spacing w:after="0" w:line="20" w:lineRule="exact"/>
              <w:rPr>
                <w:sz w:val="1"/>
                <w:szCs w:val="1"/>
                <w:color w:val="auto"/>
              </w:rPr>
            </w:pPr>
          </w:p>
        </w:tc>
        <w:tc>
          <w:tcPr>
            <w:tcW w:w="1500" w:type="dxa"/>
            <w:vAlign w:val="bottom"/>
            <w:shd w:val="clear" w:color="auto" w:fill="717073"/>
          </w:tcPr>
          <w:p>
            <w:pPr>
              <w:spacing w:after="0" w:line="20" w:lineRule="exact"/>
              <w:rPr>
                <w:sz w:val="1"/>
                <w:szCs w:val="1"/>
                <w:color w:val="auto"/>
              </w:rPr>
            </w:pPr>
          </w:p>
        </w:tc>
        <w:tc>
          <w:tcPr>
            <w:tcW w:w="1320" w:type="dxa"/>
            <w:vAlign w:val="bottom"/>
            <w:tcBorders>
              <w:right w:val="single" w:sz="8" w:color="717073"/>
            </w:tcBorders>
            <w:shd w:val="clear" w:color="auto" w:fill="71707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60" w:hanging="357"/>
        <w:spacing w:after="0" w:line="243" w:lineRule="auto"/>
        <w:tabs>
          <w:tab w:leader="none" w:pos="360" w:val="left"/>
        </w:tabs>
        <w:numPr>
          <w:ilvl w:val="0"/>
          <w:numId w:val="106"/>
        </w:numPr>
        <w:rPr>
          <w:rFonts w:ascii="Arial" w:cs="Arial" w:eastAsia="Arial" w:hAnsi="Arial"/>
          <w:sz w:val="17"/>
          <w:szCs w:val="17"/>
          <w:color w:val="373535"/>
        </w:rPr>
      </w:pPr>
      <w:r>
        <w:rPr>
          <w:rFonts w:ascii="Arial" w:cs="Arial" w:eastAsia="Arial" w:hAnsi="Arial"/>
          <w:sz w:val="17"/>
          <w:szCs w:val="17"/>
          <w:color w:val="373535"/>
        </w:rPr>
        <w:t>Included in these figures are 7,612 of performance share units that were granted on February 14, 2013 with a separate performance period, performance criteria and vesting date. The performance period is 2013 through 2015, with a vesting date of July 1, 2016. The award’s current performance level is at Target.</w:t>
      </w:r>
    </w:p>
    <w:p>
      <w:pPr>
        <w:spacing w:after="0" w:line="16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recognize and adjust compensation expense based on the likelihood of the performance criteria specified in the award being achieved. The compensation expense is recognized over the performance and holding periods and is recorded in selling and administrative expenses. We have recognized total compensation expense of $13.1, $9.6 and $11.3 in 2013, 2012 and 2011, respectively, related to the performance share units.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OTHER STOCK PLANS</w:t>
      </w:r>
    </w:p>
    <w:p>
      <w:pPr>
        <w:spacing w:after="0" w:line="8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Under the 1990 Employee Stock Purchase Plan, designated employees meeting certain service requirements may purchase shares of our common stock through payroll deductions. These shares may be purchased at their fair market value on a monthly basis. The current plan is non-compensatory according to the accounting guidance on share-based payments.</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also maintain the Savings Related Share Option Scheme for United Kingdom employees with at least one year of service. The employees are offered the opportunity to obtain an option for a specified number of shares of common stock at not less than 85% of its market value on the day prior to the offer to participate in the plan. Options vest after either three, five or seven years, but may lapse earlier. Funds used to purchase the shares are accumulated through specified payroll deductions over a 60-month period. We recognized an expense of $0.2 for shares purchased under the plan in 2013, 2012 and 2011.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76AD9A"/>
        </w:rPr>
        <w:t>04.</w:t>
      </w:r>
    </w:p>
    <w:p>
      <w:pPr>
        <w:spacing w:after="0"/>
        <w:rPr>
          <w:sz w:val="20"/>
          <w:szCs w:val="20"/>
          <w:color w:val="auto"/>
        </w:rPr>
      </w:pPr>
      <w:r>
        <w:rPr>
          <w:rFonts w:ascii="Arial" w:cs="Arial" w:eastAsia="Arial" w:hAnsi="Arial"/>
          <w:sz w:val="17"/>
          <w:szCs w:val="17"/>
          <w:color w:val="76AD9A"/>
        </w:rPr>
        <w:t>Net Earnings Per Share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373535"/>
        </w:rPr>
        <w:t>The calculation of net earnings per share — basic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60" w:type="dxa"/>
            <w:vAlign w:val="bottom"/>
            <w:gridSpan w:val="3"/>
          </w:tcPr>
          <w:p>
            <w:pPr>
              <w:spacing w:after="0"/>
              <w:rPr>
                <w:sz w:val="20"/>
                <w:szCs w:val="20"/>
                <w:color w:val="auto"/>
              </w:rPr>
            </w:pPr>
            <w:r>
              <w:rPr>
                <w:rFonts w:ascii="Arial" w:cs="Arial" w:eastAsia="Arial" w:hAnsi="Arial"/>
                <w:sz w:val="14"/>
                <w:szCs w:val="14"/>
                <w:color w:val="76AD9A"/>
              </w:rPr>
              <w:t>Year Ended December 31</w:t>
            </w:r>
          </w:p>
        </w:tc>
        <w:tc>
          <w:tcPr>
            <w:tcW w:w="340" w:type="dxa"/>
            <w:vAlign w:val="bottom"/>
            <w:shd w:val="clear" w:color="auto" w:fill="76AD9A"/>
          </w:tcPr>
          <w:p>
            <w:pPr>
              <w:spacing w:after="0"/>
              <w:rPr>
                <w:sz w:val="16"/>
                <w:szCs w:val="16"/>
                <w:color w:val="auto"/>
              </w:rPr>
            </w:pPr>
          </w:p>
        </w:tc>
        <w:tc>
          <w:tcPr>
            <w:tcW w:w="920" w:type="dxa"/>
            <w:vAlign w:val="bottom"/>
            <w:shd w:val="clear" w:color="auto" w:fill="76AD9A"/>
          </w:tcPr>
          <w:p>
            <w:pPr>
              <w:jc w:val="right"/>
              <w:ind w:right="38"/>
              <w:spacing w:after="0"/>
              <w:rPr>
                <w:sz w:val="20"/>
                <w:szCs w:val="20"/>
                <w:color w:val="auto"/>
              </w:rPr>
            </w:pPr>
            <w:r>
              <w:rPr>
                <w:rFonts w:ascii="Arial" w:cs="Arial" w:eastAsia="Arial" w:hAnsi="Arial"/>
                <w:sz w:val="14"/>
                <w:szCs w:val="14"/>
                <w:color w:val="EEF5F2"/>
              </w:rPr>
              <w:t>2013</w:t>
            </w:r>
          </w:p>
        </w:tc>
        <w:tc>
          <w:tcPr>
            <w:tcW w:w="580" w:type="dxa"/>
            <w:vAlign w:val="bottom"/>
          </w:tcPr>
          <w:p>
            <w:pPr>
              <w:spacing w:after="0"/>
              <w:rPr>
                <w:sz w:val="16"/>
                <w:szCs w:val="16"/>
                <w:color w:val="auto"/>
              </w:rPr>
            </w:pPr>
          </w:p>
        </w:tc>
        <w:tc>
          <w:tcPr>
            <w:tcW w:w="800" w:type="dxa"/>
            <w:vAlign w:val="bottom"/>
          </w:tcPr>
          <w:p>
            <w:pPr>
              <w:jc w:val="right"/>
              <w:ind w:right="38"/>
              <w:spacing w:after="0"/>
              <w:rPr>
                <w:sz w:val="20"/>
                <w:szCs w:val="20"/>
                <w:color w:val="auto"/>
              </w:rPr>
            </w:pPr>
            <w:r>
              <w:rPr>
                <w:rFonts w:ascii="Arial" w:cs="Arial" w:eastAsia="Arial" w:hAnsi="Arial"/>
                <w:sz w:val="14"/>
                <w:szCs w:val="14"/>
                <w:color w:val="76AD9A"/>
              </w:rPr>
              <w:t>2012</w:t>
            </w:r>
          </w:p>
        </w:tc>
        <w:tc>
          <w:tcPr>
            <w:tcW w:w="46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76AD9A"/>
              </w:rPr>
              <w:t>2011</w:t>
            </w:r>
          </w:p>
        </w:tc>
      </w:tr>
      <w:tr>
        <w:trPr>
          <w:trHeight w:val="186"/>
        </w:trPr>
        <w:tc>
          <w:tcPr>
            <w:tcW w:w="20" w:type="dxa"/>
            <w:vAlign w:val="bottom"/>
          </w:tcPr>
          <w:p>
            <w:pPr>
              <w:spacing w:after="0"/>
              <w:rPr>
                <w:sz w:val="16"/>
                <w:szCs w:val="16"/>
                <w:color w:val="auto"/>
              </w:rPr>
            </w:pPr>
          </w:p>
        </w:tc>
        <w:tc>
          <w:tcPr>
            <w:tcW w:w="7540" w:type="dxa"/>
            <w:vAlign w:val="bottom"/>
            <w:tcBorders>
              <w:top w:val="single" w:sz="8" w:color="76AD9A"/>
            </w:tcBorders>
            <w:gridSpan w:val="2"/>
          </w:tcPr>
          <w:p>
            <w:pPr>
              <w:spacing w:after="0" w:line="185" w:lineRule="exact"/>
              <w:rPr>
                <w:sz w:val="20"/>
                <w:szCs w:val="20"/>
                <w:color w:val="auto"/>
              </w:rPr>
            </w:pPr>
            <w:r>
              <w:rPr>
                <w:rFonts w:ascii="Arial" w:cs="Arial" w:eastAsia="Arial" w:hAnsi="Arial"/>
                <w:sz w:val="17"/>
                <w:szCs w:val="17"/>
                <w:color w:val="373535"/>
              </w:rPr>
              <w:t>Net earnings available to common shareholders</w:t>
            </w:r>
          </w:p>
        </w:tc>
        <w:tc>
          <w:tcPr>
            <w:tcW w:w="340" w:type="dxa"/>
            <w:vAlign w:val="bottom"/>
            <w:tcBorders>
              <w:top w:val="single" w:sz="8" w:color="76AD9A"/>
            </w:tcBorders>
            <w:shd w:val="clear" w:color="auto" w:fill="EEF5F2"/>
          </w:tcPr>
          <w:p>
            <w:pPr>
              <w:jc w:val="right"/>
              <w:ind w:right="34"/>
              <w:spacing w:after="0" w:line="185" w:lineRule="exact"/>
              <w:rPr>
                <w:sz w:val="20"/>
                <w:szCs w:val="20"/>
                <w:color w:val="auto"/>
              </w:rPr>
            </w:pPr>
            <w:r>
              <w:rPr>
                <w:rFonts w:ascii="Arial" w:cs="Arial" w:eastAsia="Arial" w:hAnsi="Arial"/>
                <w:sz w:val="17"/>
                <w:szCs w:val="17"/>
                <w:color w:val="76ADAE"/>
              </w:rPr>
              <w:t>$</w:t>
            </w:r>
          </w:p>
        </w:tc>
        <w:tc>
          <w:tcPr>
            <w:tcW w:w="920" w:type="dxa"/>
            <w:vAlign w:val="bottom"/>
            <w:tcBorders>
              <w:top w:val="single" w:sz="8" w:color="76AD9A"/>
            </w:tcBorders>
            <w:shd w:val="clear" w:color="auto" w:fill="EEF5F2"/>
          </w:tcPr>
          <w:p>
            <w:pPr>
              <w:jc w:val="right"/>
              <w:ind w:right="38"/>
              <w:spacing w:after="0" w:line="185" w:lineRule="exact"/>
              <w:rPr>
                <w:sz w:val="20"/>
                <w:szCs w:val="20"/>
                <w:color w:val="auto"/>
              </w:rPr>
            </w:pPr>
            <w:r>
              <w:rPr>
                <w:rFonts w:ascii="Arial" w:cs="Arial" w:eastAsia="Arial" w:hAnsi="Arial"/>
                <w:sz w:val="17"/>
                <w:szCs w:val="17"/>
                <w:color w:val="76ADAE"/>
              </w:rPr>
              <w:t>288.0</w:t>
            </w:r>
          </w:p>
        </w:tc>
        <w:tc>
          <w:tcPr>
            <w:tcW w:w="580" w:type="dxa"/>
            <w:vAlign w:val="bottom"/>
            <w:tcBorders>
              <w:top w:val="single" w:sz="8" w:color="76AD9A"/>
            </w:tcBorders>
          </w:tcPr>
          <w:p>
            <w:pPr>
              <w:jc w:val="right"/>
              <w:ind w:right="174"/>
              <w:spacing w:after="0" w:line="185"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6AD9A"/>
            </w:tcBorders>
          </w:tcPr>
          <w:p>
            <w:pPr>
              <w:jc w:val="right"/>
              <w:ind w:right="38"/>
              <w:spacing w:after="0" w:line="185" w:lineRule="exact"/>
              <w:rPr>
                <w:sz w:val="20"/>
                <w:szCs w:val="20"/>
                <w:color w:val="auto"/>
              </w:rPr>
            </w:pPr>
            <w:r>
              <w:rPr>
                <w:rFonts w:ascii="Arial" w:cs="Arial" w:eastAsia="Arial" w:hAnsi="Arial"/>
                <w:sz w:val="17"/>
                <w:szCs w:val="17"/>
                <w:color w:val="373535"/>
              </w:rPr>
              <w:t>197.6</w:t>
            </w:r>
          </w:p>
        </w:tc>
        <w:tc>
          <w:tcPr>
            <w:tcW w:w="46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66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251.6</w:t>
            </w:r>
          </w:p>
        </w:tc>
        <w:tc>
          <w:tcPr>
            <w:tcW w:w="100" w:type="dxa"/>
            <w:vAlign w:val="bottom"/>
          </w:tcPr>
          <w:p>
            <w:pPr>
              <w:spacing w:after="0"/>
              <w:rPr>
                <w:sz w:val="16"/>
                <w:szCs w:val="16"/>
                <w:color w:val="auto"/>
              </w:rPr>
            </w:pPr>
          </w:p>
        </w:tc>
      </w:tr>
      <w:tr>
        <w:trPr>
          <w:trHeight w:val="194"/>
        </w:trPr>
        <w:tc>
          <w:tcPr>
            <w:tcW w:w="7560" w:type="dxa"/>
            <w:vAlign w:val="bottom"/>
            <w:gridSpan w:val="3"/>
          </w:tcPr>
          <w:p>
            <w:pPr>
              <w:spacing w:after="0" w:line="194" w:lineRule="exact"/>
              <w:rPr>
                <w:sz w:val="20"/>
                <w:szCs w:val="20"/>
                <w:color w:val="auto"/>
              </w:rPr>
            </w:pPr>
            <w:r>
              <w:rPr>
                <w:rFonts w:ascii="Arial" w:cs="Arial" w:eastAsia="Arial" w:hAnsi="Arial"/>
                <w:sz w:val="17"/>
                <w:szCs w:val="17"/>
                <w:color w:val="373535"/>
              </w:rPr>
              <w:t>Weighted-average common shares outstanding (in millions)</w:t>
            </w:r>
          </w:p>
        </w:tc>
        <w:tc>
          <w:tcPr>
            <w:tcW w:w="340" w:type="dxa"/>
            <w:vAlign w:val="bottom"/>
            <w:shd w:val="clear" w:color="auto" w:fill="EEF5F2"/>
          </w:tcPr>
          <w:p>
            <w:pPr>
              <w:spacing w:after="0"/>
              <w:rPr>
                <w:sz w:val="16"/>
                <w:szCs w:val="16"/>
                <w:color w:val="auto"/>
              </w:rPr>
            </w:pPr>
          </w:p>
        </w:tc>
        <w:tc>
          <w:tcPr>
            <w:tcW w:w="920" w:type="dxa"/>
            <w:vAlign w:val="bottom"/>
            <w:shd w:val="clear" w:color="auto" w:fill="EEF5F2"/>
          </w:tcPr>
          <w:p>
            <w:pPr>
              <w:jc w:val="right"/>
              <w:ind w:right="38"/>
              <w:spacing w:after="0" w:line="194" w:lineRule="exact"/>
              <w:rPr>
                <w:sz w:val="20"/>
                <w:szCs w:val="20"/>
                <w:color w:val="auto"/>
              </w:rPr>
            </w:pPr>
            <w:r>
              <w:rPr>
                <w:rFonts w:ascii="Arial" w:cs="Arial" w:eastAsia="Arial" w:hAnsi="Arial"/>
                <w:sz w:val="17"/>
                <w:szCs w:val="17"/>
                <w:color w:val="76ADAE"/>
              </w:rPr>
              <w:t>78.0</w:t>
            </w:r>
          </w:p>
        </w:tc>
        <w:tc>
          <w:tcPr>
            <w:tcW w:w="580" w:type="dxa"/>
            <w:vAlign w:val="bottom"/>
          </w:tcPr>
          <w:p>
            <w:pPr>
              <w:spacing w:after="0"/>
              <w:rPr>
                <w:sz w:val="16"/>
                <w:szCs w:val="16"/>
                <w:color w:val="auto"/>
              </w:rPr>
            </w:pPr>
          </w:p>
        </w:tc>
        <w:tc>
          <w:tcPr>
            <w:tcW w:w="800" w:type="dxa"/>
            <w:vAlign w:val="bottom"/>
          </w:tcPr>
          <w:p>
            <w:pPr>
              <w:jc w:val="right"/>
              <w:ind w:right="38"/>
              <w:spacing w:after="0" w:line="194" w:lineRule="exact"/>
              <w:rPr>
                <w:sz w:val="20"/>
                <w:szCs w:val="20"/>
                <w:color w:val="auto"/>
              </w:rPr>
            </w:pPr>
            <w:r>
              <w:rPr>
                <w:rFonts w:ascii="Arial" w:cs="Arial" w:eastAsia="Arial" w:hAnsi="Arial"/>
                <w:sz w:val="17"/>
                <w:szCs w:val="17"/>
                <w:color w:val="373535"/>
              </w:rPr>
              <w:t>79.5</w:t>
            </w:r>
          </w:p>
        </w:tc>
        <w:tc>
          <w:tcPr>
            <w:tcW w:w="460" w:type="dxa"/>
            <w:vAlign w:val="bottom"/>
          </w:tcPr>
          <w:p>
            <w:pPr>
              <w:spacing w:after="0"/>
              <w:rPr>
                <w:sz w:val="16"/>
                <w:szCs w:val="16"/>
                <w:color w:val="auto"/>
              </w:rPr>
            </w:pPr>
          </w:p>
        </w:tc>
        <w:tc>
          <w:tcPr>
            <w:tcW w:w="76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373535"/>
              </w:rPr>
              <w:t>81.6</w:t>
            </w:r>
          </w:p>
        </w:tc>
      </w:tr>
      <w:tr>
        <w:trPr>
          <w:trHeight w:val="206"/>
        </w:trPr>
        <w:tc>
          <w:tcPr>
            <w:tcW w:w="7560" w:type="dxa"/>
            <w:vAlign w:val="bottom"/>
            <w:gridSpan w:val="3"/>
          </w:tcPr>
          <w:p>
            <w:pPr>
              <w:spacing w:after="0"/>
              <w:rPr>
                <w:sz w:val="20"/>
                <w:szCs w:val="20"/>
                <w:color w:val="auto"/>
              </w:rPr>
            </w:pPr>
            <w:r>
              <w:rPr>
                <w:rFonts w:ascii="Arial" w:cs="Arial" w:eastAsia="Arial" w:hAnsi="Arial"/>
                <w:sz w:val="17"/>
                <w:szCs w:val="17"/>
                <w:color w:val="373535"/>
              </w:rPr>
              <w:t>Net earnings per share — basic</w:t>
            </w:r>
          </w:p>
        </w:tc>
        <w:tc>
          <w:tcPr>
            <w:tcW w:w="340" w:type="dxa"/>
            <w:vAlign w:val="bottom"/>
            <w:shd w:val="clear" w:color="auto" w:fill="EEF5F2"/>
          </w:tcPr>
          <w:p>
            <w:pPr>
              <w:jc w:val="right"/>
              <w:ind w:right="34"/>
              <w:spacing w:after="0"/>
              <w:rPr>
                <w:sz w:val="20"/>
                <w:szCs w:val="20"/>
                <w:color w:val="auto"/>
              </w:rPr>
            </w:pPr>
            <w:r>
              <w:rPr>
                <w:rFonts w:ascii="Arial" w:cs="Arial" w:eastAsia="Arial" w:hAnsi="Arial"/>
                <w:sz w:val="17"/>
                <w:szCs w:val="17"/>
                <w:color w:val="76ADAE"/>
              </w:rPr>
              <w:t>$</w:t>
            </w:r>
          </w:p>
        </w:tc>
        <w:tc>
          <w:tcPr>
            <w:tcW w:w="920" w:type="dxa"/>
            <w:vAlign w:val="bottom"/>
            <w:shd w:val="clear" w:color="auto" w:fill="EEF5F2"/>
          </w:tcPr>
          <w:p>
            <w:pPr>
              <w:jc w:val="right"/>
              <w:ind w:right="38"/>
              <w:spacing w:after="0"/>
              <w:rPr>
                <w:sz w:val="20"/>
                <w:szCs w:val="20"/>
                <w:color w:val="auto"/>
              </w:rPr>
            </w:pPr>
            <w:r>
              <w:rPr>
                <w:rFonts w:ascii="Arial" w:cs="Arial" w:eastAsia="Arial" w:hAnsi="Arial"/>
                <w:sz w:val="17"/>
                <w:szCs w:val="17"/>
                <w:color w:val="76ADAE"/>
              </w:rPr>
              <w:t>3.69</w:t>
            </w:r>
          </w:p>
        </w:tc>
        <w:tc>
          <w:tcPr>
            <w:tcW w:w="580" w:type="dxa"/>
            <w:vAlign w:val="bottom"/>
          </w:tcPr>
          <w:p>
            <w:pPr>
              <w:jc w:val="right"/>
              <w:ind w:right="174"/>
              <w:spacing w:after="0"/>
              <w:rPr>
                <w:sz w:val="20"/>
                <w:szCs w:val="20"/>
                <w:color w:val="auto"/>
              </w:rPr>
            </w:pPr>
            <w:r>
              <w:rPr>
                <w:rFonts w:ascii="Arial" w:cs="Arial" w:eastAsia="Arial" w:hAnsi="Arial"/>
                <w:sz w:val="17"/>
                <w:szCs w:val="17"/>
                <w:color w:val="373535"/>
              </w:rPr>
              <w:t>$</w:t>
            </w:r>
          </w:p>
        </w:tc>
        <w:tc>
          <w:tcPr>
            <w:tcW w:w="800" w:type="dxa"/>
            <w:vAlign w:val="bottom"/>
          </w:tcPr>
          <w:p>
            <w:pPr>
              <w:jc w:val="right"/>
              <w:ind w:right="38"/>
              <w:spacing w:after="0"/>
              <w:rPr>
                <w:sz w:val="20"/>
                <w:szCs w:val="20"/>
                <w:color w:val="auto"/>
              </w:rPr>
            </w:pPr>
            <w:r>
              <w:rPr>
                <w:rFonts w:ascii="Arial" w:cs="Arial" w:eastAsia="Arial" w:hAnsi="Arial"/>
                <w:sz w:val="17"/>
                <w:szCs w:val="17"/>
                <w:color w:val="373535"/>
              </w:rPr>
              <w:t>2.49</w:t>
            </w:r>
          </w:p>
        </w:tc>
        <w:tc>
          <w:tcPr>
            <w:tcW w:w="460" w:type="dxa"/>
            <w:vAlign w:val="bottom"/>
          </w:tcPr>
          <w:p>
            <w:pPr>
              <w:jc w:val="right"/>
              <w:ind w:right="154"/>
              <w:spacing w:after="0"/>
              <w:rPr>
                <w:sz w:val="20"/>
                <w:szCs w:val="20"/>
                <w:color w:val="auto"/>
              </w:rPr>
            </w:pPr>
            <w:r>
              <w:rPr>
                <w:rFonts w:ascii="Arial" w:cs="Arial" w:eastAsia="Arial" w:hAnsi="Arial"/>
                <w:sz w:val="17"/>
                <w:szCs w:val="17"/>
                <w:color w:val="373535"/>
              </w:rPr>
              <w:t>$</w:t>
            </w: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373535"/>
              </w:rPr>
              <w:t>3.08</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717073"/>
          </w:tcPr>
          <w:p>
            <w:pPr>
              <w:spacing w:after="0" w:line="20" w:lineRule="exact"/>
              <w:rPr>
                <w:sz w:val="1"/>
                <w:szCs w:val="1"/>
                <w:color w:val="auto"/>
              </w:rPr>
            </w:pPr>
          </w:p>
        </w:tc>
        <w:tc>
          <w:tcPr>
            <w:tcW w:w="7180" w:type="dxa"/>
            <w:vAlign w:val="bottom"/>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920" w:type="dxa"/>
            <w:vAlign w:val="bottom"/>
            <w:shd w:val="clear" w:color="auto" w:fill="717073"/>
          </w:tcPr>
          <w:p>
            <w:pPr>
              <w:spacing w:after="0" w:line="20" w:lineRule="exact"/>
              <w:rPr>
                <w:sz w:val="1"/>
                <w:szCs w:val="1"/>
                <w:color w:val="auto"/>
              </w:rPr>
            </w:pPr>
          </w:p>
        </w:tc>
        <w:tc>
          <w:tcPr>
            <w:tcW w:w="580" w:type="dxa"/>
            <w:vAlign w:val="bottom"/>
            <w:shd w:val="clear" w:color="auto" w:fill="717073"/>
          </w:tcPr>
          <w:p>
            <w:pPr>
              <w:spacing w:after="0" w:line="20" w:lineRule="exact"/>
              <w:rPr>
                <w:sz w:val="1"/>
                <w:szCs w:val="1"/>
                <w:color w:val="auto"/>
              </w:rPr>
            </w:pPr>
          </w:p>
        </w:tc>
        <w:tc>
          <w:tcPr>
            <w:tcW w:w="80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660" w:type="dxa"/>
            <w:vAlign w:val="bottom"/>
            <w:shd w:val="clear" w:color="auto" w:fill="71707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6"/>
        </w:trPr>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66</w:t>
            </w:r>
          </w:p>
        </w:tc>
        <w:tc>
          <w:tcPr>
            <w:tcW w:w="7180" w:type="dxa"/>
            <w:vAlign w:val="bottom"/>
          </w:tcPr>
          <w:p>
            <w:pPr>
              <w:ind w:left="200"/>
              <w:spacing w:after="0"/>
              <w:rPr>
                <w:sz w:val="20"/>
                <w:szCs w:val="20"/>
                <w:color w:val="auto"/>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718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8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color w:val="373535"/>
        </w:rPr>
        <w:t>The calculation of net earnings per share — diluted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4"/>
                <w:szCs w:val="14"/>
                <w:color w:val="auto"/>
              </w:rPr>
            </w:pPr>
          </w:p>
        </w:tc>
        <w:tc>
          <w:tcPr>
            <w:tcW w:w="240" w:type="dxa"/>
            <w:vAlign w:val="bottom"/>
            <w:shd w:val="clear" w:color="auto" w:fill="76AD9A"/>
          </w:tcPr>
          <w:p>
            <w:pPr>
              <w:spacing w:after="0"/>
              <w:rPr>
                <w:sz w:val="14"/>
                <w:szCs w:val="14"/>
                <w:color w:val="auto"/>
              </w:rPr>
            </w:pPr>
          </w:p>
        </w:tc>
        <w:tc>
          <w:tcPr>
            <w:tcW w:w="800" w:type="dxa"/>
            <w:vAlign w:val="bottom"/>
            <w:gridSpan w:val="2"/>
            <w:shd w:val="clear" w:color="auto" w:fill="76AD9A"/>
          </w:tcPr>
          <w:p>
            <w:pPr>
              <w:jc w:val="right"/>
              <w:ind w:right="120"/>
              <w:spacing w:after="0"/>
              <w:rPr>
                <w:sz w:val="20"/>
                <w:szCs w:val="20"/>
                <w:color w:val="auto"/>
              </w:rPr>
            </w:pPr>
            <w:r>
              <w:rPr>
                <w:rFonts w:ascii="Arial" w:cs="Arial" w:eastAsia="Arial" w:hAnsi="Arial"/>
                <w:sz w:val="14"/>
                <w:szCs w:val="14"/>
                <w:color w:val="EEF5F2"/>
              </w:rPr>
              <w:t>2013</w:t>
            </w:r>
          </w:p>
        </w:tc>
        <w:tc>
          <w:tcPr>
            <w:tcW w:w="58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Arial" w:cs="Arial" w:eastAsia="Arial" w:hAnsi="Arial"/>
                <w:sz w:val="14"/>
                <w:szCs w:val="14"/>
                <w:color w:val="76AD9A"/>
              </w:rPr>
              <w:t>2012</w:t>
            </w:r>
          </w:p>
        </w:tc>
        <w:tc>
          <w:tcPr>
            <w:tcW w:w="46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r>
      <w:tr>
        <w:trPr>
          <w:trHeight w:val="186"/>
        </w:trPr>
        <w:tc>
          <w:tcPr>
            <w:tcW w:w="20" w:type="dxa"/>
            <w:vAlign w:val="bottom"/>
          </w:tcPr>
          <w:p>
            <w:pPr>
              <w:spacing w:after="0"/>
              <w:rPr>
                <w:sz w:val="16"/>
                <w:szCs w:val="16"/>
                <w:color w:val="auto"/>
              </w:rPr>
            </w:pPr>
          </w:p>
        </w:tc>
        <w:tc>
          <w:tcPr>
            <w:tcW w:w="75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Net earnings available to common shareholders</w:t>
            </w:r>
          </w:p>
        </w:tc>
        <w:tc>
          <w:tcPr>
            <w:tcW w:w="220" w:type="dxa"/>
            <w:vAlign w:val="bottom"/>
            <w:tcBorders>
              <w:top w:val="single" w:sz="8" w:color="EEF5F2"/>
            </w:tcBorders>
            <w:shd w:val="clear" w:color="auto" w:fill="EEF5F2"/>
          </w:tcPr>
          <w:p>
            <w:pPr>
              <w:jc w:val="right"/>
              <w:spacing w:after="0" w:line="185" w:lineRule="exact"/>
              <w:rPr>
                <w:sz w:val="20"/>
                <w:szCs w:val="20"/>
                <w:color w:val="auto"/>
              </w:rPr>
            </w:pPr>
            <w:r>
              <w:rPr>
                <w:rFonts w:ascii="Arial" w:cs="Arial" w:eastAsia="Arial" w:hAnsi="Arial"/>
                <w:sz w:val="17"/>
                <w:szCs w:val="17"/>
                <w:color w:val="76ADAE"/>
              </w:rPr>
              <w:t>$</w:t>
            </w:r>
          </w:p>
        </w:tc>
        <w:tc>
          <w:tcPr>
            <w:tcW w:w="240" w:type="dxa"/>
            <w:vAlign w:val="bottom"/>
            <w:tcBorders>
              <w:top w:val="single" w:sz="8" w:color="EEF5F2"/>
            </w:tcBorders>
            <w:shd w:val="clear" w:color="auto" w:fill="EEF5F2"/>
          </w:tcPr>
          <w:p>
            <w:pPr>
              <w:spacing w:after="0"/>
              <w:rPr>
                <w:sz w:val="16"/>
                <w:szCs w:val="16"/>
                <w:color w:val="auto"/>
              </w:rPr>
            </w:pPr>
          </w:p>
        </w:tc>
        <w:tc>
          <w:tcPr>
            <w:tcW w:w="680" w:type="dxa"/>
            <w:vAlign w:val="bottom"/>
            <w:tcBorders>
              <w:top w:val="single" w:sz="8" w:color="EEF5F2"/>
            </w:tcBorders>
            <w:shd w:val="clear" w:color="auto" w:fill="EEF5F2"/>
          </w:tcPr>
          <w:p>
            <w:pPr>
              <w:jc w:val="right"/>
              <w:spacing w:after="0" w:line="185" w:lineRule="exact"/>
              <w:rPr>
                <w:sz w:val="20"/>
                <w:szCs w:val="20"/>
                <w:color w:val="auto"/>
              </w:rPr>
            </w:pPr>
            <w:r>
              <w:rPr>
                <w:rFonts w:ascii="Arial" w:cs="Arial" w:eastAsia="Arial" w:hAnsi="Arial"/>
                <w:sz w:val="17"/>
                <w:szCs w:val="17"/>
                <w:color w:val="76ADAE"/>
              </w:rPr>
              <w:t>288.0</w:t>
            </w:r>
          </w:p>
        </w:tc>
        <w:tc>
          <w:tcPr>
            <w:tcW w:w="120" w:type="dxa"/>
            <w:vAlign w:val="bottom"/>
            <w:tcBorders>
              <w:top w:val="single" w:sz="8" w:color="76AD9A"/>
            </w:tcBorders>
            <w:shd w:val="clear" w:color="auto" w:fill="EEF5F2"/>
          </w:tcPr>
          <w:p>
            <w:pPr>
              <w:spacing w:after="0"/>
              <w:rPr>
                <w:sz w:val="16"/>
                <w:szCs w:val="16"/>
                <w:color w:val="auto"/>
              </w:rPr>
            </w:pPr>
          </w:p>
        </w:tc>
        <w:tc>
          <w:tcPr>
            <w:tcW w:w="580" w:type="dxa"/>
            <w:vAlign w:val="bottom"/>
            <w:tcBorders>
              <w:top w:val="single" w:sz="8" w:color="76AD9A"/>
            </w:tcBorders>
          </w:tcPr>
          <w:p>
            <w:pPr>
              <w:jc w:val="right"/>
              <w:ind w:right="174"/>
              <w:spacing w:after="0" w:line="185"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6AD9A"/>
            </w:tcBorders>
          </w:tcPr>
          <w:p>
            <w:pPr>
              <w:jc w:val="right"/>
              <w:ind w:right="36"/>
              <w:spacing w:after="0" w:line="185" w:lineRule="exact"/>
              <w:rPr>
                <w:sz w:val="20"/>
                <w:szCs w:val="20"/>
                <w:color w:val="auto"/>
              </w:rPr>
            </w:pPr>
            <w:r>
              <w:rPr>
                <w:rFonts w:ascii="Arial" w:cs="Arial" w:eastAsia="Arial" w:hAnsi="Arial"/>
                <w:sz w:val="17"/>
                <w:szCs w:val="17"/>
                <w:color w:val="373535"/>
              </w:rPr>
              <w:t>197.6</w:t>
            </w:r>
          </w:p>
        </w:tc>
        <w:tc>
          <w:tcPr>
            <w:tcW w:w="46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66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251.6</w:t>
            </w:r>
          </w:p>
        </w:tc>
        <w:tc>
          <w:tcPr>
            <w:tcW w:w="20" w:type="dxa"/>
            <w:vAlign w:val="bottom"/>
          </w:tcPr>
          <w:p>
            <w:pPr>
              <w:spacing w:after="0"/>
              <w:rPr>
                <w:sz w:val="16"/>
                <w:szCs w:val="16"/>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Weighted-average common shares outstanding (in millions)</w:t>
            </w:r>
          </w:p>
        </w:tc>
        <w:tc>
          <w:tcPr>
            <w:tcW w:w="220" w:type="dxa"/>
            <w:vAlign w:val="bottom"/>
            <w:shd w:val="clear" w:color="auto" w:fill="EEF5F2"/>
          </w:tcPr>
          <w:p>
            <w:pPr>
              <w:spacing w:after="0"/>
              <w:rPr>
                <w:sz w:val="16"/>
                <w:szCs w:val="16"/>
                <w:color w:val="auto"/>
              </w:rPr>
            </w:pPr>
          </w:p>
        </w:tc>
        <w:tc>
          <w:tcPr>
            <w:tcW w:w="240" w:type="dxa"/>
            <w:vAlign w:val="bottom"/>
            <w:shd w:val="clear" w:color="auto" w:fill="EEF5F2"/>
          </w:tcPr>
          <w:p>
            <w:pPr>
              <w:spacing w:after="0"/>
              <w:rPr>
                <w:sz w:val="16"/>
                <w:szCs w:val="16"/>
                <w:color w:val="auto"/>
              </w:rPr>
            </w:pPr>
          </w:p>
        </w:tc>
        <w:tc>
          <w:tcPr>
            <w:tcW w:w="68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AE"/>
              </w:rPr>
              <w:t>78.0</w:t>
            </w:r>
          </w:p>
        </w:tc>
        <w:tc>
          <w:tcPr>
            <w:tcW w:w="120" w:type="dxa"/>
            <w:vAlign w:val="bottom"/>
            <w:shd w:val="clear" w:color="auto" w:fill="EEF5F2"/>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79.5</w:t>
            </w:r>
          </w:p>
        </w:tc>
        <w:tc>
          <w:tcPr>
            <w:tcW w:w="460" w:type="dxa"/>
            <w:vAlign w:val="bottom"/>
          </w:tcPr>
          <w:p>
            <w:pPr>
              <w:spacing w:after="0"/>
              <w:rPr>
                <w:sz w:val="16"/>
                <w:szCs w:val="16"/>
                <w:color w:val="auto"/>
              </w:rPr>
            </w:pPr>
          </w:p>
        </w:tc>
        <w:tc>
          <w:tcPr>
            <w:tcW w:w="68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81.6</w:t>
            </w:r>
          </w:p>
        </w:tc>
      </w:tr>
      <w:tr>
        <w:trPr>
          <w:trHeight w:val="206"/>
        </w:trPr>
        <w:tc>
          <w:tcPr>
            <w:tcW w:w="7560" w:type="dxa"/>
            <w:vAlign w:val="bottom"/>
            <w:gridSpan w:val="2"/>
          </w:tcPr>
          <w:p>
            <w:pPr>
              <w:spacing w:after="0"/>
              <w:rPr>
                <w:sz w:val="20"/>
                <w:szCs w:val="20"/>
                <w:color w:val="auto"/>
              </w:rPr>
            </w:pPr>
            <w:r>
              <w:rPr>
                <w:rFonts w:ascii="Arial" w:cs="Arial" w:eastAsia="Arial" w:hAnsi="Arial"/>
                <w:sz w:val="17"/>
                <w:szCs w:val="17"/>
                <w:color w:val="373535"/>
              </w:rPr>
              <w:t>Effect of dilutive securities — stock options (in millions)</w:t>
            </w:r>
          </w:p>
        </w:tc>
        <w:tc>
          <w:tcPr>
            <w:tcW w:w="220" w:type="dxa"/>
            <w:vAlign w:val="bottom"/>
            <w:shd w:val="clear" w:color="auto" w:fill="EEF5F2"/>
          </w:tcPr>
          <w:p>
            <w:pPr>
              <w:spacing w:after="0"/>
              <w:rPr>
                <w:sz w:val="17"/>
                <w:szCs w:val="17"/>
                <w:color w:val="auto"/>
              </w:rPr>
            </w:pPr>
          </w:p>
        </w:tc>
        <w:tc>
          <w:tcPr>
            <w:tcW w:w="240" w:type="dxa"/>
            <w:vAlign w:val="bottom"/>
            <w:shd w:val="clear" w:color="auto" w:fill="EEF5F2"/>
          </w:tcPr>
          <w:p>
            <w:pPr>
              <w:spacing w:after="0"/>
              <w:rPr>
                <w:sz w:val="17"/>
                <w:szCs w:val="17"/>
                <w:color w:val="auto"/>
              </w:rPr>
            </w:pPr>
          </w:p>
        </w:tc>
        <w:tc>
          <w:tcPr>
            <w:tcW w:w="680" w:type="dxa"/>
            <w:vAlign w:val="bottom"/>
            <w:shd w:val="clear" w:color="auto" w:fill="EEF5F2"/>
          </w:tcPr>
          <w:p>
            <w:pPr>
              <w:jc w:val="right"/>
              <w:spacing w:after="0"/>
              <w:rPr>
                <w:sz w:val="20"/>
                <w:szCs w:val="20"/>
                <w:color w:val="auto"/>
              </w:rPr>
            </w:pPr>
            <w:r>
              <w:rPr>
                <w:rFonts w:ascii="Arial" w:cs="Arial" w:eastAsia="Arial" w:hAnsi="Arial"/>
                <w:sz w:val="17"/>
                <w:szCs w:val="17"/>
                <w:color w:val="76ADAE"/>
              </w:rPr>
              <w:t>0.8</w:t>
            </w:r>
          </w:p>
        </w:tc>
        <w:tc>
          <w:tcPr>
            <w:tcW w:w="120" w:type="dxa"/>
            <w:vAlign w:val="bottom"/>
            <w:shd w:val="clear" w:color="auto" w:fill="EEF5F2"/>
          </w:tcPr>
          <w:p>
            <w:pPr>
              <w:spacing w:after="0"/>
              <w:rPr>
                <w:sz w:val="17"/>
                <w:szCs w:val="17"/>
                <w:color w:val="auto"/>
              </w:rPr>
            </w:pPr>
          </w:p>
        </w:tc>
        <w:tc>
          <w:tcPr>
            <w:tcW w:w="580" w:type="dxa"/>
            <w:vAlign w:val="bottom"/>
          </w:tcPr>
          <w:p>
            <w:pPr>
              <w:spacing w:after="0"/>
              <w:rPr>
                <w:sz w:val="17"/>
                <w:szCs w:val="17"/>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373535"/>
              </w:rPr>
              <w:t>0.3</w:t>
            </w:r>
          </w:p>
        </w:tc>
        <w:tc>
          <w:tcPr>
            <w:tcW w:w="46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373535"/>
              </w:rPr>
              <w:t>0.7</w:t>
            </w:r>
          </w:p>
        </w:tc>
      </w:tr>
      <w:tr>
        <w:trPr>
          <w:trHeight w:val="195"/>
        </w:trPr>
        <w:tc>
          <w:tcPr>
            <w:tcW w:w="7560" w:type="dxa"/>
            <w:vAlign w:val="bottom"/>
            <w:gridSpan w:val="2"/>
          </w:tcPr>
          <w:p>
            <w:pPr>
              <w:spacing w:after="0"/>
              <w:rPr>
                <w:sz w:val="20"/>
                <w:szCs w:val="20"/>
                <w:color w:val="auto"/>
              </w:rPr>
            </w:pPr>
            <w:r>
              <w:rPr>
                <w:rFonts w:ascii="Arial" w:cs="Arial" w:eastAsia="Arial" w:hAnsi="Arial"/>
                <w:sz w:val="17"/>
                <w:szCs w:val="17"/>
                <w:color w:val="373535"/>
              </w:rPr>
              <w:t>Effect of other share-based awards (in millions)</w:t>
            </w:r>
          </w:p>
        </w:tc>
        <w:tc>
          <w:tcPr>
            <w:tcW w:w="220" w:type="dxa"/>
            <w:vAlign w:val="bottom"/>
            <w:shd w:val="clear" w:color="auto" w:fill="EEF5F2"/>
          </w:tcPr>
          <w:p>
            <w:pPr>
              <w:spacing w:after="0"/>
              <w:rPr>
                <w:sz w:val="16"/>
                <w:szCs w:val="16"/>
                <w:color w:val="auto"/>
              </w:rPr>
            </w:pPr>
          </w:p>
        </w:tc>
        <w:tc>
          <w:tcPr>
            <w:tcW w:w="240" w:type="dxa"/>
            <w:vAlign w:val="bottom"/>
            <w:shd w:val="clear" w:color="auto" w:fill="EEF5F2"/>
          </w:tcPr>
          <w:p>
            <w:pPr>
              <w:spacing w:after="0"/>
              <w:rPr>
                <w:sz w:val="16"/>
                <w:szCs w:val="16"/>
                <w:color w:val="auto"/>
              </w:rPr>
            </w:pPr>
          </w:p>
        </w:tc>
        <w:tc>
          <w:tcPr>
            <w:tcW w:w="680" w:type="dxa"/>
            <w:vAlign w:val="bottom"/>
            <w:shd w:val="clear" w:color="auto" w:fill="EEF5F2"/>
          </w:tcPr>
          <w:p>
            <w:pPr>
              <w:jc w:val="right"/>
              <w:spacing w:after="0"/>
              <w:rPr>
                <w:sz w:val="20"/>
                <w:szCs w:val="20"/>
                <w:color w:val="auto"/>
              </w:rPr>
            </w:pPr>
            <w:r>
              <w:rPr>
                <w:rFonts w:ascii="Arial" w:cs="Arial" w:eastAsia="Arial" w:hAnsi="Arial"/>
                <w:sz w:val="17"/>
                <w:szCs w:val="17"/>
                <w:color w:val="76ADAE"/>
              </w:rPr>
              <w:t>0.8</w:t>
            </w:r>
          </w:p>
        </w:tc>
        <w:tc>
          <w:tcPr>
            <w:tcW w:w="120" w:type="dxa"/>
            <w:vAlign w:val="bottom"/>
            <w:shd w:val="clear" w:color="auto" w:fill="EEF5F2"/>
          </w:tcPr>
          <w:p>
            <w:pPr>
              <w:spacing w:after="0"/>
              <w:rPr>
                <w:sz w:val="16"/>
                <w:szCs w:val="16"/>
                <w:color w:val="auto"/>
              </w:rPr>
            </w:pPr>
          </w:p>
        </w:tc>
        <w:tc>
          <w:tcPr>
            <w:tcW w:w="580" w:type="dxa"/>
            <w:vAlign w:val="bottom"/>
          </w:tcPr>
          <w:p>
            <w:pPr>
              <w:spacing w:after="0"/>
              <w:rPr>
                <w:sz w:val="16"/>
                <w:szCs w:val="16"/>
                <w:color w:val="auto"/>
              </w:rPr>
            </w:pPr>
          </w:p>
        </w:tc>
        <w:tc>
          <w:tcPr>
            <w:tcW w:w="800" w:type="dxa"/>
            <w:vAlign w:val="bottom"/>
          </w:tcPr>
          <w:p>
            <w:pPr>
              <w:jc w:val="right"/>
              <w:ind w:right="36"/>
              <w:spacing w:after="0"/>
              <w:rPr>
                <w:sz w:val="20"/>
                <w:szCs w:val="20"/>
                <w:color w:val="auto"/>
              </w:rPr>
            </w:pPr>
            <w:r>
              <w:rPr>
                <w:rFonts w:ascii="Arial" w:cs="Arial" w:eastAsia="Arial" w:hAnsi="Arial"/>
                <w:sz w:val="17"/>
                <w:szCs w:val="17"/>
                <w:color w:val="373535"/>
              </w:rPr>
              <w:t>0.3</w:t>
            </w:r>
          </w:p>
        </w:tc>
        <w:tc>
          <w:tcPr>
            <w:tcW w:w="46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373535"/>
              </w:rPr>
              <w:t>0.5</w:t>
            </w:r>
          </w:p>
        </w:tc>
      </w:tr>
      <w:tr>
        <w:trPr>
          <w:trHeight w:val="186"/>
        </w:trPr>
        <w:tc>
          <w:tcPr>
            <w:tcW w:w="20" w:type="dxa"/>
            <w:vAlign w:val="bottom"/>
          </w:tcPr>
          <w:p>
            <w:pPr>
              <w:spacing w:after="0"/>
              <w:rPr>
                <w:sz w:val="16"/>
                <w:szCs w:val="16"/>
                <w:color w:val="auto"/>
              </w:rPr>
            </w:pPr>
          </w:p>
        </w:tc>
        <w:tc>
          <w:tcPr>
            <w:tcW w:w="7540" w:type="dxa"/>
            <w:vAlign w:val="bottom"/>
            <w:tcBorders>
              <w:top w:val="single" w:sz="8" w:color="717073"/>
              <w:bottom w:val="single" w:sz="8" w:color="717073"/>
            </w:tcBorders>
          </w:tcPr>
          <w:p>
            <w:pPr>
              <w:spacing w:after="0"/>
              <w:rPr>
                <w:sz w:val="16"/>
                <w:szCs w:val="16"/>
                <w:color w:val="auto"/>
              </w:rPr>
            </w:pPr>
          </w:p>
        </w:tc>
        <w:tc>
          <w:tcPr>
            <w:tcW w:w="220" w:type="dxa"/>
            <w:vAlign w:val="bottom"/>
            <w:tcBorders>
              <w:top w:val="single" w:sz="8" w:color="717073"/>
              <w:bottom w:val="single" w:sz="8" w:color="717073"/>
            </w:tcBorders>
            <w:shd w:val="clear" w:color="auto" w:fill="EEF5F2"/>
          </w:tcPr>
          <w:p>
            <w:pPr>
              <w:spacing w:after="0"/>
              <w:rPr>
                <w:sz w:val="16"/>
                <w:szCs w:val="16"/>
                <w:color w:val="auto"/>
              </w:rPr>
            </w:pPr>
          </w:p>
        </w:tc>
        <w:tc>
          <w:tcPr>
            <w:tcW w:w="240" w:type="dxa"/>
            <w:vAlign w:val="bottom"/>
            <w:tcBorders>
              <w:top w:val="single" w:sz="8" w:color="717073"/>
              <w:bottom w:val="single" w:sz="8" w:color="717073"/>
            </w:tcBorders>
            <w:shd w:val="clear" w:color="auto" w:fill="EEF5F2"/>
          </w:tcPr>
          <w:p>
            <w:pPr>
              <w:spacing w:after="0"/>
              <w:rPr>
                <w:sz w:val="16"/>
                <w:szCs w:val="16"/>
                <w:color w:val="auto"/>
              </w:rPr>
            </w:pPr>
          </w:p>
        </w:tc>
        <w:tc>
          <w:tcPr>
            <w:tcW w:w="68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AE"/>
              </w:rPr>
              <w:t>79.6</w:t>
            </w:r>
          </w:p>
        </w:tc>
        <w:tc>
          <w:tcPr>
            <w:tcW w:w="120" w:type="dxa"/>
            <w:vAlign w:val="bottom"/>
            <w:tcBorders>
              <w:top w:val="single" w:sz="8" w:color="717073"/>
              <w:bottom w:val="single" w:sz="8" w:color="717073"/>
            </w:tcBorders>
            <w:shd w:val="clear" w:color="auto" w:fill="EEF5F2"/>
          </w:tcPr>
          <w:p>
            <w:pPr>
              <w:spacing w:after="0"/>
              <w:rPr>
                <w:sz w:val="16"/>
                <w:szCs w:val="16"/>
                <w:color w:val="auto"/>
              </w:rPr>
            </w:pPr>
          </w:p>
        </w:tc>
        <w:tc>
          <w:tcPr>
            <w:tcW w:w="580" w:type="dxa"/>
            <w:vAlign w:val="bottom"/>
            <w:tcBorders>
              <w:top w:val="single" w:sz="8" w:color="717073"/>
              <w:bottom w:val="single" w:sz="8" w:color="717073"/>
            </w:tcBorders>
          </w:tcPr>
          <w:p>
            <w:pPr>
              <w:spacing w:after="0"/>
              <w:rPr>
                <w:sz w:val="16"/>
                <w:szCs w:val="16"/>
                <w:color w:val="auto"/>
              </w:rPr>
            </w:pPr>
          </w:p>
        </w:tc>
        <w:tc>
          <w:tcPr>
            <w:tcW w:w="800" w:type="dxa"/>
            <w:vAlign w:val="bottom"/>
            <w:tcBorders>
              <w:top w:val="single" w:sz="8" w:color="717073"/>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80.1</w:t>
            </w:r>
          </w:p>
        </w:tc>
        <w:tc>
          <w:tcPr>
            <w:tcW w:w="460" w:type="dxa"/>
            <w:vAlign w:val="bottom"/>
            <w:tcBorders>
              <w:top w:val="single" w:sz="8" w:color="717073"/>
              <w:bottom w:val="single" w:sz="8" w:color="717073"/>
            </w:tcBorders>
          </w:tcPr>
          <w:p>
            <w:pPr>
              <w:spacing w:after="0"/>
              <w:rPr>
                <w:sz w:val="16"/>
                <w:szCs w:val="16"/>
                <w:color w:val="auto"/>
              </w:rPr>
            </w:pPr>
          </w:p>
        </w:tc>
        <w:tc>
          <w:tcPr>
            <w:tcW w:w="680" w:type="dxa"/>
            <w:vAlign w:val="bottom"/>
            <w:tcBorders>
              <w:top w:val="single" w:sz="8" w:color="717073"/>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82.8</w:t>
            </w:r>
          </w:p>
        </w:tc>
      </w:tr>
      <w:tr>
        <w:trPr>
          <w:trHeight w:val="186"/>
        </w:trPr>
        <w:tc>
          <w:tcPr>
            <w:tcW w:w="20" w:type="dxa"/>
            <w:vAlign w:val="bottom"/>
          </w:tcPr>
          <w:p>
            <w:pPr>
              <w:spacing w:after="0"/>
              <w:rPr>
                <w:sz w:val="16"/>
                <w:szCs w:val="16"/>
                <w:color w:val="auto"/>
              </w:rPr>
            </w:pPr>
          </w:p>
        </w:tc>
        <w:tc>
          <w:tcPr>
            <w:tcW w:w="754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Net earnings per share — diluted</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AE"/>
              </w:rPr>
              <w:t>$</w:t>
            </w:r>
          </w:p>
        </w:tc>
        <w:tc>
          <w:tcPr>
            <w:tcW w:w="240" w:type="dxa"/>
            <w:vAlign w:val="bottom"/>
            <w:tcBorders>
              <w:bottom w:val="single" w:sz="8" w:color="717073"/>
            </w:tcBorders>
            <w:shd w:val="clear" w:color="auto" w:fill="EEF5F2"/>
          </w:tcPr>
          <w:p>
            <w:pPr>
              <w:spacing w:after="0"/>
              <w:rPr>
                <w:sz w:val="16"/>
                <w:szCs w:val="16"/>
                <w:color w:val="auto"/>
              </w:rPr>
            </w:pPr>
          </w:p>
        </w:tc>
        <w:tc>
          <w:tcPr>
            <w:tcW w:w="68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AE"/>
              </w:rPr>
              <w:t>3.62</w:t>
            </w:r>
          </w:p>
        </w:tc>
        <w:tc>
          <w:tcPr>
            <w:tcW w:w="120" w:type="dxa"/>
            <w:vAlign w:val="bottom"/>
            <w:tcBorders>
              <w:bottom w:val="single" w:sz="8" w:color="717073"/>
            </w:tcBorders>
            <w:shd w:val="clear" w:color="auto" w:fill="EEF5F2"/>
          </w:tcPr>
          <w:p>
            <w:pPr>
              <w:spacing w:after="0"/>
              <w:rPr>
                <w:sz w:val="16"/>
                <w:szCs w:val="16"/>
                <w:color w:val="auto"/>
              </w:rPr>
            </w:pPr>
          </w:p>
        </w:tc>
        <w:tc>
          <w:tcPr>
            <w:tcW w:w="580" w:type="dxa"/>
            <w:vAlign w:val="bottom"/>
            <w:tcBorders>
              <w:bottom w:val="single" w:sz="8" w:color="717073"/>
            </w:tcBorders>
          </w:tcPr>
          <w:p>
            <w:pPr>
              <w:jc w:val="right"/>
              <w:ind w:right="17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2.47</w:t>
            </w:r>
          </w:p>
        </w:tc>
        <w:tc>
          <w:tcPr>
            <w:tcW w:w="460" w:type="dxa"/>
            <w:vAlign w:val="bottom"/>
            <w:tcBorders>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3.04</w:t>
            </w:r>
          </w:p>
        </w:tc>
        <w:tc>
          <w:tcPr>
            <w:tcW w:w="20" w:type="dxa"/>
            <w:vAlign w:val="bottom"/>
          </w:tcPr>
          <w:p>
            <w:pPr>
              <w:spacing w:after="0"/>
              <w:rPr>
                <w:sz w:val="16"/>
                <w:szCs w:val="16"/>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There were certain share-based awards excluded from the calculation of net earnings per share — diluted for the year ended December 31, 2013, 2012 and 2011, respectively, as the exercise prices for these awards were greater than the average market price of the common shares during the period. The number, exercise prices and weighted-average remaining life of these antidilutive awards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20" w:type="dxa"/>
            <w:vAlign w:val="bottom"/>
            <w:shd w:val="clear" w:color="auto" w:fill="76AD9A"/>
          </w:tcPr>
          <w:p>
            <w:pPr>
              <w:spacing w:after="0"/>
              <w:rPr>
                <w:sz w:val="16"/>
                <w:szCs w:val="16"/>
                <w:color w:val="auto"/>
              </w:rPr>
            </w:pPr>
          </w:p>
        </w:tc>
        <w:tc>
          <w:tcPr>
            <w:tcW w:w="100" w:type="dxa"/>
            <w:vAlign w:val="bottom"/>
            <w:shd w:val="clear" w:color="auto" w:fill="76AD9A"/>
          </w:tcPr>
          <w:p>
            <w:pPr>
              <w:spacing w:after="0"/>
              <w:rPr>
                <w:sz w:val="16"/>
                <w:szCs w:val="16"/>
                <w:color w:val="auto"/>
              </w:rPr>
            </w:pPr>
          </w:p>
        </w:tc>
        <w:tc>
          <w:tcPr>
            <w:tcW w:w="940" w:type="dxa"/>
            <w:vAlign w:val="bottom"/>
            <w:gridSpan w:val="2"/>
            <w:shd w:val="clear" w:color="auto" w:fill="76AD9A"/>
          </w:tcPr>
          <w:p>
            <w:pPr>
              <w:jc w:val="right"/>
              <w:ind w:right="120"/>
              <w:spacing w:after="0"/>
              <w:rPr>
                <w:sz w:val="20"/>
                <w:szCs w:val="20"/>
                <w:color w:val="auto"/>
              </w:rPr>
            </w:pPr>
            <w:r>
              <w:rPr>
                <w:rFonts w:ascii="Arial" w:cs="Arial" w:eastAsia="Arial" w:hAnsi="Arial"/>
                <w:sz w:val="14"/>
                <w:szCs w:val="14"/>
                <w:color w:val="EEF5F2"/>
              </w:rPr>
              <w:t>2013</w:t>
            </w:r>
          </w:p>
        </w:tc>
        <w:tc>
          <w:tcPr>
            <w:tcW w:w="4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color w:val="76AD9A"/>
              </w:rPr>
              <w:t>2012</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62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Shares (in thousands)</w:t>
            </w:r>
          </w:p>
        </w:tc>
        <w:tc>
          <w:tcPr>
            <w:tcW w:w="2920" w:type="dxa"/>
            <w:vAlign w:val="bottom"/>
            <w:tcBorders>
              <w:top w:val="single" w:sz="8" w:color="76AD9A"/>
            </w:tcBorders>
          </w:tcPr>
          <w:p>
            <w:pPr>
              <w:spacing w:after="0"/>
              <w:rPr>
                <w:sz w:val="16"/>
                <w:szCs w:val="16"/>
                <w:color w:val="auto"/>
              </w:rPr>
            </w:pPr>
          </w:p>
        </w:tc>
        <w:tc>
          <w:tcPr>
            <w:tcW w:w="220" w:type="dxa"/>
            <w:vAlign w:val="bottom"/>
            <w:tcBorders>
              <w:top w:val="single" w:sz="8" w:color="EEF5F2"/>
            </w:tcBorders>
            <w:shd w:val="clear" w:color="auto" w:fill="EEF5F2"/>
          </w:tcPr>
          <w:p>
            <w:pPr>
              <w:spacing w:after="0"/>
              <w:rPr>
                <w:sz w:val="16"/>
                <w:szCs w:val="16"/>
                <w:color w:val="auto"/>
              </w:rPr>
            </w:pPr>
          </w:p>
        </w:tc>
        <w:tc>
          <w:tcPr>
            <w:tcW w:w="100" w:type="dxa"/>
            <w:vAlign w:val="bottom"/>
            <w:tcBorders>
              <w:top w:val="single" w:sz="8" w:color="EEF5F2"/>
            </w:tcBorders>
            <w:shd w:val="clear" w:color="auto" w:fill="EEF5F2"/>
          </w:tcPr>
          <w:p>
            <w:pPr>
              <w:spacing w:after="0"/>
              <w:rPr>
                <w:sz w:val="16"/>
                <w:szCs w:val="16"/>
                <w:color w:val="auto"/>
              </w:rPr>
            </w:pPr>
          </w:p>
        </w:tc>
        <w:tc>
          <w:tcPr>
            <w:tcW w:w="820" w:type="dxa"/>
            <w:vAlign w:val="bottom"/>
            <w:tcBorders>
              <w:top w:val="single" w:sz="8" w:color="EEF5F2"/>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995</w:t>
            </w:r>
          </w:p>
        </w:tc>
        <w:tc>
          <w:tcPr>
            <w:tcW w:w="120" w:type="dxa"/>
            <w:vAlign w:val="bottom"/>
            <w:tcBorders>
              <w:top w:val="single" w:sz="8" w:color="EEF5F2"/>
            </w:tcBorders>
            <w:shd w:val="clear" w:color="auto" w:fill="EEF5F2"/>
          </w:tcPr>
          <w:p>
            <w:pPr>
              <w:spacing w:after="0"/>
              <w:rPr>
                <w:sz w:val="16"/>
                <w:szCs w:val="16"/>
                <w:color w:val="auto"/>
              </w:rPr>
            </w:pPr>
          </w:p>
        </w:tc>
        <w:tc>
          <w:tcPr>
            <w:tcW w:w="440" w:type="dxa"/>
            <w:vAlign w:val="bottom"/>
            <w:tcBorders>
              <w:top w:val="single" w:sz="8" w:color="76AD9A"/>
            </w:tcBorders>
          </w:tcPr>
          <w:p>
            <w:pPr>
              <w:spacing w:after="0"/>
              <w:rPr>
                <w:sz w:val="16"/>
                <w:szCs w:val="16"/>
                <w:color w:val="auto"/>
              </w:rPr>
            </w:pPr>
          </w:p>
        </w:tc>
        <w:tc>
          <w:tcPr>
            <w:tcW w:w="960" w:type="dxa"/>
            <w:vAlign w:val="bottom"/>
            <w:tcBorders>
              <w:top w:val="single" w:sz="8" w:color="76AD9A"/>
            </w:tcBorders>
          </w:tcPr>
          <w:p>
            <w:pPr>
              <w:jc w:val="right"/>
              <w:ind w:right="56"/>
              <w:spacing w:after="0" w:line="185" w:lineRule="exact"/>
              <w:rPr>
                <w:sz w:val="20"/>
                <w:szCs w:val="20"/>
                <w:color w:val="auto"/>
              </w:rPr>
            </w:pPr>
            <w:r>
              <w:rPr>
                <w:rFonts w:ascii="Arial" w:cs="Arial" w:eastAsia="Arial" w:hAnsi="Arial"/>
                <w:sz w:val="17"/>
                <w:szCs w:val="17"/>
                <w:color w:val="373535"/>
              </w:rPr>
              <w:t>4,257</w:t>
            </w:r>
          </w:p>
        </w:tc>
        <w:tc>
          <w:tcPr>
            <w:tcW w:w="300" w:type="dxa"/>
            <w:vAlign w:val="bottom"/>
            <w:tcBorders>
              <w:top w:val="single" w:sz="8" w:color="76AD9A"/>
            </w:tcBorders>
          </w:tcPr>
          <w:p>
            <w:pPr>
              <w:spacing w:after="0"/>
              <w:rPr>
                <w:sz w:val="16"/>
                <w:szCs w:val="16"/>
                <w:color w:val="auto"/>
              </w:rPr>
            </w:pPr>
          </w:p>
        </w:tc>
        <w:tc>
          <w:tcPr>
            <w:tcW w:w="800" w:type="dxa"/>
            <w:vAlign w:val="bottom"/>
            <w:tcBorders>
              <w:top w:val="single" w:sz="8" w:color="76AD9A"/>
            </w:tcBorders>
            <w:gridSpan w:val="2"/>
          </w:tcPr>
          <w:p>
            <w:pPr>
              <w:jc w:val="right"/>
              <w:spacing w:after="0" w:line="185" w:lineRule="exact"/>
              <w:rPr>
                <w:sz w:val="20"/>
                <w:szCs w:val="20"/>
                <w:color w:val="auto"/>
              </w:rPr>
            </w:pPr>
            <w:r>
              <w:rPr>
                <w:rFonts w:ascii="Arial" w:cs="Arial" w:eastAsia="Arial" w:hAnsi="Arial"/>
                <w:sz w:val="17"/>
                <w:szCs w:val="17"/>
                <w:color w:val="373535"/>
              </w:rPr>
              <w:t>3,074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Exercise price ranges</w:t>
            </w:r>
          </w:p>
        </w:tc>
        <w:tc>
          <w:tcPr>
            <w:tcW w:w="2920" w:type="dxa"/>
            <w:vAlign w:val="bottom"/>
          </w:tcPr>
          <w:p>
            <w:pPr>
              <w:spacing w:after="0"/>
              <w:rPr>
                <w:sz w:val="16"/>
                <w:szCs w:val="16"/>
                <w:color w:val="auto"/>
              </w:rPr>
            </w:pP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0" w:type="dxa"/>
            <w:vAlign w:val="bottom"/>
            <w:shd w:val="clear" w:color="auto" w:fill="EEF5F2"/>
          </w:tcPr>
          <w:p>
            <w:pPr>
              <w:spacing w:after="0"/>
              <w:rPr>
                <w:sz w:val="16"/>
                <w:szCs w:val="16"/>
                <w:color w:val="auto"/>
              </w:rPr>
            </w:pPr>
          </w:p>
        </w:tc>
        <w:tc>
          <w:tcPr>
            <w:tcW w:w="8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67–$93</w:t>
            </w:r>
          </w:p>
        </w:tc>
        <w:tc>
          <w:tcPr>
            <w:tcW w:w="120" w:type="dxa"/>
            <w:vAlign w:val="bottom"/>
            <w:shd w:val="clear" w:color="auto" w:fill="EEF5F2"/>
          </w:tcPr>
          <w:p>
            <w:pPr>
              <w:spacing w:after="0"/>
              <w:rPr>
                <w:sz w:val="16"/>
                <w:szCs w:val="16"/>
                <w:color w:val="auto"/>
              </w:rPr>
            </w:pPr>
          </w:p>
        </w:tc>
        <w:tc>
          <w:tcPr>
            <w:tcW w:w="440" w:type="dxa"/>
            <w:vAlign w:val="bottom"/>
          </w:tcPr>
          <w:p>
            <w:pPr>
              <w:ind w:left="240"/>
              <w:spacing w:after="0" w:line="194" w:lineRule="exact"/>
              <w:rPr>
                <w:sz w:val="20"/>
                <w:szCs w:val="20"/>
                <w:color w:val="auto"/>
              </w:rPr>
            </w:pPr>
            <w:r>
              <w:rPr>
                <w:rFonts w:ascii="Arial" w:cs="Arial" w:eastAsia="Arial" w:hAnsi="Arial"/>
                <w:sz w:val="17"/>
                <w:szCs w:val="17"/>
                <w:color w:val="373535"/>
              </w:rPr>
              <w:t>$</w:t>
            </w:r>
          </w:p>
        </w:tc>
        <w:tc>
          <w:tcPr>
            <w:tcW w:w="9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40–$93</w:t>
            </w:r>
          </w:p>
        </w:tc>
        <w:tc>
          <w:tcPr>
            <w:tcW w:w="300" w:type="dxa"/>
            <w:vAlign w:val="bottom"/>
          </w:tcPr>
          <w:p>
            <w:pPr>
              <w:ind w:left="100"/>
              <w:spacing w:after="0" w:line="194" w:lineRule="exact"/>
              <w:rPr>
                <w:sz w:val="20"/>
                <w:szCs w:val="20"/>
                <w:color w:val="auto"/>
              </w:rPr>
            </w:pPr>
            <w:r>
              <w:rPr>
                <w:rFonts w:ascii="Arial" w:cs="Arial" w:eastAsia="Arial" w:hAnsi="Arial"/>
                <w:sz w:val="17"/>
                <w:szCs w:val="17"/>
                <w:color w:val="373535"/>
              </w:rPr>
              <w:t>$</w:t>
            </w:r>
          </w:p>
        </w:tc>
        <w:tc>
          <w:tcPr>
            <w:tcW w:w="90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373535"/>
              </w:rPr>
              <w:t>52–$93</w:t>
            </w:r>
          </w:p>
        </w:tc>
      </w:tr>
      <w:tr>
        <w:trPr>
          <w:trHeight w:val="206"/>
        </w:trPr>
        <w:tc>
          <w:tcPr>
            <w:tcW w:w="4640" w:type="dxa"/>
            <w:vAlign w:val="bottom"/>
            <w:gridSpan w:val="2"/>
          </w:tcPr>
          <w:p>
            <w:pPr>
              <w:spacing w:after="0"/>
              <w:rPr>
                <w:sz w:val="20"/>
                <w:szCs w:val="20"/>
                <w:color w:val="auto"/>
              </w:rPr>
            </w:pPr>
            <w:r>
              <w:rPr>
                <w:rFonts w:ascii="Arial" w:cs="Arial" w:eastAsia="Arial" w:hAnsi="Arial"/>
                <w:sz w:val="17"/>
                <w:szCs w:val="17"/>
                <w:color w:val="373535"/>
              </w:rPr>
              <w:t>Weighted-average remaining life</w:t>
            </w:r>
          </w:p>
        </w:tc>
        <w:tc>
          <w:tcPr>
            <w:tcW w:w="2920" w:type="dxa"/>
            <w:vAlign w:val="bottom"/>
          </w:tcPr>
          <w:p>
            <w:pPr>
              <w:spacing w:after="0"/>
              <w:rPr>
                <w:sz w:val="17"/>
                <w:szCs w:val="17"/>
                <w:color w:val="auto"/>
              </w:rPr>
            </w:pPr>
          </w:p>
        </w:tc>
        <w:tc>
          <w:tcPr>
            <w:tcW w:w="220" w:type="dxa"/>
            <w:vAlign w:val="bottom"/>
            <w:shd w:val="clear" w:color="auto" w:fill="EEF5F2"/>
          </w:tcPr>
          <w:p>
            <w:pPr>
              <w:spacing w:after="0"/>
              <w:rPr>
                <w:sz w:val="17"/>
                <w:szCs w:val="17"/>
                <w:color w:val="auto"/>
              </w:rPr>
            </w:pPr>
          </w:p>
        </w:tc>
        <w:tc>
          <w:tcPr>
            <w:tcW w:w="100" w:type="dxa"/>
            <w:vAlign w:val="bottom"/>
            <w:shd w:val="clear" w:color="auto" w:fill="EEF5F2"/>
          </w:tcPr>
          <w:p>
            <w:pPr>
              <w:spacing w:after="0"/>
              <w:rPr>
                <w:sz w:val="17"/>
                <w:szCs w:val="17"/>
                <w:color w:val="auto"/>
              </w:rPr>
            </w:pPr>
          </w:p>
        </w:tc>
        <w:tc>
          <w:tcPr>
            <w:tcW w:w="82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5.2 years</w:t>
            </w:r>
          </w:p>
        </w:tc>
        <w:tc>
          <w:tcPr>
            <w:tcW w:w="120" w:type="dxa"/>
            <w:vAlign w:val="bottom"/>
            <w:shd w:val="clear" w:color="auto" w:fill="EEF5F2"/>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4.8 years</w:t>
            </w:r>
          </w:p>
        </w:tc>
        <w:tc>
          <w:tcPr>
            <w:tcW w:w="300" w:type="dxa"/>
            <w:vAlign w:val="bottom"/>
          </w:tcPr>
          <w:p>
            <w:pPr>
              <w:spacing w:after="0"/>
              <w:rPr>
                <w:sz w:val="17"/>
                <w:szCs w:val="17"/>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7"/>
                <w:szCs w:val="17"/>
                <w:color w:val="373535"/>
              </w:rPr>
              <w:t>6.3 years</w:t>
            </w:r>
          </w:p>
        </w:tc>
      </w:tr>
      <w:tr>
        <w:trPr>
          <w:trHeight w:val="20"/>
        </w:trPr>
        <w:tc>
          <w:tcPr>
            <w:tcW w:w="20" w:type="dxa"/>
            <w:vAlign w:val="bottom"/>
          </w:tcPr>
          <w:p>
            <w:pPr>
              <w:spacing w:after="0" w:line="20" w:lineRule="exact"/>
              <w:rPr>
                <w:sz w:val="1"/>
                <w:szCs w:val="1"/>
                <w:color w:val="auto"/>
              </w:rPr>
            </w:pPr>
          </w:p>
        </w:tc>
        <w:tc>
          <w:tcPr>
            <w:tcW w:w="4620" w:type="dxa"/>
            <w:vAlign w:val="bottom"/>
            <w:shd w:val="clear" w:color="auto" w:fill="717073"/>
          </w:tcPr>
          <w:p>
            <w:pPr>
              <w:spacing w:after="0" w:line="20" w:lineRule="exact"/>
              <w:rPr>
                <w:sz w:val="1"/>
                <w:szCs w:val="1"/>
                <w:color w:val="auto"/>
              </w:rPr>
            </w:pPr>
          </w:p>
        </w:tc>
        <w:tc>
          <w:tcPr>
            <w:tcW w:w="29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00" w:type="dxa"/>
            <w:vAlign w:val="bottom"/>
            <w:shd w:val="clear" w:color="auto" w:fill="717073"/>
          </w:tcPr>
          <w:p>
            <w:pPr>
              <w:spacing w:after="0" w:line="20" w:lineRule="exact"/>
              <w:rPr>
                <w:sz w:val="1"/>
                <w:szCs w:val="1"/>
                <w:color w:val="auto"/>
              </w:rPr>
            </w:pPr>
          </w:p>
        </w:tc>
        <w:tc>
          <w:tcPr>
            <w:tcW w:w="820" w:type="dxa"/>
            <w:vAlign w:val="bottom"/>
            <w:shd w:val="clear" w:color="auto" w:fill="717073"/>
          </w:tcPr>
          <w:p>
            <w:pPr>
              <w:spacing w:after="0" w:line="20" w:lineRule="exact"/>
              <w:rPr>
                <w:sz w:val="1"/>
                <w:szCs w:val="1"/>
                <w:color w:val="auto"/>
              </w:rPr>
            </w:pPr>
          </w:p>
        </w:tc>
        <w:tc>
          <w:tcPr>
            <w:tcW w:w="120" w:type="dxa"/>
            <w:vAlign w:val="bottom"/>
            <w:shd w:val="clear" w:color="auto" w:fill="717073"/>
          </w:tcPr>
          <w:p>
            <w:pPr>
              <w:spacing w:after="0" w:line="20" w:lineRule="exact"/>
              <w:rPr>
                <w:sz w:val="1"/>
                <w:szCs w:val="1"/>
                <w:color w:val="auto"/>
              </w:rPr>
            </w:pPr>
          </w:p>
        </w:tc>
        <w:tc>
          <w:tcPr>
            <w:tcW w:w="440" w:type="dxa"/>
            <w:vAlign w:val="bottom"/>
            <w:shd w:val="clear" w:color="auto" w:fill="717073"/>
          </w:tcPr>
          <w:p>
            <w:pPr>
              <w:spacing w:after="0" w:line="20" w:lineRule="exact"/>
              <w:rPr>
                <w:sz w:val="1"/>
                <w:szCs w:val="1"/>
                <w:color w:val="auto"/>
              </w:rPr>
            </w:pPr>
          </w:p>
        </w:tc>
        <w:tc>
          <w:tcPr>
            <w:tcW w:w="960" w:type="dxa"/>
            <w:vAlign w:val="bottom"/>
            <w:shd w:val="clear" w:color="auto" w:fill="717073"/>
          </w:tcPr>
          <w:p>
            <w:pPr>
              <w:spacing w:after="0" w:line="20" w:lineRule="exact"/>
              <w:rPr>
                <w:sz w:val="1"/>
                <w:szCs w:val="1"/>
                <w:color w:val="auto"/>
              </w:rPr>
            </w:pPr>
          </w:p>
        </w:tc>
        <w:tc>
          <w:tcPr>
            <w:tcW w:w="30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6"/>
        </w:trPr>
        <w:tc>
          <w:tcPr>
            <w:tcW w:w="4640" w:type="dxa"/>
            <w:vAlign w:val="bottom"/>
            <w:gridSpan w:val="2"/>
          </w:tcPr>
          <w:p>
            <w:pPr>
              <w:spacing w:after="0"/>
              <w:rPr>
                <w:sz w:val="20"/>
                <w:szCs w:val="20"/>
                <w:color w:val="auto"/>
              </w:rPr>
            </w:pPr>
            <w:r>
              <w:rPr>
                <w:rFonts w:ascii="Arial" w:cs="Arial" w:eastAsia="Arial" w:hAnsi="Arial"/>
                <w:sz w:val="17"/>
                <w:szCs w:val="17"/>
                <w:color w:val="76AD9A"/>
              </w:rPr>
              <w:t>05.</w:t>
            </w:r>
          </w:p>
        </w:tc>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4640" w:type="dxa"/>
            <w:vAlign w:val="bottom"/>
            <w:gridSpan w:val="2"/>
          </w:tcPr>
          <w:p>
            <w:pPr>
              <w:spacing w:after="0"/>
              <w:rPr>
                <w:sz w:val="20"/>
                <w:szCs w:val="20"/>
                <w:color w:val="auto"/>
              </w:rPr>
            </w:pPr>
            <w:r>
              <w:rPr>
                <w:rFonts w:ascii="Arial" w:cs="Arial" w:eastAsia="Arial" w:hAnsi="Arial"/>
                <w:sz w:val="17"/>
                <w:szCs w:val="17"/>
                <w:color w:val="76AD9A"/>
              </w:rPr>
              <w:t>Income Taxes</w:t>
            </w:r>
          </w:p>
        </w:tc>
        <w:tc>
          <w:tcPr>
            <w:tcW w:w="2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8"/>
        </w:trPr>
        <w:tc>
          <w:tcPr>
            <w:tcW w:w="4640" w:type="dxa"/>
            <w:vAlign w:val="bottom"/>
            <w:gridSpan w:val="2"/>
          </w:tcPr>
          <w:p>
            <w:pPr>
              <w:spacing w:after="0"/>
              <w:rPr>
                <w:sz w:val="20"/>
                <w:szCs w:val="20"/>
                <w:color w:val="auto"/>
              </w:rPr>
            </w:pPr>
            <w:r>
              <w:rPr>
                <w:rFonts w:ascii="Arial" w:cs="Arial" w:eastAsia="Arial" w:hAnsi="Arial"/>
                <w:sz w:val="17"/>
                <w:szCs w:val="17"/>
                <w:color w:val="373535"/>
              </w:rPr>
              <w:t>The provision for income taxes was as follows:</w:t>
            </w:r>
          </w:p>
        </w:tc>
        <w:tc>
          <w:tcPr>
            <w:tcW w:w="2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2"/>
        </w:trPr>
        <w:tc>
          <w:tcPr>
            <w:tcW w:w="464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464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920" w:type="dxa"/>
            <w:vAlign w:val="bottom"/>
          </w:tcPr>
          <w:p>
            <w:pPr>
              <w:spacing w:after="0"/>
              <w:rPr>
                <w:sz w:val="16"/>
                <w:szCs w:val="16"/>
                <w:color w:val="auto"/>
              </w:rPr>
            </w:pPr>
          </w:p>
        </w:tc>
        <w:tc>
          <w:tcPr>
            <w:tcW w:w="220" w:type="dxa"/>
            <w:vAlign w:val="bottom"/>
            <w:shd w:val="clear" w:color="auto" w:fill="76AD9A"/>
          </w:tcPr>
          <w:p>
            <w:pPr>
              <w:spacing w:after="0"/>
              <w:rPr>
                <w:sz w:val="16"/>
                <w:szCs w:val="16"/>
                <w:color w:val="auto"/>
              </w:rPr>
            </w:pPr>
          </w:p>
        </w:tc>
        <w:tc>
          <w:tcPr>
            <w:tcW w:w="100" w:type="dxa"/>
            <w:vAlign w:val="bottom"/>
            <w:shd w:val="clear" w:color="auto" w:fill="76AD9A"/>
          </w:tcPr>
          <w:p>
            <w:pPr>
              <w:spacing w:after="0"/>
              <w:rPr>
                <w:sz w:val="16"/>
                <w:szCs w:val="16"/>
                <w:color w:val="auto"/>
              </w:rPr>
            </w:pPr>
          </w:p>
        </w:tc>
        <w:tc>
          <w:tcPr>
            <w:tcW w:w="940" w:type="dxa"/>
            <w:vAlign w:val="bottom"/>
            <w:gridSpan w:val="2"/>
            <w:shd w:val="clear" w:color="auto" w:fill="76AD9A"/>
          </w:tcPr>
          <w:p>
            <w:pPr>
              <w:jc w:val="right"/>
              <w:ind w:right="120"/>
              <w:spacing w:after="0"/>
              <w:rPr>
                <w:sz w:val="20"/>
                <w:szCs w:val="20"/>
                <w:color w:val="auto"/>
              </w:rPr>
            </w:pPr>
            <w:r>
              <w:rPr>
                <w:rFonts w:ascii="Arial" w:cs="Arial" w:eastAsia="Arial" w:hAnsi="Arial"/>
                <w:sz w:val="14"/>
                <w:szCs w:val="14"/>
                <w:color w:val="FFFFFF"/>
              </w:rPr>
              <w:t>2013</w:t>
            </w:r>
          </w:p>
        </w:tc>
        <w:tc>
          <w:tcPr>
            <w:tcW w:w="44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color w:val="76AD9A"/>
              </w:rPr>
              <w:t>2012</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62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b w:val="1"/>
                <w:bCs w:val="1"/>
                <w:color w:val="777679"/>
              </w:rPr>
              <w:t>Current</w:t>
            </w:r>
          </w:p>
        </w:tc>
        <w:tc>
          <w:tcPr>
            <w:tcW w:w="292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shd w:val="clear" w:color="auto" w:fill="EEF5F2"/>
          </w:tcPr>
          <w:p>
            <w:pPr>
              <w:spacing w:after="0"/>
              <w:rPr>
                <w:sz w:val="16"/>
                <w:szCs w:val="16"/>
                <w:color w:val="auto"/>
              </w:rPr>
            </w:pPr>
          </w:p>
        </w:tc>
        <w:tc>
          <w:tcPr>
            <w:tcW w:w="100" w:type="dxa"/>
            <w:vAlign w:val="bottom"/>
            <w:tcBorders>
              <w:top w:val="single" w:sz="8" w:color="76AD9A"/>
            </w:tcBorders>
            <w:shd w:val="clear" w:color="auto" w:fill="EEF5F2"/>
          </w:tcPr>
          <w:p>
            <w:pPr>
              <w:spacing w:after="0"/>
              <w:rPr>
                <w:sz w:val="16"/>
                <w:szCs w:val="16"/>
                <w:color w:val="auto"/>
              </w:rPr>
            </w:pPr>
          </w:p>
        </w:tc>
        <w:tc>
          <w:tcPr>
            <w:tcW w:w="820" w:type="dxa"/>
            <w:vAlign w:val="bottom"/>
            <w:tcBorders>
              <w:top w:val="single" w:sz="8" w:color="76AD9A"/>
            </w:tcBorders>
            <w:shd w:val="clear" w:color="auto" w:fill="EEF5F2"/>
          </w:tcPr>
          <w:p>
            <w:pPr>
              <w:spacing w:after="0"/>
              <w:rPr>
                <w:sz w:val="16"/>
                <w:szCs w:val="16"/>
                <w:color w:val="auto"/>
              </w:rPr>
            </w:pPr>
          </w:p>
        </w:tc>
        <w:tc>
          <w:tcPr>
            <w:tcW w:w="120" w:type="dxa"/>
            <w:vAlign w:val="bottom"/>
            <w:tcBorders>
              <w:top w:val="single" w:sz="8" w:color="76AD9A"/>
            </w:tcBorders>
            <w:shd w:val="clear" w:color="auto" w:fill="EEF5F2"/>
          </w:tcPr>
          <w:p>
            <w:pPr>
              <w:spacing w:after="0"/>
              <w:rPr>
                <w:sz w:val="16"/>
                <w:szCs w:val="16"/>
                <w:color w:val="auto"/>
              </w:rPr>
            </w:pPr>
          </w:p>
        </w:tc>
        <w:tc>
          <w:tcPr>
            <w:tcW w:w="440" w:type="dxa"/>
            <w:vAlign w:val="bottom"/>
            <w:tcBorders>
              <w:top w:val="single" w:sz="8" w:color="76AD9A"/>
            </w:tcBorders>
          </w:tcPr>
          <w:p>
            <w:pPr>
              <w:spacing w:after="0"/>
              <w:rPr>
                <w:sz w:val="16"/>
                <w:szCs w:val="16"/>
                <w:color w:val="auto"/>
              </w:rPr>
            </w:pPr>
          </w:p>
        </w:tc>
        <w:tc>
          <w:tcPr>
            <w:tcW w:w="960" w:type="dxa"/>
            <w:vAlign w:val="bottom"/>
            <w:tcBorders>
              <w:top w:val="single" w:sz="8" w:color="76AD9A"/>
            </w:tcBorders>
          </w:tcPr>
          <w:p>
            <w:pPr>
              <w:spacing w:after="0"/>
              <w:rPr>
                <w:sz w:val="16"/>
                <w:szCs w:val="16"/>
                <w:color w:val="auto"/>
              </w:rPr>
            </w:pPr>
          </w:p>
        </w:tc>
        <w:tc>
          <w:tcPr>
            <w:tcW w:w="300" w:type="dxa"/>
            <w:vAlign w:val="bottom"/>
            <w:tcBorders>
              <w:top w:val="single" w:sz="8" w:color="76AD9A"/>
            </w:tcBorders>
          </w:tcPr>
          <w:p>
            <w:pPr>
              <w:spacing w:after="0"/>
              <w:rPr>
                <w:sz w:val="16"/>
                <w:szCs w:val="16"/>
                <w:color w:val="auto"/>
              </w:rPr>
            </w:pPr>
          </w:p>
        </w:tc>
        <w:tc>
          <w:tcPr>
            <w:tcW w:w="46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640" w:type="dxa"/>
            <w:vAlign w:val="bottom"/>
            <w:gridSpan w:val="2"/>
          </w:tcPr>
          <w:p>
            <w:pPr>
              <w:spacing w:after="0" w:line="194" w:lineRule="exact"/>
              <w:rPr>
                <w:sz w:val="20"/>
                <w:szCs w:val="20"/>
                <w:color w:val="auto"/>
              </w:rPr>
            </w:pPr>
            <w:r>
              <w:rPr>
                <w:rFonts w:ascii="Arial" w:cs="Arial" w:eastAsia="Arial" w:hAnsi="Arial"/>
                <w:sz w:val="17"/>
                <w:szCs w:val="17"/>
                <w:color w:val="373535"/>
              </w:rPr>
              <w:t>United States</w:t>
            </w:r>
          </w:p>
        </w:tc>
        <w:tc>
          <w:tcPr>
            <w:tcW w:w="2920" w:type="dxa"/>
            <w:vAlign w:val="bottom"/>
          </w:tcPr>
          <w:p>
            <w:pPr>
              <w:spacing w:after="0"/>
              <w:rPr>
                <w:sz w:val="16"/>
                <w:szCs w:val="16"/>
                <w:color w:val="auto"/>
              </w:rPr>
            </w:pPr>
          </w:p>
        </w:tc>
        <w:tc>
          <w:tcPr>
            <w:tcW w:w="220" w:type="dxa"/>
            <w:vAlign w:val="bottom"/>
            <w:shd w:val="clear" w:color="auto" w:fill="EEF5F2"/>
          </w:tcPr>
          <w:p>
            <w:pPr>
              <w:spacing w:after="0"/>
              <w:rPr>
                <w:sz w:val="16"/>
                <w:szCs w:val="16"/>
                <w:color w:val="auto"/>
              </w:rPr>
            </w:pPr>
          </w:p>
        </w:tc>
        <w:tc>
          <w:tcPr>
            <w:tcW w:w="100" w:type="dxa"/>
            <w:vAlign w:val="bottom"/>
            <w:shd w:val="clear" w:color="auto" w:fill="EEF5F2"/>
          </w:tcPr>
          <w:p>
            <w:pPr>
              <w:spacing w:after="0"/>
              <w:rPr>
                <w:sz w:val="16"/>
                <w:szCs w:val="16"/>
                <w:color w:val="auto"/>
              </w:rPr>
            </w:pPr>
          </w:p>
        </w:tc>
        <w:tc>
          <w:tcPr>
            <w:tcW w:w="820" w:type="dxa"/>
            <w:vAlign w:val="bottom"/>
            <w:shd w:val="clear" w:color="auto" w:fill="EEF5F2"/>
          </w:tcPr>
          <w:p>
            <w:pPr>
              <w:spacing w:after="0"/>
              <w:rPr>
                <w:sz w:val="16"/>
                <w:szCs w:val="16"/>
                <w:color w:val="auto"/>
              </w:rPr>
            </w:pPr>
          </w:p>
        </w:tc>
        <w:tc>
          <w:tcPr>
            <w:tcW w:w="120" w:type="dxa"/>
            <w:vAlign w:val="bottom"/>
            <w:shd w:val="clear" w:color="auto" w:fill="EEF5F2"/>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Federal</w:t>
            </w:r>
          </w:p>
        </w:tc>
        <w:tc>
          <w:tcPr>
            <w:tcW w:w="2920" w:type="dxa"/>
            <w:vAlign w:val="bottom"/>
          </w:tcPr>
          <w:p>
            <w:pPr>
              <w:spacing w:after="0"/>
              <w:rPr>
                <w:sz w:val="20"/>
                <w:szCs w:val="20"/>
                <w:color w:val="auto"/>
              </w:rPr>
            </w:pPr>
          </w:p>
        </w:tc>
        <w:tc>
          <w:tcPr>
            <w:tcW w:w="22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76AD9A"/>
              </w:rPr>
              <w:t>(0.8)</w:t>
            </w:r>
          </w:p>
        </w:tc>
        <w:tc>
          <w:tcPr>
            <w:tcW w:w="440" w:type="dxa"/>
            <w:vAlign w:val="bottom"/>
          </w:tcPr>
          <w:p>
            <w:pPr>
              <w:ind w:left="240"/>
              <w:spacing w:after="0"/>
              <w:rPr>
                <w:sz w:val="20"/>
                <w:szCs w:val="20"/>
                <w:color w:val="auto"/>
              </w:rPr>
            </w:pPr>
            <w:r>
              <w:rPr>
                <w:rFonts w:ascii="Arial" w:cs="Arial" w:eastAsia="Arial" w:hAnsi="Arial"/>
                <w:sz w:val="17"/>
                <w:szCs w:val="17"/>
                <w:color w:val="373535"/>
              </w:rPr>
              <w:t>$</w:t>
            </w: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17.5</w:t>
            </w:r>
          </w:p>
        </w:tc>
        <w:tc>
          <w:tcPr>
            <w:tcW w:w="300" w:type="dxa"/>
            <w:vAlign w:val="bottom"/>
          </w:tcPr>
          <w:p>
            <w:pPr>
              <w:ind w:left="100"/>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w w:val="96"/>
              </w:rPr>
              <w:t>24.2</w:t>
            </w:r>
          </w:p>
        </w:tc>
        <w:tc>
          <w:tcPr>
            <w:tcW w:w="8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State</w:t>
            </w:r>
          </w:p>
        </w:tc>
        <w:tc>
          <w:tcPr>
            <w:tcW w:w="2920" w:type="dxa"/>
            <w:vAlign w:val="bottom"/>
          </w:tcPr>
          <w:p>
            <w:pPr>
              <w:spacing w:after="0"/>
              <w:rPr>
                <w:sz w:val="19"/>
                <w:szCs w:val="19"/>
                <w:color w:val="auto"/>
              </w:rPr>
            </w:pPr>
          </w:p>
        </w:tc>
        <w:tc>
          <w:tcPr>
            <w:tcW w:w="220" w:type="dxa"/>
            <w:vAlign w:val="bottom"/>
            <w:shd w:val="clear" w:color="auto" w:fill="EEF5F2"/>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76AD9A"/>
              </w:rPr>
              <w:t>3.4</w:t>
            </w:r>
          </w:p>
        </w:tc>
        <w:tc>
          <w:tcPr>
            <w:tcW w:w="4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9.6</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rPr>
              <w:t>2.8</w:t>
            </w:r>
          </w:p>
        </w:tc>
        <w:tc>
          <w:tcPr>
            <w:tcW w:w="80" w:type="dxa"/>
            <w:vAlign w:val="bottom"/>
          </w:tcPr>
          <w:p>
            <w:pPr>
              <w:spacing w:after="0"/>
              <w:rPr>
                <w:sz w:val="19"/>
                <w:szCs w:val="19"/>
                <w:color w:val="auto"/>
              </w:rPr>
            </w:pPr>
          </w:p>
        </w:tc>
      </w:tr>
      <w:tr>
        <w:trPr>
          <w:trHeight w:val="195"/>
        </w:trPr>
        <w:tc>
          <w:tcPr>
            <w:tcW w:w="464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Non-United States</w:t>
            </w:r>
          </w:p>
        </w:tc>
        <w:tc>
          <w:tcPr>
            <w:tcW w:w="292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shd w:val="clear" w:color="auto" w:fill="EEF5F2"/>
          </w:tcPr>
          <w:p>
            <w:pPr>
              <w:spacing w:after="0"/>
              <w:rPr>
                <w:sz w:val="16"/>
                <w:szCs w:val="16"/>
                <w:color w:val="auto"/>
              </w:rPr>
            </w:pPr>
          </w:p>
        </w:tc>
        <w:tc>
          <w:tcPr>
            <w:tcW w:w="100" w:type="dxa"/>
            <w:vAlign w:val="bottom"/>
            <w:tcBorders>
              <w:bottom w:val="single" w:sz="8" w:color="717073"/>
            </w:tcBorders>
          </w:tcPr>
          <w:p>
            <w:pPr>
              <w:spacing w:after="0"/>
              <w:rPr>
                <w:sz w:val="16"/>
                <w:szCs w:val="16"/>
                <w:color w:val="auto"/>
              </w:rPr>
            </w:pPr>
          </w:p>
        </w:tc>
        <w:tc>
          <w:tcPr>
            <w:tcW w:w="940" w:type="dxa"/>
            <w:vAlign w:val="bottom"/>
            <w:tcBorders>
              <w:bottom w:val="single" w:sz="8" w:color="717073"/>
            </w:tcBorders>
            <w:gridSpan w:val="2"/>
          </w:tcPr>
          <w:p>
            <w:pPr>
              <w:jc w:val="right"/>
              <w:ind w:right="120"/>
              <w:spacing w:after="0"/>
              <w:rPr>
                <w:sz w:val="20"/>
                <w:szCs w:val="20"/>
                <w:color w:val="auto"/>
              </w:rPr>
            </w:pPr>
            <w:r>
              <w:rPr>
                <w:rFonts w:ascii="Arial" w:cs="Arial" w:eastAsia="Arial" w:hAnsi="Arial"/>
                <w:sz w:val="17"/>
                <w:szCs w:val="17"/>
                <w:color w:val="76AD9A"/>
              </w:rPr>
              <w:t>167.9</w:t>
            </w:r>
          </w:p>
        </w:tc>
        <w:tc>
          <w:tcPr>
            <w:tcW w:w="440" w:type="dxa"/>
            <w:vAlign w:val="bottom"/>
            <w:tcBorders>
              <w:bottom w:val="single" w:sz="8" w:color="717073"/>
            </w:tcBorders>
          </w:tcPr>
          <w:p>
            <w:pPr>
              <w:spacing w:after="0"/>
              <w:rPr>
                <w:sz w:val="16"/>
                <w:szCs w:val="16"/>
                <w:color w:val="auto"/>
              </w:rPr>
            </w:pPr>
          </w:p>
        </w:tc>
        <w:tc>
          <w:tcPr>
            <w:tcW w:w="960" w:type="dxa"/>
            <w:vAlign w:val="bottom"/>
            <w:tcBorders>
              <w:bottom w:val="single" w:sz="8" w:color="717073"/>
            </w:tcBorders>
          </w:tcPr>
          <w:p>
            <w:pPr>
              <w:jc w:val="right"/>
              <w:ind w:right="56"/>
              <w:spacing w:after="0"/>
              <w:rPr>
                <w:sz w:val="20"/>
                <w:szCs w:val="20"/>
                <w:color w:val="auto"/>
              </w:rPr>
            </w:pPr>
            <w:r>
              <w:rPr>
                <w:rFonts w:ascii="Arial" w:cs="Arial" w:eastAsia="Arial" w:hAnsi="Arial"/>
                <w:sz w:val="17"/>
                <w:szCs w:val="17"/>
                <w:color w:val="373535"/>
              </w:rPr>
              <w:t>155.3</w:t>
            </w:r>
          </w:p>
        </w:tc>
        <w:tc>
          <w:tcPr>
            <w:tcW w:w="300" w:type="dxa"/>
            <w:vAlign w:val="bottom"/>
            <w:tcBorders>
              <w:bottom w:val="single" w:sz="8" w:color="717073"/>
            </w:tcBorders>
          </w:tcPr>
          <w:p>
            <w:pPr>
              <w:spacing w:after="0"/>
              <w:rPr>
                <w:sz w:val="16"/>
                <w:szCs w:val="16"/>
                <w:color w:val="auto"/>
              </w:rPr>
            </w:pPr>
          </w:p>
        </w:tc>
        <w:tc>
          <w:tcPr>
            <w:tcW w:w="820" w:type="dxa"/>
            <w:vAlign w:val="bottom"/>
            <w:tcBorders>
              <w:bottom w:val="single" w:sz="8" w:color="717073"/>
            </w:tcBorders>
            <w:gridSpan w:val="3"/>
          </w:tcPr>
          <w:p>
            <w:pPr>
              <w:jc w:val="right"/>
              <w:ind w:right="20"/>
              <w:spacing w:after="0"/>
              <w:rPr>
                <w:sz w:val="20"/>
                <w:szCs w:val="20"/>
                <w:color w:val="auto"/>
              </w:rPr>
            </w:pPr>
            <w:r>
              <w:rPr>
                <w:rFonts w:ascii="Arial" w:cs="Arial" w:eastAsia="Arial" w:hAnsi="Arial"/>
                <w:sz w:val="17"/>
                <w:szCs w:val="17"/>
                <w:color w:val="373535"/>
              </w:rPr>
              <w:t>176.5</w:t>
            </w:r>
          </w:p>
        </w:tc>
        <w:tc>
          <w:tcPr>
            <w:tcW w:w="80" w:type="dxa"/>
            <w:vAlign w:val="bottom"/>
          </w:tcPr>
          <w:p>
            <w:pPr>
              <w:spacing w:after="0"/>
              <w:rPr>
                <w:sz w:val="16"/>
                <w:szCs w:val="16"/>
                <w:color w:val="auto"/>
              </w:rPr>
            </w:pPr>
          </w:p>
        </w:tc>
      </w:tr>
      <w:tr>
        <w:trPr>
          <w:trHeight w:val="186"/>
        </w:trPr>
        <w:tc>
          <w:tcPr>
            <w:tcW w:w="4640" w:type="dxa"/>
            <w:vAlign w:val="bottom"/>
            <w:gridSpan w:val="2"/>
          </w:tcPr>
          <w:p>
            <w:pPr>
              <w:spacing w:after="0" w:line="186" w:lineRule="exact"/>
              <w:rPr>
                <w:sz w:val="20"/>
                <w:szCs w:val="20"/>
                <w:color w:val="auto"/>
              </w:rPr>
            </w:pPr>
            <w:r>
              <w:rPr>
                <w:rFonts w:ascii="Arial" w:cs="Arial" w:eastAsia="Arial" w:hAnsi="Arial"/>
                <w:sz w:val="17"/>
                <w:szCs w:val="17"/>
                <w:color w:val="373535"/>
              </w:rPr>
              <w:t>Total current</w:t>
            </w:r>
          </w:p>
        </w:tc>
        <w:tc>
          <w:tcPr>
            <w:tcW w:w="2920" w:type="dxa"/>
            <w:vAlign w:val="bottom"/>
          </w:tcPr>
          <w:p>
            <w:pPr>
              <w:spacing w:after="0"/>
              <w:rPr>
                <w:sz w:val="16"/>
                <w:szCs w:val="16"/>
                <w:color w:val="auto"/>
              </w:rPr>
            </w:pPr>
          </w:p>
        </w:tc>
        <w:tc>
          <w:tcPr>
            <w:tcW w:w="220" w:type="dxa"/>
            <w:vAlign w:val="bottom"/>
            <w:shd w:val="clear" w:color="auto" w:fill="EEF5F2"/>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120"/>
              <w:spacing w:after="0" w:line="186" w:lineRule="exact"/>
              <w:rPr>
                <w:sz w:val="20"/>
                <w:szCs w:val="20"/>
                <w:color w:val="auto"/>
              </w:rPr>
            </w:pPr>
            <w:r>
              <w:rPr>
                <w:rFonts w:ascii="Arial" w:cs="Arial" w:eastAsia="Arial" w:hAnsi="Arial"/>
                <w:sz w:val="17"/>
                <w:szCs w:val="17"/>
                <w:color w:val="76AD9A"/>
              </w:rPr>
              <w:t>170.5</w:t>
            </w:r>
          </w:p>
        </w:tc>
        <w:tc>
          <w:tcPr>
            <w:tcW w:w="440" w:type="dxa"/>
            <w:vAlign w:val="bottom"/>
          </w:tcPr>
          <w:p>
            <w:pPr>
              <w:spacing w:after="0"/>
              <w:rPr>
                <w:sz w:val="16"/>
                <w:szCs w:val="16"/>
                <w:color w:val="auto"/>
              </w:rPr>
            </w:pPr>
          </w:p>
        </w:tc>
        <w:tc>
          <w:tcPr>
            <w:tcW w:w="960" w:type="dxa"/>
            <w:vAlign w:val="bottom"/>
          </w:tcPr>
          <w:p>
            <w:pPr>
              <w:jc w:val="right"/>
              <w:ind w:right="56"/>
              <w:spacing w:after="0" w:line="186" w:lineRule="exact"/>
              <w:rPr>
                <w:sz w:val="20"/>
                <w:szCs w:val="20"/>
                <w:color w:val="auto"/>
              </w:rPr>
            </w:pPr>
            <w:r>
              <w:rPr>
                <w:rFonts w:ascii="Arial" w:cs="Arial" w:eastAsia="Arial" w:hAnsi="Arial"/>
                <w:sz w:val="17"/>
                <w:szCs w:val="17"/>
                <w:color w:val="373535"/>
              </w:rPr>
              <w:t>182.4</w:t>
            </w:r>
          </w:p>
        </w:tc>
        <w:tc>
          <w:tcPr>
            <w:tcW w:w="300" w:type="dxa"/>
            <w:vAlign w:val="bottom"/>
          </w:tcPr>
          <w:p>
            <w:pPr>
              <w:spacing w:after="0"/>
              <w:rPr>
                <w:sz w:val="16"/>
                <w:szCs w:val="16"/>
                <w:color w:val="auto"/>
              </w:rPr>
            </w:pPr>
          </w:p>
        </w:tc>
        <w:tc>
          <w:tcPr>
            <w:tcW w:w="820" w:type="dxa"/>
            <w:vAlign w:val="bottom"/>
            <w:gridSpan w:val="3"/>
          </w:tcPr>
          <w:p>
            <w:pPr>
              <w:jc w:val="right"/>
              <w:ind w:right="20"/>
              <w:spacing w:after="0" w:line="186" w:lineRule="exact"/>
              <w:rPr>
                <w:sz w:val="20"/>
                <w:szCs w:val="20"/>
                <w:color w:val="auto"/>
              </w:rPr>
            </w:pPr>
            <w:r>
              <w:rPr>
                <w:rFonts w:ascii="Arial" w:cs="Arial" w:eastAsia="Arial" w:hAnsi="Arial"/>
                <w:sz w:val="17"/>
                <w:szCs w:val="17"/>
                <w:color w:val="373535"/>
              </w:rPr>
              <w:t>203.5</w:t>
            </w:r>
          </w:p>
        </w:tc>
        <w:tc>
          <w:tcPr>
            <w:tcW w:w="80" w:type="dxa"/>
            <w:vAlign w:val="bottom"/>
          </w:tcPr>
          <w:p>
            <w:pPr>
              <w:spacing w:after="0"/>
              <w:rPr>
                <w:sz w:val="16"/>
                <w:szCs w:val="16"/>
                <w:color w:val="auto"/>
              </w:rPr>
            </w:pPr>
          </w:p>
        </w:tc>
      </w:tr>
      <w:tr>
        <w:trPr>
          <w:trHeight w:val="186"/>
        </w:trPr>
        <w:tc>
          <w:tcPr>
            <w:tcW w:w="4640" w:type="dxa"/>
            <w:vAlign w:val="bottom"/>
            <w:tcBorders>
              <w:top w:val="single" w:sz="8" w:color="717073"/>
            </w:tcBorders>
            <w:gridSpan w:val="2"/>
          </w:tcPr>
          <w:p>
            <w:pPr>
              <w:spacing w:after="0" w:line="185" w:lineRule="exact"/>
              <w:rPr>
                <w:sz w:val="20"/>
                <w:szCs w:val="20"/>
                <w:color w:val="auto"/>
              </w:rPr>
            </w:pPr>
            <w:r>
              <w:rPr>
                <w:rFonts w:ascii="Arial" w:cs="Arial" w:eastAsia="Arial" w:hAnsi="Arial"/>
                <w:sz w:val="17"/>
                <w:szCs w:val="17"/>
                <w:b w:val="1"/>
                <w:bCs w:val="1"/>
                <w:color w:val="777679"/>
              </w:rPr>
              <w:t>Deferred</w:t>
            </w:r>
          </w:p>
        </w:tc>
        <w:tc>
          <w:tcPr>
            <w:tcW w:w="2920" w:type="dxa"/>
            <w:vAlign w:val="bottom"/>
            <w:tcBorders>
              <w:top w:val="single" w:sz="8" w:color="717073"/>
            </w:tcBorders>
          </w:tcPr>
          <w:p>
            <w:pPr>
              <w:spacing w:after="0"/>
              <w:rPr>
                <w:sz w:val="16"/>
                <w:szCs w:val="16"/>
                <w:color w:val="auto"/>
              </w:rPr>
            </w:pPr>
          </w:p>
        </w:tc>
        <w:tc>
          <w:tcPr>
            <w:tcW w:w="220" w:type="dxa"/>
            <w:vAlign w:val="bottom"/>
            <w:tcBorders>
              <w:top w:val="single" w:sz="8" w:color="717073"/>
            </w:tcBorders>
            <w:shd w:val="clear" w:color="auto" w:fill="EEF5F2"/>
          </w:tcPr>
          <w:p>
            <w:pPr>
              <w:spacing w:after="0"/>
              <w:rPr>
                <w:sz w:val="16"/>
                <w:szCs w:val="16"/>
                <w:color w:val="auto"/>
              </w:rPr>
            </w:pPr>
          </w:p>
        </w:tc>
        <w:tc>
          <w:tcPr>
            <w:tcW w:w="100" w:type="dxa"/>
            <w:vAlign w:val="bottom"/>
            <w:tcBorders>
              <w:top w:val="single" w:sz="8" w:color="717073"/>
            </w:tcBorders>
          </w:tcPr>
          <w:p>
            <w:pPr>
              <w:spacing w:after="0"/>
              <w:rPr>
                <w:sz w:val="16"/>
                <w:szCs w:val="16"/>
                <w:color w:val="auto"/>
              </w:rPr>
            </w:pPr>
          </w:p>
        </w:tc>
        <w:tc>
          <w:tcPr>
            <w:tcW w:w="820" w:type="dxa"/>
            <w:vAlign w:val="bottom"/>
            <w:tcBorders>
              <w:top w:val="single" w:sz="8" w:color="717073"/>
            </w:tcBorders>
          </w:tcPr>
          <w:p>
            <w:pPr>
              <w:spacing w:after="0"/>
              <w:rPr>
                <w:sz w:val="16"/>
                <w:szCs w:val="16"/>
                <w:color w:val="auto"/>
              </w:rPr>
            </w:pPr>
          </w:p>
        </w:tc>
        <w:tc>
          <w:tcPr>
            <w:tcW w:w="120" w:type="dxa"/>
            <w:vAlign w:val="bottom"/>
            <w:tcBorders>
              <w:top w:val="single" w:sz="8" w:color="717073"/>
            </w:tcBorders>
          </w:tcPr>
          <w:p>
            <w:pPr>
              <w:spacing w:after="0"/>
              <w:rPr>
                <w:sz w:val="16"/>
                <w:szCs w:val="16"/>
                <w:color w:val="auto"/>
              </w:rPr>
            </w:pPr>
          </w:p>
        </w:tc>
        <w:tc>
          <w:tcPr>
            <w:tcW w:w="440" w:type="dxa"/>
            <w:vAlign w:val="bottom"/>
            <w:tcBorders>
              <w:top w:val="single" w:sz="8" w:color="717073"/>
            </w:tcBorders>
          </w:tcPr>
          <w:p>
            <w:pPr>
              <w:spacing w:after="0"/>
              <w:rPr>
                <w:sz w:val="16"/>
                <w:szCs w:val="16"/>
                <w:color w:val="auto"/>
              </w:rPr>
            </w:pPr>
          </w:p>
        </w:tc>
        <w:tc>
          <w:tcPr>
            <w:tcW w:w="960" w:type="dxa"/>
            <w:vAlign w:val="bottom"/>
            <w:tcBorders>
              <w:top w:val="single" w:sz="8" w:color="717073"/>
            </w:tcBorders>
          </w:tcPr>
          <w:p>
            <w:pPr>
              <w:spacing w:after="0"/>
              <w:rPr>
                <w:sz w:val="16"/>
                <w:szCs w:val="16"/>
                <w:color w:val="auto"/>
              </w:rPr>
            </w:pPr>
          </w:p>
        </w:tc>
        <w:tc>
          <w:tcPr>
            <w:tcW w:w="300" w:type="dxa"/>
            <w:vAlign w:val="bottom"/>
            <w:tcBorders>
              <w:top w:val="single" w:sz="8" w:color="717073"/>
            </w:tcBorders>
          </w:tcPr>
          <w:p>
            <w:pPr>
              <w:spacing w:after="0"/>
              <w:rPr>
                <w:sz w:val="16"/>
                <w:szCs w:val="16"/>
                <w:color w:val="auto"/>
              </w:rPr>
            </w:pPr>
          </w:p>
        </w:tc>
        <w:tc>
          <w:tcPr>
            <w:tcW w:w="460" w:type="dxa"/>
            <w:vAlign w:val="bottom"/>
            <w:tcBorders>
              <w:top w:val="single" w:sz="8" w:color="717073"/>
            </w:tcBorders>
          </w:tcPr>
          <w:p>
            <w:pPr>
              <w:spacing w:after="0"/>
              <w:rPr>
                <w:sz w:val="16"/>
                <w:szCs w:val="16"/>
                <w:color w:val="auto"/>
              </w:rPr>
            </w:pPr>
          </w:p>
        </w:tc>
        <w:tc>
          <w:tcPr>
            <w:tcW w:w="34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4640" w:type="dxa"/>
            <w:vAlign w:val="bottom"/>
            <w:gridSpan w:val="2"/>
          </w:tcPr>
          <w:p>
            <w:pPr>
              <w:spacing w:after="0"/>
              <w:rPr>
                <w:sz w:val="20"/>
                <w:szCs w:val="20"/>
                <w:color w:val="auto"/>
              </w:rPr>
            </w:pPr>
            <w:r>
              <w:rPr>
                <w:rFonts w:ascii="Arial" w:cs="Arial" w:eastAsia="Arial" w:hAnsi="Arial"/>
                <w:sz w:val="17"/>
                <w:szCs w:val="17"/>
                <w:color w:val="373535"/>
              </w:rPr>
              <w:t>United States</w:t>
            </w:r>
          </w:p>
        </w:tc>
        <w:tc>
          <w:tcPr>
            <w:tcW w:w="2920" w:type="dxa"/>
            <w:vAlign w:val="bottom"/>
          </w:tcPr>
          <w:p>
            <w:pPr>
              <w:spacing w:after="0"/>
              <w:rPr>
                <w:sz w:val="17"/>
                <w:szCs w:val="17"/>
                <w:color w:val="auto"/>
              </w:rPr>
            </w:pPr>
          </w:p>
        </w:tc>
        <w:tc>
          <w:tcPr>
            <w:tcW w:w="220" w:type="dxa"/>
            <w:vAlign w:val="bottom"/>
            <w:shd w:val="clear" w:color="auto" w:fill="EEF5F2"/>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Federal</w:t>
            </w:r>
          </w:p>
        </w:tc>
        <w:tc>
          <w:tcPr>
            <w:tcW w:w="2920" w:type="dxa"/>
            <w:vAlign w:val="bottom"/>
          </w:tcPr>
          <w:p>
            <w:pPr>
              <w:spacing w:after="0"/>
              <w:rPr>
                <w:sz w:val="19"/>
                <w:szCs w:val="19"/>
                <w:color w:val="auto"/>
              </w:rPr>
            </w:pPr>
          </w:p>
        </w:tc>
        <w:tc>
          <w:tcPr>
            <w:tcW w:w="220" w:type="dxa"/>
            <w:vAlign w:val="bottom"/>
            <w:shd w:val="clear" w:color="auto" w:fill="EEF5F2"/>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76AD9A"/>
              </w:rPr>
              <w:t>21.0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373535"/>
              </w:rPr>
              <w:t>(20.4)</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7"/>
                <w:szCs w:val="17"/>
                <w:color w:val="373535"/>
              </w:rPr>
              <w:t>(2.3)</w:t>
            </w:r>
          </w:p>
        </w:tc>
      </w:tr>
      <w:tr>
        <w:trPr>
          <w:trHeight w:val="219"/>
        </w:trPr>
        <w:tc>
          <w:tcPr>
            <w:tcW w:w="20" w:type="dxa"/>
            <w:vAlign w:val="bottom"/>
          </w:tcPr>
          <w:p>
            <w:pPr>
              <w:spacing w:after="0"/>
              <w:rPr>
                <w:sz w:val="19"/>
                <w:szCs w:val="19"/>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State</w:t>
            </w:r>
          </w:p>
        </w:tc>
        <w:tc>
          <w:tcPr>
            <w:tcW w:w="2920" w:type="dxa"/>
            <w:vAlign w:val="bottom"/>
          </w:tcPr>
          <w:p>
            <w:pPr>
              <w:spacing w:after="0"/>
              <w:rPr>
                <w:sz w:val="19"/>
                <w:szCs w:val="19"/>
                <w:color w:val="auto"/>
              </w:rPr>
            </w:pPr>
          </w:p>
        </w:tc>
        <w:tc>
          <w:tcPr>
            <w:tcW w:w="220" w:type="dxa"/>
            <w:vAlign w:val="bottom"/>
            <w:shd w:val="clear" w:color="auto" w:fill="EEF5F2"/>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76AD9A"/>
              </w:rPr>
              <w:t>0.9</w:t>
            </w:r>
          </w:p>
        </w:tc>
        <w:tc>
          <w:tcPr>
            <w:tcW w:w="4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0.5</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rPr>
              <w:t>3.3</w:t>
            </w:r>
          </w:p>
        </w:tc>
        <w:tc>
          <w:tcPr>
            <w:tcW w:w="80" w:type="dxa"/>
            <w:vAlign w:val="bottom"/>
          </w:tcPr>
          <w:p>
            <w:pPr>
              <w:spacing w:after="0"/>
              <w:rPr>
                <w:sz w:val="19"/>
                <w:szCs w:val="19"/>
                <w:color w:val="auto"/>
              </w:rPr>
            </w:pPr>
          </w:p>
        </w:tc>
      </w:tr>
      <w:tr>
        <w:trPr>
          <w:trHeight w:val="195"/>
        </w:trPr>
        <w:tc>
          <w:tcPr>
            <w:tcW w:w="464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Non-United States</w:t>
            </w:r>
          </w:p>
        </w:tc>
        <w:tc>
          <w:tcPr>
            <w:tcW w:w="292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shd w:val="clear" w:color="auto" w:fill="EEF5F2"/>
          </w:tcPr>
          <w:p>
            <w:pPr>
              <w:spacing w:after="0"/>
              <w:rPr>
                <w:sz w:val="16"/>
                <w:szCs w:val="16"/>
                <w:color w:val="auto"/>
              </w:rPr>
            </w:pPr>
          </w:p>
        </w:tc>
        <w:tc>
          <w:tcPr>
            <w:tcW w:w="100" w:type="dxa"/>
            <w:vAlign w:val="bottom"/>
            <w:tcBorders>
              <w:bottom w:val="single" w:sz="8" w:color="717073"/>
            </w:tcBorders>
          </w:tcPr>
          <w:p>
            <w:pPr>
              <w:spacing w:after="0"/>
              <w:rPr>
                <w:sz w:val="16"/>
                <w:szCs w:val="16"/>
                <w:color w:val="auto"/>
              </w:rPr>
            </w:pPr>
          </w:p>
        </w:tc>
        <w:tc>
          <w:tcPr>
            <w:tcW w:w="940" w:type="dxa"/>
            <w:vAlign w:val="bottom"/>
            <w:tcBorders>
              <w:bottom w:val="single" w:sz="8" w:color="717073"/>
            </w:tcBorders>
            <w:gridSpan w:val="2"/>
          </w:tcPr>
          <w:p>
            <w:pPr>
              <w:jc w:val="right"/>
              <w:ind w:right="60"/>
              <w:spacing w:after="0"/>
              <w:rPr>
                <w:sz w:val="20"/>
                <w:szCs w:val="20"/>
                <w:color w:val="auto"/>
              </w:rPr>
            </w:pPr>
            <w:r>
              <w:rPr>
                <w:rFonts w:ascii="Arial" w:cs="Arial" w:eastAsia="Arial" w:hAnsi="Arial"/>
                <w:sz w:val="17"/>
                <w:szCs w:val="17"/>
                <w:color w:val="76AD9A"/>
              </w:rPr>
              <w:t>(4.9)</w:t>
            </w:r>
          </w:p>
        </w:tc>
        <w:tc>
          <w:tcPr>
            <w:tcW w:w="440" w:type="dxa"/>
            <w:vAlign w:val="bottom"/>
            <w:tcBorders>
              <w:bottom w:val="single" w:sz="8" w:color="717073"/>
            </w:tcBorders>
          </w:tcPr>
          <w:p>
            <w:pPr>
              <w:spacing w:after="0"/>
              <w:rPr>
                <w:sz w:val="16"/>
                <w:szCs w:val="16"/>
                <w:color w:val="auto"/>
              </w:rPr>
            </w:pPr>
          </w:p>
        </w:tc>
        <w:tc>
          <w:tcPr>
            <w:tcW w:w="960" w:type="dxa"/>
            <w:vAlign w:val="bottom"/>
            <w:tcBorders>
              <w:bottom w:val="single" w:sz="8" w:color="717073"/>
            </w:tcBorders>
          </w:tcPr>
          <w:p>
            <w:pPr>
              <w:jc w:val="right"/>
              <w:ind w:right="56"/>
              <w:spacing w:after="0"/>
              <w:rPr>
                <w:sz w:val="20"/>
                <w:szCs w:val="20"/>
                <w:color w:val="auto"/>
              </w:rPr>
            </w:pPr>
            <w:r>
              <w:rPr>
                <w:rFonts w:ascii="Arial" w:cs="Arial" w:eastAsia="Arial" w:hAnsi="Arial"/>
                <w:sz w:val="17"/>
                <w:szCs w:val="17"/>
                <w:color w:val="373535"/>
              </w:rPr>
              <w:t>8.3</w:t>
            </w:r>
          </w:p>
        </w:tc>
        <w:tc>
          <w:tcPr>
            <w:tcW w:w="300" w:type="dxa"/>
            <w:vAlign w:val="bottom"/>
            <w:tcBorders>
              <w:bottom w:val="single" w:sz="8" w:color="717073"/>
            </w:tcBorders>
          </w:tcPr>
          <w:p>
            <w:pPr>
              <w:spacing w:after="0"/>
              <w:rPr>
                <w:sz w:val="16"/>
                <w:szCs w:val="16"/>
                <w:color w:val="auto"/>
              </w:rPr>
            </w:pPr>
          </w:p>
        </w:tc>
        <w:tc>
          <w:tcPr>
            <w:tcW w:w="46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w w:val="96"/>
              </w:rPr>
              <w:t>23.8</w:t>
            </w:r>
          </w:p>
        </w:tc>
        <w:tc>
          <w:tcPr>
            <w:tcW w:w="80" w:type="dxa"/>
            <w:vAlign w:val="bottom"/>
          </w:tcPr>
          <w:p>
            <w:pPr>
              <w:spacing w:after="0"/>
              <w:rPr>
                <w:sz w:val="16"/>
                <w:szCs w:val="16"/>
                <w:color w:val="auto"/>
              </w:rPr>
            </w:pPr>
          </w:p>
        </w:tc>
      </w:tr>
      <w:tr>
        <w:trPr>
          <w:trHeight w:val="186"/>
        </w:trPr>
        <w:tc>
          <w:tcPr>
            <w:tcW w:w="464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Total deferred</w:t>
            </w:r>
          </w:p>
        </w:tc>
        <w:tc>
          <w:tcPr>
            <w:tcW w:w="292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shd w:val="clear" w:color="auto" w:fill="EEF5F2"/>
          </w:tcPr>
          <w:p>
            <w:pPr>
              <w:spacing w:after="0"/>
              <w:rPr>
                <w:sz w:val="16"/>
                <w:szCs w:val="16"/>
                <w:color w:val="auto"/>
              </w:rPr>
            </w:pPr>
          </w:p>
        </w:tc>
        <w:tc>
          <w:tcPr>
            <w:tcW w:w="100" w:type="dxa"/>
            <w:vAlign w:val="bottom"/>
            <w:tcBorders>
              <w:bottom w:val="single" w:sz="8" w:color="717073"/>
            </w:tcBorders>
          </w:tcPr>
          <w:p>
            <w:pPr>
              <w:spacing w:after="0"/>
              <w:rPr>
                <w:sz w:val="16"/>
                <w:szCs w:val="16"/>
                <w:color w:val="auto"/>
              </w:rPr>
            </w:pPr>
          </w:p>
        </w:tc>
        <w:tc>
          <w:tcPr>
            <w:tcW w:w="8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76AD9A"/>
              </w:rPr>
              <w:t>17.0</w:t>
            </w:r>
          </w:p>
        </w:tc>
        <w:tc>
          <w:tcPr>
            <w:tcW w:w="120" w:type="dxa"/>
            <w:vAlign w:val="bottom"/>
            <w:tcBorders>
              <w:bottom w:val="single" w:sz="8" w:color="717073"/>
            </w:tcBorders>
          </w:tcPr>
          <w:p>
            <w:pPr>
              <w:spacing w:after="0"/>
              <w:rPr>
                <w:sz w:val="16"/>
                <w:szCs w:val="16"/>
                <w:color w:val="auto"/>
              </w:rPr>
            </w:pPr>
          </w:p>
        </w:tc>
        <w:tc>
          <w:tcPr>
            <w:tcW w:w="440" w:type="dxa"/>
            <w:vAlign w:val="bottom"/>
            <w:tcBorders>
              <w:bottom w:val="single" w:sz="8" w:color="717073"/>
            </w:tcBorders>
          </w:tcPr>
          <w:p>
            <w:pPr>
              <w:spacing w:after="0"/>
              <w:rPr>
                <w:sz w:val="16"/>
                <w:szCs w:val="16"/>
                <w:color w:val="auto"/>
              </w:rPr>
            </w:pPr>
          </w:p>
        </w:tc>
        <w:tc>
          <w:tcPr>
            <w:tcW w:w="9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(11.6)</w:t>
            </w:r>
          </w:p>
        </w:tc>
        <w:tc>
          <w:tcPr>
            <w:tcW w:w="300" w:type="dxa"/>
            <w:vAlign w:val="bottom"/>
            <w:tcBorders>
              <w:bottom w:val="single" w:sz="8" w:color="717073"/>
            </w:tcBorders>
          </w:tcPr>
          <w:p>
            <w:pPr>
              <w:spacing w:after="0"/>
              <w:rPr>
                <w:sz w:val="16"/>
                <w:szCs w:val="16"/>
                <w:color w:val="auto"/>
              </w:rPr>
            </w:pPr>
          </w:p>
        </w:tc>
        <w:tc>
          <w:tcPr>
            <w:tcW w:w="46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w w:val="96"/>
              </w:rPr>
              <w:t>24.8</w:t>
            </w:r>
          </w:p>
        </w:tc>
        <w:tc>
          <w:tcPr>
            <w:tcW w:w="80" w:type="dxa"/>
            <w:vAlign w:val="bottom"/>
          </w:tcPr>
          <w:p>
            <w:pPr>
              <w:spacing w:after="0"/>
              <w:rPr>
                <w:sz w:val="16"/>
                <w:szCs w:val="16"/>
                <w:color w:val="auto"/>
              </w:rPr>
            </w:pPr>
          </w:p>
        </w:tc>
      </w:tr>
      <w:tr>
        <w:trPr>
          <w:trHeight w:val="186"/>
        </w:trPr>
        <w:tc>
          <w:tcPr>
            <w:tcW w:w="4640" w:type="dxa"/>
            <w:vAlign w:val="bottom"/>
            <w:gridSpan w:val="2"/>
          </w:tcPr>
          <w:p>
            <w:pPr>
              <w:spacing w:after="0" w:line="186" w:lineRule="exact"/>
              <w:rPr>
                <w:sz w:val="20"/>
                <w:szCs w:val="20"/>
                <w:color w:val="auto"/>
              </w:rPr>
            </w:pPr>
            <w:r>
              <w:rPr>
                <w:rFonts w:ascii="Arial" w:cs="Arial" w:eastAsia="Arial" w:hAnsi="Arial"/>
                <w:sz w:val="17"/>
                <w:szCs w:val="17"/>
                <w:color w:val="373535"/>
              </w:rPr>
              <w:t>Total provision</w:t>
            </w:r>
          </w:p>
        </w:tc>
        <w:tc>
          <w:tcPr>
            <w:tcW w:w="2920" w:type="dxa"/>
            <w:vAlign w:val="bottom"/>
          </w:tcPr>
          <w:p>
            <w:pPr>
              <w:spacing w:after="0"/>
              <w:rPr>
                <w:sz w:val="16"/>
                <w:szCs w:val="16"/>
                <w:color w:val="auto"/>
              </w:rPr>
            </w:pP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line="186" w:lineRule="exact"/>
              <w:rPr>
                <w:sz w:val="20"/>
                <w:szCs w:val="20"/>
                <w:color w:val="auto"/>
              </w:rPr>
            </w:pPr>
            <w:r>
              <w:rPr>
                <w:rFonts w:ascii="Arial" w:cs="Arial" w:eastAsia="Arial" w:hAnsi="Arial"/>
                <w:sz w:val="17"/>
                <w:szCs w:val="17"/>
                <w:color w:val="76AD9A"/>
              </w:rPr>
              <w:t>187.5</w:t>
            </w:r>
          </w:p>
        </w:tc>
        <w:tc>
          <w:tcPr>
            <w:tcW w:w="440" w:type="dxa"/>
            <w:vAlign w:val="bottom"/>
          </w:tcPr>
          <w:p>
            <w:pPr>
              <w:ind w:left="240"/>
              <w:spacing w:after="0" w:line="186" w:lineRule="exact"/>
              <w:rPr>
                <w:sz w:val="20"/>
                <w:szCs w:val="20"/>
                <w:color w:val="auto"/>
              </w:rPr>
            </w:pPr>
            <w:r>
              <w:rPr>
                <w:rFonts w:ascii="Arial" w:cs="Arial" w:eastAsia="Arial" w:hAnsi="Arial"/>
                <w:sz w:val="17"/>
                <w:szCs w:val="17"/>
                <w:color w:val="373535"/>
              </w:rPr>
              <w:t>$</w:t>
            </w:r>
          </w:p>
        </w:tc>
        <w:tc>
          <w:tcPr>
            <w:tcW w:w="960" w:type="dxa"/>
            <w:vAlign w:val="bottom"/>
          </w:tcPr>
          <w:p>
            <w:pPr>
              <w:jc w:val="right"/>
              <w:ind w:right="56"/>
              <w:spacing w:after="0" w:line="186" w:lineRule="exact"/>
              <w:rPr>
                <w:sz w:val="20"/>
                <w:szCs w:val="20"/>
                <w:color w:val="auto"/>
              </w:rPr>
            </w:pPr>
            <w:r>
              <w:rPr>
                <w:rFonts w:ascii="Arial" w:cs="Arial" w:eastAsia="Arial" w:hAnsi="Arial"/>
                <w:sz w:val="17"/>
                <w:szCs w:val="17"/>
                <w:color w:val="373535"/>
              </w:rPr>
              <w:t>170.8</w:t>
            </w:r>
          </w:p>
        </w:tc>
        <w:tc>
          <w:tcPr>
            <w:tcW w:w="300" w:type="dxa"/>
            <w:vAlign w:val="bottom"/>
          </w:tcPr>
          <w:p>
            <w:pPr>
              <w:ind w:left="100"/>
              <w:spacing w:after="0" w:line="186" w:lineRule="exact"/>
              <w:rPr>
                <w:sz w:val="20"/>
                <w:szCs w:val="20"/>
                <w:color w:val="auto"/>
              </w:rPr>
            </w:pPr>
            <w:r>
              <w:rPr>
                <w:rFonts w:ascii="Arial" w:cs="Arial" w:eastAsia="Arial" w:hAnsi="Arial"/>
                <w:sz w:val="17"/>
                <w:szCs w:val="17"/>
                <w:color w:val="373535"/>
              </w:rPr>
              <w:t>$</w:t>
            </w:r>
          </w:p>
        </w:tc>
        <w:tc>
          <w:tcPr>
            <w:tcW w:w="820" w:type="dxa"/>
            <w:vAlign w:val="bottom"/>
            <w:gridSpan w:val="3"/>
          </w:tcPr>
          <w:p>
            <w:pPr>
              <w:jc w:val="right"/>
              <w:ind w:right="20"/>
              <w:spacing w:after="0" w:line="186" w:lineRule="exact"/>
              <w:rPr>
                <w:sz w:val="20"/>
                <w:szCs w:val="20"/>
                <w:color w:val="auto"/>
              </w:rPr>
            </w:pPr>
            <w:r>
              <w:rPr>
                <w:rFonts w:ascii="Arial" w:cs="Arial" w:eastAsia="Arial" w:hAnsi="Arial"/>
                <w:sz w:val="17"/>
                <w:szCs w:val="17"/>
                <w:color w:val="373535"/>
              </w:rPr>
              <w:t>228.3</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960" w:type="dxa"/>
            <w:vAlign w:val="bottom"/>
            <w:gridSpan w:val="10"/>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1"/>
        </w:trPr>
        <w:tc>
          <w:tcPr>
            <w:tcW w:w="10980" w:type="dxa"/>
            <w:vAlign w:val="bottom"/>
            <w:gridSpan w:val="11"/>
          </w:tcPr>
          <w:p>
            <w:pPr>
              <w:spacing w:after="0"/>
              <w:rPr>
                <w:sz w:val="20"/>
                <w:szCs w:val="20"/>
                <w:color w:val="auto"/>
              </w:rPr>
            </w:pPr>
            <w:r>
              <w:rPr>
                <w:rFonts w:ascii="Arial" w:cs="Arial" w:eastAsia="Arial" w:hAnsi="Arial"/>
                <w:sz w:val="17"/>
                <w:szCs w:val="17"/>
                <w:color w:val="373535"/>
              </w:rPr>
              <w:t>A reconciliation between taxes computed at the United States Federal statutory rate of 35% and the consolidated effective tax rate is as follows:</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4640" w:type="dxa"/>
            <w:vAlign w:val="bottom"/>
            <w:gridSpan w:val="2"/>
          </w:tcPr>
          <w:p>
            <w:pPr>
              <w:spacing w:after="0"/>
              <w:rPr>
                <w:sz w:val="15"/>
                <w:szCs w:val="15"/>
                <w:color w:val="auto"/>
              </w:rPr>
            </w:pPr>
          </w:p>
        </w:tc>
        <w:tc>
          <w:tcPr>
            <w:tcW w:w="2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219"/>
        </w:trPr>
        <w:tc>
          <w:tcPr>
            <w:tcW w:w="464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920" w:type="dxa"/>
            <w:vAlign w:val="bottom"/>
          </w:tcPr>
          <w:p>
            <w:pPr>
              <w:spacing w:after="0"/>
              <w:rPr>
                <w:sz w:val="19"/>
                <w:szCs w:val="19"/>
                <w:color w:val="auto"/>
              </w:rPr>
            </w:pPr>
          </w:p>
        </w:tc>
        <w:tc>
          <w:tcPr>
            <w:tcW w:w="220" w:type="dxa"/>
            <w:vAlign w:val="bottom"/>
            <w:shd w:val="clear" w:color="auto" w:fill="76AD9A"/>
          </w:tcPr>
          <w:p>
            <w:pPr>
              <w:spacing w:after="0"/>
              <w:rPr>
                <w:sz w:val="19"/>
                <w:szCs w:val="19"/>
                <w:color w:val="auto"/>
              </w:rPr>
            </w:pPr>
          </w:p>
        </w:tc>
        <w:tc>
          <w:tcPr>
            <w:tcW w:w="100" w:type="dxa"/>
            <w:vAlign w:val="bottom"/>
            <w:shd w:val="clear" w:color="auto" w:fill="76AD9A"/>
          </w:tcPr>
          <w:p>
            <w:pPr>
              <w:spacing w:after="0"/>
              <w:rPr>
                <w:sz w:val="19"/>
                <w:szCs w:val="19"/>
                <w:color w:val="auto"/>
              </w:rPr>
            </w:pPr>
          </w:p>
        </w:tc>
        <w:tc>
          <w:tcPr>
            <w:tcW w:w="820" w:type="dxa"/>
            <w:vAlign w:val="bottom"/>
            <w:shd w:val="clear" w:color="auto" w:fill="76AD9A"/>
          </w:tcPr>
          <w:p>
            <w:pPr>
              <w:jc w:val="right"/>
              <w:spacing w:after="0"/>
              <w:rPr>
                <w:sz w:val="20"/>
                <w:szCs w:val="20"/>
                <w:color w:val="auto"/>
              </w:rPr>
            </w:pPr>
            <w:r>
              <w:rPr>
                <w:rFonts w:ascii="Arial" w:cs="Arial" w:eastAsia="Arial" w:hAnsi="Arial"/>
                <w:sz w:val="14"/>
                <w:szCs w:val="14"/>
                <w:color w:val="FFFFFF"/>
              </w:rPr>
              <w:t>2013</w:t>
            </w:r>
          </w:p>
        </w:tc>
        <w:tc>
          <w:tcPr>
            <w:tcW w:w="120" w:type="dxa"/>
            <w:vAlign w:val="bottom"/>
            <w:shd w:val="clear" w:color="auto" w:fill="76AD9A"/>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56"/>
              <w:spacing w:after="0"/>
              <w:rPr>
                <w:sz w:val="20"/>
                <w:szCs w:val="20"/>
                <w:color w:val="auto"/>
              </w:rPr>
            </w:pPr>
            <w:r>
              <w:rPr>
                <w:rFonts w:ascii="Arial" w:cs="Arial" w:eastAsia="Arial" w:hAnsi="Arial"/>
                <w:sz w:val="14"/>
                <w:szCs w:val="14"/>
                <w:color w:val="76AD9A"/>
              </w:rPr>
              <w:t>2012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8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4620" w:type="dxa"/>
            <w:vAlign w:val="bottom"/>
            <w:tcBorders>
              <w:top w:val="single" w:sz="8" w:color="76AD9A"/>
            </w:tcBorders>
          </w:tcPr>
          <w:p>
            <w:pPr>
              <w:spacing w:after="0"/>
              <w:rPr>
                <w:sz w:val="20"/>
                <w:szCs w:val="20"/>
                <w:color w:val="auto"/>
              </w:rPr>
            </w:pPr>
            <w:r>
              <w:rPr>
                <w:rFonts w:ascii="Arial" w:cs="Arial" w:eastAsia="Arial" w:hAnsi="Arial"/>
                <w:sz w:val="17"/>
                <w:szCs w:val="17"/>
                <w:color w:val="373535"/>
              </w:rPr>
              <w:t>Income tax based on statutory rate</w:t>
            </w:r>
          </w:p>
        </w:tc>
        <w:tc>
          <w:tcPr>
            <w:tcW w:w="2920" w:type="dxa"/>
            <w:vAlign w:val="bottom"/>
            <w:tcBorders>
              <w:top w:val="single" w:sz="8" w:color="76AD9A"/>
            </w:tcBorders>
          </w:tcPr>
          <w:p>
            <w:pPr>
              <w:spacing w:after="0"/>
              <w:rPr>
                <w:sz w:val="17"/>
                <w:szCs w:val="17"/>
                <w:color w:val="auto"/>
              </w:rPr>
            </w:pPr>
          </w:p>
        </w:tc>
        <w:tc>
          <w:tcPr>
            <w:tcW w:w="220" w:type="dxa"/>
            <w:vAlign w:val="bottom"/>
            <w:tcBorders>
              <w:top w:val="single" w:sz="8" w:color="76AD9A"/>
            </w:tcBorders>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00" w:type="dxa"/>
            <w:vAlign w:val="bottom"/>
            <w:tcBorders>
              <w:top w:val="single" w:sz="8" w:color="76AD9A"/>
            </w:tcBorders>
            <w:shd w:val="clear" w:color="auto" w:fill="EEF5F2"/>
          </w:tcPr>
          <w:p>
            <w:pPr>
              <w:spacing w:after="0"/>
              <w:rPr>
                <w:sz w:val="17"/>
                <w:szCs w:val="17"/>
                <w:color w:val="auto"/>
              </w:rPr>
            </w:pPr>
          </w:p>
        </w:tc>
        <w:tc>
          <w:tcPr>
            <w:tcW w:w="940" w:type="dxa"/>
            <w:vAlign w:val="bottom"/>
            <w:tcBorders>
              <w:top w:val="single" w:sz="8" w:color="76AD9A"/>
            </w:tcBorders>
            <w:gridSpan w:val="2"/>
            <w:shd w:val="clear" w:color="auto" w:fill="EEF5F2"/>
          </w:tcPr>
          <w:p>
            <w:pPr>
              <w:jc w:val="right"/>
              <w:ind w:right="120"/>
              <w:spacing w:after="0"/>
              <w:rPr>
                <w:sz w:val="20"/>
                <w:szCs w:val="20"/>
                <w:color w:val="auto"/>
              </w:rPr>
            </w:pPr>
            <w:r>
              <w:rPr>
                <w:rFonts w:ascii="Arial" w:cs="Arial" w:eastAsia="Arial" w:hAnsi="Arial"/>
                <w:sz w:val="17"/>
                <w:szCs w:val="17"/>
                <w:color w:val="76AD9A"/>
              </w:rPr>
              <w:t>166.4</w:t>
            </w:r>
          </w:p>
        </w:tc>
        <w:tc>
          <w:tcPr>
            <w:tcW w:w="440" w:type="dxa"/>
            <w:vAlign w:val="bottom"/>
            <w:tcBorders>
              <w:top w:val="single" w:sz="8" w:color="76AD9A"/>
            </w:tcBorders>
          </w:tcPr>
          <w:p>
            <w:pPr>
              <w:ind w:left="240"/>
              <w:spacing w:after="0"/>
              <w:rPr>
                <w:sz w:val="20"/>
                <w:szCs w:val="20"/>
                <w:color w:val="auto"/>
              </w:rPr>
            </w:pPr>
            <w:r>
              <w:rPr>
                <w:rFonts w:ascii="Arial" w:cs="Arial" w:eastAsia="Arial" w:hAnsi="Arial"/>
                <w:sz w:val="17"/>
                <w:szCs w:val="17"/>
                <w:color w:val="373535"/>
              </w:rPr>
              <w:t>$</w:t>
            </w:r>
          </w:p>
        </w:tc>
        <w:tc>
          <w:tcPr>
            <w:tcW w:w="960" w:type="dxa"/>
            <w:vAlign w:val="bottom"/>
            <w:tcBorders>
              <w:top w:val="single" w:sz="8" w:color="76AD9A"/>
            </w:tcBorders>
          </w:tcPr>
          <w:p>
            <w:pPr>
              <w:jc w:val="right"/>
              <w:ind w:right="56"/>
              <w:spacing w:after="0"/>
              <w:rPr>
                <w:sz w:val="20"/>
                <w:szCs w:val="20"/>
                <w:color w:val="auto"/>
              </w:rPr>
            </w:pPr>
            <w:r>
              <w:rPr>
                <w:rFonts w:ascii="Arial" w:cs="Arial" w:eastAsia="Arial" w:hAnsi="Arial"/>
                <w:sz w:val="17"/>
                <w:szCs w:val="17"/>
                <w:color w:val="373535"/>
              </w:rPr>
              <w:t>128.9</w:t>
            </w:r>
          </w:p>
        </w:tc>
        <w:tc>
          <w:tcPr>
            <w:tcW w:w="300" w:type="dxa"/>
            <w:vAlign w:val="bottom"/>
            <w:tcBorders>
              <w:top w:val="single" w:sz="8" w:color="76AD9A"/>
            </w:tcBorders>
          </w:tcPr>
          <w:p>
            <w:pPr>
              <w:ind w:left="100"/>
              <w:spacing w:after="0"/>
              <w:rPr>
                <w:sz w:val="20"/>
                <w:szCs w:val="20"/>
                <w:color w:val="auto"/>
              </w:rPr>
            </w:pPr>
            <w:r>
              <w:rPr>
                <w:rFonts w:ascii="Arial" w:cs="Arial" w:eastAsia="Arial" w:hAnsi="Arial"/>
                <w:sz w:val="17"/>
                <w:szCs w:val="17"/>
                <w:color w:val="373535"/>
              </w:rPr>
              <w:t>$</w:t>
            </w:r>
          </w:p>
        </w:tc>
        <w:tc>
          <w:tcPr>
            <w:tcW w:w="800" w:type="dxa"/>
            <w:vAlign w:val="bottom"/>
            <w:tcBorders>
              <w:top w:val="single" w:sz="8" w:color="76AD9A"/>
            </w:tcBorders>
            <w:gridSpan w:val="2"/>
          </w:tcPr>
          <w:p>
            <w:pPr>
              <w:jc w:val="right"/>
              <w:spacing w:after="0"/>
              <w:rPr>
                <w:sz w:val="20"/>
                <w:szCs w:val="20"/>
                <w:color w:val="auto"/>
              </w:rPr>
            </w:pPr>
            <w:r>
              <w:rPr>
                <w:rFonts w:ascii="Arial" w:cs="Arial" w:eastAsia="Arial" w:hAnsi="Arial"/>
                <w:sz w:val="17"/>
                <w:szCs w:val="17"/>
                <w:color w:val="373535"/>
              </w:rPr>
              <w:t>168.0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6"/>
        </w:trPr>
        <w:tc>
          <w:tcPr>
            <w:tcW w:w="4640" w:type="dxa"/>
            <w:vAlign w:val="bottom"/>
            <w:gridSpan w:val="2"/>
          </w:tcPr>
          <w:p>
            <w:pPr>
              <w:spacing w:after="0"/>
              <w:rPr>
                <w:sz w:val="20"/>
                <w:szCs w:val="20"/>
                <w:color w:val="auto"/>
              </w:rPr>
            </w:pPr>
            <w:r>
              <w:rPr>
                <w:rFonts w:ascii="Arial" w:cs="Arial" w:eastAsia="Arial" w:hAnsi="Arial"/>
                <w:sz w:val="17"/>
                <w:szCs w:val="17"/>
                <w:color w:val="373535"/>
              </w:rPr>
              <w:t>Increase (decrease) resulting from:</w:t>
            </w:r>
          </w:p>
        </w:tc>
        <w:tc>
          <w:tcPr>
            <w:tcW w:w="2920" w:type="dxa"/>
            <w:vAlign w:val="bottom"/>
          </w:tcPr>
          <w:p>
            <w:pPr>
              <w:spacing w:after="0"/>
              <w:rPr>
                <w:sz w:val="17"/>
                <w:szCs w:val="17"/>
                <w:color w:val="auto"/>
              </w:rPr>
            </w:pPr>
          </w:p>
        </w:tc>
        <w:tc>
          <w:tcPr>
            <w:tcW w:w="220" w:type="dxa"/>
            <w:vAlign w:val="bottom"/>
            <w:shd w:val="clear" w:color="auto" w:fill="EEF5F2"/>
          </w:tcPr>
          <w:p>
            <w:pPr>
              <w:spacing w:after="0"/>
              <w:rPr>
                <w:sz w:val="17"/>
                <w:szCs w:val="17"/>
                <w:color w:val="auto"/>
              </w:rPr>
            </w:pPr>
          </w:p>
        </w:tc>
        <w:tc>
          <w:tcPr>
            <w:tcW w:w="100" w:type="dxa"/>
            <w:vAlign w:val="bottom"/>
            <w:shd w:val="clear" w:color="auto" w:fill="EEF5F2"/>
          </w:tcPr>
          <w:p>
            <w:pPr>
              <w:spacing w:after="0"/>
              <w:rPr>
                <w:sz w:val="17"/>
                <w:szCs w:val="17"/>
                <w:color w:val="auto"/>
              </w:rPr>
            </w:pPr>
          </w:p>
        </w:tc>
        <w:tc>
          <w:tcPr>
            <w:tcW w:w="820" w:type="dxa"/>
            <w:vAlign w:val="bottom"/>
            <w:shd w:val="clear" w:color="auto" w:fill="EEF5F2"/>
          </w:tcPr>
          <w:p>
            <w:pPr>
              <w:spacing w:after="0"/>
              <w:rPr>
                <w:sz w:val="17"/>
                <w:szCs w:val="17"/>
                <w:color w:val="auto"/>
              </w:rPr>
            </w:pPr>
          </w:p>
        </w:tc>
        <w:tc>
          <w:tcPr>
            <w:tcW w:w="120" w:type="dxa"/>
            <w:vAlign w:val="bottom"/>
            <w:shd w:val="clear" w:color="auto" w:fill="EEF5F2"/>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Non-United States tax rate difference</w:t>
            </w:r>
          </w:p>
        </w:tc>
        <w:tc>
          <w:tcPr>
            <w:tcW w:w="2920" w:type="dxa"/>
            <w:vAlign w:val="bottom"/>
          </w:tcPr>
          <w:p>
            <w:pPr>
              <w:spacing w:after="0"/>
              <w:rPr>
                <w:sz w:val="20"/>
                <w:szCs w:val="20"/>
                <w:color w:val="auto"/>
              </w:rPr>
            </w:pPr>
          </w:p>
        </w:tc>
        <w:tc>
          <w:tcPr>
            <w:tcW w:w="220" w:type="dxa"/>
            <w:vAlign w:val="bottom"/>
            <w:shd w:val="clear" w:color="auto" w:fill="EEF5F2"/>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76AD9A"/>
              </w:rPr>
              <w:t>27.7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40.8</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w w:val="96"/>
              </w:rPr>
              <w:t>40.6</w:t>
            </w:r>
          </w:p>
        </w:tc>
        <w:tc>
          <w:tcPr>
            <w:tcW w:w="8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Repatriation of non-United States earnings</w:t>
            </w:r>
          </w:p>
        </w:tc>
        <w:tc>
          <w:tcPr>
            <w:tcW w:w="2920" w:type="dxa"/>
            <w:vAlign w:val="bottom"/>
          </w:tcPr>
          <w:p>
            <w:pPr>
              <w:spacing w:after="0"/>
              <w:rPr>
                <w:sz w:val="20"/>
                <w:szCs w:val="20"/>
                <w:color w:val="auto"/>
              </w:rPr>
            </w:pPr>
          </w:p>
        </w:tc>
        <w:tc>
          <w:tcPr>
            <w:tcW w:w="220" w:type="dxa"/>
            <w:vAlign w:val="bottom"/>
            <w:shd w:val="clear" w:color="auto" w:fill="EEF5F2"/>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76AD9A"/>
              </w:rPr>
              <w:t>(20.5)</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373535"/>
              </w:rPr>
              <w:t>(16.9)</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w w:val="96"/>
              </w:rPr>
              <w:t>11.1</w:t>
            </w:r>
          </w:p>
        </w:tc>
        <w:tc>
          <w:tcPr>
            <w:tcW w:w="8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State income taxes, net of Federal benefit</w:t>
            </w:r>
          </w:p>
        </w:tc>
        <w:tc>
          <w:tcPr>
            <w:tcW w:w="2920" w:type="dxa"/>
            <w:vAlign w:val="bottom"/>
          </w:tcPr>
          <w:p>
            <w:pPr>
              <w:spacing w:after="0"/>
              <w:rPr>
                <w:sz w:val="20"/>
                <w:szCs w:val="20"/>
                <w:color w:val="auto"/>
              </w:rPr>
            </w:pPr>
          </w:p>
        </w:tc>
        <w:tc>
          <w:tcPr>
            <w:tcW w:w="220" w:type="dxa"/>
            <w:vAlign w:val="bottom"/>
            <w:shd w:val="clear" w:color="auto" w:fill="EEF5F2"/>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76AD9A"/>
              </w:rPr>
              <w:t>3.2</w:t>
            </w:r>
          </w:p>
        </w:tc>
        <w:tc>
          <w:tcPr>
            <w:tcW w:w="44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6.7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rPr>
              <w:t>5.2</w:t>
            </w:r>
          </w:p>
        </w:tc>
        <w:tc>
          <w:tcPr>
            <w:tcW w:w="80" w:type="dxa"/>
            <w:vAlign w:val="bottom"/>
          </w:tcPr>
          <w:p>
            <w:pPr>
              <w:spacing w:after="0"/>
              <w:rPr>
                <w:sz w:val="20"/>
                <w:szCs w:val="20"/>
                <w:color w:val="auto"/>
              </w:rPr>
            </w:pPr>
          </w:p>
        </w:tc>
      </w:tr>
      <w:tr>
        <w:trPr>
          <w:trHeight w:val="232"/>
        </w:trPr>
        <w:tc>
          <w:tcPr>
            <w:tcW w:w="20" w:type="dxa"/>
            <w:vAlign w:val="bottom"/>
          </w:tcPr>
          <w:p>
            <w:pPr>
              <w:spacing w:after="0"/>
              <w:rPr>
                <w:sz w:val="20"/>
                <w:szCs w:val="20"/>
                <w:color w:val="auto"/>
              </w:rPr>
            </w:pPr>
          </w:p>
        </w:tc>
        <w:tc>
          <w:tcPr>
            <w:tcW w:w="4620" w:type="dxa"/>
            <w:vAlign w:val="bottom"/>
          </w:tcPr>
          <w:p>
            <w:pPr>
              <w:ind w:left="140"/>
              <w:spacing w:after="0"/>
              <w:rPr>
                <w:sz w:val="20"/>
                <w:szCs w:val="20"/>
                <w:color w:val="auto"/>
              </w:rPr>
            </w:pPr>
            <w:r>
              <w:rPr>
                <w:rFonts w:ascii="Arial" w:cs="Arial" w:eastAsia="Arial" w:hAnsi="Arial"/>
                <w:sz w:val="17"/>
                <w:szCs w:val="17"/>
                <w:color w:val="373535"/>
              </w:rPr>
              <w:t>Change in valuation reserve</w:t>
            </w:r>
          </w:p>
        </w:tc>
        <w:tc>
          <w:tcPr>
            <w:tcW w:w="2920" w:type="dxa"/>
            <w:vAlign w:val="bottom"/>
          </w:tcPr>
          <w:p>
            <w:pPr>
              <w:spacing w:after="0"/>
              <w:rPr>
                <w:sz w:val="20"/>
                <w:szCs w:val="20"/>
                <w:color w:val="auto"/>
              </w:rPr>
            </w:pPr>
          </w:p>
        </w:tc>
        <w:tc>
          <w:tcPr>
            <w:tcW w:w="220" w:type="dxa"/>
            <w:vAlign w:val="bottom"/>
            <w:shd w:val="clear" w:color="auto" w:fill="EEF5F2"/>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76AD9A"/>
              </w:rPr>
              <w:t>(0.5)</w:t>
            </w:r>
          </w:p>
        </w:tc>
        <w:tc>
          <w:tcPr>
            <w:tcW w:w="440" w:type="dxa"/>
            <w:vAlign w:val="bottom"/>
          </w:tcPr>
          <w:p>
            <w:pPr>
              <w:spacing w:after="0"/>
              <w:rPr>
                <w:sz w:val="20"/>
                <w:szCs w:val="20"/>
                <w:color w:val="auto"/>
              </w:rPr>
            </w:pPr>
          </w:p>
        </w:tc>
        <w:tc>
          <w:tcPr>
            <w:tcW w:w="960" w:type="dxa"/>
            <w:vAlign w:val="bottom"/>
          </w:tcPr>
          <w:p>
            <w:pPr>
              <w:jc w:val="right"/>
              <w:ind w:right="56"/>
              <w:spacing w:after="0"/>
              <w:rPr>
                <w:sz w:val="20"/>
                <w:szCs w:val="20"/>
                <w:color w:val="auto"/>
              </w:rPr>
            </w:pPr>
            <w:r>
              <w:rPr>
                <w:rFonts w:ascii="Arial" w:cs="Arial" w:eastAsia="Arial" w:hAnsi="Arial"/>
                <w:sz w:val="17"/>
                <w:szCs w:val="17"/>
                <w:color w:val="373535"/>
              </w:rPr>
              <w:t>4.7</w:t>
            </w: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7"/>
                <w:szCs w:val="17"/>
                <w:color w:val="373535"/>
              </w:rPr>
              <w:t>(3.3)</w:t>
            </w:r>
          </w:p>
        </w:tc>
      </w:tr>
      <w:tr>
        <w:trPr>
          <w:trHeight w:val="233"/>
        </w:trPr>
        <w:tc>
          <w:tcPr>
            <w:tcW w:w="20" w:type="dxa"/>
            <w:vAlign w:val="bottom"/>
          </w:tcPr>
          <w:p>
            <w:pPr>
              <w:spacing w:after="0"/>
              <w:rPr>
                <w:sz w:val="20"/>
                <w:szCs w:val="20"/>
                <w:color w:val="auto"/>
              </w:rPr>
            </w:pPr>
          </w:p>
        </w:tc>
        <w:tc>
          <w:tcPr>
            <w:tcW w:w="462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Other, net</w:t>
            </w:r>
          </w:p>
        </w:tc>
        <w:tc>
          <w:tcPr>
            <w:tcW w:w="2920" w:type="dxa"/>
            <w:vAlign w:val="bottom"/>
            <w:tcBorders>
              <w:bottom w:val="single" w:sz="8" w:color="717073"/>
            </w:tcBorders>
          </w:tcPr>
          <w:p>
            <w:pPr>
              <w:spacing w:after="0"/>
              <w:rPr>
                <w:sz w:val="20"/>
                <w:szCs w:val="20"/>
                <w:color w:val="auto"/>
              </w:rPr>
            </w:pPr>
          </w:p>
        </w:tc>
        <w:tc>
          <w:tcPr>
            <w:tcW w:w="220" w:type="dxa"/>
            <w:vAlign w:val="bottom"/>
            <w:tcBorders>
              <w:bottom w:val="single" w:sz="8" w:color="717073"/>
            </w:tcBorders>
            <w:shd w:val="clear" w:color="auto" w:fill="EEF5F2"/>
          </w:tcPr>
          <w:p>
            <w:pPr>
              <w:spacing w:after="0"/>
              <w:rPr>
                <w:sz w:val="20"/>
                <w:szCs w:val="20"/>
                <w:color w:val="auto"/>
              </w:rPr>
            </w:pPr>
          </w:p>
        </w:tc>
        <w:tc>
          <w:tcPr>
            <w:tcW w:w="100" w:type="dxa"/>
            <w:vAlign w:val="bottom"/>
            <w:tcBorders>
              <w:bottom w:val="single" w:sz="8" w:color="717073"/>
            </w:tcBorders>
          </w:tcPr>
          <w:p>
            <w:pPr>
              <w:spacing w:after="0"/>
              <w:rPr>
                <w:sz w:val="20"/>
                <w:szCs w:val="20"/>
                <w:color w:val="auto"/>
              </w:rPr>
            </w:pPr>
          </w:p>
        </w:tc>
        <w:tc>
          <w:tcPr>
            <w:tcW w:w="8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76AD9A"/>
              </w:rPr>
              <w:t>11.2</w:t>
            </w:r>
          </w:p>
        </w:tc>
        <w:tc>
          <w:tcPr>
            <w:tcW w:w="120" w:type="dxa"/>
            <w:vAlign w:val="bottom"/>
            <w:tcBorders>
              <w:bottom w:val="single" w:sz="8" w:color="717073"/>
            </w:tcBorders>
          </w:tcPr>
          <w:p>
            <w:pPr>
              <w:spacing w:after="0"/>
              <w:rPr>
                <w:sz w:val="20"/>
                <w:szCs w:val="20"/>
                <w:color w:val="auto"/>
              </w:rPr>
            </w:pPr>
          </w:p>
        </w:tc>
        <w:tc>
          <w:tcPr>
            <w:tcW w:w="440" w:type="dxa"/>
            <w:vAlign w:val="bottom"/>
            <w:tcBorders>
              <w:bottom w:val="single" w:sz="8" w:color="717073"/>
            </w:tcBorders>
          </w:tcPr>
          <w:p>
            <w:pPr>
              <w:spacing w:after="0"/>
              <w:rPr>
                <w:sz w:val="20"/>
                <w:szCs w:val="20"/>
                <w:color w:val="auto"/>
              </w:rPr>
            </w:pPr>
          </w:p>
        </w:tc>
        <w:tc>
          <w:tcPr>
            <w:tcW w:w="960" w:type="dxa"/>
            <w:vAlign w:val="bottom"/>
            <w:tcBorders>
              <w:bottom w:val="single" w:sz="8" w:color="717073"/>
            </w:tcBorders>
          </w:tcPr>
          <w:p>
            <w:pPr>
              <w:jc w:val="right"/>
              <w:ind w:right="56"/>
              <w:spacing w:after="0"/>
              <w:rPr>
                <w:sz w:val="20"/>
                <w:szCs w:val="20"/>
                <w:color w:val="auto"/>
              </w:rPr>
            </w:pPr>
            <w:r>
              <w:rPr>
                <w:rFonts w:ascii="Arial" w:cs="Arial" w:eastAsia="Arial" w:hAnsi="Arial"/>
                <w:sz w:val="17"/>
                <w:szCs w:val="17"/>
                <w:color w:val="373535"/>
              </w:rPr>
              <w:t>6.6</w:t>
            </w:r>
          </w:p>
        </w:tc>
        <w:tc>
          <w:tcPr>
            <w:tcW w:w="300" w:type="dxa"/>
            <w:vAlign w:val="bottom"/>
            <w:tcBorders>
              <w:bottom w:val="single" w:sz="8" w:color="717073"/>
            </w:tcBorders>
          </w:tcPr>
          <w:p>
            <w:pPr>
              <w:spacing w:after="0"/>
              <w:rPr>
                <w:sz w:val="20"/>
                <w:szCs w:val="20"/>
                <w:color w:val="auto"/>
              </w:rPr>
            </w:pPr>
          </w:p>
        </w:tc>
        <w:tc>
          <w:tcPr>
            <w:tcW w:w="460" w:type="dxa"/>
            <w:vAlign w:val="bottom"/>
            <w:tcBorders>
              <w:bottom w:val="single" w:sz="8" w:color="717073"/>
            </w:tcBorders>
          </w:tcPr>
          <w:p>
            <w:pPr>
              <w:spacing w:after="0"/>
              <w:rPr>
                <w:sz w:val="20"/>
                <w:szCs w:val="20"/>
                <w:color w:val="auto"/>
              </w:rPr>
            </w:pPr>
          </w:p>
        </w:tc>
        <w:tc>
          <w:tcPr>
            <w:tcW w:w="36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6.7</w:t>
            </w:r>
          </w:p>
        </w:tc>
        <w:tc>
          <w:tcPr>
            <w:tcW w:w="80" w:type="dxa"/>
            <w:vAlign w:val="bottom"/>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4620" w:type="dxa"/>
            <w:vAlign w:val="bottom"/>
            <w:tcBorders>
              <w:bottom w:val="single" w:sz="8" w:color="717073"/>
            </w:tcBorders>
          </w:tcPr>
          <w:p>
            <w:pPr>
              <w:spacing w:after="0"/>
              <w:rPr>
                <w:sz w:val="20"/>
                <w:szCs w:val="20"/>
                <w:color w:val="auto"/>
              </w:rPr>
            </w:pPr>
            <w:r>
              <w:rPr>
                <w:rFonts w:ascii="Arial" w:cs="Arial" w:eastAsia="Arial" w:hAnsi="Arial"/>
                <w:sz w:val="17"/>
                <w:szCs w:val="17"/>
                <w:color w:val="373535"/>
              </w:rPr>
              <w:t>Tax provision</w:t>
            </w:r>
          </w:p>
        </w:tc>
        <w:tc>
          <w:tcPr>
            <w:tcW w:w="2920" w:type="dxa"/>
            <w:vAlign w:val="bottom"/>
            <w:tcBorders>
              <w:bottom w:val="single" w:sz="8" w:color="717073"/>
            </w:tcBorders>
          </w:tcPr>
          <w:p>
            <w:pPr>
              <w:spacing w:after="0"/>
              <w:rPr>
                <w:sz w:val="17"/>
                <w:szCs w:val="17"/>
                <w:color w:val="auto"/>
              </w:rPr>
            </w:pPr>
          </w:p>
        </w:tc>
        <w:tc>
          <w:tcPr>
            <w:tcW w:w="220" w:type="dxa"/>
            <w:vAlign w:val="bottom"/>
            <w:tcBorders>
              <w:bottom w:val="single" w:sz="8" w:color="717073"/>
            </w:tcBorders>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00" w:type="dxa"/>
            <w:vAlign w:val="bottom"/>
            <w:tcBorders>
              <w:bottom w:val="single" w:sz="8" w:color="717073"/>
            </w:tcBorders>
          </w:tcPr>
          <w:p>
            <w:pPr>
              <w:spacing w:after="0"/>
              <w:rPr>
                <w:sz w:val="17"/>
                <w:szCs w:val="17"/>
                <w:color w:val="auto"/>
              </w:rPr>
            </w:pPr>
          </w:p>
        </w:tc>
        <w:tc>
          <w:tcPr>
            <w:tcW w:w="940" w:type="dxa"/>
            <w:vAlign w:val="bottom"/>
            <w:tcBorders>
              <w:bottom w:val="single" w:sz="8" w:color="717073"/>
            </w:tcBorders>
            <w:gridSpan w:val="2"/>
          </w:tcPr>
          <w:p>
            <w:pPr>
              <w:jc w:val="right"/>
              <w:ind w:right="120"/>
              <w:spacing w:after="0"/>
              <w:rPr>
                <w:sz w:val="20"/>
                <w:szCs w:val="20"/>
                <w:color w:val="auto"/>
              </w:rPr>
            </w:pPr>
            <w:r>
              <w:rPr>
                <w:rFonts w:ascii="Arial" w:cs="Arial" w:eastAsia="Arial" w:hAnsi="Arial"/>
                <w:sz w:val="17"/>
                <w:szCs w:val="17"/>
                <w:color w:val="76AD9A"/>
              </w:rPr>
              <w:t>187.5</w:t>
            </w:r>
          </w:p>
        </w:tc>
        <w:tc>
          <w:tcPr>
            <w:tcW w:w="440" w:type="dxa"/>
            <w:vAlign w:val="bottom"/>
            <w:tcBorders>
              <w:bottom w:val="single" w:sz="8" w:color="717073"/>
            </w:tcBorders>
          </w:tcPr>
          <w:p>
            <w:pPr>
              <w:ind w:left="240"/>
              <w:spacing w:after="0"/>
              <w:rPr>
                <w:sz w:val="20"/>
                <w:szCs w:val="20"/>
                <w:color w:val="auto"/>
              </w:rPr>
            </w:pPr>
            <w:r>
              <w:rPr>
                <w:rFonts w:ascii="Arial" w:cs="Arial" w:eastAsia="Arial" w:hAnsi="Arial"/>
                <w:sz w:val="17"/>
                <w:szCs w:val="17"/>
                <w:color w:val="373535"/>
              </w:rPr>
              <w:t>$</w:t>
            </w:r>
          </w:p>
        </w:tc>
        <w:tc>
          <w:tcPr>
            <w:tcW w:w="960" w:type="dxa"/>
            <w:vAlign w:val="bottom"/>
            <w:tcBorders>
              <w:bottom w:val="single" w:sz="8" w:color="717073"/>
            </w:tcBorders>
          </w:tcPr>
          <w:p>
            <w:pPr>
              <w:jc w:val="right"/>
              <w:ind w:right="56"/>
              <w:spacing w:after="0"/>
              <w:rPr>
                <w:sz w:val="20"/>
                <w:szCs w:val="20"/>
                <w:color w:val="auto"/>
              </w:rPr>
            </w:pPr>
            <w:r>
              <w:rPr>
                <w:rFonts w:ascii="Arial" w:cs="Arial" w:eastAsia="Arial" w:hAnsi="Arial"/>
                <w:sz w:val="17"/>
                <w:szCs w:val="17"/>
                <w:color w:val="373535"/>
              </w:rPr>
              <w:t>170.8</w:t>
            </w:r>
          </w:p>
        </w:tc>
        <w:tc>
          <w:tcPr>
            <w:tcW w:w="300" w:type="dxa"/>
            <w:vAlign w:val="bottom"/>
            <w:tcBorders>
              <w:bottom w:val="single" w:sz="8" w:color="717073"/>
            </w:tcBorders>
          </w:tcPr>
          <w:p>
            <w:pPr>
              <w:ind w:left="100"/>
              <w:spacing w:after="0"/>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gridSpan w:val="2"/>
          </w:tcPr>
          <w:p>
            <w:pPr>
              <w:jc w:val="right"/>
              <w:spacing w:after="0"/>
              <w:rPr>
                <w:sz w:val="20"/>
                <w:szCs w:val="20"/>
                <w:color w:val="auto"/>
              </w:rPr>
            </w:pPr>
            <w:r>
              <w:rPr>
                <w:rFonts w:ascii="Arial" w:cs="Arial" w:eastAsia="Arial" w:hAnsi="Arial"/>
                <w:sz w:val="17"/>
                <w:szCs w:val="17"/>
                <w:color w:val="373535"/>
              </w:rPr>
              <w:t>228.3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8"/>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340" w:type="dxa"/>
            <w:vAlign w:val="bottom"/>
            <w:gridSpan w:val="9"/>
          </w:tcPr>
          <w:p>
            <w:pPr>
              <w:ind w:left="1100"/>
              <w:spacing w:after="0"/>
              <w:rPr>
                <w:sz w:val="20"/>
                <w:szCs w:val="20"/>
                <w:color w:val="auto"/>
              </w:rPr>
            </w:pPr>
            <w:r>
              <w:rPr>
                <w:rFonts w:ascii="Arial" w:cs="Arial" w:eastAsia="Arial" w:hAnsi="Arial"/>
                <w:sz w:val="14"/>
                <w:szCs w:val="14"/>
                <w:b w:val="1"/>
                <w:bCs w:val="1"/>
                <w:color w:val="777679"/>
                <w:w w:val="98"/>
              </w:rPr>
              <w:t xml:space="preserve">Notes to Consolidated Financial Statements </w:t>
            </w:r>
            <w:r>
              <w:rPr>
                <w:rFonts w:ascii="Arial" w:cs="Arial" w:eastAsia="Arial" w:hAnsi="Arial"/>
                <w:sz w:val="14"/>
                <w:szCs w:val="14"/>
                <w:color w:val="373535"/>
                <w:w w:val="98"/>
              </w:rPr>
              <w:t>ManpowerGroup 2013 Annual Report</w:t>
            </w: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373535"/>
              </w:rPr>
              <w:t>67</w:t>
            </w:r>
          </w:p>
        </w:tc>
      </w:tr>
      <w:tr>
        <w:trPr>
          <w:trHeight w:val="418"/>
        </w:trPr>
        <w:tc>
          <w:tcPr>
            <w:tcW w:w="20" w:type="dxa"/>
            <w:vAlign w:val="bottom"/>
          </w:tcPr>
          <w:p>
            <w:pPr>
              <w:spacing w:after="0"/>
              <w:rPr>
                <w:sz w:val="24"/>
                <w:szCs w:val="24"/>
                <w:color w:val="auto"/>
              </w:rPr>
            </w:pPr>
          </w:p>
        </w:tc>
        <w:tc>
          <w:tcPr>
            <w:tcW w:w="4620" w:type="dxa"/>
            <w:vAlign w:val="bottom"/>
            <w:tcBorders>
              <w:bottom w:val="single" w:sz="8" w:color="DCDCDC"/>
            </w:tcBorders>
          </w:tcPr>
          <w:p>
            <w:pPr>
              <w:spacing w:after="0"/>
              <w:rPr>
                <w:sz w:val="24"/>
                <w:szCs w:val="24"/>
                <w:color w:val="auto"/>
              </w:rPr>
            </w:pPr>
          </w:p>
        </w:tc>
        <w:tc>
          <w:tcPr>
            <w:tcW w:w="29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4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-3777615</wp:posOffset>
            </wp:positionV>
            <wp:extent cx="655320" cy="15900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5320" cy="1590040"/>
                    </a:xfrm>
                    <a:prstGeom prst="rect">
                      <a:avLst/>
                    </a:prstGeom>
                    <a:noFill/>
                  </pic:spPr>
                </pic:pic>
              </a:graphicData>
            </a:graphic>
          </wp:anchor>
        </w:drawing>
        <w:drawing>
          <wp:anchor simplePos="0" relativeHeight="251657728" behindDoc="1" locked="0" layoutInCell="0" allowOverlap="1">
            <wp:simplePos x="0" y="0"/>
            <wp:positionH relativeFrom="column">
              <wp:posOffset>4943475</wp:posOffset>
            </wp:positionH>
            <wp:positionV relativeFrom="paragraph">
              <wp:posOffset>-1531620</wp:posOffset>
            </wp:positionV>
            <wp:extent cx="655320" cy="10077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5320" cy="100774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color w:val="4C8A9A"/>
        </w:rPr>
        <w:t>NOTES TO CONSOLIDATED FINANCIAL STATEMENTS</w:t>
      </w:r>
    </w:p>
    <w:p>
      <w:pPr>
        <w:spacing w:after="0"/>
        <w:rPr>
          <w:sz w:val="20"/>
          <w:szCs w:val="20"/>
          <w:color w:val="auto"/>
        </w:rPr>
      </w:pPr>
      <w:r>
        <w:rPr>
          <w:rFonts w:ascii="Arial" w:cs="Arial" w:eastAsia="Arial" w:hAnsi="Arial"/>
          <w:sz w:val="17"/>
          <w:szCs w:val="17"/>
          <w:color w:val="4C8A9A"/>
        </w:rPr>
        <w:t>in millions, except share and per share data</w:t>
      </w:r>
    </w:p>
    <w:p>
      <w:pPr>
        <w:spacing w:after="0" w:line="166"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Included in non-United States tax rate difference is a $5.9 benefit related to the French CICE payroll tax credit because the CICE credit is tax-free for French tax purposes. The tax benefit related to the CICE credit in excess of the $ 5.9 is offset by a related increase in United States tax expense. For United States tax purposes, certain French earnings impacted by the CICE credit are treated as a deemed dividend resulting in an immediate United States tax expense.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373535"/>
        </w:rPr>
        <w:t>Deferred income taxes are recorded on temporary differences at the tax rate expected to be in effect when the temporary differences reverse.</w:t>
      </w:r>
    </w:p>
    <w:p>
      <w:pPr>
        <w:spacing w:after="0"/>
        <w:rPr>
          <w:sz w:val="20"/>
          <w:szCs w:val="20"/>
          <w:color w:val="auto"/>
        </w:rPr>
      </w:pPr>
      <w:r>
        <w:rPr>
          <w:rFonts w:ascii="Arial" w:cs="Arial" w:eastAsia="Arial" w:hAnsi="Arial"/>
          <w:sz w:val="17"/>
          <w:szCs w:val="17"/>
          <w:color w:val="373535"/>
        </w:rPr>
        <w:t>Temporary differences, which gave rise to the deferred taxes,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4"/>
                <w:szCs w:val="14"/>
                <w:color w:val="auto"/>
              </w:rPr>
            </w:pPr>
          </w:p>
        </w:tc>
        <w:tc>
          <w:tcPr>
            <w:tcW w:w="1040" w:type="dxa"/>
            <w:vAlign w:val="bottom"/>
            <w:shd w:val="clear" w:color="auto" w:fill="76AD9A"/>
          </w:tcPr>
          <w:p>
            <w:pPr>
              <w:jc w:val="right"/>
              <w:ind w:right="35"/>
              <w:spacing w:after="0"/>
              <w:rPr>
                <w:sz w:val="20"/>
                <w:szCs w:val="20"/>
                <w:color w:val="auto"/>
              </w:rPr>
            </w:pPr>
            <w:r>
              <w:rPr>
                <w:rFonts w:ascii="Arial" w:cs="Arial" w:eastAsia="Arial" w:hAnsi="Arial"/>
                <w:sz w:val="14"/>
                <w:szCs w:val="14"/>
                <w:color w:val="FFFFFF"/>
              </w:rPr>
              <w:t>2013</w:t>
            </w:r>
          </w:p>
        </w:tc>
        <w:tc>
          <w:tcPr>
            <w:tcW w:w="5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76AD9A"/>
              </w:rPr>
              <w:t>2012</w:t>
            </w:r>
          </w:p>
        </w:tc>
        <w:tc>
          <w:tcPr>
            <w:tcW w:w="6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b w:val="1"/>
                <w:bCs w:val="1"/>
                <w:color w:val="777679"/>
              </w:rPr>
              <w:t>Current Future Income Tax Benefits (Expense)</w:t>
            </w:r>
          </w:p>
        </w:tc>
        <w:tc>
          <w:tcPr>
            <w:tcW w:w="240" w:type="dxa"/>
            <w:vAlign w:val="bottom"/>
            <w:tcBorders>
              <w:top w:val="single" w:sz="8" w:color="76AD9A"/>
            </w:tcBorders>
            <w:shd w:val="clear" w:color="auto" w:fill="EEF5F2"/>
          </w:tcPr>
          <w:p>
            <w:pPr>
              <w:spacing w:after="0"/>
              <w:rPr>
                <w:sz w:val="16"/>
                <w:szCs w:val="16"/>
                <w:color w:val="auto"/>
              </w:rPr>
            </w:pPr>
          </w:p>
        </w:tc>
        <w:tc>
          <w:tcPr>
            <w:tcW w:w="1040" w:type="dxa"/>
            <w:vAlign w:val="bottom"/>
            <w:tcBorders>
              <w:top w:val="single" w:sz="8" w:color="76AD9A"/>
            </w:tcBorders>
            <w:shd w:val="clear" w:color="auto" w:fill="EEF5F2"/>
          </w:tcPr>
          <w:p>
            <w:pPr>
              <w:spacing w:after="0"/>
              <w:rPr>
                <w:sz w:val="16"/>
                <w:szCs w:val="16"/>
                <w:color w:val="auto"/>
              </w:rPr>
            </w:pPr>
          </w:p>
        </w:tc>
        <w:tc>
          <w:tcPr>
            <w:tcW w:w="540" w:type="dxa"/>
            <w:vAlign w:val="bottom"/>
            <w:tcBorders>
              <w:top w:val="single" w:sz="8" w:color="76AD9A"/>
            </w:tcBorders>
          </w:tcPr>
          <w:p>
            <w:pPr>
              <w:spacing w:after="0"/>
              <w:rPr>
                <w:sz w:val="16"/>
                <w:szCs w:val="16"/>
                <w:color w:val="auto"/>
              </w:rPr>
            </w:pPr>
          </w:p>
        </w:tc>
        <w:tc>
          <w:tcPr>
            <w:tcW w:w="700" w:type="dxa"/>
            <w:vAlign w:val="bottom"/>
            <w:tcBorders>
              <w:top w:val="single" w:sz="8" w:color="76AD9A"/>
            </w:tcBorders>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Accrued payroll taxes and insurance</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17.9</w:t>
            </w:r>
          </w:p>
        </w:tc>
        <w:tc>
          <w:tcPr>
            <w:tcW w:w="540" w:type="dxa"/>
            <w:vAlign w:val="bottom"/>
          </w:tcPr>
          <w:p>
            <w:pPr>
              <w:jc w:val="right"/>
              <w:ind w:right="114"/>
              <w:spacing w:after="0" w:line="194" w:lineRule="exact"/>
              <w:rPr>
                <w:sz w:val="20"/>
                <w:szCs w:val="20"/>
                <w:color w:val="auto"/>
              </w:rPr>
            </w:pPr>
            <w:r>
              <w:rPr>
                <w:rFonts w:ascii="Arial" w:cs="Arial" w:eastAsia="Arial" w:hAnsi="Arial"/>
                <w:sz w:val="17"/>
                <w:szCs w:val="17"/>
                <w:color w:val="373535"/>
              </w:rPr>
              <w:t>$</w:t>
            </w: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11.8</w:t>
            </w:r>
          </w:p>
        </w:tc>
        <w:tc>
          <w:tcPr>
            <w:tcW w:w="60" w:type="dxa"/>
            <w:vAlign w:val="bottom"/>
          </w:tcPr>
          <w:p>
            <w:pPr>
              <w:spacing w:after="0"/>
              <w:rPr>
                <w:sz w:val="16"/>
                <w:szCs w:val="16"/>
                <w:color w:val="auto"/>
              </w:rPr>
            </w:pPr>
          </w:p>
        </w:tc>
      </w:tr>
      <w:tr>
        <w:trPr>
          <w:trHeight w:val="193"/>
        </w:trPr>
        <w:tc>
          <w:tcPr>
            <w:tcW w:w="8800" w:type="dxa"/>
            <w:vAlign w:val="bottom"/>
            <w:gridSpan w:val="2"/>
          </w:tcPr>
          <w:p>
            <w:pPr>
              <w:spacing w:after="0" w:line="193" w:lineRule="exact"/>
              <w:rPr>
                <w:sz w:val="20"/>
                <w:szCs w:val="20"/>
                <w:color w:val="auto"/>
              </w:rPr>
            </w:pPr>
            <w:r>
              <w:rPr>
                <w:rFonts w:ascii="Arial" w:cs="Arial" w:eastAsia="Arial" w:hAnsi="Arial"/>
                <w:sz w:val="17"/>
                <w:szCs w:val="17"/>
                <w:color w:val="373535"/>
              </w:rPr>
              <w:t>Employee compensation payable</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3" w:lineRule="exact"/>
              <w:rPr>
                <w:sz w:val="20"/>
                <w:szCs w:val="20"/>
                <w:color w:val="auto"/>
              </w:rPr>
            </w:pPr>
            <w:r>
              <w:rPr>
                <w:rFonts w:ascii="Arial" w:cs="Arial" w:eastAsia="Arial" w:hAnsi="Arial"/>
                <w:sz w:val="17"/>
                <w:szCs w:val="17"/>
                <w:color w:val="76AD9A"/>
              </w:rPr>
              <w:t>26.5</w:t>
            </w:r>
          </w:p>
        </w:tc>
        <w:tc>
          <w:tcPr>
            <w:tcW w:w="540" w:type="dxa"/>
            <w:vAlign w:val="bottom"/>
          </w:tcPr>
          <w:p>
            <w:pPr>
              <w:spacing w:after="0"/>
              <w:rPr>
                <w:sz w:val="16"/>
                <w:szCs w:val="16"/>
                <w:color w:val="auto"/>
              </w:rPr>
            </w:pPr>
          </w:p>
        </w:tc>
        <w:tc>
          <w:tcPr>
            <w:tcW w:w="700" w:type="dxa"/>
            <w:vAlign w:val="bottom"/>
          </w:tcPr>
          <w:p>
            <w:pPr>
              <w:jc w:val="right"/>
              <w:spacing w:after="0" w:line="193" w:lineRule="exact"/>
              <w:rPr>
                <w:sz w:val="20"/>
                <w:szCs w:val="20"/>
                <w:color w:val="auto"/>
              </w:rPr>
            </w:pPr>
            <w:r>
              <w:rPr>
                <w:rFonts w:ascii="Arial" w:cs="Arial" w:eastAsia="Arial" w:hAnsi="Arial"/>
                <w:sz w:val="17"/>
                <w:szCs w:val="17"/>
                <w:color w:val="373535"/>
              </w:rPr>
              <w:t>20.3</w:t>
            </w: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Pension and postretirement benefits</w:t>
            </w:r>
          </w:p>
        </w:tc>
        <w:tc>
          <w:tcPr>
            <w:tcW w:w="24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(4.7)</w:t>
            </w:r>
          </w:p>
        </w:tc>
        <w:tc>
          <w:tcPr>
            <w:tcW w:w="540" w:type="dxa"/>
            <w:vAlign w:val="bottom"/>
          </w:tcPr>
          <w:p>
            <w:pPr>
              <w:spacing w:after="0"/>
              <w:rPr>
                <w:sz w:val="16"/>
                <w:szCs w:val="16"/>
                <w:color w:val="auto"/>
              </w:rPr>
            </w:pPr>
          </w:p>
        </w:tc>
        <w:tc>
          <w:tcPr>
            <w:tcW w:w="76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(3.0)</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Other</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29.3</w:t>
            </w:r>
          </w:p>
        </w:tc>
        <w:tc>
          <w:tcPr>
            <w:tcW w:w="5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32.5</w:t>
            </w:r>
          </w:p>
        </w:tc>
        <w:tc>
          <w:tcPr>
            <w:tcW w:w="60" w:type="dxa"/>
            <w:vAlign w:val="bottom"/>
          </w:tcPr>
          <w:p>
            <w:pPr>
              <w:spacing w:after="0"/>
              <w:rPr>
                <w:sz w:val="16"/>
                <w:szCs w:val="16"/>
                <w:color w:val="auto"/>
              </w:rPr>
            </w:pPr>
          </w:p>
        </w:tc>
      </w:tr>
      <w:tr>
        <w:trPr>
          <w:trHeight w:val="207"/>
        </w:trPr>
        <w:tc>
          <w:tcPr>
            <w:tcW w:w="8800" w:type="dxa"/>
            <w:vAlign w:val="bottom"/>
            <w:gridSpan w:val="2"/>
          </w:tcPr>
          <w:p>
            <w:pPr>
              <w:spacing w:after="0"/>
              <w:rPr>
                <w:sz w:val="20"/>
                <w:szCs w:val="20"/>
                <w:color w:val="auto"/>
              </w:rPr>
            </w:pPr>
            <w:r>
              <w:rPr>
                <w:rFonts w:ascii="Arial" w:cs="Arial" w:eastAsia="Arial" w:hAnsi="Arial"/>
                <w:sz w:val="17"/>
                <w:szCs w:val="17"/>
                <w:color w:val="373535"/>
              </w:rPr>
              <w:t>Valuation allowance</w:t>
            </w:r>
          </w:p>
        </w:tc>
        <w:tc>
          <w:tcPr>
            <w:tcW w:w="240" w:type="dxa"/>
            <w:vAlign w:val="bottom"/>
            <w:shd w:val="clear" w:color="auto" w:fill="EEF5F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(15.7)</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373535"/>
              </w:rPr>
              <w:t>(4.9)</w:t>
            </w:r>
          </w:p>
        </w:tc>
      </w:tr>
      <w:tr>
        <w:trPr>
          <w:trHeight w:val="186"/>
        </w:trPr>
        <w:tc>
          <w:tcPr>
            <w:tcW w:w="20" w:type="dxa"/>
            <w:vAlign w:val="bottom"/>
          </w:tcPr>
          <w:p>
            <w:pPr>
              <w:spacing w:after="0"/>
              <w:rPr>
                <w:sz w:val="16"/>
                <w:szCs w:val="16"/>
                <w:color w:val="auto"/>
              </w:rPr>
            </w:pPr>
          </w:p>
        </w:tc>
        <w:tc>
          <w:tcPr>
            <w:tcW w:w="8780" w:type="dxa"/>
            <w:vAlign w:val="bottom"/>
            <w:tcBorders>
              <w:top w:val="single" w:sz="8" w:color="717073"/>
              <w:bottom w:val="single" w:sz="8" w:color="717073"/>
            </w:tcBorders>
          </w:tcPr>
          <w:p>
            <w:pPr>
              <w:spacing w:after="0"/>
              <w:rPr>
                <w:sz w:val="16"/>
                <w:szCs w:val="16"/>
                <w:color w:val="auto"/>
              </w:rPr>
            </w:pPr>
          </w:p>
        </w:tc>
        <w:tc>
          <w:tcPr>
            <w:tcW w:w="240" w:type="dxa"/>
            <w:vAlign w:val="bottom"/>
            <w:tcBorders>
              <w:top w:val="single" w:sz="8" w:color="717073"/>
              <w:bottom w:val="single" w:sz="8" w:color="717073"/>
            </w:tcBorders>
            <w:shd w:val="clear" w:color="auto" w:fill="EEF5F2"/>
          </w:tcPr>
          <w:p>
            <w:pPr>
              <w:spacing w:after="0"/>
              <w:rPr>
                <w:sz w:val="16"/>
                <w:szCs w:val="16"/>
                <w:color w:val="auto"/>
              </w:rPr>
            </w:pPr>
          </w:p>
        </w:tc>
        <w:tc>
          <w:tcPr>
            <w:tcW w:w="1040" w:type="dxa"/>
            <w:vAlign w:val="bottom"/>
            <w:tcBorders>
              <w:top w:val="single" w:sz="8" w:color="717073"/>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53.3</w:t>
            </w:r>
          </w:p>
        </w:tc>
        <w:tc>
          <w:tcPr>
            <w:tcW w:w="540" w:type="dxa"/>
            <w:vAlign w:val="bottom"/>
            <w:tcBorders>
              <w:top w:val="single" w:sz="8" w:color="717073"/>
              <w:bottom w:val="single" w:sz="8" w:color="717073"/>
            </w:tcBorders>
          </w:tcPr>
          <w:p>
            <w:pPr>
              <w:spacing w:after="0"/>
              <w:rPr>
                <w:sz w:val="16"/>
                <w:szCs w:val="16"/>
                <w:color w:val="auto"/>
              </w:rPr>
            </w:pPr>
          </w:p>
        </w:tc>
        <w:tc>
          <w:tcPr>
            <w:tcW w:w="70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56.7</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Pr>
          <w:p>
            <w:pPr>
              <w:spacing w:after="0" w:line="185" w:lineRule="exact"/>
              <w:rPr>
                <w:sz w:val="20"/>
                <w:szCs w:val="20"/>
                <w:color w:val="auto"/>
              </w:rPr>
            </w:pPr>
            <w:r>
              <w:rPr>
                <w:rFonts w:ascii="Arial" w:cs="Arial" w:eastAsia="Arial" w:hAnsi="Arial"/>
                <w:sz w:val="17"/>
                <w:szCs w:val="17"/>
                <w:b w:val="1"/>
                <w:bCs w:val="1"/>
                <w:color w:val="777679"/>
              </w:rPr>
              <w:t>Noncurrent Future Income Tax Benefits (Expense)</w:t>
            </w:r>
          </w:p>
        </w:tc>
        <w:tc>
          <w:tcPr>
            <w:tcW w:w="240" w:type="dxa"/>
            <w:vAlign w:val="bottom"/>
            <w:shd w:val="clear" w:color="auto" w:fill="EEF5F2"/>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Accrued payroll taxes and insurance</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19.7</w:t>
            </w:r>
          </w:p>
        </w:tc>
        <w:tc>
          <w:tcPr>
            <w:tcW w:w="5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19.9</w:t>
            </w: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Pension and postretirement benefits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54.9</w:t>
            </w:r>
          </w:p>
        </w:tc>
        <w:tc>
          <w:tcPr>
            <w:tcW w:w="5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58.7</w:t>
            </w: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Intangible assets</w:t>
            </w:r>
          </w:p>
        </w:tc>
        <w:tc>
          <w:tcPr>
            <w:tcW w:w="24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(122.1)</w:t>
            </w:r>
          </w:p>
        </w:tc>
        <w:tc>
          <w:tcPr>
            <w:tcW w:w="540" w:type="dxa"/>
            <w:vAlign w:val="bottom"/>
          </w:tcPr>
          <w:p>
            <w:pPr>
              <w:spacing w:after="0"/>
              <w:rPr>
                <w:sz w:val="16"/>
                <w:szCs w:val="16"/>
                <w:color w:val="auto"/>
              </w:rPr>
            </w:pPr>
          </w:p>
        </w:tc>
        <w:tc>
          <w:tcPr>
            <w:tcW w:w="76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(118.1)</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Net operating losses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151.0</w:t>
            </w:r>
          </w:p>
        </w:tc>
        <w:tc>
          <w:tcPr>
            <w:tcW w:w="5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149.0</w:t>
            </w: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Other</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70.3</w:t>
            </w:r>
          </w:p>
        </w:tc>
        <w:tc>
          <w:tcPr>
            <w:tcW w:w="5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82.7</w:t>
            </w:r>
          </w:p>
        </w:tc>
        <w:tc>
          <w:tcPr>
            <w:tcW w:w="60" w:type="dxa"/>
            <w:vAlign w:val="bottom"/>
          </w:tcPr>
          <w:p>
            <w:pPr>
              <w:spacing w:after="0"/>
              <w:rPr>
                <w:sz w:val="16"/>
                <w:szCs w:val="16"/>
                <w:color w:val="auto"/>
              </w:rPr>
            </w:pPr>
          </w:p>
        </w:tc>
      </w:tr>
      <w:tr>
        <w:trPr>
          <w:trHeight w:val="207"/>
        </w:trPr>
        <w:tc>
          <w:tcPr>
            <w:tcW w:w="8800" w:type="dxa"/>
            <w:vAlign w:val="bottom"/>
            <w:gridSpan w:val="2"/>
          </w:tcPr>
          <w:p>
            <w:pPr>
              <w:spacing w:after="0"/>
              <w:rPr>
                <w:sz w:val="20"/>
                <w:szCs w:val="20"/>
                <w:color w:val="auto"/>
              </w:rPr>
            </w:pPr>
            <w:r>
              <w:rPr>
                <w:rFonts w:ascii="Arial" w:cs="Arial" w:eastAsia="Arial" w:hAnsi="Arial"/>
                <w:sz w:val="17"/>
                <w:szCs w:val="17"/>
                <w:color w:val="373535"/>
              </w:rPr>
              <w:t>Valuation allowance</w:t>
            </w:r>
          </w:p>
        </w:tc>
        <w:tc>
          <w:tcPr>
            <w:tcW w:w="240" w:type="dxa"/>
            <w:vAlign w:val="bottom"/>
            <w:shd w:val="clear" w:color="auto" w:fill="EEF5F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(111.4)</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373535"/>
              </w:rPr>
              <w:t>(126.2)</w:t>
            </w:r>
          </w:p>
        </w:tc>
      </w:tr>
      <w:tr>
        <w:trPr>
          <w:trHeight w:val="186"/>
        </w:trPr>
        <w:tc>
          <w:tcPr>
            <w:tcW w:w="20" w:type="dxa"/>
            <w:vAlign w:val="bottom"/>
          </w:tcPr>
          <w:p>
            <w:pPr>
              <w:spacing w:after="0"/>
              <w:rPr>
                <w:sz w:val="16"/>
                <w:szCs w:val="16"/>
                <w:color w:val="auto"/>
              </w:rPr>
            </w:pPr>
          </w:p>
        </w:tc>
        <w:tc>
          <w:tcPr>
            <w:tcW w:w="8780" w:type="dxa"/>
            <w:vAlign w:val="bottom"/>
            <w:tcBorders>
              <w:top w:val="single" w:sz="8" w:color="717073"/>
              <w:bottom w:val="single" w:sz="8" w:color="717073"/>
            </w:tcBorders>
          </w:tcPr>
          <w:p>
            <w:pPr>
              <w:spacing w:after="0"/>
              <w:rPr>
                <w:sz w:val="16"/>
                <w:szCs w:val="16"/>
                <w:color w:val="auto"/>
              </w:rPr>
            </w:pPr>
          </w:p>
        </w:tc>
        <w:tc>
          <w:tcPr>
            <w:tcW w:w="240" w:type="dxa"/>
            <w:vAlign w:val="bottom"/>
            <w:tcBorders>
              <w:top w:val="single" w:sz="8" w:color="717073"/>
              <w:bottom w:val="single" w:sz="8" w:color="717073"/>
            </w:tcBorders>
            <w:shd w:val="clear" w:color="auto" w:fill="EEF5F2"/>
          </w:tcPr>
          <w:p>
            <w:pPr>
              <w:spacing w:after="0"/>
              <w:rPr>
                <w:sz w:val="16"/>
                <w:szCs w:val="16"/>
                <w:color w:val="auto"/>
              </w:rPr>
            </w:pPr>
          </w:p>
        </w:tc>
        <w:tc>
          <w:tcPr>
            <w:tcW w:w="1040" w:type="dxa"/>
            <w:vAlign w:val="bottom"/>
            <w:tcBorders>
              <w:top w:val="single" w:sz="8" w:color="717073"/>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62.4</w:t>
            </w:r>
          </w:p>
        </w:tc>
        <w:tc>
          <w:tcPr>
            <w:tcW w:w="540" w:type="dxa"/>
            <w:vAlign w:val="bottom"/>
            <w:tcBorders>
              <w:top w:val="single" w:sz="8" w:color="717073"/>
              <w:bottom w:val="single" w:sz="8" w:color="717073"/>
            </w:tcBorders>
          </w:tcPr>
          <w:p>
            <w:pPr>
              <w:spacing w:after="0"/>
              <w:rPr>
                <w:sz w:val="16"/>
                <w:szCs w:val="16"/>
                <w:color w:val="auto"/>
              </w:rPr>
            </w:pPr>
          </w:p>
        </w:tc>
        <w:tc>
          <w:tcPr>
            <w:tcW w:w="70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66.0</w:t>
            </w:r>
          </w:p>
        </w:tc>
        <w:tc>
          <w:tcPr>
            <w:tcW w:w="60" w:type="dxa"/>
            <w:vAlign w:val="bottom"/>
          </w:tcPr>
          <w:p>
            <w:pPr>
              <w:spacing w:after="0"/>
              <w:rPr>
                <w:sz w:val="16"/>
                <w:szCs w:val="16"/>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878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Total future tax benefits</w:t>
            </w:r>
          </w:p>
        </w:tc>
        <w:tc>
          <w:tcPr>
            <w:tcW w:w="24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115.7</w:t>
            </w:r>
          </w:p>
        </w:tc>
        <w:tc>
          <w:tcPr>
            <w:tcW w:w="540" w:type="dxa"/>
            <w:vAlign w:val="bottom"/>
            <w:tcBorders>
              <w:bottom w:val="single" w:sz="8" w:color="717073"/>
            </w:tcBorders>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122.7</w:t>
            </w:r>
          </w:p>
        </w:tc>
        <w:tc>
          <w:tcPr>
            <w:tcW w:w="60" w:type="dxa"/>
            <w:vAlign w:val="bottom"/>
          </w:tcPr>
          <w:p>
            <w:pPr>
              <w:spacing w:after="0"/>
              <w:rPr>
                <w:sz w:val="16"/>
                <w:szCs w:val="16"/>
                <w:color w:val="auto"/>
              </w:rPr>
            </w:pPr>
          </w:p>
        </w:tc>
      </w:tr>
      <w:tr>
        <w:trPr>
          <w:trHeight w:val="186"/>
        </w:trPr>
        <w:tc>
          <w:tcPr>
            <w:tcW w:w="8800" w:type="dxa"/>
            <w:vAlign w:val="bottom"/>
            <w:gridSpan w:val="2"/>
          </w:tcPr>
          <w:p>
            <w:pPr>
              <w:spacing w:after="0" w:line="185" w:lineRule="exact"/>
              <w:rPr>
                <w:sz w:val="20"/>
                <w:szCs w:val="20"/>
                <w:color w:val="auto"/>
              </w:rPr>
            </w:pPr>
            <w:r>
              <w:rPr>
                <w:rFonts w:ascii="Arial" w:cs="Arial" w:eastAsia="Arial" w:hAnsi="Arial"/>
                <w:sz w:val="17"/>
                <w:szCs w:val="17"/>
                <w:color w:val="373535"/>
              </w:rPr>
              <w:t>Current tax asset</w:t>
            </w:r>
          </w:p>
        </w:tc>
        <w:tc>
          <w:tcPr>
            <w:tcW w:w="240" w:type="dxa"/>
            <w:vAlign w:val="bottom"/>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40" w:type="dxa"/>
            <w:vAlign w:val="bottom"/>
          </w:tcPr>
          <w:p>
            <w:pPr>
              <w:jc w:val="right"/>
              <w:ind w:right="35"/>
              <w:spacing w:after="0" w:line="185" w:lineRule="exact"/>
              <w:rPr>
                <w:sz w:val="20"/>
                <w:szCs w:val="20"/>
                <w:color w:val="auto"/>
              </w:rPr>
            </w:pPr>
            <w:r>
              <w:rPr>
                <w:rFonts w:ascii="Arial" w:cs="Arial" w:eastAsia="Arial" w:hAnsi="Arial"/>
                <w:sz w:val="17"/>
                <w:szCs w:val="17"/>
                <w:color w:val="76AD9A"/>
              </w:rPr>
              <w:t>66.2</w:t>
            </w:r>
          </w:p>
        </w:tc>
        <w:tc>
          <w:tcPr>
            <w:tcW w:w="540" w:type="dxa"/>
            <w:vAlign w:val="bottom"/>
          </w:tcPr>
          <w:p>
            <w:pPr>
              <w:jc w:val="right"/>
              <w:ind w:right="114"/>
              <w:spacing w:after="0" w:line="185" w:lineRule="exact"/>
              <w:rPr>
                <w:sz w:val="20"/>
                <w:szCs w:val="20"/>
                <w:color w:val="auto"/>
              </w:rPr>
            </w:pPr>
            <w:r>
              <w:rPr>
                <w:rFonts w:ascii="Arial" w:cs="Arial" w:eastAsia="Arial" w:hAnsi="Arial"/>
                <w:sz w:val="17"/>
                <w:szCs w:val="17"/>
                <w:color w:val="373535"/>
              </w:rPr>
              <w:t>$</w:t>
            </w:r>
          </w:p>
        </w:tc>
        <w:tc>
          <w:tcPr>
            <w:tcW w:w="700" w:type="dxa"/>
            <w:vAlign w:val="bottom"/>
          </w:tcPr>
          <w:p>
            <w:pPr>
              <w:jc w:val="right"/>
              <w:spacing w:after="0" w:line="185" w:lineRule="exact"/>
              <w:rPr>
                <w:sz w:val="20"/>
                <w:szCs w:val="20"/>
                <w:color w:val="auto"/>
              </w:rPr>
            </w:pPr>
            <w:r>
              <w:rPr>
                <w:rFonts w:ascii="Arial" w:cs="Arial" w:eastAsia="Arial" w:hAnsi="Arial"/>
                <w:sz w:val="17"/>
                <w:szCs w:val="17"/>
                <w:color w:val="373535"/>
              </w:rPr>
              <w:t>60.6</w:t>
            </w:r>
          </w:p>
        </w:tc>
        <w:tc>
          <w:tcPr>
            <w:tcW w:w="6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Current tax liability</w:t>
            </w:r>
          </w:p>
        </w:tc>
        <w:tc>
          <w:tcPr>
            <w:tcW w:w="24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(4.4)</w:t>
            </w:r>
          </w:p>
        </w:tc>
        <w:tc>
          <w:tcPr>
            <w:tcW w:w="540" w:type="dxa"/>
            <w:vAlign w:val="bottom"/>
          </w:tcPr>
          <w:p>
            <w:pPr>
              <w:spacing w:after="0"/>
              <w:rPr>
                <w:sz w:val="16"/>
                <w:szCs w:val="16"/>
                <w:color w:val="auto"/>
              </w:rPr>
            </w:pPr>
          </w:p>
        </w:tc>
        <w:tc>
          <w:tcPr>
            <w:tcW w:w="76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(3.9)</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Noncurrent tax asset</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68.2</w:t>
            </w:r>
          </w:p>
        </w:tc>
        <w:tc>
          <w:tcPr>
            <w:tcW w:w="540" w:type="dxa"/>
            <w:vAlign w:val="bottom"/>
          </w:tcPr>
          <w:p>
            <w:pPr>
              <w:spacing w:after="0"/>
              <w:rPr>
                <w:sz w:val="16"/>
                <w:szCs w:val="16"/>
                <w:color w:val="auto"/>
              </w:rPr>
            </w:pPr>
          </w:p>
        </w:tc>
        <w:tc>
          <w:tcPr>
            <w:tcW w:w="700" w:type="dxa"/>
            <w:vAlign w:val="bottom"/>
          </w:tcPr>
          <w:p>
            <w:pPr>
              <w:jc w:val="right"/>
              <w:spacing w:after="0" w:line="194" w:lineRule="exact"/>
              <w:rPr>
                <w:sz w:val="20"/>
                <w:szCs w:val="20"/>
                <w:color w:val="auto"/>
              </w:rPr>
            </w:pPr>
            <w:r>
              <w:rPr>
                <w:rFonts w:ascii="Arial" w:cs="Arial" w:eastAsia="Arial" w:hAnsi="Arial"/>
                <w:sz w:val="17"/>
                <w:szCs w:val="17"/>
                <w:color w:val="373535"/>
              </w:rPr>
              <w:t>84.4</w:t>
            </w:r>
          </w:p>
        </w:tc>
        <w:tc>
          <w:tcPr>
            <w:tcW w:w="60" w:type="dxa"/>
            <w:vAlign w:val="bottom"/>
          </w:tcPr>
          <w:p>
            <w:pPr>
              <w:spacing w:after="0"/>
              <w:rPr>
                <w:sz w:val="16"/>
                <w:szCs w:val="16"/>
                <w:color w:val="auto"/>
              </w:rPr>
            </w:pPr>
          </w:p>
        </w:tc>
      </w:tr>
      <w:tr>
        <w:trPr>
          <w:trHeight w:val="207"/>
        </w:trPr>
        <w:tc>
          <w:tcPr>
            <w:tcW w:w="8800" w:type="dxa"/>
            <w:vAlign w:val="bottom"/>
            <w:gridSpan w:val="2"/>
          </w:tcPr>
          <w:p>
            <w:pPr>
              <w:spacing w:after="0"/>
              <w:rPr>
                <w:sz w:val="20"/>
                <w:szCs w:val="20"/>
                <w:color w:val="auto"/>
              </w:rPr>
            </w:pPr>
            <w:r>
              <w:rPr>
                <w:rFonts w:ascii="Arial" w:cs="Arial" w:eastAsia="Arial" w:hAnsi="Arial"/>
                <w:sz w:val="17"/>
                <w:szCs w:val="17"/>
                <w:color w:val="373535"/>
              </w:rPr>
              <w:t>Noncurrent tax liability</w:t>
            </w:r>
          </w:p>
        </w:tc>
        <w:tc>
          <w:tcPr>
            <w:tcW w:w="240" w:type="dxa"/>
            <w:vAlign w:val="bottom"/>
            <w:shd w:val="clear" w:color="auto" w:fill="EEF5F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(14.3)</w:t>
            </w:r>
          </w:p>
        </w:tc>
        <w:tc>
          <w:tcPr>
            <w:tcW w:w="5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7"/>
                <w:szCs w:val="17"/>
                <w:color w:val="373535"/>
              </w:rPr>
              <w:t>(18.4)</w:t>
            </w:r>
          </w:p>
        </w:tc>
      </w:tr>
      <w:tr>
        <w:trPr>
          <w:trHeight w:val="186"/>
        </w:trPr>
        <w:tc>
          <w:tcPr>
            <w:tcW w:w="8800" w:type="dxa"/>
            <w:vAlign w:val="bottom"/>
            <w:tcBorders>
              <w:top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Total future tax benefits</w:t>
            </w:r>
          </w:p>
        </w:tc>
        <w:tc>
          <w:tcPr>
            <w:tcW w:w="240" w:type="dxa"/>
            <w:vAlign w:val="bottom"/>
            <w:tcBorders>
              <w:top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115.7</w:t>
            </w:r>
          </w:p>
        </w:tc>
        <w:tc>
          <w:tcPr>
            <w:tcW w:w="540" w:type="dxa"/>
            <w:vAlign w:val="bottom"/>
            <w:tcBorders>
              <w:top w:val="single" w:sz="8" w:color="717073"/>
            </w:tcBorders>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top w:val="single" w:sz="8" w:color="717073"/>
            </w:tcBorders>
          </w:tcPr>
          <w:p>
            <w:pPr>
              <w:jc w:val="right"/>
              <w:spacing w:after="0" w:line="186" w:lineRule="exact"/>
              <w:rPr>
                <w:sz w:val="20"/>
                <w:szCs w:val="20"/>
                <w:color w:val="auto"/>
              </w:rPr>
            </w:pPr>
            <w:r>
              <w:rPr>
                <w:rFonts w:ascii="Arial" w:cs="Arial" w:eastAsia="Arial" w:hAnsi="Arial"/>
                <w:sz w:val="17"/>
                <w:szCs w:val="17"/>
                <w:color w:val="373535"/>
              </w:rPr>
              <w:t>122.7</w:t>
            </w:r>
          </w:p>
        </w:tc>
        <w:tc>
          <w:tcPr>
            <w:tcW w:w="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540" w:type="dxa"/>
            <w:vAlign w:val="bottom"/>
            <w:shd w:val="clear" w:color="auto" w:fill="717073"/>
          </w:tcPr>
          <w:p>
            <w:pPr>
              <w:spacing w:after="0" w:line="20" w:lineRule="exact"/>
              <w:rPr>
                <w:sz w:val="1"/>
                <w:szCs w:val="1"/>
                <w:color w:val="auto"/>
              </w:rPr>
            </w:pPr>
          </w:p>
        </w:tc>
        <w:tc>
          <w:tcPr>
            <w:tcW w:w="700" w:type="dxa"/>
            <w:vAlign w:val="bottom"/>
            <w:shd w:val="clear" w:color="auto" w:fill="71707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5738495</wp:posOffset>
            </wp:positionH>
            <wp:positionV relativeFrom="paragraph">
              <wp:posOffset>-2540000</wp:posOffset>
            </wp:positionV>
            <wp:extent cx="663575" cy="2532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3575" cy="2532380"/>
                    </a:xfrm>
                    <a:prstGeom prst="rect">
                      <a:avLst/>
                    </a:prstGeom>
                    <a:noFill/>
                  </pic:spPr>
                </pic:pic>
              </a:graphicData>
            </a:graphic>
          </wp:anchor>
        </w:drawing>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The current tax liability is recorded in accrued liabilities, the noncurrent tax asset is recorded in other assets and the noncurrent tax liability is recorded in other long-term liabilities in the Consolidated Balance Sheets.</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have United States Federal and non-United States net operating loss carryforwards and United States state net operating loss carryforwards totaling $498.9 and $358.8, respectively, as of December 31, 2013. The net operating loss carryforwards expire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4300" w:type="dxa"/>
            <w:vAlign w:val="bottom"/>
            <w:gridSpan w:val="2"/>
          </w:tcPr>
          <w:p>
            <w:pPr>
              <w:jc w:val="right"/>
              <w:ind w:right="94"/>
              <w:spacing w:after="0"/>
              <w:rPr>
                <w:sz w:val="20"/>
                <w:szCs w:val="20"/>
                <w:color w:val="auto"/>
              </w:rPr>
            </w:pPr>
            <w:r>
              <w:rPr>
                <w:rFonts w:ascii="Arial" w:cs="Arial" w:eastAsia="Arial" w:hAnsi="Arial"/>
                <w:sz w:val="14"/>
                <w:szCs w:val="14"/>
                <w:color w:val="76AD9A"/>
              </w:rPr>
              <w:t>United States Federal</w:t>
            </w:r>
          </w:p>
        </w:tc>
        <w:tc>
          <w:tcPr>
            <w:tcW w:w="3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76AD9A"/>
              </w:rPr>
              <w:t>United States —</w:t>
            </w:r>
          </w:p>
        </w:tc>
      </w:tr>
      <w:tr>
        <w:trPr>
          <w:trHeight w:val="150"/>
        </w:trPr>
        <w:tc>
          <w:tcPr>
            <w:tcW w:w="20" w:type="dxa"/>
            <w:vAlign w:val="bottom"/>
          </w:tcPr>
          <w:p>
            <w:pPr>
              <w:spacing w:after="0"/>
              <w:rPr>
                <w:sz w:val="13"/>
                <w:szCs w:val="13"/>
                <w:color w:val="auto"/>
              </w:rPr>
            </w:pPr>
          </w:p>
        </w:tc>
        <w:tc>
          <w:tcPr>
            <w:tcW w:w="5600" w:type="dxa"/>
            <w:vAlign w:val="bottom"/>
            <w:tcBorders>
              <w:bottom w:val="single" w:sz="8" w:color="76AD9A"/>
            </w:tcBorders>
          </w:tcPr>
          <w:p>
            <w:pPr>
              <w:spacing w:after="0"/>
              <w:rPr>
                <w:sz w:val="13"/>
                <w:szCs w:val="13"/>
                <w:color w:val="auto"/>
              </w:rPr>
            </w:pPr>
          </w:p>
        </w:tc>
        <w:tc>
          <w:tcPr>
            <w:tcW w:w="4300" w:type="dxa"/>
            <w:vAlign w:val="bottom"/>
            <w:tcBorders>
              <w:bottom w:val="single" w:sz="8" w:color="76AD9A"/>
            </w:tcBorders>
            <w:gridSpan w:val="2"/>
          </w:tcPr>
          <w:p>
            <w:pPr>
              <w:ind w:left="2740"/>
              <w:spacing w:after="0" w:line="151" w:lineRule="exact"/>
              <w:rPr>
                <w:sz w:val="20"/>
                <w:szCs w:val="20"/>
                <w:color w:val="auto"/>
              </w:rPr>
            </w:pPr>
            <w:r>
              <w:rPr>
                <w:rFonts w:ascii="Arial" w:cs="Arial" w:eastAsia="Arial" w:hAnsi="Arial"/>
                <w:sz w:val="14"/>
                <w:szCs w:val="14"/>
                <w:color w:val="76AD9A"/>
              </w:rPr>
              <w:t>and Non-United States</w:t>
            </w:r>
          </w:p>
        </w:tc>
        <w:tc>
          <w:tcPr>
            <w:tcW w:w="320" w:type="dxa"/>
            <w:vAlign w:val="bottom"/>
            <w:tcBorders>
              <w:bottom w:val="single" w:sz="8" w:color="76AD9A"/>
            </w:tcBorders>
          </w:tcPr>
          <w:p>
            <w:pPr>
              <w:spacing w:after="0"/>
              <w:rPr>
                <w:sz w:val="13"/>
                <w:szCs w:val="13"/>
                <w:color w:val="auto"/>
              </w:rPr>
            </w:pPr>
          </w:p>
        </w:tc>
        <w:tc>
          <w:tcPr>
            <w:tcW w:w="108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State</w:t>
            </w:r>
          </w:p>
        </w:tc>
      </w:tr>
      <w:tr>
        <w:trPr>
          <w:trHeight w:val="186"/>
        </w:trPr>
        <w:tc>
          <w:tcPr>
            <w:tcW w:w="20" w:type="dxa"/>
            <w:vAlign w:val="bottom"/>
          </w:tcPr>
          <w:p>
            <w:pPr>
              <w:spacing w:after="0"/>
              <w:rPr>
                <w:sz w:val="16"/>
                <w:szCs w:val="16"/>
                <w:color w:val="auto"/>
              </w:rPr>
            </w:pPr>
          </w:p>
        </w:tc>
        <w:tc>
          <w:tcPr>
            <w:tcW w:w="5600" w:type="dxa"/>
            <w:vAlign w:val="bottom"/>
          </w:tcPr>
          <w:p>
            <w:pPr>
              <w:spacing w:after="0" w:line="185" w:lineRule="exact"/>
              <w:rPr>
                <w:sz w:val="20"/>
                <w:szCs w:val="20"/>
                <w:color w:val="auto"/>
              </w:rPr>
            </w:pPr>
            <w:r>
              <w:rPr>
                <w:rFonts w:ascii="Arial" w:cs="Arial" w:eastAsia="Arial" w:hAnsi="Arial"/>
                <w:sz w:val="17"/>
                <w:szCs w:val="17"/>
                <w:color w:val="373535"/>
              </w:rPr>
              <w:t>2014</w:t>
            </w:r>
          </w:p>
        </w:tc>
        <w:tc>
          <w:tcPr>
            <w:tcW w:w="3260" w:type="dxa"/>
            <w:vAlign w:val="bottom"/>
          </w:tcPr>
          <w:p>
            <w:pPr>
              <w:ind w:left="2740"/>
              <w:spacing w:after="0" w:line="185" w:lineRule="exact"/>
              <w:rPr>
                <w:sz w:val="20"/>
                <w:szCs w:val="20"/>
                <w:color w:val="auto"/>
              </w:rPr>
            </w:pPr>
            <w:r>
              <w:rPr>
                <w:rFonts w:ascii="Arial" w:cs="Arial" w:eastAsia="Arial" w:hAnsi="Arial"/>
                <w:sz w:val="17"/>
                <w:szCs w:val="17"/>
                <w:color w:val="373535"/>
              </w:rPr>
              <w:t>$</w:t>
            </w:r>
          </w:p>
        </w:tc>
        <w:tc>
          <w:tcPr>
            <w:tcW w:w="1040" w:type="dxa"/>
            <w:vAlign w:val="bottom"/>
          </w:tcPr>
          <w:p>
            <w:pPr>
              <w:jc w:val="right"/>
              <w:ind w:right="94"/>
              <w:spacing w:after="0" w:line="185" w:lineRule="exact"/>
              <w:rPr>
                <w:sz w:val="20"/>
                <w:szCs w:val="20"/>
                <w:color w:val="auto"/>
              </w:rPr>
            </w:pPr>
            <w:r>
              <w:rPr>
                <w:rFonts w:ascii="Arial" w:cs="Arial" w:eastAsia="Arial" w:hAnsi="Arial"/>
                <w:sz w:val="17"/>
                <w:szCs w:val="17"/>
                <w:color w:val="373535"/>
              </w:rPr>
              <w:t>5.8</w:t>
            </w:r>
          </w:p>
        </w:tc>
        <w:tc>
          <w:tcPr>
            <w:tcW w:w="3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080" w:type="dxa"/>
            <w:vAlign w:val="bottom"/>
          </w:tcPr>
          <w:p>
            <w:pPr>
              <w:jc w:val="right"/>
              <w:spacing w:after="0" w:line="185" w:lineRule="exact"/>
              <w:rPr>
                <w:sz w:val="20"/>
                <w:szCs w:val="20"/>
                <w:color w:val="auto"/>
              </w:rPr>
            </w:pPr>
            <w:r>
              <w:rPr>
                <w:rFonts w:ascii="Arial" w:cs="Arial" w:eastAsia="Arial" w:hAnsi="Arial"/>
                <w:sz w:val="17"/>
                <w:szCs w:val="17"/>
                <w:color w:val="373535"/>
              </w:rPr>
              <w:t>7.7</w:t>
            </w:r>
          </w:p>
        </w:tc>
      </w:tr>
      <w:tr>
        <w:trPr>
          <w:trHeight w:val="194"/>
        </w:trPr>
        <w:tc>
          <w:tcPr>
            <w:tcW w:w="5620" w:type="dxa"/>
            <w:vAlign w:val="bottom"/>
            <w:gridSpan w:val="2"/>
          </w:tcPr>
          <w:p>
            <w:pPr>
              <w:spacing w:after="0" w:line="194" w:lineRule="exact"/>
              <w:rPr>
                <w:sz w:val="20"/>
                <w:szCs w:val="20"/>
                <w:color w:val="auto"/>
              </w:rPr>
            </w:pPr>
            <w:r>
              <w:rPr>
                <w:rFonts w:ascii="Arial" w:cs="Arial" w:eastAsia="Arial" w:hAnsi="Arial"/>
                <w:sz w:val="17"/>
                <w:szCs w:val="17"/>
                <w:color w:val="373535"/>
              </w:rPr>
              <w:t>2015</w:t>
            </w:r>
          </w:p>
        </w:tc>
        <w:tc>
          <w:tcPr>
            <w:tcW w:w="3260" w:type="dxa"/>
            <w:vAlign w:val="bottom"/>
          </w:tcPr>
          <w:p>
            <w:pPr>
              <w:spacing w:after="0"/>
              <w:rPr>
                <w:sz w:val="16"/>
                <w:szCs w:val="16"/>
                <w:color w:val="auto"/>
              </w:rPr>
            </w:pPr>
          </w:p>
        </w:tc>
        <w:tc>
          <w:tcPr>
            <w:tcW w:w="104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14.7</w:t>
            </w:r>
          </w:p>
        </w:tc>
        <w:tc>
          <w:tcPr>
            <w:tcW w:w="3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373535"/>
              </w:rPr>
              <w:t>4.0</w:t>
            </w:r>
          </w:p>
        </w:tc>
      </w:tr>
      <w:tr>
        <w:trPr>
          <w:trHeight w:val="194"/>
        </w:trPr>
        <w:tc>
          <w:tcPr>
            <w:tcW w:w="5620" w:type="dxa"/>
            <w:vAlign w:val="bottom"/>
            <w:gridSpan w:val="2"/>
          </w:tcPr>
          <w:p>
            <w:pPr>
              <w:spacing w:after="0" w:line="194" w:lineRule="exact"/>
              <w:rPr>
                <w:sz w:val="20"/>
                <w:szCs w:val="20"/>
                <w:color w:val="auto"/>
              </w:rPr>
            </w:pPr>
            <w:r>
              <w:rPr>
                <w:rFonts w:ascii="Arial" w:cs="Arial" w:eastAsia="Arial" w:hAnsi="Arial"/>
                <w:sz w:val="17"/>
                <w:szCs w:val="17"/>
                <w:color w:val="373535"/>
              </w:rPr>
              <w:t>2016</w:t>
            </w:r>
          </w:p>
        </w:tc>
        <w:tc>
          <w:tcPr>
            <w:tcW w:w="3260" w:type="dxa"/>
            <w:vAlign w:val="bottom"/>
          </w:tcPr>
          <w:p>
            <w:pPr>
              <w:spacing w:after="0"/>
              <w:rPr>
                <w:sz w:val="16"/>
                <w:szCs w:val="16"/>
                <w:color w:val="auto"/>
              </w:rPr>
            </w:pPr>
          </w:p>
        </w:tc>
        <w:tc>
          <w:tcPr>
            <w:tcW w:w="104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9.9</w:t>
            </w:r>
          </w:p>
        </w:tc>
        <w:tc>
          <w:tcPr>
            <w:tcW w:w="3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373535"/>
              </w:rPr>
              <w:t>3.1</w:t>
            </w:r>
          </w:p>
        </w:tc>
      </w:tr>
      <w:tr>
        <w:trPr>
          <w:trHeight w:val="194"/>
        </w:trPr>
        <w:tc>
          <w:tcPr>
            <w:tcW w:w="5620" w:type="dxa"/>
            <w:vAlign w:val="bottom"/>
            <w:gridSpan w:val="2"/>
          </w:tcPr>
          <w:p>
            <w:pPr>
              <w:spacing w:after="0" w:line="194" w:lineRule="exact"/>
              <w:rPr>
                <w:sz w:val="20"/>
                <w:szCs w:val="20"/>
                <w:color w:val="auto"/>
              </w:rPr>
            </w:pPr>
            <w:r>
              <w:rPr>
                <w:rFonts w:ascii="Arial" w:cs="Arial" w:eastAsia="Arial" w:hAnsi="Arial"/>
                <w:sz w:val="17"/>
                <w:szCs w:val="17"/>
                <w:color w:val="373535"/>
              </w:rPr>
              <w:t>2017</w:t>
            </w:r>
          </w:p>
        </w:tc>
        <w:tc>
          <w:tcPr>
            <w:tcW w:w="3260" w:type="dxa"/>
            <w:vAlign w:val="bottom"/>
          </w:tcPr>
          <w:p>
            <w:pPr>
              <w:spacing w:after="0"/>
              <w:rPr>
                <w:sz w:val="16"/>
                <w:szCs w:val="16"/>
                <w:color w:val="auto"/>
              </w:rPr>
            </w:pPr>
          </w:p>
        </w:tc>
        <w:tc>
          <w:tcPr>
            <w:tcW w:w="104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8.9</w:t>
            </w:r>
          </w:p>
        </w:tc>
        <w:tc>
          <w:tcPr>
            <w:tcW w:w="3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373535"/>
              </w:rPr>
              <w:t>7.7</w:t>
            </w:r>
          </w:p>
        </w:tc>
      </w:tr>
      <w:tr>
        <w:trPr>
          <w:trHeight w:val="194"/>
        </w:trPr>
        <w:tc>
          <w:tcPr>
            <w:tcW w:w="5620" w:type="dxa"/>
            <w:vAlign w:val="bottom"/>
            <w:gridSpan w:val="2"/>
          </w:tcPr>
          <w:p>
            <w:pPr>
              <w:spacing w:after="0" w:line="194" w:lineRule="exact"/>
              <w:rPr>
                <w:sz w:val="20"/>
                <w:szCs w:val="20"/>
                <w:color w:val="auto"/>
              </w:rPr>
            </w:pPr>
            <w:r>
              <w:rPr>
                <w:rFonts w:ascii="Arial" w:cs="Arial" w:eastAsia="Arial" w:hAnsi="Arial"/>
                <w:sz w:val="17"/>
                <w:szCs w:val="17"/>
                <w:color w:val="373535"/>
              </w:rPr>
              <w:t>2018</w:t>
            </w:r>
          </w:p>
        </w:tc>
        <w:tc>
          <w:tcPr>
            <w:tcW w:w="3260" w:type="dxa"/>
            <w:vAlign w:val="bottom"/>
          </w:tcPr>
          <w:p>
            <w:pPr>
              <w:spacing w:after="0"/>
              <w:rPr>
                <w:sz w:val="16"/>
                <w:szCs w:val="16"/>
                <w:color w:val="auto"/>
              </w:rPr>
            </w:pPr>
          </w:p>
        </w:tc>
        <w:tc>
          <w:tcPr>
            <w:tcW w:w="104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9.1</w:t>
            </w:r>
          </w:p>
        </w:tc>
        <w:tc>
          <w:tcPr>
            <w:tcW w:w="32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206"/>
        </w:trPr>
        <w:tc>
          <w:tcPr>
            <w:tcW w:w="5620" w:type="dxa"/>
            <w:vAlign w:val="bottom"/>
            <w:gridSpan w:val="2"/>
          </w:tcPr>
          <w:p>
            <w:pPr>
              <w:spacing w:after="0"/>
              <w:rPr>
                <w:sz w:val="20"/>
                <w:szCs w:val="20"/>
                <w:color w:val="auto"/>
              </w:rPr>
            </w:pPr>
            <w:r>
              <w:rPr>
                <w:rFonts w:ascii="Arial" w:cs="Arial" w:eastAsia="Arial" w:hAnsi="Arial"/>
                <w:sz w:val="17"/>
                <w:szCs w:val="17"/>
                <w:color w:val="373535"/>
              </w:rPr>
              <w:t>Thereafter</w:t>
            </w:r>
          </w:p>
        </w:tc>
        <w:tc>
          <w:tcPr>
            <w:tcW w:w="3260" w:type="dxa"/>
            <w:vAlign w:val="bottom"/>
          </w:tcPr>
          <w:p>
            <w:pPr>
              <w:spacing w:after="0"/>
              <w:rPr>
                <w:sz w:val="17"/>
                <w:szCs w:val="17"/>
                <w:color w:val="auto"/>
              </w:rPr>
            </w:pPr>
          </w:p>
        </w:tc>
        <w:tc>
          <w:tcPr>
            <w:tcW w:w="1040" w:type="dxa"/>
            <w:vAlign w:val="bottom"/>
          </w:tcPr>
          <w:p>
            <w:pPr>
              <w:jc w:val="right"/>
              <w:ind w:right="94"/>
              <w:spacing w:after="0"/>
              <w:rPr>
                <w:sz w:val="20"/>
                <w:szCs w:val="20"/>
                <w:color w:val="auto"/>
              </w:rPr>
            </w:pPr>
            <w:r>
              <w:rPr>
                <w:rFonts w:ascii="Arial" w:cs="Arial" w:eastAsia="Arial" w:hAnsi="Arial"/>
                <w:sz w:val="17"/>
                <w:szCs w:val="17"/>
                <w:color w:val="373535"/>
              </w:rPr>
              <w:t>113.1</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373535"/>
              </w:rPr>
              <w:t>336.3</w:t>
            </w:r>
          </w:p>
        </w:tc>
      </w:tr>
      <w:tr>
        <w:trPr>
          <w:trHeight w:val="195"/>
        </w:trPr>
        <w:tc>
          <w:tcPr>
            <w:tcW w:w="562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No expirations</w:t>
            </w:r>
          </w:p>
        </w:tc>
        <w:tc>
          <w:tcPr>
            <w:tcW w:w="3260" w:type="dxa"/>
            <w:vAlign w:val="bottom"/>
            <w:tcBorders>
              <w:bottom w:val="single" w:sz="8" w:color="717073"/>
            </w:tcBorders>
          </w:tcPr>
          <w:p>
            <w:pPr>
              <w:spacing w:after="0"/>
              <w:rPr>
                <w:sz w:val="16"/>
                <w:szCs w:val="16"/>
                <w:color w:val="auto"/>
              </w:rPr>
            </w:pPr>
          </w:p>
        </w:tc>
        <w:tc>
          <w:tcPr>
            <w:tcW w:w="1040" w:type="dxa"/>
            <w:vAlign w:val="bottom"/>
            <w:tcBorders>
              <w:bottom w:val="single" w:sz="8" w:color="717073"/>
            </w:tcBorders>
          </w:tcPr>
          <w:p>
            <w:pPr>
              <w:jc w:val="right"/>
              <w:ind w:right="94"/>
              <w:spacing w:after="0"/>
              <w:rPr>
                <w:sz w:val="20"/>
                <w:szCs w:val="20"/>
                <w:color w:val="auto"/>
              </w:rPr>
            </w:pPr>
            <w:r>
              <w:rPr>
                <w:rFonts w:ascii="Arial" w:cs="Arial" w:eastAsia="Arial" w:hAnsi="Arial"/>
                <w:sz w:val="17"/>
                <w:szCs w:val="17"/>
                <w:color w:val="373535"/>
              </w:rPr>
              <w:t>337.4</w:t>
            </w:r>
          </w:p>
        </w:tc>
        <w:tc>
          <w:tcPr>
            <w:tcW w:w="320" w:type="dxa"/>
            <w:vAlign w:val="bottom"/>
            <w:tcBorders>
              <w:bottom w:val="single" w:sz="8" w:color="717073"/>
            </w:tcBorders>
          </w:tcPr>
          <w:p>
            <w:pPr>
              <w:spacing w:after="0"/>
              <w:rPr>
                <w:sz w:val="16"/>
                <w:szCs w:val="16"/>
                <w:color w:val="auto"/>
              </w:rPr>
            </w:pPr>
          </w:p>
        </w:tc>
        <w:tc>
          <w:tcPr>
            <w:tcW w:w="10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r>
      <w:tr>
        <w:trPr>
          <w:trHeight w:val="186"/>
        </w:trPr>
        <w:tc>
          <w:tcPr>
            <w:tcW w:w="562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Total net operating loss carryforwards</w:t>
            </w:r>
          </w:p>
        </w:tc>
        <w:tc>
          <w:tcPr>
            <w:tcW w:w="3260" w:type="dxa"/>
            <w:vAlign w:val="bottom"/>
            <w:tcBorders>
              <w:bottom w:val="single" w:sz="8" w:color="717073"/>
            </w:tcBorders>
          </w:tcPr>
          <w:p>
            <w:pPr>
              <w:ind w:left="2740"/>
              <w:spacing w:after="0" w:line="186" w:lineRule="exact"/>
              <w:rPr>
                <w:sz w:val="20"/>
                <w:szCs w:val="20"/>
                <w:color w:val="auto"/>
              </w:rPr>
            </w:pPr>
            <w:r>
              <w:rPr>
                <w:rFonts w:ascii="Arial" w:cs="Arial" w:eastAsia="Arial" w:hAnsi="Arial"/>
                <w:sz w:val="17"/>
                <w:szCs w:val="17"/>
                <w:color w:val="373535"/>
              </w:rPr>
              <w:t>$</w:t>
            </w:r>
          </w:p>
        </w:tc>
        <w:tc>
          <w:tcPr>
            <w:tcW w:w="1040" w:type="dxa"/>
            <w:vAlign w:val="bottom"/>
            <w:tcBorders>
              <w:bottom w:val="single" w:sz="8" w:color="717073"/>
            </w:tcBorders>
          </w:tcPr>
          <w:p>
            <w:pPr>
              <w:jc w:val="right"/>
              <w:ind w:right="94"/>
              <w:spacing w:after="0" w:line="186" w:lineRule="exact"/>
              <w:rPr>
                <w:sz w:val="20"/>
                <w:szCs w:val="20"/>
                <w:color w:val="auto"/>
              </w:rPr>
            </w:pPr>
            <w:r>
              <w:rPr>
                <w:rFonts w:ascii="Arial" w:cs="Arial" w:eastAsia="Arial" w:hAnsi="Arial"/>
                <w:sz w:val="17"/>
                <w:szCs w:val="17"/>
                <w:color w:val="373535"/>
              </w:rPr>
              <w:t>498.9</w:t>
            </w:r>
          </w:p>
        </w:tc>
        <w:tc>
          <w:tcPr>
            <w:tcW w:w="3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358.8</w:t>
            </w:r>
          </w:p>
        </w:tc>
      </w:tr>
    </w:tbl>
    <w:p>
      <w:pPr>
        <w:spacing w:after="0" w:line="180"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have recorded a deferred tax asset of $151.0 as of December 31, 2013, for the benefit of these net operating losses. Realization of this asset is dependent on generating sufficient taxable income prior to the expiration of the loss carryforwards. A related valuation allowance of $113.4 has been recorded as of December 31, 2013, as management believes that realization of certain net operating loss carryforwards is unlikely.</w:t>
      </w:r>
    </w:p>
    <w:p>
      <w:pPr>
        <w:spacing w:after="0" w:line="15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Pretax income of non-United States operations was $298.1, $234.6 and $395.5 in 2013, 2012 and 2011, respectively. We have not provided United States income taxes or non-United States withholding taxes on $737.6 of unremitted earnings of non-United States subsidiaries that are considered to be permanently invested. Deferred taxes are provided on $264.3 of unremitted earnings of non-United States subsidiaries that may be remitted to the United States. As of December 31, 2013 and 2012, we have recorded a deferred tax liability of $16.7 and $15.7, respectively, related to these non-United States earnings that may be remitted.</w:t>
      </w:r>
    </w:p>
    <w:p>
      <w:pPr>
        <w:spacing w:after="0" w:line="174"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b w:val="1"/>
          <w:bCs w:val="1"/>
          <w:color w:val="373535"/>
        </w:rPr>
        <w:t>68</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06" w:name="page107"/>
    <w:bookmarkEnd w:id="106"/>
    <w:p>
      <w:pPr>
        <w:jc w:val="both"/>
        <w:spacing w:after="0" w:line="243" w:lineRule="auto"/>
        <w:rPr>
          <w:sz w:val="20"/>
          <w:szCs w:val="20"/>
          <w:color w:val="auto"/>
        </w:rPr>
      </w:pPr>
      <w:r>
        <w:rPr>
          <w:rFonts w:ascii="Arial" w:cs="Arial" w:eastAsia="Arial" w:hAnsi="Arial"/>
          <w:sz w:val="17"/>
          <w:szCs w:val="17"/>
          <w:color w:val="373535"/>
        </w:rPr>
        <w:t>As of December 31, 2013, we have gross unrecognized tax benefits related to various tax jurisdictions, including interest and penalties, of $32.3. We have related tax benefits of $1.9, and the net amount of $30.4 would favorably affect the effective tax rate if recognized. We do not expect our unrecognized tax benefits to change significantly over the next 12 months.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As of December 31, 2012, we had gross unrecognized tax benefits related to various tax jurisdictions, including interest and penalties, of $28.5. We had related tax benefits of $2.5 for a net amount of $26.0.</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recognize accrued interest and penalties related to unrecognized tax benefits in income tax expense. We accrued net interest and penalties of $6.3, $0.1 and $0.6 during 2013, 2012 and 2011,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373535"/>
        </w:rPr>
        <w:t>The following table summarizes the activity related to our unrecognized tax benefits during 2013, 2012 and 2011: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40" w:type="dxa"/>
            <w:vAlign w:val="bottom"/>
            <w:shd w:val="clear" w:color="auto" w:fill="76AD9A"/>
          </w:tcPr>
          <w:p>
            <w:pPr>
              <w:spacing w:after="0"/>
              <w:rPr>
                <w:sz w:val="16"/>
                <w:szCs w:val="16"/>
                <w:color w:val="auto"/>
              </w:rPr>
            </w:pPr>
          </w:p>
        </w:tc>
        <w:tc>
          <w:tcPr>
            <w:tcW w:w="1040" w:type="dxa"/>
            <w:vAlign w:val="bottom"/>
            <w:shd w:val="clear" w:color="auto" w:fill="76AD9A"/>
          </w:tcPr>
          <w:p>
            <w:pPr>
              <w:jc w:val="right"/>
              <w:ind w:right="36"/>
              <w:spacing w:after="0"/>
              <w:rPr>
                <w:sz w:val="20"/>
                <w:szCs w:val="20"/>
                <w:color w:val="auto"/>
              </w:rPr>
            </w:pPr>
            <w:r>
              <w:rPr>
                <w:rFonts w:ascii="Arial" w:cs="Arial" w:eastAsia="Arial" w:hAnsi="Arial"/>
                <w:sz w:val="14"/>
                <w:szCs w:val="14"/>
                <w:b w:val="1"/>
                <w:bCs w:val="1"/>
                <w:color w:val="FFFFFF"/>
              </w:rPr>
              <w:t>2013</w:t>
            </w:r>
          </w:p>
        </w:tc>
        <w:tc>
          <w:tcPr>
            <w:tcW w:w="540" w:type="dxa"/>
            <w:vAlign w:val="bottom"/>
          </w:tcPr>
          <w:p>
            <w:pPr>
              <w:spacing w:after="0"/>
              <w:rPr>
                <w:sz w:val="16"/>
                <w:szCs w:val="16"/>
                <w:color w:val="auto"/>
              </w:rPr>
            </w:pPr>
          </w:p>
        </w:tc>
        <w:tc>
          <w:tcPr>
            <w:tcW w:w="760" w:type="dxa"/>
            <w:vAlign w:val="bottom"/>
          </w:tcPr>
          <w:p>
            <w:pPr>
              <w:jc w:val="right"/>
              <w:ind w:right="56"/>
              <w:spacing w:after="0"/>
              <w:rPr>
                <w:sz w:val="20"/>
                <w:szCs w:val="20"/>
                <w:color w:val="auto"/>
              </w:rPr>
            </w:pPr>
            <w:r>
              <w:rPr>
                <w:rFonts w:ascii="Arial" w:cs="Arial" w:eastAsia="Arial" w:hAnsi="Arial"/>
                <w:sz w:val="14"/>
                <w:szCs w:val="14"/>
                <w:color w:val="76AD9A"/>
              </w:rPr>
              <w:t>2012</w:t>
            </w:r>
          </w:p>
        </w:tc>
        <w:tc>
          <w:tcPr>
            <w:tcW w:w="46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6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Gross unrecognized tax benefits, beginning of year</w:t>
            </w:r>
          </w:p>
        </w:tc>
        <w:tc>
          <w:tcPr>
            <w:tcW w:w="24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6AD9A"/>
            </w:tcBorders>
            <w:shd w:val="clear" w:color="auto" w:fill="EEF5F2"/>
          </w:tcPr>
          <w:p>
            <w:pPr>
              <w:jc w:val="right"/>
              <w:ind w:right="36"/>
              <w:spacing w:after="0" w:line="185" w:lineRule="exact"/>
              <w:rPr>
                <w:sz w:val="20"/>
                <w:szCs w:val="20"/>
                <w:color w:val="auto"/>
              </w:rPr>
            </w:pPr>
            <w:r>
              <w:rPr>
                <w:rFonts w:ascii="Arial" w:cs="Arial" w:eastAsia="Arial" w:hAnsi="Arial"/>
                <w:sz w:val="17"/>
                <w:szCs w:val="17"/>
                <w:color w:val="76AD9A"/>
              </w:rPr>
              <w:t>26.4</w:t>
            </w:r>
          </w:p>
        </w:tc>
        <w:tc>
          <w:tcPr>
            <w:tcW w:w="540" w:type="dxa"/>
            <w:vAlign w:val="bottom"/>
            <w:tcBorders>
              <w:top w:val="single" w:sz="8" w:color="76AD9A"/>
            </w:tcBorders>
          </w:tcPr>
          <w:p>
            <w:pPr>
              <w:jc w:val="right"/>
              <w:ind w:right="194"/>
              <w:spacing w:after="0" w:line="185" w:lineRule="exact"/>
              <w:rPr>
                <w:sz w:val="20"/>
                <w:szCs w:val="20"/>
                <w:color w:val="auto"/>
              </w:rPr>
            </w:pPr>
            <w:r>
              <w:rPr>
                <w:rFonts w:ascii="Arial" w:cs="Arial" w:eastAsia="Arial" w:hAnsi="Arial"/>
                <w:sz w:val="17"/>
                <w:szCs w:val="17"/>
                <w:color w:val="373535"/>
              </w:rPr>
              <w:t>$</w:t>
            </w:r>
          </w:p>
        </w:tc>
        <w:tc>
          <w:tcPr>
            <w:tcW w:w="760" w:type="dxa"/>
            <w:vAlign w:val="bottom"/>
            <w:tcBorders>
              <w:top w:val="single" w:sz="8" w:color="76AD9A"/>
            </w:tcBorders>
          </w:tcPr>
          <w:p>
            <w:pPr>
              <w:jc w:val="right"/>
              <w:ind w:right="56"/>
              <w:spacing w:after="0" w:line="185" w:lineRule="exact"/>
              <w:rPr>
                <w:sz w:val="20"/>
                <w:szCs w:val="20"/>
                <w:color w:val="auto"/>
              </w:rPr>
            </w:pPr>
            <w:r>
              <w:rPr>
                <w:rFonts w:ascii="Arial" w:cs="Arial" w:eastAsia="Arial" w:hAnsi="Arial"/>
                <w:sz w:val="17"/>
                <w:szCs w:val="17"/>
                <w:color w:val="373535"/>
              </w:rPr>
              <w:t>25.0</w:t>
            </w:r>
          </w:p>
        </w:tc>
        <w:tc>
          <w:tcPr>
            <w:tcW w:w="460" w:type="dxa"/>
            <w:vAlign w:val="bottom"/>
            <w:tcBorders>
              <w:top w:val="single" w:sz="8" w:color="76AD9A"/>
            </w:tcBorders>
          </w:tcPr>
          <w:p>
            <w:pPr>
              <w:jc w:val="right"/>
              <w:ind w:right="194"/>
              <w:spacing w:after="0" w:line="185" w:lineRule="exact"/>
              <w:rPr>
                <w:sz w:val="20"/>
                <w:szCs w:val="20"/>
                <w:color w:val="auto"/>
              </w:rPr>
            </w:pPr>
            <w:r>
              <w:rPr>
                <w:rFonts w:ascii="Arial" w:cs="Arial" w:eastAsia="Arial" w:hAnsi="Arial"/>
                <w:sz w:val="17"/>
                <w:szCs w:val="17"/>
                <w:color w:val="373535"/>
              </w:rPr>
              <w:t>$</w:t>
            </w:r>
          </w:p>
        </w:tc>
        <w:tc>
          <w:tcPr>
            <w:tcW w:w="62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25.0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640" w:type="dxa"/>
            <w:vAlign w:val="bottom"/>
          </w:tcPr>
          <w:p>
            <w:pPr>
              <w:ind w:left="140"/>
              <w:spacing w:after="0" w:line="194" w:lineRule="exact"/>
              <w:rPr>
                <w:sz w:val="20"/>
                <w:szCs w:val="20"/>
                <w:color w:val="auto"/>
              </w:rPr>
            </w:pPr>
            <w:r>
              <w:rPr>
                <w:rFonts w:ascii="Arial" w:cs="Arial" w:eastAsia="Arial" w:hAnsi="Arial"/>
                <w:sz w:val="17"/>
                <w:szCs w:val="17"/>
                <w:color w:val="373535"/>
              </w:rPr>
              <w:t>Increases in prior year tax positions</w:t>
            </w:r>
          </w:p>
        </w:tc>
        <w:tc>
          <w:tcPr>
            <w:tcW w:w="240" w:type="dxa"/>
            <w:vAlign w:val="bottom"/>
            <w:shd w:val="clear" w:color="auto" w:fill="EEF5F2"/>
          </w:tcPr>
          <w:p>
            <w:pPr>
              <w:spacing w:after="0"/>
              <w:rPr>
                <w:sz w:val="16"/>
                <w:szCs w:val="16"/>
                <w:color w:val="auto"/>
              </w:rPr>
            </w:pPr>
          </w:p>
        </w:tc>
        <w:tc>
          <w:tcPr>
            <w:tcW w:w="104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2.1</w:t>
            </w:r>
          </w:p>
        </w:tc>
        <w:tc>
          <w:tcPr>
            <w:tcW w:w="540" w:type="dxa"/>
            <w:vAlign w:val="bottom"/>
          </w:tcPr>
          <w:p>
            <w:pPr>
              <w:spacing w:after="0"/>
              <w:rPr>
                <w:sz w:val="16"/>
                <w:szCs w:val="16"/>
                <w:color w:val="auto"/>
              </w:rPr>
            </w:pPr>
          </w:p>
        </w:tc>
        <w:tc>
          <w:tcPr>
            <w:tcW w:w="7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5.8</w:t>
            </w:r>
          </w:p>
        </w:tc>
        <w:tc>
          <w:tcPr>
            <w:tcW w:w="460" w:type="dxa"/>
            <w:vAlign w:val="bottom"/>
          </w:tcPr>
          <w:p>
            <w:pPr>
              <w:spacing w:after="0"/>
              <w:rPr>
                <w:sz w:val="16"/>
                <w:szCs w:val="16"/>
                <w:color w:val="auto"/>
              </w:rPr>
            </w:pPr>
          </w:p>
        </w:tc>
        <w:tc>
          <w:tcPr>
            <w:tcW w:w="6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0.9</w:t>
            </w:r>
          </w:p>
        </w:tc>
        <w:tc>
          <w:tcPr>
            <w:tcW w:w="4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7640" w:type="dxa"/>
            <w:vAlign w:val="bottom"/>
          </w:tcPr>
          <w:p>
            <w:pPr>
              <w:ind w:left="140"/>
              <w:spacing w:after="0" w:line="193" w:lineRule="exact"/>
              <w:rPr>
                <w:sz w:val="20"/>
                <w:szCs w:val="20"/>
                <w:color w:val="auto"/>
              </w:rPr>
            </w:pPr>
            <w:r>
              <w:rPr>
                <w:rFonts w:ascii="Arial" w:cs="Arial" w:eastAsia="Arial" w:hAnsi="Arial"/>
                <w:sz w:val="17"/>
                <w:szCs w:val="17"/>
                <w:color w:val="373535"/>
              </w:rPr>
              <w:t>Decreases in prior year tax positions</w:t>
            </w:r>
          </w:p>
        </w:tc>
        <w:tc>
          <w:tcPr>
            <w:tcW w:w="240" w:type="dxa"/>
            <w:vAlign w:val="bottom"/>
            <w:shd w:val="clear" w:color="auto" w:fill="EEF5F2"/>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Arial" w:cs="Arial" w:eastAsia="Arial" w:hAnsi="Arial"/>
                <w:sz w:val="17"/>
                <w:szCs w:val="17"/>
                <w:color w:val="76AD9A"/>
              </w:rPr>
              <w:t>(5.6)</w:t>
            </w:r>
          </w:p>
        </w:tc>
        <w:tc>
          <w:tcPr>
            <w:tcW w:w="540" w:type="dxa"/>
            <w:vAlign w:val="bottom"/>
          </w:tcPr>
          <w:p>
            <w:pPr>
              <w:spacing w:after="0"/>
              <w:rPr>
                <w:sz w:val="16"/>
                <w:szCs w:val="16"/>
                <w:color w:val="auto"/>
              </w:rPr>
            </w:pPr>
          </w:p>
        </w:tc>
        <w:tc>
          <w:tcPr>
            <w:tcW w:w="760" w:type="dxa"/>
            <w:vAlign w:val="bottom"/>
          </w:tcPr>
          <w:p>
            <w:pPr>
              <w:jc w:val="right"/>
              <w:spacing w:after="0" w:line="193" w:lineRule="exact"/>
              <w:rPr>
                <w:sz w:val="20"/>
                <w:szCs w:val="20"/>
                <w:color w:val="auto"/>
              </w:rPr>
            </w:pPr>
            <w:r>
              <w:rPr>
                <w:rFonts w:ascii="Arial" w:cs="Arial" w:eastAsia="Arial" w:hAnsi="Arial"/>
                <w:sz w:val="17"/>
                <w:szCs w:val="17"/>
                <w:color w:val="373535"/>
              </w:rPr>
              <w:t>(0.8)</w:t>
            </w:r>
          </w:p>
        </w:tc>
        <w:tc>
          <w:tcPr>
            <w:tcW w:w="460" w:type="dxa"/>
            <w:vAlign w:val="bottom"/>
          </w:tcPr>
          <w:p>
            <w:pPr>
              <w:spacing w:after="0"/>
              <w:rPr>
                <w:sz w:val="16"/>
                <w:szCs w:val="16"/>
                <w:color w:val="auto"/>
              </w:rPr>
            </w:pPr>
          </w:p>
        </w:tc>
        <w:tc>
          <w:tcPr>
            <w:tcW w:w="680" w:type="dxa"/>
            <w:vAlign w:val="bottom"/>
            <w:gridSpan w:val="3"/>
          </w:tcPr>
          <w:p>
            <w:pPr>
              <w:jc w:val="right"/>
              <w:spacing w:after="0" w:line="193" w:lineRule="exact"/>
              <w:rPr>
                <w:sz w:val="20"/>
                <w:szCs w:val="20"/>
                <w:color w:val="auto"/>
              </w:rPr>
            </w:pPr>
            <w:r>
              <w:rPr>
                <w:rFonts w:ascii="Arial" w:cs="Arial" w:eastAsia="Arial" w:hAnsi="Arial"/>
                <w:sz w:val="17"/>
                <w:szCs w:val="17"/>
                <w:color w:val="373535"/>
              </w:rPr>
              <w:t>(1.5</w:t>
            </w:r>
            <w:r>
              <w:rPr>
                <w:rFonts w:ascii="Arial" w:cs="Arial" w:eastAsia="Arial" w:hAnsi="Arial"/>
                <w:sz w:val="17"/>
                <w:szCs w:val="17"/>
                <w:color w:val="353535"/>
              </w:rPr>
              <w:t>)</w:t>
            </w:r>
          </w:p>
        </w:tc>
      </w:tr>
      <w:tr>
        <w:trPr>
          <w:trHeight w:val="194"/>
        </w:trPr>
        <w:tc>
          <w:tcPr>
            <w:tcW w:w="20" w:type="dxa"/>
            <w:vAlign w:val="bottom"/>
          </w:tcPr>
          <w:p>
            <w:pPr>
              <w:spacing w:after="0"/>
              <w:rPr>
                <w:sz w:val="16"/>
                <w:szCs w:val="16"/>
                <w:color w:val="auto"/>
              </w:rPr>
            </w:pPr>
          </w:p>
        </w:tc>
        <w:tc>
          <w:tcPr>
            <w:tcW w:w="7640" w:type="dxa"/>
            <w:vAlign w:val="bottom"/>
          </w:tcPr>
          <w:p>
            <w:pPr>
              <w:ind w:left="140"/>
              <w:spacing w:after="0" w:line="194" w:lineRule="exact"/>
              <w:rPr>
                <w:sz w:val="20"/>
                <w:szCs w:val="20"/>
                <w:color w:val="auto"/>
              </w:rPr>
            </w:pPr>
            <w:r>
              <w:rPr>
                <w:rFonts w:ascii="Arial" w:cs="Arial" w:eastAsia="Arial" w:hAnsi="Arial"/>
                <w:sz w:val="17"/>
                <w:szCs w:val="17"/>
                <w:color w:val="373535"/>
              </w:rPr>
              <w:t>Increases for current year tax positions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6"/>
              <w:spacing w:after="0" w:line="194" w:lineRule="exact"/>
              <w:rPr>
                <w:sz w:val="20"/>
                <w:szCs w:val="20"/>
                <w:color w:val="auto"/>
              </w:rPr>
            </w:pPr>
            <w:r>
              <w:rPr>
                <w:rFonts w:ascii="Arial" w:cs="Arial" w:eastAsia="Arial" w:hAnsi="Arial"/>
                <w:sz w:val="17"/>
                <w:szCs w:val="17"/>
                <w:color w:val="76AD9A"/>
              </w:rPr>
              <w:t>3.4</w:t>
            </w:r>
          </w:p>
        </w:tc>
        <w:tc>
          <w:tcPr>
            <w:tcW w:w="540" w:type="dxa"/>
            <w:vAlign w:val="bottom"/>
          </w:tcPr>
          <w:p>
            <w:pPr>
              <w:spacing w:after="0"/>
              <w:rPr>
                <w:sz w:val="16"/>
                <w:szCs w:val="16"/>
                <w:color w:val="auto"/>
              </w:rPr>
            </w:pPr>
          </w:p>
        </w:tc>
        <w:tc>
          <w:tcPr>
            <w:tcW w:w="76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3.1</w:t>
            </w:r>
          </w:p>
        </w:tc>
        <w:tc>
          <w:tcPr>
            <w:tcW w:w="460" w:type="dxa"/>
            <w:vAlign w:val="bottom"/>
          </w:tcPr>
          <w:p>
            <w:pPr>
              <w:spacing w:after="0"/>
              <w:rPr>
                <w:sz w:val="16"/>
                <w:szCs w:val="16"/>
                <w:color w:val="auto"/>
              </w:rPr>
            </w:pPr>
          </w:p>
        </w:tc>
        <w:tc>
          <w:tcPr>
            <w:tcW w:w="6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2.5</w:t>
            </w:r>
          </w:p>
        </w:tc>
        <w:tc>
          <w:tcPr>
            <w:tcW w:w="40" w:type="dxa"/>
            <w:vAlign w:val="bottom"/>
          </w:tcPr>
          <w:p>
            <w:pPr>
              <w:spacing w:after="0"/>
              <w:rPr>
                <w:sz w:val="16"/>
                <w:szCs w:val="16"/>
                <w:color w:val="auto"/>
              </w:rPr>
            </w:pPr>
          </w:p>
        </w:tc>
      </w:tr>
      <w:tr>
        <w:trPr>
          <w:trHeight w:val="207"/>
        </w:trPr>
        <w:tc>
          <w:tcPr>
            <w:tcW w:w="20" w:type="dxa"/>
            <w:vAlign w:val="bottom"/>
          </w:tcPr>
          <w:p>
            <w:pPr>
              <w:spacing w:after="0"/>
              <w:rPr>
                <w:sz w:val="18"/>
                <w:szCs w:val="18"/>
                <w:color w:val="auto"/>
              </w:rPr>
            </w:pPr>
          </w:p>
        </w:tc>
        <w:tc>
          <w:tcPr>
            <w:tcW w:w="7640" w:type="dxa"/>
            <w:vAlign w:val="bottom"/>
          </w:tcPr>
          <w:p>
            <w:pPr>
              <w:ind w:left="140"/>
              <w:spacing w:after="0"/>
              <w:rPr>
                <w:sz w:val="20"/>
                <w:szCs w:val="20"/>
                <w:color w:val="auto"/>
              </w:rPr>
            </w:pPr>
            <w:r>
              <w:rPr>
                <w:rFonts w:ascii="Arial" w:cs="Arial" w:eastAsia="Arial" w:hAnsi="Arial"/>
                <w:sz w:val="17"/>
                <w:szCs w:val="17"/>
                <w:color w:val="373535"/>
              </w:rPr>
              <w:t>Expiration of statute of limitations and audit settlements</w:t>
            </w:r>
          </w:p>
        </w:tc>
        <w:tc>
          <w:tcPr>
            <w:tcW w:w="240" w:type="dxa"/>
            <w:vAlign w:val="bottom"/>
            <w:shd w:val="clear" w:color="auto" w:fill="EEF5F2"/>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(2.4)</w:t>
            </w:r>
          </w:p>
        </w:tc>
        <w:tc>
          <w:tcPr>
            <w:tcW w:w="5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373535"/>
              </w:rPr>
              <w:t>(6.7)</w:t>
            </w:r>
          </w:p>
        </w:tc>
        <w:tc>
          <w:tcPr>
            <w:tcW w:w="4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color w:val="373535"/>
              </w:rPr>
              <w:t>(1.9</w:t>
            </w:r>
            <w:r>
              <w:rPr>
                <w:rFonts w:ascii="Arial" w:cs="Arial" w:eastAsia="Arial" w:hAnsi="Arial"/>
                <w:sz w:val="17"/>
                <w:szCs w:val="17"/>
                <w:color w:val="353535"/>
              </w:rPr>
              <w:t>)</w:t>
            </w:r>
          </w:p>
        </w:tc>
      </w:tr>
      <w:tr>
        <w:trPr>
          <w:trHeight w:val="186"/>
        </w:trPr>
        <w:tc>
          <w:tcPr>
            <w:tcW w:w="20" w:type="dxa"/>
            <w:vAlign w:val="bottom"/>
            <w:tcBorders>
              <w:bottom w:val="single" w:sz="8" w:color="717073"/>
            </w:tcBorders>
          </w:tcPr>
          <w:p>
            <w:pPr>
              <w:spacing w:after="0"/>
              <w:rPr>
                <w:sz w:val="16"/>
                <w:szCs w:val="16"/>
                <w:color w:val="auto"/>
              </w:rPr>
            </w:pPr>
          </w:p>
        </w:tc>
        <w:tc>
          <w:tcPr>
            <w:tcW w:w="7640" w:type="dxa"/>
            <w:vAlign w:val="bottom"/>
            <w:tcBorders>
              <w:top w:val="single" w:sz="8" w:color="717073"/>
              <w:bottom w:val="single" w:sz="8" w:color="717073"/>
            </w:tcBorders>
          </w:tcPr>
          <w:p>
            <w:pPr>
              <w:spacing w:after="0" w:line="186" w:lineRule="exact"/>
              <w:rPr>
                <w:sz w:val="20"/>
                <w:szCs w:val="20"/>
                <w:color w:val="auto"/>
              </w:rPr>
            </w:pPr>
            <w:r>
              <w:rPr>
                <w:rFonts w:ascii="Arial" w:cs="Arial" w:eastAsia="Arial" w:hAnsi="Arial"/>
                <w:sz w:val="17"/>
                <w:szCs w:val="17"/>
                <w:color w:val="373535"/>
              </w:rPr>
              <w:t>Gross unrecognized tax benefits, end of year</w:t>
            </w:r>
          </w:p>
        </w:tc>
        <w:tc>
          <w:tcPr>
            <w:tcW w:w="24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17073"/>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76AD9A"/>
              </w:rPr>
              <w:t>23.9</w:t>
            </w:r>
          </w:p>
        </w:tc>
        <w:tc>
          <w:tcPr>
            <w:tcW w:w="540" w:type="dxa"/>
            <w:vAlign w:val="bottom"/>
            <w:tcBorders>
              <w:top w:val="single" w:sz="8" w:color="717073"/>
              <w:bottom w:val="single" w:sz="8" w:color="717073"/>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760" w:type="dxa"/>
            <w:vAlign w:val="bottom"/>
            <w:tcBorders>
              <w:top w:val="single" w:sz="8" w:color="717073"/>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26.4</w:t>
            </w:r>
          </w:p>
        </w:tc>
        <w:tc>
          <w:tcPr>
            <w:tcW w:w="460" w:type="dxa"/>
            <w:vAlign w:val="bottom"/>
            <w:tcBorders>
              <w:top w:val="single" w:sz="8" w:color="717073"/>
              <w:bottom w:val="single" w:sz="8" w:color="717073"/>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640" w:type="dxa"/>
            <w:vAlign w:val="bottom"/>
            <w:tcBorders>
              <w:top w:val="single" w:sz="8" w:color="717073"/>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25.0</w:t>
            </w:r>
          </w:p>
        </w:tc>
        <w:tc>
          <w:tcPr>
            <w:tcW w:w="40" w:type="dxa"/>
            <w:vAlign w:val="bottom"/>
          </w:tcPr>
          <w:p>
            <w:pPr>
              <w:spacing w:after="0"/>
              <w:rPr>
                <w:sz w:val="16"/>
                <w:szCs w:val="16"/>
                <w:color w:val="auto"/>
              </w:rPr>
            </w:pPr>
          </w:p>
        </w:tc>
      </w:tr>
      <w:tr>
        <w:trPr>
          <w:trHeight w:val="186"/>
        </w:trPr>
        <w:tc>
          <w:tcPr>
            <w:tcW w:w="76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Potential interest and penalties</w:t>
            </w:r>
          </w:p>
        </w:tc>
        <w:tc>
          <w:tcPr>
            <w:tcW w:w="24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76AD9A"/>
              </w:rPr>
              <w:t>8.4</w:t>
            </w:r>
          </w:p>
        </w:tc>
        <w:tc>
          <w:tcPr>
            <w:tcW w:w="540" w:type="dxa"/>
            <w:vAlign w:val="bottom"/>
            <w:tcBorders>
              <w:bottom w:val="single" w:sz="8" w:color="717073"/>
            </w:tcBorders>
          </w:tcPr>
          <w:p>
            <w:pPr>
              <w:spacing w:after="0"/>
              <w:rPr>
                <w:sz w:val="16"/>
                <w:szCs w:val="16"/>
                <w:color w:val="auto"/>
              </w:rPr>
            </w:pPr>
          </w:p>
        </w:tc>
        <w:tc>
          <w:tcPr>
            <w:tcW w:w="760" w:type="dxa"/>
            <w:vAlign w:val="bottom"/>
            <w:tcBorders>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2.1</w:t>
            </w:r>
          </w:p>
        </w:tc>
        <w:tc>
          <w:tcPr>
            <w:tcW w:w="460" w:type="dxa"/>
            <w:vAlign w:val="bottom"/>
            <w:tcBorders>
              <w:bottom w:val="single" w:sz="8" w:color="717073"/>
            </w:tcBorders>
          </w:tcPr>
          <w:p>
            <w:pPr>
              <w:spacing w:after="0"/>
              <w:rPr>
                <w:sz w:val="16"/>
                <w:szCs w:val="16"/>
                <w:color w:val="auto"/>
              </w:rPr>
            </w:pPr>
          </w:p>
        </w:tc>
        <w:tc>
          <w:tcPr>
            <w:tcW w:w="64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2.0</w:t>
            </w:r>
          </w:p>
        </w:tc>
        <w:tc>
          <w:tcPr>
            <w:tcW w:w="40" w:type="dxa"/>
            <w:vAlign w:val="bottom"/>
          </w:tcPr>
          <w:p>
            <w:pPr>
              <w:spacing w:after="0"/>
              <w:rPr>
                <w:sz w:val="16"/>
                <w:szCs w:val="16"/>
                <w:color w:val="auto"/>
              </w:rPr>
            </w:pPr>
          </w:p>
        </w:tc>
      </w:tr>
      <w:tr>
        <w:trPr>
          <w:trHeight w:val="186"/>
        </w:trPr>
        <w:tc>
          <w:tcPr>
            <w:tcW w:w="7660" w:type="dxa"/>
            <w:vAlign w:val="bottom"/>
            <w:gridSpan w:val="2"/>
          </w:tcPr>
          <w:p>
            <w:pPr>
              <w:spacing w:after="0" w:line="186" w:lineRule="exact"/>
              <w:rPr>
                <w:sz w:val="20"/>
                <w:szCs w:val="20"/>
                <w:color w:val="auto"/>
              </w:rPr>
            </w:pPr>
            <w:r>
              <w:rPr>
                <w:rFonts w:ascii="Arial" w:cs="Arial" w:eastAsia="Arial" w:hAnsi="Arial"/>
                <w:sz w:val="17"/>
                <w:szCs w:val="17"/>
                <w:color w:val="373535"/>
              </w:rPr>
              <w:t>Balance, end of year</w:t>
            </w:r>
          </w:p>
        </w:tc>
        <w:tc>
          <w:tcPr>
            <w:tcW w:w="24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Pr>
          <w:p>
            <w:pPr>
              <w:jc w:val="right"/>
              <w:ind w:right="36"/>
              <w:spacing w:after="0" w:line="186" w:lineRule="exact"/>
              <w:rPr>
                <w:sz w:val="20"/>
                <w:szCs w:val="20"/>
                <w:color w:val="auto"/>
              </w:rPr>
            </w:pPr>
            <w:r>
              <w:rPr>
                <w:rFonts w:ascii="Arial" w:cs="Arial" w:eastAsia="Arial" w:hAnsi="Arial"/>
                <w:sz w:val="17"/>
                <w:szCs w:val="17"/>
                <w:color w:val="76AD9A"/>
              </w:rPr>
              <w:t>32.3</w:t>
            </w:r>
          </w:p>
        </w:tc>
        <w:tc>
          <w:tcPr>
            <w:tcW w:w="540" w:type="dxa"/>
            <w:vAlign w:val="bottom"/>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760" w:type="dxa"/>
            <w:vAlign w:val="bottom"/>
          </w:tcPr>
          <w:p>
            <w:pPr>
              <w:jc w:val="right"/>
              <w:ind w:right="56"/>
              <w:spacing w:after="0" w:line="186" w:lineRule="exact"/>
              <w:rPr>
                <w:sz w:val="20"/>
                <w:szCs w:val="20"/>
                <w:color w:val="auto"/>
              </w:rPr>
            </w:pPr>
            <w:r>
              <w:rPr>
                <w:rFonts w:ascii="Arial" w:cs="Arial" w:eastAsia="Arial" w:hAnsi="Arial"/>
                <w:sz w:val="17"/>
                <w:szCs w:val="17"/>
                <w:color w:val="373535"/>
              </w:rPr>
              <w:t>28.5</w:t>
            </w:r>
          </w:p>
        </w:tc>
        <w:tc>
          <w:tcPr>
            <w:tcW w:w="460" w:type="dxa"/>
            <w:vAlign w:val="bottom"/>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64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27.0</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54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460" w:type="dxa"/>
            <w:vAlign w:val="bottom"/>
            <w:shd w:val="clear" w:color="auto" w:fill="717073"/>
          </w:tcPr>
          <w:p>
            <w:pPr>
              <w:spacing w:after="0" w:line="20" w:lineRule="exact"/>
              <w:rPr>
                <w:sz w:val="1"/>
                <w:szCs w:val="1"/>
                <w:color w:val="auto"/>
              </w:rPr>
            </w:pPr>
          </w:p>
        </w:tc>
        <w:tc>
          <w:tcPr>
            <w:tcW w:w="62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5017770</wp:posOffset>
            </wp:positionH>
            <wp:positionV relativeFrom="paragraph">
              <wp:posOffset>-901065</wp:posOffset>
            </wp:positionV>
            <wp:extent cx="655320" cy="8934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320" cy="893445"/>
                    </a:xfrm>
                    <a:prstGeom prst="rect">
                      <a:avLst/>
                    </a:prstGeom>
                    <a:noFill/>
                  </pic:spPr>
                </pic:pic>
              </a:graphicData>
            </a:graphic>
          </wp:anchor>
        </w:drawing>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conduct business globally in 80 countries and territories. We are routinely audited by the tax authorities of the various tax jurisdictions in which we operate. Generally, the tax years that could be subject to examination are 2009 through 2012 for our major operations in Germany, Italy, France, Japan, United States and United Kingdom. As of December 31, 2013, we are subject to tax audits in France, Germany, Denmark, Austria, Italy, Norway and Spain. We believe that the resolution of these audits will not have a material impact on earnings.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76AD9A"/>
        </w:rPr>
        <w:t>06.</w:t>
      </w:r>
    </w:p>
    <w:p>
      <w:pPr>
        <w:spacing w:after="0"/>
        <w:rPr>
          <w:sz w:val="20"/>
          <w:szCs w:val="20"/>
          <w:color w:val="auto"/>
        </w:rPr>
      </w:pPr>
      <w:r>
        <w:rPr>
          <w:rFonts w:ascii="Arial" w:cs="Arial" w:eastAsia="Arial" w:hAnsi="Arial"/>
          <w:sz w:val="17"/>
          <w:szCs w:val="17"/>
          <w:color w:val="76AD9A"/>
        </w:rPr>
        <w:t>Goodwill</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373535"/>
        </w:rPr>
        <w:t>Changes in the carrying value of goodwill by reportable segment and Corporate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76AD9A"/>
              </w:rPr>
              <w:t>Americas</w:t>
            </w:r>
            <w:r>
              <w:rPr>
                <w:rFonts w:ascii="Arial" w:cs="Arial" w:eastAsia="Arial" w:hAnsi="Arial"/>
                <w:sz w:val="19"/>
                <w:szCs w:val="19"/>
                <w:color w:val="76AD9A"/>
                <w:vertAlign w:val="superscript"/>
              </w:rPr>
              <w:t>(1)</w:t>
            </w:r>
          </w:p>
        </w:tc>
        <w:tc>
          <w:tcPr>
            <w:tcW w:w="340" w:type="dxa"/>
            <w:vAlign w:val="bottom"/>
          </w:tcPr>
          <w:p>
            <w:pPr>
              <w:spacing w:after="0"/>
              <w:rPr>
                <w:sz w:val="14"/>
                <w:szCs w:val="14"/>
                <w:color w:val="auto"/>
              </w:rPr>
            </w:pPr>
          </w:p>
        </w:tc>
        <w:tc>
          <w:tcPr>
            <w:tcW w:w="920" w:type="dxa"/>
            <w:vAlign w:val="bottom"/>
          </w:tcPr>
          <w:p>
            <w:pPr>
              <w:jc w:val="right"/>
              <w:ind w:right="98"/>
              <w:spacing w:after="0"/>
              <w:rPr>
                <w:sz w:val="20"/>
                <w:szCs w:val="20"/>
                <w:color w:val="auto"/>
              </w:rPr>
            </w:pPr>
            <w:r>
              <w:rPr>
                <w:rFonts w:ascii="Arial" w:cs="Arial" w:eastAsia="Arial" w:hAnsi="Arial"/>
                <w:sz w:val="14"/>
                <w:szCs w:val="14"/>
                <w:color w:val="76AD9A"/>
              </w:rPr>
              <w:t>Southern</w:t>
            </w:r>
          </w:p>
        </w:tc>
        <w:tc>
          <w:tcPr>
            <w:tcW w:w="360" w:type="dxa"/>
            <w:vAlign w:val="bottom"/>
          </w:tcPr>
          <w:p>
            <w:pPr>
              <w:spacing w:after="0"/>
              <w:rPr>
                <w:sz w:val="14"/>
                <w:szCs w:val="14"/>
                <w:color w:val="auto"/>
              </w:rPr>
            </w:pPr>
          </w:p>
        </w:tc>
        <w:tc>
          <w:tcPr>
            <w:tcW w:w="840" w:type="dxa"/>
            <w:vAlign w:val="bottom"/>
          </w:tcPr>
          <w:p>
            <w:pPr>
              <w:jc w:val="right"/>
              <w:ind w:right="18"/>
              <w:spacing w:after="0"/>
              <w:rPr>
                <w:sz w:val="20"/>
                <w:szCs w:val="20"/>
                <w:color w:val="auto"/>
              </w:rPr>
            </w:pPr>
            <w:r>
              <w:rPr>
                <w:rFonts w:ascii="Arial" w:cs="Arial" w:eastAsia="Arial" w:hAnsi="Arial"/>
                <w:sz w:val="14"/>
                <w:szCs w:val="14"/>
                <w:color w:val="76AD9A"/>
              </w:rPr>
              <w:t>Northern</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8"/>
              <w:spacing w:after="0"/>
              <w:rPr>
                <w:sz w:val="20"/>
                <w:szCs w:val="20"/>
                <w:color w:val="auto"/>
              </w:rPr>
            </w:pPr>
            <w:r>
              <w:rPr>
                <w:rFonts w:ascii="Arial" w:cs="Arial" w:eastAsia="Arial" w:hAnsi="Arial"/>
                <w:sz w:val="14"/>
                <w:szCs w:val="14"/>
                <w:color w:val="76AD9A"/>
              </w:rPr>
              <w:t>Right</w:t>
            </w:r>
          </w:p>
        </w:tc>
        <w:tc>
          <w:tcPr>
            <w:tcW w:w="3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76AD9A"/>
              </w:rPr>
              <w:t>Corporate</w:t>
            </w:r>
            <w:r>
              <w:rPr>
                <w:rFonts w:ascii="Arial" w:cs="Arial" w:eastAsia="Arial" w:hAnsi="Arial"/>
                <w:sz w:val="19"/>
                <w:szCs w:val="19"/>
                <w:color w:val="76AD9A"/>
                <w:vertAlign w:val="superscript"/>
              </w:rPr>
              <w:t>(3)</w:t>
            </w:r>
          </w:p>
        </w:tc>
        <w:tc>
          <w:tcPr>
            <w:tcW w:w="260" w:type="dxa"/>
            <w:vAlign w:val="bottom"/>
          </w:tcPr>
          <w:p>
            <w:pPr>
              <w:spacing w:after="0"/>
              <w:rPr>
                <w:sz w:val="14"/>
                <w:szCs w:val="14"/>
                <w:color w:val="auto"/>
              </w:rPr>
            </w:pPr>
          </w:p>
        </w:tc>
        <w:tc>
          <w:tcPr>
            <w:tcW w:w="800" w:type="dxa"/>
            <w:vAlign w:val="bottom"/>
            <w:gridSpan w:val="3"/>
            <w:vMerge w:val="restart"/>
          </w:tcPr>
          <w:p>
            <w:pPr>
              <w:jc w:val="right"/>
              <w:spacing w:after="0"/>
              <w:rPr>
                <w:sz w:val="20"/>
                <w:szCs w:val="20"/>
                <w:color w:val="auto"/>
              </w:rPr>
            </w:pPr>
            <w:r>
              <w:rPr>
                <w:rFonts w:ascii="Arial" w:cs="Arial" w:eastAsia="Arial" w:hAnsi="Arial"/>
                <w:sz w:val="14"/>
                <w:szCs w:val="14"/>
                <w:color w:val="76AD9A"/>
              </w:rPr>
              <w:t>Total</w:t>
            </w:r>
            <w:r>
              <w:rPr>
                <w:rFonts w:ascii="Arial" w:cs="Arial" w:eastAsia="Arial" w:hAnsi="Arial"/>
                <w:sz w:val="19"/>
                <w:szCs w:val="19"/>
                <w:color w:val="76AD9A"/>
                <w:vertAlign w:val="superscript"/>
              </w:rPr>
              <w:t>(4)</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Arial" w:cs="Arial" w:eastAsia="Arial" w:hAnsi="Arial"/>
                <w:sz w:val="14"/>
                <w:szCs w:val="14"/>
                <w:color w:val="76AD9A"/>
              </w:rPr>
              <w:t>Europe</w:t>
            </w:r>
            <w:r>
              <w:rPr>
                <w:rFonts w:ascii="Arial" w:cs="Arial" w:eastAsia="Arial" w:hAnsi="Arial"/>
                <w:sz w:val="9"/>
                <w:szCs w:val="9"/>
                <w:color w:val="76AD9A"/>
              </w:rPr>
              <w:t>(2)</w:t>
            </w:r>
          </w:p>
        </w:tc>
        <w:tc>
          <w:tcPr>
            <w:tcW w:w="360" w:type="dxa"/>
            <w:vAlign w:val="bottom"/>
          </w:tcPr>
          <w:p>
            <w:pPr>
              <w:spacing w:after="0"/>
              <w:rPr>
                <w:sz w:val="13"/>
                <w:szCs w:val="13"/>
                <w:color w:val="auto"/>
              </w:rPr>
            </w:pPr>
          </w:p>
        </w:tc>
        <w:tc>
          <w:tcPr>
            <w:tcW w:w="840" w:type="dxa"/>
            <w:vAlign w:val="bottom"/>
          </w:tcPr>
          <w:p>
            <w:pPr>
              <w:jc w:val="right"/>
              <w:ind w:right="18"/>
              <w:spacing w:after="0" w:line="151" w:lineRule="exact"/>
              <w:rPr>
                <w:sz w:val="20"/>
                <w:szCs w:val="20"/>
                <w:color w:val="auto"/>
              </w:rPr>
            </w:pPr>
            <w:r>
              <w:rPr>
                <w:rFonts w:ascii="Arial" w:cs="Arial" w:eastAsia="Arial" w:hAnsi="Arial"/>
                <w:sz w:val="14"/>
                <w:szCs w:val="14"/>
                <w:color w:val="76AD9A"/>
              </w:rPr>
              <w:t>Europe</w:t>
            </w:r>
          </w:p>
        </w:tc>
        <w:tc>
          <w:tcPr>
            <w:tcW w:w="500" w:type="dxa"/>
            <w:vAlign w:val="bottom"/>
          </w:tcPr>
          <w:p>
            <w:pPr>
              <w:spacing w:after="0"/>
              <w:rPr>
                <w:sz w:val="13"/>
                <w:szCs w:val="13"/>
                <w:color w:val="auto"/>
              </w:rPr>
            </w:pPr>
          </w:p>
        </w:tc>
        <w:tc>
          <w:tcPr>
            <w:tcW w:w="800" w:type="dxa"/>
            <w:vAlign w:val="bottom"/>
          </w:tcPr>
          <w:p>
            <w:pPr>
              <w:jc w:val="right"/>
              <w:ind w:right="56"/>
              <w:spacing w:after="0" w:line="151" w:lineRule="exact"/>
              <w:rPr>
                <w:sz w:val="20"/>
                <w:szCs w:val="20"/>
                <w:color w:val="auto"/>
              </w:rPr>
            </w:pPr>
            <w:r>
              <w:rPr>
                <w:rFonts w:ascii="Arial" w:cs="Arial" w:eastAsia="Arial" w:hAnsi="Arial"/>
                <w:sz w:val="14"/>
                <w:szCs w:val="14"/>
                <w:color w:val="76AD9A"/>
              </w:rPr>
              <w:t>APME</w:t>
            </w:r>
          </w:p>
        </w:tc>
        <w:tc>
          <w:tcPr>
            <w:tcW w:w="220" w:type="dxa"/>
            <w:vAlign w:val="bottom"/>
          </w:tcPr>
          <w:p>
            <w:pPr>
              <w:spacing w:after="0"/>
              <w:rPr>
                <w:sz w:val="13"/>
                <w:szCs w:val="13"/>
                <w:color w:val="auto"/>
              </w:rPr>
            </w:pPr>
          </w:p>
        </w:tc>
        <w:tc>
          <w:tcPr>
            <w:tcW w:w="980" w:type="dxa"/>
            <w:vAlign w:val="bottom"/>
          </w:tcPr>
          <w:p>
            <w:pPr>
              <w:jc w:val="right"/>
              <w:ind w:right="38"/>
              <w:spacing w:after="0" w:line="151" w:lineRule="exact"/>
              <w:rPr>
                <w:sz w:val="20"/>
                <w:szCs w:val="20"/>
                <w:color w:val="auto"/>
              </w:rPr>
            </w:pPr>
            <w:r>
              <w:rPr>
                <w:rFonts w:ascii="Arial" w:cs="Arial" w:eastAsia="Arial" w:hAnsi="Arial"/>
                <w:sz w:val="14"/>
                <w:szCs w:val="14"/>
                <w:color w:val="76AD9A"/>
              </w:rPr>
              <w:t>Management</w:t>
            </w:r>
          </w:p>
        </w:tc>
        <w:tc>
          <w:tcPr>
            <w:tcW w:w="3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Balance, January 1, 2012</w:t>
            </w:r>
          </w:p>
        </w:tc>
        <w:tc>
          <w:tcPr>
            <w:tcW w:w="600" w:type="dxa"/>
            <w:vAlign w:val="bottom"/>
            <w:tcBorders>
              <w:top w:val="single" w:sz="8" w:color="76AD9A"/>
            </w:tcBorders>
          </w:tcPr>
          <w:p>
            <w:pPr>
              <w:jc w:val="right"/>
              <w:ind w:right="94"/>
              <w:spacing w:after="0" w:line="185"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6AD9A"/>
            </w:tcBorders>
          </w:tcPr>
          <w:p>
            <w:pPr>
              <w:jc w:val="right"/>
              <w:ind w:right="96"/>
              <w:spacing w:after="0" w:line="185" w:lineRule="exact"/>
              <w:rPr>
                <w:sz w:val="20"/>
                <w:szCs w:val="20"/>
                <w:color w:val="auto"/>
              </w:rPr>
            </w:pPr>
            <w:r>
              <w:rPr>
                <w:rFonts w:ascii="Arial" w:cs="Arial" w:eastAsia="Arial" w:hAnsi="Arial"/>
                <w:sz w:val="17"/>
                <w:szCs w:val="17"/>
                <w:color w:val="373535"/>
              </w:rPr>
              <w:t>461.8</w:t>
            </w:r>
          </w:p>
        </w:tc>
        <w:tc>
          <w:tcPr>
            <w:tcW w:w="340" w:type="dxa"/>
            <w:vAlign w:val="bottom"/>
            <w:tcBorders>
              <w:top w:val="single" w:sz="8" w:color="76AD9A"/>
            </w:tcBorders>
          </w:tcPr>
          <w:p>
            <w:pPr>
              <w:jc w:val="right"/>
              <w:ind w:right="114"/>
              <w:spacing w:after="0" w:line="185" w:lineRule="exact"/>
              <w:rPr>
                <w:sz w:val="20"/>
                <w:szCs w:val="20"/>
                <w:color w:val="auto"/>
              </w:rPr>
            </w:pPr>
            <w:r>
              <w:rPr>
                <w:rFonts w:ascii="Arial" w:cs="Arial" w:eastAsia="Arial" w:hAnsi="Arial"/>
                <w:sz w:val="17"/>
                <w:szCs w:val="17"/>
                <w:color w:val="373535"/>
              </w:rPr>
              <w:t>$</w:t>
            </w:r>
          </w:p>
        </w:tc>
        <w:tc>
          <w:tcPr>
            <w:tcW w:w="920" w:type="dxa"/>
            <w:vAlign w:val="bottom"/>
            <w:tcBorders>
              <w:top w:val="single" w:sz="8" w:color="76AD9A"/>
            </w:tcBorders>
          </w:tcPr>
          <w:p>
            <w:pPr>
              <w:jc w:val="right"/>
              <w:ind w:right="98"/>
              <w:spacing w:after="0" w:line="185" w:lineRule="exact"/>
              <w:rPr>
                <w:sz w:val="20"/>
                <w:szCs w:val="20"/>
                <w:color w:val="auto"/>
              </w:rPr>
            </w:pPr>
            <w:r>
              <w:rPr>
                <w:rFonts w:ascii="Arial" w:cs="Arial" w:eastAsia="Arial" w:hAnsi="Arial"/>
                <w:sz w:val="17"/>
                <w:szCs w:val="17"/>
                <w:color w:val="373535"/>
              </w:rPr>
              <w:t>59.5</w:t>
            </w:r>
          </w:p>
        </w:tc>
        <w:tc>
          <w:tcPr>
            <w:tcW w:w="360" w:type="dxa"/>
            <w:vAlign w:val="bottom"/>
            <w:tcBorders>
              <w:top w:val="single" w:sz="8" w:color="76AD9A"/>
            </w:tcBorders>
          </w:tcPr>
          <w:p>
            <w:pPr>
              <w:jc w:val="right"/>
              <w:ind w:right="114"/>
              <w:spacing w:after="0" w:line="185"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6AD9A"/>
            </w:tcBorders>
          </w:tcPr>
          <w:p>
            <w:pPr>
              <w:jc w:val="right"/>
              <w:ind w:right="18"/>
              <w:spacing w:after="0" w:line="185" w:lineRule="exact"/>
              <w:rPr>
                <w:sz w:val="20"/>
                <w:szCs w:val="20"/>
                <w:color w:val="auto"/>
              </w:rPr>
            </w:pPr>
            <w:r>
              <w:rPr>
                <w:rFonts w:ascii="Arial" w:cs="Arial" w:eastAsia="Arial" w:hAnsi="Arial"/>
                <w:sz w:val="17"/>
                <w:szCs w:val="17"/>
                <w:color w:val="373535"/>
              </w:rPr>
              <w:t>260.7</w:t>
            </w:r>
          </w:p>
        </w:tc>
        <w:tc>
          <w:tcPr>
            <w:tcW w:w="500" w:type="dxa"/>
            <w:vAlign w:val="bottom"/>
            <w:tcBorders>
              <w:top w:val="single" w:sz="8" w:color="76AD9A"/>
            </w:tcBorders>
          </w:tcPr>
          <w:p>
            <w:pPr>
              <w:jc w:val="right"/>
              <w:ind w:right="194"/>
              <w:spacing w:after="0" w:line="185"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6AD9A"/>
            </w:tcBorders>
          </w:tcPr>
          <w:p>
            <w:pPr>
              <w:jc w:val="right"/>
              <w:ind w:right="56"/>
              <w:spacing w:after="0" w:line="185" w:lineRule="exact"/>
              <w:rPr>
                <w:sz w:val="20"/>
                <w:szCs w:val="20"/>
                <w:color w:val="auto"/>
              </w:rPr>
            </w:pPr>
            <w:r>
              <w:rPr>
                <w:rFonts w:ascii="Arial" w:cs="Arial" w:eastAsia="Arial" w:hAnsi="Arial"/>
                <w:sz w:val="17"/>
                <w:szCs w:val="17"/>
                <w:color w:val="373535"/>
              </w:rPr>
              <w:t>77.5</w:t>
            </w:r>
          </w:p>
        </w:tc>
        <w:tc>
          <w:tcPr>
            <w:tcW w:w="22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w:t>
            </w:r>
          </w:p>
        </w:tc>
        <w:tc>
          <w:tcPr>
            <w:tcW w:w="980" w:type="dxa"/>
            <w:vAlign w:val="bottom"/>
            <w:tcBorders>
              <w:top w:val="single" w:sz="8" w:color="76AD9A"/>
            </w:tcBorders>
          </w:tcPr>
          <w:p>
            <w:pPr>
              <w:jc w:val="right"/>
              <w:ind w:right="38"/>
              <w:spacing w:after="0" w:line="185" w:lineRule="exact"/>
              <w:rPr>
                <w:sz w:val="20"/>
                <w:szCs w:val="20"/>
                <w:color w:val="auto"/>
              </w:rPr>
            </w:pPr>
            <w:r>
              <w:rPr>
                <w:rFonts w:ascii="Arial" w:cs="Arial" w:eastAsia="Arial" w:hAnsi="Arial"/>
                <w:sz w:val="17"/>
                <w:szCs w:val="17"/>
                <w:color w:val="373535"/>
              </w:rPr>
              <w:t>60.3</w:t>
            </w:r>
          </w:p>
        </w:tc>
        <w:tc>
          <w:tcPr>
            <w:tcW w:w="340" w:type="dxa"/>
            <w:vAlign w:val="bottom"/>
            <w:tcBorders>
              <w:top w:val="single" w:sz="8" w:color="76AD9A"/>
            </w:tcBorders>
          </w:tcPr>
          <w:p>
            <w:pPr>
              <w:jc w:val="right"/>
              <w:ind w:right="54"/>
              <w:spacing w:after="0" w:line="185"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6AD9A"/>
            </w:tcBorders>
          </w:tcPr>
          <w:p>
            <w:pPr>
              <w:jc w:val="right"/>
              <w:ind w:right="96"/>
              <w:spacing w:after="0" w:line="185" w:lineRule="exact"/>
              <w:rPr>
                <w:sz w:val="20"/>
                <w:szCs w:val="20"/>
                <w:color w:val="auto"/>
              </w:rPr>
            </w:pPr>
            <w:r>
              <w:rPr>
                <w:rFonts w:ascii="Arial" w:cs="Arial" w:eastAsia="Arial" w:hAnsi="Arial"/>
                <w:sz w:val="17"/>
                <w:szCs w:val="17"/>
                <w:color w:val="373535"/>
              </w:rPr>
              <w:t>64.9</w:t>
            </w:r>
          </w:p>
        </w:tc>
        <w:tc>
          <w:tcPr>
            <w:tcW w:w="26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984.7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20" w:type="dxa"/>
            <w:vAlign w:val="bottom"/>
          </w:tcPr>
          <w:p>
            <w:pPr>
              <w:ind w:left="140"/>
              <w:spacing w:after="0"/>
              <w:rPr>
                <w:sz w:val="20"/>
                <w:szCs w:val="20"/>
                <w:color w:val="auto"/>
              </w:rPr>
            </w:pPr>
            <w:r>
              <w:rPr>
                <w:rFonts w:ascii="Arial" w:cs="Arial" w:eastAsia="Arial" w:hAnsi="Arial"/>
                <w:sz w:val="17"/>
                <w:szCs w:val="17"/>
                <w:color w:val="373535"/>
              </w:rPr>
              <w:t>Goodwill acquired</w:t>
            </w:r>
          </w:p>
        </w:tc>
        <w:tc>
          <w:tcPr>
            <w:tcW w:w="600" w:type="dxa"/>
            <w:vAlign w:val="bottom"/>
          </w:tcPr>
          <w:p>
            <w:pPr>
              <w:spacing w:after="0"/>
              <w:rPr>
                <w:sz w:val="17"/>
                <w:szCs w:val="17"/>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color w:val="373535"/>
              </w:rPr>
              <w:t>4.8</w:t>
            </w:r>
          </w:p>
        </w:tc>
        <w:tc>
          <w:tcPr>
            <w:tcW w:w="340" w:type="dxa"/>
            <w:vAlign w:val="bottom"/>
          </w:tcPr>
          <w:p>
            <w:pPr>
              <w:spacing w:after="0"/>
              <w:rPr>
                <w:sz w:val="17"/>
                <w:szCs w:val="17"/>
                <w:color w:val="auto"/>
              </w:rPr>
            </w:pPr>
          </w:p>
        </w:tc>
        <w:tc>
          <w:tcPr>
            <w:tcW w:w="920" w:type="dxa"/>
            <w:vAlign w:val="bottom"/>
          </w:tcPr>
          <w:p>
            <w:pPr>
              <w:jc w:val="right"/>
              <w:ind w:right="98"/>
              <w:spacing w:after="0"/>
              <w:rPr>
                <w:sz w:val="20"/>
                <w:szCs w:val="20"/>
                <w:color w:val="auto"/>
              </w:rPr>
            </w:pPr>
            <w:r>
              <w:rPr>
                <w:rFonts w:ascii="Arial" w:cs="Arial" w:eastAsia="Arial" w:hAnsi="Arial"/>
                <w:sz w:val="17"/>
                <w:szCs w:val="17"/>
                <w:color w:val="373535"/>
              </w:rPr>
              <w:t>41.4</w:t>
            </w:r>
          </w:p>
        </w:tc>
        <w:tc>
          <w:tcPr>
            <w:tcW w:w="360" w:type="dxa"/>
            <w:vAlign w:val="bottom"/>
          </w:tcPr>
          <w:p>
            <w:pPr>
              <w:spacing w:after="0"/>
              <w:rPr>
                <w:sz w:val="17"/>
                <w:szCs w:val="17"/>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7"/>
                <w:szCs w:val="17"/>
                <w:color w:val="auto"/>
              </w:rPr>
            </w:pPr>
          </w:p>
        </w:tc>
        <w:tc>
          <w:tcPr>
            <w:tcW w:w="800" w:type="dxa"/>
            <w:vAlign w:val="bottom"/>
          </w:tcPr>
          <w:p>
            <w:pPr>
              <w:jc w:val="right"/>
              <w:ind w:right="56"/>
              <w:spacing w:after="0"/>
              <w:rPr>
                <w:sz w:val="20"/>
                <w:szCs w:val="20"/>
                <w:color w:val="auto"/>
              </w:rPr>
            </w:pPr>
            <w:r>
              <w:rPr>
                <w:rFonts w:ascii="Arial" w:cs="Arial" w:eastAsia="Arial" w:hAnsi="Arial"/>
                <w:sz w:val="17"/>
                <w:szCs w:val="17"/>
                <w:color w:val="373535"/>
              </w:rPr>
              <w:t>—</w:t>
            </w:r>
          </w:p>
        </w:tc>
        <w:tc>
          <w:tcPr>
            <w:tcW w:w="220" w:type="dxa"/>
            <w:vAlign w:val="bottom"/>
          </w:tcPr>
          <w:p>
            <w:pPr>
              <w:spacing w:after="0"/>
              <w:rPr>
                <w:sz w:val="17"/>
                <w:szCs w:val="17"/>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373535"/>
              </w:rPr>
              <w:t>—</w:t>
            </w:r>
          </w:p>
        </w:tc>
        <w:tc>
          <w:tcPr>
            <w:tcW w:w="340" w:type="dxa"/>
            <w:vAlign w:val="bottom"/>
          </w:tcPr>
          <w:p>
            <w:pPr>
              <w:spacing w:after="0"/>
              <w:rPr>
                <w:sz w:val="17"/>
                <w:szCs w:val="17"/>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color w:val="373535"/>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373535"/>
              </w:rPr>
              <w:t>46.2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Currency impact and other</w:t>
            </w:r>
          </w:p>
        </w:tc>
        <w:tc>
          <w:tcPr>
            <w:tcW w:w="600" w:type="dxa"/>
            <w:vAlign w:val="bottom"/>
            <w:tcBorders>
              <w:bottom w:val="single" w:sz="8" w:color="717073"/>
            </w:tcBorders>
          </w:tcPr>
          <w:p>
            <w:pPr>
              <w:spacing w:after="0"/>
              <w:rPr>
                <w:sz w:val="16"/>
                <w:szCs w:val="16"/>
                <w:color w:val="auto"/>
              </w:rPr>
            </w:pPr>
          </w:p>
        </w:tc>
        <w:tc>
          <w:tcPr>
            <w:tcW w:w="940" w:type="dxa"/>
            <w:vAlign w:val="bottom"/>
            <w:tcBorders>
              <w:bottom w:val="single" w:sz="8" w:color="717073"/>
            </w:tcBorders>
          </w:tcPr>
          <w:p>
            <w:pPr>
              <w:jc w:val="right"/>
              <w:ind w:right="96"/>
              <w:spacing w:after="0"/>
              <w:rPr>
                <w:sz w:val="20"/>
                <w:szCs w:val="20"/>
                <w:color w:val="auto"/>
              </w:rPr>
            </w:pPr>
            <w:r>
              <w:rPr>
                <w:rFonts w:ascii="Arial" w:cs="Arial" w:eastAsia="Arial" w:hAnsi="Arial"/>
                <w:sz w:val="17"/>
                <w:szCs w:val="17"/>
                <w:color w:val="373535"/>
              </w:rPr>
              <w:t>0.5</w:t>
            </w:r>
          </w:p>
        </w:tc>
        <w:tc>
          <w:tcPr>
            <w:tcW w:w="34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98"/>
              <w:spacing w:after="0"/>
              <w:rPr>
                <w:sz w:val="20"/>
                <w:szCs w:val="20"/>
                <w:color w:val="auto"/>
              </w:rPr>
            </w:pPr>
            <w:r>
              <w:rPr>
                <w:rFonts w:ascii="Arial" w:cs="Arial" w:eastAsia="Arial" w:hAnsi="Arial"/>
                <w:sz w:val="17"/>
                <w:szCs w:val="17"/>
                <w:color w:val="373535"/>
              </w:rPr>
              <w:t>2.4</w:t>
            </w:r>
          </w:p>
        </w:tc>
        <w:tc>
          <w:tcPr>
            <w:tcW w:w="360" w:type="dxa"/>
            <w:vAlign w:val="bottom"/>
            <w:tcBorders>
              <w:bottom w:val="single" w:sz="8" w:color="717073"/>
            </w:tcBorders>
          </w:tcPr>
          <w:p>
            <w:pPr>
              <w:spacing w:after="0"/>
              <w:rPr>
                <w:sz w:val="16"/>
                <w:szCs w:val="16"/>
                <w:color w:val="auto"/>
              </w:rPr>
            </w:pPr>
          </w:p>
        </w:tc>
        <w:tc>
          <w:tcPr>
            <w:tcW w:w="840" w:type="dxa"/>
            <w:vAlign w:val="bottom"/>
            <w:tcBorders>
              <w:bottom w:val="single" w:sz="8" w:color="717073"/>
            </w:tcBorders>
          </w:tcPr>
          <w:p>
            <w:pPr>
              <w:jc w:val="right"/>
              <w:ind w:right="18"/>
              <w:spacing w:after="0"/>
              <w:rPr>
                <w:sz w:val="20"/>
                <w:szCs w:val="20"/>
                <w:color w:val="auto"/>
              </w:rPr>
            </w:pPr>
            <w:r>
              <w:rPr>
                <w:rFonts w:ascii="Arial" w:cs="Arial" w:eastAsia="Arial" w:hAnsi="Arial"/>
                <w:sz w:val="17"/>
                <w:szCs w:val="17"/>
                <w:color w:val="373535"/>
              </w:rPr>
              <w:t>10.0</w:t>
            </w:r>
          </w:p>
        </w:tc>
        <w:tc>
          <w:tcPr>
            <w:tcW w:w="50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(4.3)</w:t>
            </w:r>
          </w:p>
        </w:tc>
        <w:tc>
          <w:tcPr>
            <w:tcW w:w="2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38"/>
              <w:spacing w:after="0"/>
              <w:rPr>
                <w:sz w:val="20"/>
                <w:szCs w:val="20"/>
                <w:color w:val="auto"/>
              </w:rPr>
            </w:pPr>
            <w:r>
              <w:rPr>
                <w:rFonts w:ascii="Arial" w:cs="Arial" w:eastAsia="Arial" w:hAnsi="Arial"/>
                <w:sz w:val="17"/>
                <w:szCs w:val="17"/>
                <w:color w:val="373535"/>
              </w:rPr>
              <w:t>1.8</w:t>
            </w:r>
          </w:p>
        </w:tc>
        <w:tc>
          <w:tcPr>
            <w:tcW w:w="340" w:type="dxa"/>
            <w:vAlign w:val="bottom"/>
            <w:tcBorders>
              <w:bottom w:val="single" w:sz="8" w:color="717073"/>
            </w:tcBorders>
          </w:tcPr>
          <w:p>
            <w:pPr>
              <w:spacing w:after="0"/>
              <w:rPr>
                <w:sz w:val="16"/>
                <w:szCs w:val="16"/>
                <w:color w:val="auto"/>
              </w:rPr>
            </w:pPr>
          </w:p>
        </w:tc>
        <w:tc>
          <w:tcPr>
            <w:tcW w:w="940" w:type="dxa"/>
            <w:vAlign w:val="bottom"/>
            <w:tcBorders>
              <w:bottom w:val="single" w:sz="8" w:color="717073"/>
            </w:tcBorders>
          </w:tcPr>
          <w:p>
            <w:pPr>
              <w:jc w:val="right"/>
              <w:ind w:right="96"/>
              <w:spacing w:after="0"/>
              <w:rPr>
                <w:sz w:val="20"/>
                <w:szCs w:val="20"/>
                <w:color w:val="auto"/>
              </w:rPr>
            </w:pPr>
            <w:r>
              <w:rPr>
                <w:rFonts w:ascii="Arial" w:cs="Arial" w:eastAsia="Arial" w:hAnsi="Arial"/>
                <w:sz w:val="17"/>
                <w:szCs w:val="17"/>
                <w:color w:val="373535"/>
              </w:rPr>
              <w:t>—</w:t>
            </w:r>
          </w:p>
        </w:tc>
        <w:tc>
          <w:tcPr>
            <w:tcW w:w="260" w:type="dxa"/>
            <w:vAlign w:val="bottom"/>
            <w:tcBorders>
              <w:bottom w:val="single" w:sz="8" w:color="717073"/>
            </w:tcBorders>
          </w:tcPr>
          <w:p>
            <w:pPr>
              <w:spacing w:after="0"/>
              <w:rPr>
                <w:sz w:val="16"/>
                <w:szCs w:val="16"/>
                <w:color w:val="auto"/>
              </w:rPr>
            </w:pPr>
          </w:p>
        </w:tc>
        <w:tc>
          <w:tcPr>
            <w:tcW w:w="6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10.4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20" w:type="dxa"/>
            <w:vAlign w:val="bottom"/>
          </w:tcPr>
          <w:p>
            <w:pPr>
              <w:spacing w:after="0" w:line="185" w:lineRule="exact"/>
              <w:rPr>
                <w:sz w:val="20"/>
                <w:szCs w:val="20"/>
                <w:color w:val="auto"/>
              </w:rPr>
            </w:pPr>
            <w:r>
              <w:rPr>
                <w:rFonts w:ascii="Arial" w:cs="Arial" w:eastAsia="Arial" w:hAnsi="Arial"/>
                <w:sz w:val="17"/>
                <w:szCs w:val="17"/>
                <w:color w:val="373535"/>
              </w:rPr>
              <w:t>Balance, December 31, 2012</w:t>
            </w:r>
          </w:p>
        </w:tc>
        <w:tc>
          <w:tcPr>
            <w:tcW w:w="600" w:type="dxa"/>
            <w:vAlign w:val="bottom"/>
          </w:tcPr>
          <w:p>
            <w:pPr>
              <w:spacing w:after="0"/>
              <w:rPr>
                <w:sz w:val="16"/>
                <w:szCs w:val="16"/>
                <w:color w:val="auto"/>
              </w:rPr>
            </w:pPr>
          </w:p>
        </w:tc>
        <w:tc>
          <w:tcPr>
            <w:tcW w:w="940" w:type="dxa"/>
            <w:vAlign w:val="bottom"/>
          </w:tcPr>
          <w:p>
            <w:pPr>
              <w:jc w:val="right"/>
              <w:ind w:right="96"/>
              <w:spacing w:after="0" w:line="185" w:lineRule="exact"/>
              <w:rPr>
                <w:sz w:val="20"/>
                <w:szCs w:val="20"/>
                <w:color w:val="auto"/>
              </w:rPr>
            </w:pPr>
            <w:r>
              <w:rPr>
                <w:rFonts w:ascii="Arial" w:cs="Arial" w:eastAsia="Arial" w:hAnsi="Arial"/>
                <w:sz w:val="17"/>
                <w:szCs w:val="17"/>
                <w:color w:val="373535"/>
              </w:rPr>
              <w:t>467.1</w:t>
            </w:r>
          </w:p>
        </w:tc>
        <w:tc>
          <w:tcPr>
            <w:tcW w:w="340" w:type="dxa"/>
            <w:vAlign w:val="bottom"/>
          </w:tcPr>
          <w:p>
            <w:pPr>
              <w:spacing w:after="0"/>
              <w:rPr>
                <w:sz w:val="16"/>
                <w:szCs w:val="16"/>
                <w:color w:val="auto"/>
              </w:rPr>
            </w:pPr>
          </w:p>
        </w:tc>
        <w:tc>
          <w:tcPr>
            <w:tcW w:w="920" w:type="dxa"/>
            <w:vAlign w:val="bottom"/>
          </w:tcPr>
          <w:p>
            <w:pPr>
              <w:jc w:val="right"/>
              <w:ind w:right="98"/>
              <w:spacing w:after="0" w:line="185" w:lineRule="exact"/>
              <w:rPr>
                <w:sz w:val="20"/>
                <w:szCs w:val="20"/>
                <w:color w:val="auto"/>
              </w:rPr>
            </w:pPr>
            <w:r>
              <w:rPr>
                <w:rFonts w:ascii="Arial" w:cs="Arial" w:eastAsia="Arial" w:hAnsi="Arial"/>
                <w:sz w:val="17"/>
                <w:szCs w:val="17"/>
                <w:color w:val="373535"/>
              </w:rPr>
              <w:t>103.3</w:t>
            </w:r>
          </w:p>
        </w:tc>
        <w:tc>
          <w:tcPr>
            <w:tcW w:w="360" w:type="dxa"/>
            <w:vAlign w:val="bottom"/>
          </w:tcPr>
          <w:p>
            <w:pPr>
              <w:spacing w:after="0"/>
              <w:rPr>
                <w:sz w:val="16"/>
                <w:szCs w:val="16"/>
                <w:color w:val="auto"/>
              </w:rPr>
            </w:pPr>
          </w:p>
        </w:tc>
        <w:tc>
          <w:tcPr>
            <w:tcW w:w="840" w:type="dxa"/>
            <w:vAlign w:val="bottom"/>
          </w:tcPr>
          <w:p>
            <w:pPr>
              <w:jc w:val="right"/>
              <w:ind w:right="18"/>
              <w:spacing w:after="0" w:line="185" w:lineRule="exact"/>
              <w:rPr>
                <w:sz w:val="20"/>
                <w:szCs w:val="20"/>
                <w:color w:val="auto"/>
              </w:rPr>
            </w:pPr>
            <w:r>
              <w:rPr>
                <w:rFonts w:ascii="Arial" w:cs="Arial" w:eastAsia="Arial" w:hAnsi="Arial"/>
                <w:sz w:val="17"/>
                <w:szCs w:val="17"/>
                <w:color w:val="373535"/>
              </w:rPr>
              <w:t>270.7</w:t>
            </w:r>
          </w:p>
        </w:tc>
        <w:tc>
          <w:tcPr>
            <w:tcW w:w="500" w:type="dxa"/>
            <w:vAlign w:val="bottom"/>
          </w:tcPr>
          <w:p>
            <w:pPr>
              <w:spacing w:after="0"/>
              <w:rPr>
                <w:sz w:val="16"/>
                <w:szCs w:val="16"/>
                <w:color w:val="auto"/>
              </w:rPr>
            </w:pPr>
          </w:p>
        </w:tc>
        <w:tc>
          <w:tcPr>
            <w:tcW w:w="800" w:type="dxa"/>
            <w:vAlign w:val="bottom"/>
          </w:tcPr>
          <w:p>
            <w:pPr>
              <w:jc w:val="right"/>
              <w:ind w:right="56"/>
              <w:spacing w:after="0" w:line="185" w:lineRule="exact"/>
              <w:rPr>
                <w:sz w:val="20"/>
                <w:szCs w:val="20"/>
                <w:color w:val="auto"/>
              </w:rPr>
            </w:pPr>
            <w:r>
              <w:rPr>
                <w:rFonts w:ascii="Arial" w:cs="Arial" w:eastAsia="Arial" w:hAnsi="Arial"/>
                <w:sz w:val="17"/>
                <w:szCs w:val="17"/>
                <w:color w:val="373535"/>
              </w:rPr>
              <w:t>73.2</w:t>
            </w:r>
          </w:p>
        </w:tc>
        <w:tc>
          <w:tcPr>
            <w:tcW w:w="220" w:type="dxa"/>
            <w:vAlign w:val="bottom"/>
          </w:tcPr>
          <w:p>
            <w:pPr>
              <w:spacing w:after="0"/>
              <w:rPr>
                <w:sz w:val="16"/>
                <w:szCs w:val="16"/>
                <w:color w:val="auto"/>
              </w:rPr>
            </w:pPr>
          </w:p>
        </w:tc>
        <w:tc>
          <w:tcPr>
            <w:tcW w:w="980" w:type="dxa"/>
            <w:vAlign w:val="bottom"/>
          </w:tcPr>
          <w:p>
            <w:pPr>
              <w:jc w:val="right"/>
              <w:ind w:right="38"/>
              <w:spacing w:after="0" w:line="185" w:lineRule="exact"/>
              <w:rPr>
                <w:sz w:val="20"/>
                <w:szCs w:val="20"/>
                <w:color w:val="auto"/>
              </w:rPr>
            </w:pPr>
            <w:r>
              <w:rPr>
                <w:rFonts w:ascii="Arial" w:cs="Arial" w:eastAsia="Arial" w:hAnsi="Arial"/>
                <w:sz w:val="17"/>
                <w:szCs w:val="17"/>
                <w:color w:val="373535"/>
              </w:rPr>
              <w:t>62.1</w:t>
            </w:r>
          </w:p>
        </w:tc>
        <w:tc>
          <w:tcPr>
            <w:tcW w:w="340" w:type="dxa"/>
            <w:vAlign w:val="bottom"/>
          </w:tcPr>
          <w:p>
            <w:pPr>
              <w:spacing w:after="0"/>
              <w:rPr>
                <w:sz w:val="16"/>
                <w:szCs w:val="16"/>
                <w:color w:val="auto"/>
              </w:rPr>
            </w:pPr>
          </w:p>
        </w:tc>
        <w:tc>
          <w:tcPr>
            <w:tcW w:w="940" w:type="dxa"/>
            <w:vAlign w:val="bottom"/>
          </w:tcPr>
          <w:p>
            <w:pPr>
              <w:jc w:val="right"/>
              <w:ind w:right="96"/>
              <w:spacing w:after="0" w:line="185" w:lineRule="exact"/>
              <w:rPr>
                <w:sz w:val="20"/>
                <w:szCs w:val="20"/>
                <w:color w:val="auto"/>
              </w:rPr>
            </w:pPr>
            <w:r>
              <w:rPr>
                <w:rFonts w:ascii="Arial" w:cs="Arial" w:eastAsia="Arial" w:hAnsi="Arial"/>
                <w:sz w:val="17"/>
                <w:szCs w:val="17"/>
                <w:color w:val="373535"/>
              </w:rPr>
              <w:t>64.9</w:t>
            </w:r>
          </w:p>
        </w:tc>
        <w:tc>
          <w:tcPr>
            <w:tcW w:w="260" w:type="dxa"/>
            <w:vAlign w:val="bottom"/>
          </w:tcPr>
          <w:p>
            <w:pPr>
              <w:spacing w:after="0"/>
              <w:rPr>
                <w:sz w:val="16"/>
                <w:szCs w:val="16"/>
                <w:color w:val="auto"/>
              </w:rPr>
            </w:pPr>
          </w:p>
        </w:tc>
        <w:tc>
          <w:tcPr>
            <w:tcW w:w="680" w:type="dxa"/>
            <w:vAlign w:val="bottom"/>
          </w:tcPr>
          <w:p>
            <w:pPr>
              <w:jc w:val="right"/>
              <w:spacing w:after="0" w:line="185" w:lineRule="exact"/>
              <w:rPr>
                <w:sz w:val="20"/>
                <w:szCs w:val="20"/>
                <w:color w:val="auto"/>
              </w:rPr>
            </w:pPr>
            <w:r>
              <w:rPr>
                <w:rFonts w:ascii="Arial" w:cs="Arial" w:eastAsia="Arial" w:hAnsi="Arial"/>
                <w:sz w:val="17"/>
                <w:szCs w:val="17"/>
                <w:color w:val="373535"/>
              </w:rPr>
              <w:t>1,041.3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520" w:type="dxa"/>
            <w:vAlign w:val="bottom"/>
          </w:tcPr>
          <w:p>
            <w:pPr>
              <w:ind w:left="140"/>
              <w:spacing w:after="0" w:line="194" w:lineRule="exact"/>
              <w:rPr>
                <w:sz w:val="20"/>
                <w:szCs w:val="20"/>
                <w:color w:val="auto"/>
              </w:rPr>
            </w:pPr>
            <w:r>
              <w:rPr>
                <w:rFonts w:ascii="Arial" w:cs="Arial" w:eastAsia="Arial" w:hAnsi="Arial"/>
                <w:sz w:val="17"/>
                <w:szCs w:val="17"/>
                <w:color w:val="373535"/>
              </w:rPr>
              <w:t>Goodwill acquired</w:t>
            </w:r>
          </w:p>
        </w:tc>
        <w:tc>
          <w:tcPr>
            <w:tcW w:w="600" w:type="dxa"/>
            <w:vAlign w:val="bottom"/>
          </w:tcPr>
          <w:p>
            <w:pPr>
              <w:spacing w:after="0"/>
              <w:rPr>
                <w:sz w:val="16"/>
                <w:szCs w:val="16"/>
                <w:color w:val="auto"/>
              </w:rPr>
            </w:pPr>
          </w:p>
        </w:tc>
        <w:tc>
          <w:tcPr>
            <w:tcW w:w="94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w:t>
            </w:r>
          </w:p>
        </w:tc>
        <w:tc>
          <w:tcPr>
            <w:tcW w:w="340" w:type="dxa"/>
            <w:vAlign w:val="bottom"/>
          </w:tcPr>
          <w:p>
            <w:pPr>
              <w:spacing w:after="0"/>
              <w:rPr>
                <w:sz w:val="16"/>
                <w:szCs w:val="16"/>
                <w:color w:val="auto"/>
              </w:rPr>
            </w:pPr>
          </w:p>
        </w:tc>
        <w:tc>
          <w:tcPr>
            <w:tcW w:w="920" w:type="dxa"/>
            <w:vAlign w:val="bottom"/>
          </w:tcPr>
          <w:p>
            <w:pPr>
              <w:jc w:val="right"/>
              <w:ind w:right="98"/>
              <w:spacing w:after="0" w:line="194" w:lineRule="exact"/>
              <w:rPr>
                <w:sz w:val="20"/>
                <w:szCs w:val="20"/>
                <w:color w:val="auto"/>
              </w:rPr>
            </w:pPr>
            <w:r>
              <w:rPr>
                <w:rFonts w:ascii="Arial" w:cs="Arial" w:eastAsia="Arial" w:hAnsi="Arial"/>
                <w:sz w:val="17"/>
                <w:szCs w:val="17"/>
                <w:color w:val="373535"/>
              </w:rPr>
              <w:t>—</w:t>
            </w:r>
          </w:p>
        </w:tc>
        <w:tc>
          <w:tcPr>
            <w:tcW w:w="360" w:type="dxa"/>
            <w:vAlign w:val="bottom"/>
          </w:tcPr>
          <w:p>
            <w:pPr>
              <w:spacing w:after="0"/>
              <w:rPr>
                <w:sz w:val="16"/>
                <w:szCs w:val="16"/>
                <w:color w:val="auto"/>
              </w:rPr>
            </w:pPr>
          </w:p>
        </w:tc>
        <w:tc>
          <w:tcPr>
            <w:tcW w:w="840" w:type="dxa"/>
            <w:vAlign w:val="bottom"/>
          </w:tcPr>
          <w:p>
            <w:pPr>
              <w:jc w:val="right"/>
              <w:ind w:right="18"/>
              <w:spacing w:after="0" w:line="194" w:lineRule="exact"/>
              <w:rPr>
                <w:sz w:val="20"/>
                <w:szCs w:val="20"/>
                <w:color w:val="auto"/>
              </w:rPr>
            </w:pPr>
            <w:r>
              <w:rPr>
                <w:rFonts w:ascii="Arial" w:cs="Arial" w:eastAsia="Arial" w:hAnsi="Arial"/>
                <w:sz w:val="17"/>
                <w:szCs w:val="17"/>
                <w:color w:val="373535"/>
              </w:rPr>
              <w:t>43.2</w:t>
            </w:r>
          </w:p>
        </w:tc>
        <w:tc>
          <w:tcPr>
            <w:tcW w:w="500" w:type="dxa"/>
            <w:vAlign w:val="bottom"/>
          </w:tcPr>
          <w:p>
            <w:pPr>
              <w:spacing w:after="0"/>
              <w:rPr>
                <w:sz w:val="16"/>
                <w:szCs w:val="16"/>
                <w:color w:val="auto"/>
              </w:rPr>
            </w:pPr>
          </w:p>
        </w:tc>
        <w:tc>
          <w:tcPr>
            <w:tcW w:w="80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9.0</w:t>
            </w:r>
          </w:p>
        </w:tc>
        <w:tc>
          <w:tcPr>
            <w:tcW w:w="220" w:type="dxa"/>
            <w:vAlign w:val="bottom"/>
          </w:tcPr>
          <w:p>
            <w:pPr>
              <w:spacing w:after="0"/>
              <w:rPr>
                <w:sz w:val="16"/>
                <w:szCs w:val="16"/>
                <w:color w:val="auto"/>
              </w:rPr>
            </w:pPr>
          </w:p>
        </w:tc>
        <w:tc>
          <w:tcPr>
            <w:tcW w:w="980" w:type="dxa"/>
            <w:vAlign w:val="bottom"/>
          </w:tcPr>
          <w:p>
            <w:pPr>
              <w:jc w:val="right"/>
              <w:ind w:right="38"/>
              <w:spacing w:after="0" w:line="194" w:lineRule="exact"/>
              <w:rPr>
                <w:sz w:val="20"/>
                <w:szCs w:val="20"/>
                <w:color w:val="auto"/>
              </w:rPr>
            </w:pPr>
            <w:r>
              <w:rPr>
                <w:rFonts w:ascii="Arial" w:cs="Arial" w:eastAsia="Arial" w:hAnsi="Arial"/>
                <w:sz w:val="17"/>
                <w:szCs w:val="17"/>
                <w:color w:val="373535"/>
              </w:rPr>
              <w:t>—</w:t>
            </w:r>
          </w:p>
        </w:tc>
        <w:tc>
          <w:tcPr>
            <w:tcW w:w="340" w:type="dxa"/>
            <w:vAlign w:val="bottom"/>
          </w:tcPr>
          <w:p>
            <w:pPr>
              <w:spacing w:after="0"/>
              <w:rPr>
                <w:sz w:val="16"/>
                <w:szCs w:val="16"/>
                <w:color w:val="auto"/>
              </w:rPr>
            </w:pPr>
          </w:p>
        </w:tc>
        <w:tc>
          <w:tcPr>
            <w:tcW w:w="94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w:t>
            </w:r>
          </w:p>
        </w:tc>
        <w:tc>
          <w:tcPr>
            <w:tcW w:w="26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373535"/>
              </w:rPr>
              <w:t>52.2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20" w:type="dxa"/>
            <w:vAlign w:val="bottom"/>
          </w:tcPr>
          <w:p>
            <w:pPr>
              <w:ind w:left="140"/>
              <w:spacing w:after="0"/>
              <w:rPr>
                <w:sz w:val="20"/>
                <w:szCs w:val="20"/>
                <w:color w:val="auto"/>
              </w:rPr>
            </w:pPr>
            <w:r>
              <w:rPr>
                <w:rFonts w:ascii="Arial" w:cs="Arial" w:eastAsia="Arial" w:hAnsi="Arial"/>
                <w:sz w:val="17"/>
                <w:szCs w:val="17"/>
                <w:color w:val="373535"/>
              </w:rPr>
              <w:t>Currency impact and other</w:t>
            </w:r>
          </w:p>
        </w:tc>
        <w:tc>
          <w:tcPr>
            <w:tcW w:w="600" w:type="dxa"/>
            <w:vAlign w:val="bottom"/>
          </w:tcPr>
          <w:p>
            <w:pPr>
              <w:spacing w:after="0"/>
              <w:rPr>
                <w:sz w:val="18"/>
                <w:szCs w:val="18"/>
                <w:color w:val="auto"/>
              </w:rPr>
            </w:pPr>
          </w:p>
        </w:tc>
        <w:tc>
          <w:tcPr>
            <w:tcW w:w="940" w:type="dxa"/>
            <w:vAlign w:val="bottom"/>
          </w:tcPr>
          <w:p>
            <w:pPr>
              <w:jc w:val="right"/>
              <w:ind w:right="36"/>
              <w:spacing w:after="0"/>
              <w:rPr>
                <w:sz w:val="20"/>
                <w:szCs w:val="20"/>
                <w:color w:val="auto"/>
              </w:rPr>
            </w:pPr>
            <w:r>
              <w:rPr>
                <w:rFonts w:ascii="Arial" w:cs="Arial" w:eastAsia="Arial" w:hAnsi="Arial"/>
                <w:sz w:val="17"/>
                <w:szCs w:val="17"/>
                <w:color w:val="373535"/>
              </w:rPr>
              <w:t>(1.2)</w:t>
            </w:r>
          </w:p>
        </w:tc>
        <w:tc>
          <w:tcPr>
            <w:tcW w:w="340" w:type="dxa"/>
            <w:vAlign w:val="bottom"/>
          </w:tcPr>
          <w:p>
            <w:pPr>
              <w:spacing w:after="0"/>
              <w:rPr>
                <w:sz w:val="18"/>
                <w:szCs w:val="18"/>
                <w:color w:val="auto"/>
              </w:rPr>
            </w:pPr>
          </w:p>
        </w:tc>
        <w:tc>
          <w:tcPr>
            <w:tcW w:w="920" w:type="dxa"/>
            <w:vAlign w:val="bottom"/>
          </w:tcPr>
          <w:p>
            <w:pPr>
              <w:jc w:val="right"/>
              <w:ind w:right="98"/>
              <w:spacing w:after="0"/>
              <w:rPr>
                <w:sz w:val="20"/>
                <w:szCs w:val="20"/>
                <w:color w:val="auto"/>
              </w:rPr>
            </w:pPr>
            <w:r>
              <w:rPr>
                <w:rFonts w:ascii="Arial" w:cs="Arial" w:eastAsia="Arial" w:hAnsi="Arial"/>
                <w:sz w:val="17"/>
                <w:szCs w:val="17"/>
                <w:color w:val="373535"/>
              </w:rPr>
              <w:t>4.5</w:t>
            </w:r>
          </w:p>
        </w:tc>
        <w:tc>
          <w:tcPr>
            <w:tcW w:w="360" w:type="dxa"/>
            <w:vAlign w:val="bottom"/>
          </w:tcPr>
          <w:p>
            <w:pPr>
              <w:spacing w:after="0"/>
              <w:rPr>
                <w:sz w:val="18"/>
                <w:szCs w:val="18"/>
                <w:color w:val="auto"/>
              </w:rPr>
            </w:pPr>
          </w:p>
        </w:tc>
        <w:tc>
          <w:tcPr>
            <w:tcW w:w="840" w:type="dxa"/>
            <w:vAlign w:val="bottom"/>
          </w:tcPr>
          <w:p>
            <w:pPr>
              <w:jc w:val="right"/>
              <w:ind w:right="18"/>
              <w:spacing w:after="0"/>
              <w:rPr>
                <w:sz w:val="20"/>
                <w:szCs w:val="20"/>
                <w:color w:val="auto"/>
              </w:rPr>
            </w:pPr>
            <w:r>
              <w:rPr>
                <w:rFonts w:ascii="Arial" w:cs="Arial" w:eastAsia="Arial" w:hAnsi="Arial"/>
                <w:sz w:val="17"/>
                <w:szCs w:val="17"/>
                <w:color w:val="373535"/>
              </w:rPr>
              <w:t>4.3</w:t>
            </w:r>
          </w:p>
        </w:tc>
        <w:tc>
          <w:tcPr>
            <w:tcW w:w="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373535"/>
              </w:rPr>
              <w:t>(10.2)</w:t>
            </w:r>
          </w:p>
        </w:tc>
        <w:tc>
          <w:tcPr>
            <w:tcW w:w="220" w:type="dxa"/>
            <w:vAlign w:val="bottom"/>
          </w:tcPr>
          <w:p>
            <w:pPr>
              <w:spacing w:after="0"/>
              <w:rPr>
                <w:sz w:val="18"/>
                <w:szCs w:val="18"/>
                <w:color w:val="auto"/>
              </w:rPr>
            </w:pPr>
          </w:p>
        </w:tc>
        <w:tc>
          <w:tcPr>
            <w:tcW w:w="980" w:type="dxa"/>
            <w:vAlign w:val="bottom"/>
          </w:tcPr>
          <w:p>
            <w:pPr>
              <w:jc w:val="right"/>
              <w:ind w:right="38"/>
              <w:spacing w:after="0"/>
              <w:rPr>
                <w:sz w:val="20"/>
                <w:szCs w:val="20"/>
                <w:color w:val="auto"/>
              </w:rPr>
            </w:pPr>
            <w:r>
              <w:rPr>
                <w:rFonts w:ascii="Arial" w:cs="Arial" w:eastAsia="Arial" w:hAnsi="Arial"/>
                <w:sz w:val="17"/>
                <w:szCs w:val="17"/>
                <w:color w:val="373535"/>
              </w:rPr>
              <w:t>—</w:t>
            </w:r>
          </w:p>
        </w:tc>
        <w:tc>
          <w:tcPr>
            <w:tcW w:w="340" w:type="dxa"/>
            <w:vAlign w:val="bottom"/>
          </w:tcPr>
          <w:p>
            <w:pPr>
              <w:spacing w:after="0"/>
              <w:rPr>
                <w:sz w:val="18"/>
                <w:szCs w:val="18"/>
                <w:color w:val="auto"/>
              </w:rPr>
            </w:pPr>
          </w:p>
        </w:tc>
        <w:tc>
          <w:tcPr>
            <w:tcW w:w="940" w:type="dxa"/>
            <w:vAlign w:val="bottom"/>
          </w:tcPr>
          <w:p>
            <w:pPr>
              <w:jc w:val="right"/>
              <w:ind w:right="96"/>
              <w:spacing w:after="0"/>
              <w:rPr>
                <w:sz w:val="20"/>
                <w:szCs w:val="20"/>
                <w:color w:val="auto"/>
              </w:rPr>
            </w:pPr>
            <w:r>
              <w:rPr>
                <w:rFonts w:ascii="Arial" w:cs="Arial" w:eastAsia="Arial" w:hAnsi="Arial"/>
                <w:sz w:val="17"/>
                <w:szCs w:val="17"/>
                <w:color w:val="373535"/>
              </w:rPr>
              <w:t>—</w:t>
            </w:r>
          </w:p>
        </w:tc>
        <w:tc>
          <w:tcPr>
            <w:tcW w:w="2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7"/>
                <w:szCs w:val="17"/>
                <w:color w:val="373535"/>
              </w:rPr>
              <w:t>(2.6)</w:t>
            </w:r>
          </w:p>
        </w:tc>
        <w:tc>
          <w:tcPr>
            <w:tcW w:w="0" w:type="dxa"/>
            <w:vAlign w:val="bottom"/>
          </w:tcPr>
          <w:p>
            <w:pPr>
              <w:spacing w:after="0"/>
              <w:rPr>
                <w:sz w:val="1"/>
                <w:szCs w:val="1"/>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2520" w:type="dxa"/>
            <w:vAlign w:val="bottom"/>
            <w:tcBorders>
              <w:top w:val="single" w:sz="8" w:color="717073"/>
              <w:bottom w:val="single" w:sz="8" w:color="717073"/>
            </w:tcBorders>
          </w:tcPr>
          <w:p>
            <w:pPr>
              <w:spacing w:after="0" w:line="186" w:lineRule="exact"/>
              <w:rPr>
                <w:sz w:val="20"/>
                <w:szCs w:val="20"/>
                <w:color w:val="auto"/>
              </w:rPr>
            </w:pPr>
            <w:r>
              <w:rPr>
                <w:rFonts w:ascii="Arial" w:cs="Arial" w:eastAsia="Arial" w:hAnsi="Arial"/>
                <w:sz w:val="17"/>
                <w:szCs w:val="17"/>
                <w:color w:val="373535"/>
              </w:rPr>
              <w:t>Balance, December 31, 2013</w:t>
            </w:r>
          </w:p>
        </w:tc>
        <w:tc>
          <w:tcPr>
            <w:tcW w:w="600" w:type="dxa"/>
            <w:vAlign w:val="bottom"/>
            <w:tcBorders>
              <w:top w:val="single" w:sz="8" w:color="717073"/>
              <w:bottom w:val="single" w:sz="8" w:color="717073"/>
            </w:tcBorders>
          </w:tcPr>
          <w:p>
            <w:pPr>
              <w:jc w:val="right"/>
              <w:ind w:right="94"/>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17073"/>
              <w:bottom w:val="single" w:sz="8" w:color="717073"/>
            </w:tcBorders>
          </w:tcPr>
          <w:p>
            <w:pPr>
              <w:jc w:val="right"/>
              <w:ind w:right="96"/>
              <w:spacing w:after="0" w:line="186" w:lineRule="exact"/>
              <w:rPr>
                <w:sz w:val="20"/>
                <w:szCs w:val="20"/>
                <w:color w:val="auto"/>
              </w:rPr>
            </w:pPr>
            <w:r>
              <w:rPr>
                <w:rFonts w:ascii="Arial" w:cs="Arial" w:eastAsia="Arial" w:hAnsi="Arial"/>
                <w:sz w:val="17"/>
                <w:szCs w:val="17"/>
                <w:color w:val="373535"/>
              </w:rPr>
              <w:t>465.9</w:t>
            </w:r>
          </w:p>
        </w:tc>
        <w:tc>
          <w:tcPr>
            <w:tcW w:w="340" w:type="dxa"/>
            <w:vAlign w:val="bottom"/>
            <w:tcBorders>
              <w:top w:val="single" w:sz="8" w:color="717073"/>
              <w:bottom w:val="single" w:sz="8" w:color="717073"/>
            </w:tcBorders>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920" w:type="dxa"/>
            <w:vAlign w:val="bottom"/>
            <w:tcBorders>
              <w:top w:val="single" w:sz="8" w:color="717073"/>
              <w:bottom w:val="single" w:sz="8" w:color="717073"/>
            </w:tcBorders>
          </w:tcPr>
          <w:p>
            <w:pPr>
              <w:jc w:val="right"/>
              <w:ind w:right="98"/>
              <w:spacing w:after="0" w:line="186" w:lineRule="exact"/>
              <w:rPr>
                <w:sz w:val="20"/>
                <w:szCs w:val="20"/>
                <w:color w:val="auto"/>
              </w:rPr>
            </w:pPr>
            <w:r>
              <w:rPr>
                <w:rFonts w:ascii="Arial" w:cs="Arial" w:eastAsia="Arial" w:hAnsi="Arial"/>
                <w:sz w:val="17"/>
                <w:szCs w:val="17"/>
                <w:color w:val="373535"/>
              </w:rPr>
              <w:t>107.8</w:t>
            </w:r>
          </w:p>
        </w:tc>
        <w:tc>
          <w:tcPr>
            <w:tcW w:w="360" w:type="dxa"/>
            <w:vAlign w:val="bottom"/>
            <w:tcBorders>
              <w:top w:val="single" w:sz="8" w:color="717073"/>
              <w:bottom w:val="single" w:sz="8" w:color="717073"/>
            </w:tcBorders>
          </w:tcPr>
          <w:p>
            <w:pPr>
              <w:jc w:val="right"/>
              <w:ind w:right="114"/>
              <w:spacing w:after="0" w:line="186"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17073"/>
              <w:bottom w:val="single" w:sz="8" w:color="717073"/>
            </w:tcBorders>
          </w:tcPr>
          <w:p>
            <w:pPr>
              <w:jc w:val="right"/>
              <w:ind w:right="18"/>
              <w:spacing w:after="0" w:line="186" w:lineRule="exact"/>
              <w:rPr>
                <w:sz w:val="20"/>
                <w:szCs w:val="20"/>
                <w:color w:val="auto"/>
              </w:rPr>
            </w:pPr>
            <w:r>
              <w:rPr>
                <w:rFonts w:ascii="Arial" w:cs="Arial" w:eastAsia="Arial" w:hAnsi="Arial"/>
                <w:sz w:val="17"/>
                <w:szCs w:val="17"/>
                <w:color w:val="373535"/>
              </w:rPr>
              <w:t>318.2</w:t>
            </w:r>
          </w:p>
        </w:tc>
        <w:tc>
          <w:tcPr>
            <w:tcW w:w="500" w:type="dxa"/>
            <w:vAlign w:val="bottom"/>
            <w:tcBorders>
              <w:top w:val="single" w:sz="8" w:color="717073"/>
              <w:bottom w:val="single" w:sz="8" w:color="717073"/>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17073"/>
              <w:bottom w:val="single" w:sz="8" w:color="717073"/>
            </w:tcBorders>
          </w:tcPr>
          <w:p>
            <w:pPr>
              <w:jc w:val="right"/>
              <w:ind w:right="56"/>
              <w:spacing w:after="0" w:line="186" w:lineRule="exact"/>
              <w:rPr>
                <w:sz w:val="20"/>
                <w:szCs w:val="20"/>
                <w:color w:val="auto"/>
              </w:rPr>
            </w:pPr>
            <w:r>
              <w:rPr>
                <w:rFonts w:ascii="Arial" w:cs="Arial" w:eastAsia="Arial" w:hAnsi="Arial"/>
                <w:sz w:val="17"/>
                <w:szCs w:val="17"/>
                <w:color w:val="373535"/>
              </w:rPr>
              <w:t>72.0</w:t>
            </w:r>
          </w:p>
        </w:tc>
        <w:tc>
          <w:tcPr>
            <w:tcW w:w="22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80" w:type="dxa"/>
            <w:vAlign w:val="bottom"/>
            <w:tcBorders>
              <w:top w:val="single" w:sz="8" w:color="717073"/>
              <w:bottom w:val="single" w:sz="8" w:color="717073"/>
            </w:tcBorders>
          </w:tcPr>
          <w:p>
            <w:pPr>
              <w:jc w:val="right"/>
              <w:ind w:right="38"/>
              <w:spacing w:after="0" w:line="186" w:lineRule="exact"/>
              <w:rPr>
                <w:sz w:val="20"/>
                <w:szCs w:val="20"/>
                <w:color w:val="auto"/>
              </w:rPr>
            </w:pPr>
            <w:r>
              <w:rPr>
                <w:rFonts w:ascii="Arial" w:cs="Arial" w:eastAsia="Arial" w:hAnsi="Arial"/>
                <w:sz w:val="17"/>
                <w:szCs w:val="17"/>
                <w:color w:val="373535"/>
              </w:rPr>
              <w:t>62.1</w:t>
            </w:r>
          </w:p>
        </w:tc>
        <w:tc>
          <w:tcPr>
            <w:tcW w:w="340" w:type="dxa"/>
            <w:vAlign w:val="bottom"/>
            <w:tcBorders>
              <w:top w:val="single" w:sz="8" w:color="717073"/>
              <w:bottom w:val="single" w:sz="8" w:color="717073"/>
            </w:tcBorders>
          </w:tcPr>
          <w:p>
            <w:pPr>
              <w:jc w:val="right"/>
              <w:ind w:right="54"/>
              <w:spacing w:after="0" w:line="186" w:lineRule="exact"/>
              <w:rPr>
                <w:sz w:val="20"/>
                <w:szCs w:val="20"/>
                <w:color w:val="auto"/>
              </w:rPr>
            </w:pPr>
            <w:r>
              <w:rPr>
                <w:rFonts w:ascii="Arial" w:cs="Arial" w:eastAsia="Arial" w:hAnsi="Arial"/>
                <w:sz w:val="17"/>
                <w:szCs w:val="17"/>
                <w:color w:val="373535"/>
              </w:rPr>
              <w:t>$</w:t>
            </w:r>
          </w:p>
        </w:tc>
        <w:tc>
          <w:tcPr>
            <w:tcW w:w="940" w:type="dxa"/>
            <w:vAlign w:val="bottom"/>
            <w:tcBorders>
              <w:top w:val="single" w:sz="8" w:color="717073"/>
              <w:bottom w:val="single" w:sz="8" w:color="717073"/>
            </w:tcBorders>
          </w:tcPr>
          <w:p>
            <w:pPr>
              <w:jc w:val="right"/>
              <w:ind w:right="96"/>
              <w:spacing w:after="0" w:line="186" w:lineRule="exact"/>
              <w:rPr>
                <w:sz w:val="20"/>
                <w:szCs w:val="20"/>
                <w:color w:val="auto"/>
              </w:rPr>
            </w:pPr>
            <w:r>
              <w:rPr>
                <w:rFonts w:ascii="Arial" w:cs="Arial" w:eastAsia="Arial" w:hAnsi="Arial"/>
                <w:sz w:val="17"/>
                <w:szCs w:val="17"/>
                <w:color w:val="373535"/>
              </w:rPr>
              <w:t>64.9</w:t>
            </w:r>
          </w:p>
        </w:tc>
        <w:tc>
          <w:tcPr>
            <w:tcW w:w="260" w:type="dxa"/>
            <w:vAlign w:val="bottom"/>
            <w:tcBorders>
              <w:top w:val="single" w:sz="8" w:color="717073"/>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top w:val="single" w:sz="8" w:color="717073"/>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1,090.9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60" w:hanging="357"/>
        <w:spacing w:after="0" w:line="250" w:lineRule="auto"/>
        <w:tabs>
          <w:tab w:leader="none" w:pos="360" w:val="left"/>
        </w:tabs>
        <w:numPr>
          <w:ilvl w:val="0"/>
          <w:numId w:val="107"/>
        </w:numPr>
        <w:rPr>
          <w:rFonts w:ascii="Arial" w:cs="Arial" w:eastAsia="Arial" w:hAnsi="Arial"/>
          <w:sz w:val="17"/>
          <w:szCs w:val="17"/>
          <w:color w:val="373535"/>
        </w:rPr>
      </w:pPr>
      <w:r>
        <w:rPr>
          <w:rFonts w:ascii="Arial" w:cs="Arial" w:eastAsia="Arial" w:hAnsi="Arial"/>
          <w:sz w:val="17"/>
          <w:szCs w:val="17"/>
          <w:color w:val="373535"/>
        </w:rPr>
        <w:t>Balances related to United States were $448.3, $448.5 and $448.5 as of January 1, 2012, December 31, 2012 and December 31, 2013, respectively.</w:t>
      </w:r>
    </w:p>
    <w:p>
      <w:pPr>
        <w:spacing w:after="0" w:line="173" w:lineRule="exact"/>
        <w:rPr>
          <w:rFonts w:ascii="Arial" w:cs="Arial" w:eastAsia="Arial" w:hAnsi="Arial"/>
          <w:sz w:val="17"/>
          <w:szCs w:val="17"/>
          <w:color w:val="373535"/>
        </w:rPr>
      </w:pPr>
    </w:p>
    <w:p>
      <w:pPr>
        <w:ind w:left="360" w:hanging="357"/>
        <w:spacing w:after="0" w:line="250" w:lineRule="auto"/>
        <w:tabs>
          <w:tab w:leader="none" w:pos="360" w:val="left"/>
        </w:tabs>
        <w:numPr>
          <w:ilvl w:val="0"/>
          <w:numId w:val="107"/>
        </w:numPr>
        <w:rPr>
          <w:rFonts w:ascii="Arial" w:cs="Arial" w:eastAsia="Arial" w:hAnsi="Arial"/>
          <w:sz w:val="17"/>
          <w:szCs w:val="17"/>
          <w:color w:val="373535"/>
        </w:rPr>
      </w:pPr>
      <w:r>
        <w:rPr>
          <w:rFonts w:ascii="Arial" w:cs="Arial" w:eastAsia="Arial" w:hAnsi="Arial"/>
          <w:sz w:val="17"/>
          <w:szCs w:val="17"/>
          <w:color w:val="373535"/>
        </w:rPr>
        <w:t>Balances related to France were $42.1, $83.8 and $87.3 as of January 1, 2012, December 31, 2012 and December 31, 2013, respectively. Balances related to Italy were $5.4, $5.5 and $5.7 as of January 1, 2012, December 31, 2012 and December 31, 2013, respectively.</w:t>
      </w:r>
    </w:p>
    <w:p>
      <w:pPr>
        <w:spacing w:after="0" w:line="173" w:lineRule="exact"/>
        <w:rPr>
          <w:rFonts w:ascii="Arial" w:cs="Arial" w:eastAsia="Arial" w:hAnsi="Arial"/>
          <w:sz w:val="17"/>
          <w:szCs w:val="17"/>
          <w:color w:val="373535"/>
        </w:rPr>
      </w:pPr>
    </w:p>
    <w:p>
      <w:pPr>
        <w:jc w:val="both"/>
        <w:ind w:left="360" w:hanging="357"/>
        <w:spacing w:after="0" w:line="241" w:lineRule="auto"/>
        <w:tabs>
          <w:tab w:leader="none" w:pos="360" w:val="left"/>
        </w:tabs>
        <w:numPr>
          <w:ilvl w:val="0"/>
          <w:numId w:val="107"/>
        </w:numPr>
        <w:rPr>
          <w:rFonts w:ascii="Arial" w:cs="Arial" w:eastAsia="Arial" w:hAnsi="Arial"/>
          <w:sz w:val="17"/>
          <w:szCs w:val="17"/>
          <w:color w:val="373535"/>
        </w:rPr>
      </w:pPr>
      <w:r>
        <w:rPr>
          <w:rFonts w:ascii="Arial" w:cs="Arial" w:eastAsia="Arial" w:hAnsi="Arial"/>
          <w:sz w:val="17"/>
          <w:szCs w:val="17"/>
          <w:color w:val="373535"/>
        </w:rPr>
        <w:t>The majority of the Corporate balance as of December 31, 2013 relates to goodwill attributable to our acquisition of Jefferson Wells ($55.5) which is part of the United States reporting unit. For purposes of monitoring our total assets by segment, we do not allocate the Corporate balance to the respective reportable segments. We do, however, include these balances within the appropriate reporting units for our goodwill impairment testing. See the table below for the breakout of goodwill balances by reporting unit.</w:t>
      </w:r>
    </w:p>
    <w:p>
      <w:pPr>
        <w:spacing w:after="0" w:line="182" w:lineRule="exact"/>
        <w:rPr>
          <w:rFonts w:ascii="Arial" w:cs="Arial" w:eastAsia="Arial" w:hAnsi="Arial"/>
          <w:sz w:val="17"/>
          <w:szCs w:val="17"/>
          <w:color w:val="373535"/>
        </w:rPr>
      </w:pPr>
    </w:p>
    <w:p>
      <w:pPr>
        <w:ind w:left="360" w:hanging="357"/>
        <w:spacing w:after="0"/>
        <w:tabs>
          <w:tab w:leader="none" w:pos="360" w:val="left"/>
        </w:tabs>
        <w:numPr>
          <w:ilvl w:val="0"/>
          <w:numId w:val="107"/>
        </w:numPr>
        <w:rPr>
          <w:rFonts w:ascii="Arial" w:cs="Arial" w:eastAsia="Arial" w:hAnsi="Arial"/>
          <w:sz w:val="17"/>
          <w:szCs w:val="17"/>
          <w:color w:val="373535"/>
        </w:rPr>
      </w:pPr>
      <w:r>
        <w:rPr>
          <w:rFonts w:ascii="Arial" w:cs="Arial" w:eastAsia="Arial" w:hAnsi="Arial"/>
          <w:sz w:val="17"/>
          <w:szCs w:val="17"/>
          <w:color w:val="373535"/>
        </w:rPr>
        <w:t>Balances were net of accumulated impairment loss of $513.4 as of January 1, 2012, December 31, 2012 and December 31, 2013.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120" w:type="dxa"/>
            <w:vAlign w:val="bottom"/>
          </w:tcPr>
          <w:p>
            <w:pPr>
              <w:ind w:left="574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73535"/>
              </w:rPr>
              <w:t>69</w:t>
            </w:r>
          </w:p>
        </w:tc>
      </w:tr>
      <w:tr>
        <w:trPr>
          <w:trHeight w:val="418"/>
        </w:trPr>
        <w:tc>
          <w:tcPr>
            <w:tcW w:w="11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373535"/>
        </w:rPr>
        <w:t>Goodwill balances by reporting unit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1080" w:type="dxa"/>
            <w:vAlign w:val="bottom"/>
            <w:shd w:val="clear" w:color="auto" w:fill="76AD9A"/>
          </w:tcPr>
          <w:p>
            <w:pPr>
              <w:jc w:val="right"/>
              <w:ind w:right="77"/>
              <w:spacing w:after="0"/>
              <w:rPr>
                <w:sz w:val="20"/>
                <w:szCs w:val="20"/>
                <w:color w:val="auto"/>
              </w:rPr>
            </w:pPr>
            <w:r>
              <w:rPr>
                <w:rFonts w:ascii="Arial" w:cs="Arial" w:eastAsia="Arial" w:hAnsi="Arial"/>
                <w:sz w:val="14"/>
                <w:szCs w:val="14"/>
                <w:b w:val="1"/>
                <w:bCs w:val="1"/>
                <w:color w:val="FFFFFF"/>
              </w:rPr>
              <w:t>2013</w:t>
            </w:r>
          </w:p>
        </w:tc>
        <w:tc>
          <w:tcPr>
            <w:tcW w:w="460" w:type="dxa"/>
            <w:vAlign w:val="bottom"/>
            <w:tcBorders>
              <w:left w:val="single" w:sz="8" w:color="76AD9A"/>
            </w:tcBorders>
          </w:tcPr>
          <w:p>
            <w:pPr>
              <w:spacing w:after="0"/>
              <w:rPr>
                <w:sz w:val="16"/>
                <w:szCs w:val="16"/>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76AD9A"/>
              </w:rPr>
              <w:t>2012</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United States</w:t>
            </w:r>
          </w:p>
        </w:tc>
        <w:tc>
          <w:tcPr>
            <w:tcW w:w="24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80" w:type="dxa"/>
            <w:vAlign w:val="bottom"/>
            <w:tcBorders>
              <w:top w:val="single" w:sz="8" w:color="76AD9A"/>
            </w:tcBorders>
            <w:shd w:val="clear" w:color="auto" w:fill="EEF5F2"/>
          </w:tcPr>
          <w:p>
            <w:pPr>
              <w:jc w:val="right"/>
              <w:ind w:right="77"/>
              <w:spacing w:after="0" w:line="185" w:lineRule="exact"/>
              <w:rPr>
                <w:sz w:val="20"/>
                <w:szCs w:val="20"/>
                <w:color w:val="auto"/>
              </w:rPr>
            </w:pPr>
            <w:r>
              <w:rPr>
                <w:rFonts w:ascii="Arial" w:cs="Arial" w:eastAsia="Arial" w:hAnsi="Arial"/>
                <w:sz w:val="17"/>
                <w:szCs w:val="17"/>
                <w:color w:val="76AD9A"/>
              </w:rPr>
              <w:t>504.0</w:t>
            </w:r>
          </w:p>
        </w:tc>
        <w:tc>
          <w:tcPr>
            <w:tcW w:w="460" w:type="dxa"/>
            <w:vAlign w:val="bottom"/>
            <w:tcBorders>
              <w:top w:val="single" w:sz="8" w:color="76AD9A"/>
              <w:left w:val="single" w:sz="8" w:color="EEF5F2"/>
            </w:tcBorders>
          </w:tcPr>
          <w:p>
            <w:pPr>
              <w:jc w:val="right"/>
              <w:ind w:right="7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504.0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240" w:type="dxa"/>
            <w:vAlign w:val="bottom"/>
            <w:shd w:val="clear" w:color="auto" w:fill="EEF5F2"/>
          </w:tcPr>
          <w:p>
            <w:pPr>
              <w:spacing w:after="0"/>
              <w:rPr>
                <w:sz w:val="16"/>
                <w:szCs w:val="16"/>
                <w:color w:val="auto"/>
              </w:rPr>
            </w:pPr>
          </w:p>
        </w:tc>
        <w:tc>
          <w:tcPr>
            <w:tcW w:w="1080" w:type="dxa"/>
            <w:vAlign w:val="bottom"/>
            <w:shd w:val="clear" w:color="auto" w:fill="EEF5F2"/>
          </w:tcPr>
          <w:p>
            <w:pPr>
              <w:jc w:val="right"/>
              <w:ind w:right="77"/>
              <w:spacing w:after="0" w:line="194" w:lineRule="exact"/>
              <w:rPr>
                <w:sz w:val="20"/>
                <w:szCs w:val="20"/>
                <w:color w:val="auto"/>
              </w:rPr>
            </w:pPr>
            <w:r>
              <w:rPr>
                <w:rFonts w:ascii="Arial" w:cs="Arial" w:eastAsia="Arial" w:hAnsi="Arial"/>
                <w:sz w:val="17"/>
                <w:szCs w:val="17"/>
                <w:color w:val="76AD9A"/>
              </w:rPr>
              <w:t>87.3</w:t>
            </w:r>
          </w:p>
        </w:tc>
        <w:tc>
          <w:tcPr>
            <w:tcW w:w="460" w:type="dxa"/>
            <w:vAlign w:val="bottom"/>
            <w:tcBorders>
              <w:left w:val="single" w:sz="8" w:color="EEF5F2"/>
            </w:tcBorders>
          </w:tcPr>
          <w:p>
            <w:pPr>
              <w:spacing w:after="0"/>
              <w:rPr>
                <w:sz w:val="16"/>
                <w:szCs w:val="16"/>
                <w:color w:val="auto"/>
              </w:rPr>
            </w:pPr>
          </w:p>
        </w:tc>
        <w:tc>
          <w:tcPr>
            <w:tcW w:w="7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83.8</w:t>
            </w:r>
          </w:p>
        </w:tc>
        <w:tc>
          <w:tcPr>
            <w:tcW w:w="8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United Kingdom</w:t>
            </w:r>
          </w:p>
        </w:tc>
        <w:tc>
          <w:tcPr>
            <w:tcW w:w="240" w:type="dxa"/>
            <w:vAlign w:val="bottom"/>
            <w:shd w:val="clear" w:color="auto" w:fill="EEF5F2"/>
          </w:tcPr>
          <w:p>
            <w:pPr>
              <w:spacing w:after="0"/>
              <w:rPr>
                <w:sz w:val="16"/>
                <w:szCs w:val="16"/>
                <w:color w:val="auto"/>
              </w:rPr>
            </w:pPr>
          </w:p>
        </w:tc>
        <w:tc>
          <w:tcPr>
            <w:tcW w:w="1080" w:type="dxa"/>
            <w:vAlign w:val="bottom"/>
            <w:shd w:val="clear" w:color="auto" w:fill="EEF5F2"/>
          </w:tcPr>
          <w:p>
            <w:pPr>
              <w:jc w:val="right"/>
              <w:ind w:right="77"/>
              <w:spacing w:after="0" w:line="194" w:lineRule="exact"/>
              <w:rPr>
                <w:sz w:val="20"/>
                <w:szCs w:val="20"/>
                <w:color w:val="auto"/>
              </w:rPr>
            </w:pPr>
            <w:r>
              <w:rPr>
                <w:rFonts w:ascii="Arial" w:cs="Arial" w:eastAsia="Arial" w:hAnsi="Arial"/>
                <w:sz w:val="17"/>
                <w:szCs w:val="17"/>
                <w:color w:val="76AD9A"/>
              </w:rPr>
              <w:t>84.6</w:t>
            </w:r>
          </w:p>
        </w:tc>
        <w:tc>
          <w:tcPr>
            <w:tcW w:w="460" w:type="dxa"/>
            <w:vAlign w:val="bottom"/>
            <w:tcBorders>
              <w:left w:val="single" w:sz="8" w:color="EEF5F2"/>
            </w:tcBorders>
          </w:tcPr>
          <w:p>
            <w:pPr>
              <w:spacing w:after="0"/>
              <w:rPr>
                <w:sz w:val="16"/>
                <w:szCs w:val="16"/>
                <w:color w:val="auto"/>
              </w:rPr>
            </w:pPr>
          </w:p>
        </w:tc>
        <w:tc>
          <w:tcPr>
            <w:tcW w:w="7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54.0</w:t>
            </w:r>
          </w:p>
        </w:tc>
        <w:tc>
          <w:tcPr>
            <w:tcW w:w="8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Netherlands</w:t>
            </w:r>
          </w:p>
        </w:tc>
        <w:tc>
          <w:tcPr>
            <w:tcW w:w="240" w:type="dxa"/>
            <w:vAlign w:val="bottom"/>
            <w:shd w:val="clear" w:color="auto" w:fill="EEF5F2"/>
          </w:tcPr>
          <w:p>
            <w:pPr>
              <w:spacing w:after="0"/>
              <w:rPr>
                <w:sz w:val="16"/>
                <w:szCs w:val="16"/>
                <w:color w:val="auto"/>
              </w:rPr>
            </w:pPr>
          </w:p>
        </w:tc>
        <w:tc>
          <w:tcPr>
            <w:tcW w:w="1080" w:type="dxa"/>
            <w:vAlign w:val="bottom"/>
            <w:shd w:val="clear" w:color="auto" w:fill="EEF5F2"/>
          </w:tcPr>
          <w:p>
            <w:pPr>
              <w:jc w:val="right"/>
              <w:ind w:right="77"/>
              <w:spacing w:after="0" w:line="194" w:lineRule="exact"/>
              <w:rPr>
                <w:sz w:val="20"/>
                <w:szCs w:val="20"/>
                <w:color w:val="auto"/>
              </w:rPr>
            </w:pPr>
            <w:r>
              <w:rPr>
                <w:rFonts w:ascii="Arial" w:cs="Arial" w:eastAsia="Arial" w:hAnsi="Arial"/>
                <w:sz w:val="17"/>
                <w:szCs w:val="17"/>
                <w:color w:val="76AD9A"/>
              </w:rPr>
              <w:t>84.1</w:t>
            </w:r>
          </w:p>
        </w:tc>
        <w:tc>
          <w:tcPr>
            <w:tcW w:w="460" w:type="dxa"/>
            <w:vAlign w:val="bottom"/>
            <w:tcBorders>
              <w:left w:val="single" w:sz="8" w:color="EEF5F2"/>
            </w:tcBorders>
          </w:tcPr>
          <w:p>
            <w:pPr>
              <w:spacing w:after="0"/>
              <w:rPr>
                <w:sz w:val="16"/>
                <w:szCs w:val="16"/>
                <w:color w:val="auto"/>
              </w:rPr>
            </w:pPr>
          </w:p>
        </w:tc>
        <w:tc>
          <w:tcPr>
            <w:tcW w:w="7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80.7</w:t>
            </w:r>
          </w:p>
        </w:tc>
        <w:tc>
          <w:tcPr>
            <w:tcW w:w="80" w:type="dxa"/>
            <w:vAlign w:val="bottom"/>
          </w:tcPr>
          <w:p>
            <w:pPr>
              <w:spacing w:after="0"/>
              <w:rPr>
                <w:sz w:val="16"/>
                <w:szCs w:val="16"/>
                <w:color w:val="auto"/>
              </w:rPr>
            </w:pPr>
          </w:p>
        </w:tc>
      </w:tr>
      <w:tr>
        <w:trPr>
          <w:trHeight w:val="206"/>
        </w:trPr>
        <w:tc>
          <w:tcPr>
            <w:tcW w:w="8800" w:type="dxa"/>
            <w:vAlign w:val="bottom"/>
            <w:gridSpan w:val="2"/>
          </w:tcPr>
          <w:p>
            <w:pPr>
              <w:spacing w:after="0"/>
              <w:rPr>
                <w:sz w:val="20"/>
                <w:szCs w:val="20"/>
                <w:color w:val="auto"/>
              </w:rPr>
            </w:pPr>
            <w:r>
              <w:rPr>
                <w:rFonts w:ascii="Arial" w:cs="Arial" w:eastAsia="Arial" w:hAnsi="Arial"/>
                <w:sz w:val="17"/>
                <w:szCs w:val="17"/>
                <w:color w:val="373535"/>
              </w:rPr>
              <w:t>Right Management</w:t>
            </w:r>
          </w:p>
        </w:tc>
        <w:tc>
          <w:tcPr>
            <w:tcW w:w="240" w:type="dxa"/>
            <w:vAlign w:val="bottom"/>
            <w:shd w:val="clear" w:color="auto" w:fill="EEF5F2"/>
          </w:tcPr>
          <w:p>
            <w:pPr>
              <w:spacing w:after="0"/>
              <w:rPr>
                <w:sz w:val="17"/>
                <w:szCs w:val="17"/>
                <w:color w:val="auto"/>
              </w:rPr>
            </w:pPr>
          </w:p>
        </w:tc>
        <w:tc>
          <w:tcPr>
            <w:tcW w:w="1080" w:type="dxa"/>
            <w:vAlign w:val="bottom"/>
            <w:shd w:val="clear" w:color="auto" w:fill="EEF5F2"/>
          </w:tcPr>
          <w:p>
            <w:pPr>
              <w:jc w:val="right"/>
              <w:ind w:right="77"/>
              <w:spacing w:after="0"/>
              <w:rPr>
                <w:sz w:val="20"/>
                <w:szCs w:val="20"/>
                <w:color w:val="auto"/>
              </w:rPr>
            </w:pPr>
            <w:r>
              <w:rPr>
                <w:rFonts w:ascii="Arial" w:cs="Arial" w:eastAsia="Arial" w:hAnsi="Arial"/>
                <w:sz w:val="17"/>
                <w:szCs w:val="17"/>
                <w:color w:val="76AD9A"/>
              </w:rPr>
              <w:t>62.1</w:t>
            </w:r>
          </w:p>
        </w:tc>
        <w:tc>
          <w:tcPr>
            <w:tcW w:w="460" w:type="dxa"/>
            <w:vAlign w:val="bottom"/>
            <w:tcBorders>
              <w:left w:val="single" w:sz="8" w:color="EEF5F2"/>
            </w:tcBorders>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373535"/>
              </w:rPr>
              <w:t>62.1</w:t>
            </w:r>
          </w:p>
        </w:tc>
        <w:tc>
          <w:tcPr>
            <w:tcW w:w="80" w:type="dxa"/>
            <w:vAlign w:val="bottom"/>
          </w:tcPr>
          <w:p>
            <w:pPr>
              <w:spacing w:after="0"/>
              <w:rPr>
                <w:sz w:val="17"/>
                <w:szCs w:val="17"/>
                <w:color w:val="auto"/>
              </w:rPr>
            </w:pPr>
          </w:p>
        </w:tc>
      </w:tr>
      <w:tr>
        <w:trPr>
          <w:trHeight w:val="195"/>
        </w:trPr>
        <w:tc>
          <w:tcPr>
            <w:tcW w:w="880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Other reporting units</w:t>
            </w:r>
          </w:p>
        </w:tc>
        <w:tc>
          <w:tcPr>
            <w:tcW w:w="240" w:type="dxa"/>
            <w:vAlign w:val="bottom"/>
            <w:tcBorders>
              <w:bottom w:val="single" w:sz="8" w:color="717073"/>
            </w:tcBorders>
            <w:shd w:val="clear" w:color="auto" w:fill="EEF5F2"/>
          </w:tcPr>
          <w:p>
            <w:pPr>
              <w:spacing w:after="0"/>
              <w:rPr>
                <w:sz w:val="16"/>
                <w:szCs w:val="16"/>
                <w:color w:val="auto"/>
              </w:rPr>
            </w:pPr>
          </w:p>
        </w:tc>
        <w:tc>
          <w:tcPr>
            <w:tcW w:w="1080" w:type="dxa"/>
            <w:vAlign w:val="bottom"/>
            <w:tcBorders>
              <w:bottom w:val="single" w:sz="8" w:color="717073"/>
            </w:tcBorders>
            <w:shd w:val="clear" w:color="auto" w:fill="EEF5F2"/>
          </w:tcPr>
          <w:p>
            <w:pPr>
              <w:jc w:val="right"/>
              <w:ind w:right="77"/>
              <w:spacing w:after="0"/>
              <w:rPr>
                <w:sz w:val="20"/>
                <w:szCs w:val="20"/>
                <w:color w:val="auto"/>
              </w:rPr>
            </w:pPr>
            <w:r>
              <w:rPr>
                <w:rFonts w:ascii="Arial" w:cs="Arial" w:eastAsia="Arial" w:hAnsi="Arial"/>
                <w:sz w:val="17"/>
                <w:szCs w:val="17"/>
                <w:color w:val="76AD9A"/>
              </w:rPr>
              <w:t>268.8</w:t>
            </w:r>
          </w:p>
        </w:tc>
        <w:tc>
          <w:tcPr>
            <w:tcW w:w="460" w:type="dxa"/>
            <w:vAlign w:val="bottom"/>
            <w:tcBorders>
              <w:left w:val="single" w:sz="8" w:color="EEF5F2"/>
              <w:bottom w:val="single" w:sz="8" w:color="717073"/>
            </w:tcBorders>
          </w:tcPr>
          <w:p>
            <w:pPr>
              <w:spacing w:after="0"/>
              <w:rPr>
                <w:sz w:val="16"/>
                <w:szCs w:val="16"/>
                <w:color w:val="auto"/>
              </w:rPr>
            </w:pPr>
          </w:p>
        </w:tc>
        <w:tc>
          <w:tcPr>
            <w:tcW w:w="76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256.7</w:t>
            </w:r>
          </w:p>
        </w:tc>
        <w:tc>
          <w:tcPr>
            <w:tcW w:w="80" w:type="dxa"/>
            <w:vAlign w:val="bottom"/>
          </w:tcPr>
          <w:p>
            <w:pPr>
              <w:spacing w:after="0"/>
              <w:rPr>
                <w:sz w:val="16"/>
                <w:szCs w:val="16"/>
                <w:color w:val="auto"/>
              </w:rPr>
            </w:pPr>
          </w:p>
        </w:tc>
      </w:tr>
      <w:tr>
        <w:trPr>
          <w:trHeight w:val="186"/>
        </w:trPr>
        <w:tc>
          <w:tcPr>
            <w:tcW w:w="8800" w:type="dxa"/>
            <w:vAlign w:val="bottom"/>
            <w:gridSpan w:val="2"/>
          </w:tcPr>
          <w:p>
            <w:pPr>
              <w:spacing w:after="0" w:line="186" w:lineRule="exact"/>
              <w:rPr>
                <w:sz w:val="20"/>
                <w:szCs w:val="20"/>
                <w:color w:val="auto"/>
              </w:rPr>
            </w:pPr>
            <w:r>
              <w:rPr>
                <w:rFonts w:ascii="Arial" w:cs="Arial" w:eastAsia="Arial" w:hAnsi="Arial"/>
                <w:sz w:val="17"/>
                <w:szCs w:val="17"/>
                <w:color w:val="373535"/>
              </w:rPr>
              <w:t>Total goodwill</w:t>
            </w:r>
          </w:p>
        </w:tc>
        <w:tc>
          <w:tcPr>
            <w:tcW w:w="24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80" w:type="dxa"/>
            <w:vAlign w:val="bottom"/>
            <w:shd w:val="clear" w:color="auto" w:fill="EEF5F2"/>
          </w:tcPr>
          <w:p>
            <w:pPr>
              <w:jc w:val="right"/>
              <w:ind w:right="77"/>
              <w:spacing w:after="0" w:line="186" w:lineRule="exact"/>
              <w:rPr>
                <w:sz w:val="20"/>
                <w:szCs w:val="20"/>
                <w:color w:val="auto"/>
              </w:rPr>
            </w:pPr>
            <w:r>
              <w:rPr>
                <w:rFonts w:ascii="Arial" w:cs="Arial" w:eastAsia="Arial" w:hAnsi="Arial"/>
                <w:sz w:val="17"/>
                <w:szCs w:val="17"/>
                <w:color w:val="76AD9A"/>
              </w:rPr>
              <w:t>1,090.9</w:t>
            </w:r>
          </w:p>
        </w:tc>
        <w:tc>
          <w:tcPr>
            <w:tcW w:w="460" w:type="dxa"/>
            <w:vAlign w:val="bottom"/>
            <w:tcBorders>
              <w:left w:val="single" w:sz="8" w:color="EEF5F2"/>
            </w:tcBorders>
          </w:tcPr>
          <w:p>
            <w:pPr>
              <w:jc w:val="right"/>
              <w:ind w:right="74"/>
              <w:spacing w:after="0" w:line="186" w:lineRule="exact"/>
              <w:rPr>
                <w:sz w:val="20"/>
                <w:szCs w:val="20"/>
                <w:color w:val="auto"/>
              </w:rPr>
            </w:pPr>
            <w:r>
              <w:rPr>
                <w:rFonts w:ascii="Arial" w:cs="Arial" w:eastAsia="Arial" w:hAnsi="Arial"/>
                <w:sz w:val="17"/>
                <w:szCs w:val="17"/>
                <w:color w:val="373535"/>
              </w:rPr>
              <w:t>$</w:t>
            </w:r>
          </w:p>
        </w:tc>
        <w:tc>
          <w:tcPr>
            <w:tcW w:w="7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1,041.3</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Borders>
              <w:right w:val="single" w:sz="8" w:color="717073"/>
            </w:tcBorders>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080" w:type="dxa"/>
            <w:vAlign w:val="bottom"/>
            <w:shd w:val="clear" w:color="auto" w:fill="717073"/>
          </w:tcPr>
          <w:p>
            <w:pPr>
              <w:spacing w:after="0" w:line="20" w:lineRule="exact"/>
              <w:rPr>
                <w:sz w:val="1"/>
                <w:szCs w:val="1"/>
                <w:color w:val="auto"/>
              </w:rPr>
            </w:pPr>
          </w:p>
        </w:tc>
        <w:tc>
          <w:tcPr>
            <w:tcW w:w="460" w:type="dxa"/>
            <w:vAlign w:val="bottom"/>
            <w:tcBorders>
              <w:left w:val="single" w:sz="8" w:color="717073"/>
            </w:tcBorders>
            <w:shd w:val="clear" w:color="auto" w:fill="717073"/>
          </w:tcPr>
          <w:p>
            <w:pPr>
              <w:spacing w:after="0" w:line="20" w:lineRule="exact"/>
              <w:rPr>
                <w:sz w:val="1"/>
                <w:szCs w:val="1"/>
                <w:color w:val="auto"/>
              </w:rPr>
            </w:pPr>
          </w:p>
        </w:tc>
        <w:tc>
          <w:tcPr>
            <w:tcW w:w="680" w:type="dxa"/>
            <w:vAlign w:val="bottom"/>
            <w:shd w:val="clear" w:color="auto" w:fill="717073"/>
          </w:tcPr>
          <w:p>
            <w:pPr>
              <w:spacing w:after="0" w:line="20" w:lineRule="exact"/>
              <w:rPr>
                <w:sz w:val="1"/>
                <w:szCs w:val="1"/>
                <w:color w:val="auto"/>
              </w:rPr>
            </w:pPr>
          </w:p>
        </w:tc>
        <w:tc>
          <w:tcPr>
            <w:tcW w:w="80" w:type="dxa"/>
            <w:vAlign w:val="bottom"/>
            <w:tcBorders>
              <w:left w:val="single" w:sz="8" w:color="717073"/>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6"/>
        </w:trPr>
        <w:tc>
          <w:tcPr>
            <w:tcW w:w="8800" w:type="dxa"/>
            <w:vAlign w:val="bottom"/>
            <w:gridSpan w:val="2"/>
          </w:tcPr>
          <w:p>
            <w:pPr>
              <w:spacing w:after="0"/>
              <w:rPr>
                <w:sz w:val="20"/>
                <w:szCs w:val="20"/>
                <w:color w:val="auto"/>
              </w:rPr>
            </w:pPr>
            <w:r>
              <w:rPr>
                <w:rFonts w:ascii="Arial" w:cs="Arial" w:eastAsia="Arial" w:hAnsi="Arial"/>
                <w:sz w:val="17"/>
                <w:szCs w:val="17"/>
                <w:color w:val="76AD9A"/>
              </w:rPr>
              <w:t>07.</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6"/>
        </w:trPr>
        <w:tc>
          <w:tcPr>
            <w:tcW w:w="8800" w:type="dxa"/>
            <w:vAlign w:val="bottom"/>
            <w:gridSpan w:val="2"/>
          </w:tcPr>
          <w:p>
            <w:pPr>
              <w:spacing w:after="0"/>
              <w:rPr>
                <w:sz w:val="20"/>
                <w:szCs w:val="20"/>
                <w:color w:val="auto"/>
              </w:rPr>
            </w:pPr>
            <w:r>
              <w:rPr>
                <w:rFonts w:ascii="Arial" w:cs="Arial" w:eastAsia="Arial" w:hAnsi="Arial"/>
                <w:sz w:val="17"/>
                <w:szCs w:val="17"/>
                <w:color w:val="76AD9A"/>
              </w:rPr>
              <w:t>Debt</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58"/>
        </w:trPr>
        <w:tc>
          <w:tcPr>
            <w:tcW w:w="8800" w:type="dxa"/>
            <w:vAlign w:val="bottom"/>
            <w:gridSpan w:val="2"/>
          </w:tcPr>
          <w:p>
            <w:pPr>
              <w:spacing w:after="0"/>
              <w:rPr>
                <w:sz w:val="20"/>
                <w:szCs w:val="20"/>
                <w:color w:val="auto"/>
              </w:rPr>
            </w:pPr>
            <w:r>
              <w:rPr>
                <w:rFonts w:ascii="Arial" w:cs="Arial" w:eastAsia="Arial" w:hAnsi="Arial"/>
                <w:sz w:val="17"/>
                <w:szCs w:val="17"/>
                <w:color w:val="373535"/>
              </w:rPr>
              <w:t>Information concerning short-term borrowings is as follows:</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82"/>
        </w:trPr>
        <w:tc>
          <w:tcPr>
            <w:tcW w:w="88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8800" w:type="dxa"/>
            <w:vAlign w:val="bottom"/>
            <w:tcBorders>
              <w:right w:val="single" w:sz="8" w:color="76AD9A"/>
            </w:tcBorders>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1080" w:type="dxa"/>
            <w:vAlign w:val="bottom"/>
            <w:shd w:val="clear" w:color="auto" w:fill="76AD9A"/>
          </w:tcPr>
          <w:p>
            <w:pPr>
              <w:jc w:val="right"/>
              <w:ind w:right="137"/>
              <w:spacing w:after="0"/>
              <w:rPr>
                <w:sz w:val="20"/>
                <w:szCs w:val="20"/>
                <w:color w:val="auto"/>
              </w:rPr>
            </w:pPr>
            <w:r>
              <w:rPr>
                <w:rFonts w:ascii="Arial" w:cs="Arial" w:eastAsia="Arial" w:hAnsi="Arial"/>
                <w:sz w:val="14"/>
                <w:szCs w:val="14"/>
                <w:b w:val="1"/>
                <w:bCs w:val="1"/>
                <w:color w:val="FFFFFF"/>
              </w:rPr>
              <w:t>2013</w:t>
            </w: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76AD9A"/>
              </w:rPr>
              <w:t>2012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right w:val="single" w:sz="8" w:color="EEF5F2"/>
            </w:tcBorders>
          </w:tcPr>
          <w:p>
            <w:pPr>
              <w:spacing w:after="0" w:line="185" w:lineRule="exact"/>
              <w:rPr>
                <w:sz w:val="20"/>
                <w:szCs w:val="20"/>
                <w:color w:val="auto"/>
              </w:rPr>
            </w:pPr>
            <w:r>
              <w:rPr>
                <w:rFonts w:ascii="Arial" w:cs="Arial" w:eastAsia="Arial" w:hAnsi="Arial"/>
                <w:sz w:val="17"/>
                <w:szCs w:val="17"/>
                <w:color w:val="373535"/>
              </w:rPr>
              <w:t>Short-term borrowings</w:t>
            </w:r>
          </w:p>
        </w:tc>
        <w:tc>
          <w:tcPr>
            <w:tcW w:w="24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80" w:type="dxa"/>
            <w:vAlign w:val="bottom"/>
            <w:tcBorders>
              <w:top w:val="single" w:sz="8" w:color="76AD9A"/>
            </w:tcBorders>
            <w:shd w:val="clear" w:color="auto" w:fill="EEF5F2"/>
          </w:tcPr>
          <w:p>
            <w:pPr>
              <w:jc w:val="right"/>
              <w:ind w:right="137"/>
              <w:spacing w:after="0" w:line="185" w:lineRule="exact"/>
              <w:rPr>
                <w:sz w:val="20"/>
                <w:szCs w:val="20"/>
                <w:color w:val="auto"/>
              </w:rPr>
            </w:pPr>
            <w:r>
              <w:rPr>
                <w:rFonts w:ascii="Arial" w:cs="Arial" w:eastAsia="Arial" w:hAnsi="Arial"/>
                <w:sz w:val="17"/>
                <w:szCs w:val="17"/>
                <w:color w:val="76AD9A"/>
              </w:rPr>
              <w:t>34.2</w:t>
            </w:r>
          </w:p>
        </w:tc>
        <w:tc>
          <w:tcPr>
            <w:tcW w:w="460" w:type="dxa"/>
            <w:vAlign w:val="bottom"/>
            <w:tcBorders>
              <w:top w:val="single" w:sz="8" w:color="76AD9A"/>
            </w:tcBorders>
          </w:tcPr>
          <w:p>
            <w:pPr>
              <w:jc w:val="right"/>
              <w:ind w:right="13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43.3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7"/>
        </w:trPr>
        <w:tc>
          <w:tcPr>
            <w:tcW w:w="8800" w:type="dxa"/>
            <w:vAlign w:val="bottom"/>
            <w:tcBorders>
              <w:right w:val="single" w:sz="8" w:color="EEF5F2"/>
            </w:tcBorders>
            <w:gridSpan w:val="2"/>
          </w:tcPr>
          <w:p>
            <w:pPr>
              <w:spacing w:after="0"/>
              <w:rPr>
                <w:sz w:val="20"/>
                <w:szCs w:val="20"/>
                <w:color w:val="auto"/>
              </w:rPr>
            </w:pPr>
            <w:r>
              <w:rPr>
                <w:rFonts w:ascii="Arial" w:cs="Arial" w:eastAsia="Arial" w:hAnsi="Arial"/>
                <w:sz w:val="17"/>
                <w:szCs w:val="17"/>
                <w:color w:val="373535"/>
              </w:rPr>
              <w:t>Weighted-average interest rates</w:t>
            </w:r>
          </w:p>
        </w:tc>
        <w:tc>
          <w:tcPr>
            <w:tcW w:w="240" w:type="dxa"/>
            <w:vAlign w:val="bottom"/>
            <w:shd w:val="clear" w:color="auto" w:fill="EEF5F2"/>
          </w:tcPr>
          <w:p>
            <w:pPr>
              <w:spacing w:after="0"/>
              <w:rPr>
                <w:sz w:val="18"/>
                <w:szCs w:val="18"/>
                <w:color w:val="auto"/>
              </w:rPr>
            </w:pPr>
          </w:p>
        </w:tc>
        <w:tc>
          <w:tcPr>
            <w:tcW w:w="108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12.5%</w:t>
            </w:r>
          </w:p>
        </w:tc>
        <w:tc>
          <w:tcPr>
            <w:tcW w:w="4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373535"/>
              </w:rPr>
              <w:t>9.1%</w:t>
            </w:r>
          </w:p>
        </w:tc>
      </w:tr>
      <w:tr>
        <w:trPr>
          <w:trHeight w:val="20"/>
        </w:trPr>
        <w:tc>
          <w:tcPr>
            <w:tcW w:w="20" w:type="dxa"/>
            <w:vAlign w:val="bottom"/>
          </w:tcPr>
          <w:p>
            <w:pPr>
              <w:spacing w:after="0" w:line="20" w:lineRule="exact"/>
              <w:rPr>
                <w:sz w:val="1"/>
                <w:szCs w:val="1"/>
                <w:color w:val="auto"/>
              </w:rPr>
            </w:pPr>
          </w:p>
        </w:tc>
        <w:tc>
          <w:tcPr>
            <w:tcW w:w="8780" w:type="dxa"/>
            <w:vAlign w:val="bottom"/>
            <w:tcBorders>
              <w:right w:val="single" w:sz="8" w:color="717073"/>
            </w:tcBorders>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080" w:type="dxa"/>
            <w:vAlign w:val="bottom"/>
            <w:shd w:val="clear" w:color="auto" w:fill="717073"/>
          </w:tcPr>
          <w:p>
            <w:pPr>
              <w:spacing w:after="0" w:line="20" w:lineRule="exact"/>
              <w:rPr>
                <w:sz w:val="1"/>
                <w:szCs w:val="1"/>
                <w:color w:val="auto"/>
              </w:rPr>
            </w:pPr>
          </w:p>
        </w:tc>
        <w:tc>
          <w:tcPr>
            <w:tcW w:w="460" w:type="dxa"/>
            <w:vAlign w:val="bottom"/>
            <w:tcBorders>
              <w:left w:val="single" w:sz="8" w:color="717073"/>
            </w:tcBorders>
            <w:shd w:val="clear" w:color="auto" w:fill="717073"/>
          </w:tcPr>
          <w:p>
            <w:pPr>
              <w:spacing w:after="0" w:line="20" w:lineRule="exact"/>
              <w:rPr>
                <w:sz w:val="1"/>
                <w:szCs w:val="1"/>
                <w:color w:val="auto"/>
              </w:rPr>
            </w:pPr>
          </w:p>
        </w:tc>
        <w:tc>
          <w:tcPr>
            <w:tcW w:w="680" w:type="dxa"/>
            <w:vAlign w:val="bottom"/>
            <w:shd w:val="clear" w:color="auto" w:fill="71707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We maintain separate bank credit lines with financial institutions to meet working capital needs of our subsidiary operations. As of December 31, 2013, such uncommitted credit lines totaled $376.9, of which $ 339.9 was unused. Due to limitations on subsidiary borrowings in our revolving credit agreement, additional subsidiary borrowings of $263.0 could be made under these facilities as of December 31, 2013.</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373535"/>
        </w:rPr>
        <w:t>A summary of long-term debt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1140" w:type="dxa"/>
            <w:vAlign w:val="bottom"/>
            <w:shd w:val="clear" w:color="auto" w:fill="76AD9A"/>
          </w:tcPr>
          <w:p>
            <w:pPr>
              <w:jc w:val="right"/>
              <w:ind w:right="136"/>
              <w:spacing w:after="0"/>
              <w:rPr>
                <w:sz w:val="20"/>
                <w:szCs w:val="20"/>
                <w:color w:val="auto"/>
              </w:rPr>
            </w:pPr>
            <w:r>
              <w:rPr>
                <w:rFonts w:ascii="Arial" w:cs="Arial" w:eastAsia="Arial" w:hAnsi="Arial"/>
                <w:sz w:val="14"/>
                <w:szCs w:val="14"/>
                <w:b w:val="1"/>
                <w:bCs w:val="1"/>
                <w:color w:val="FFFFFF"/>
              </w:rPr>
              <w:t>2013</w:t>
            </w: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76AD9A"/>
              </w:rPr>
              <w:t>2012</w:t>
            </w: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Euro-denominated notes:</w:t>
            </w:r>
          </w:p>
        </w:tc>
        <w:tc>
          <w:tcPr>
            <w:tcW w:w="240" w:type="dxa"/>
            <w:vAlign w:val="bottom"/>
            <w:tcBorders>
              <w:top w:val="single" w:sz="8" w:color="76AD9A"/>
            </w:tcBorders>
            <w:shd w:val="clear" w:color="auto" w:fill="EEF5F2"/>
          </w:tcPr>
          <w:p>
            <w:pPr>
              <w:spacing w:after="0"/>
              <w:rPr>
                <w:sz w:val="16"/>
                <w:szCs w:val="16"/>
                <w:color w:val="auto"/>
              </w:rPr>
            </w:pPr>
          </w:p>
        </w:tc>
        <w:tc>
          <w:tcPr>
            <w:tcW w:w="1140" w:type="dxa"/>
            <w:vAlign w:val="bottom"/>
            <w:tcBorders>
              <w:top w:val="single" w:sz="8" w:color="76AD9A"/>
            </w:tcBorders>
            <w:shd w:val="clear" w:color="auto" w:fill="EEF5F2"/>
          </w:tcPr>
          <w:p>
            <w:pPr>
              <w:spacing w:after="0"/>
              <w:rPr>
                <w:sz w:val="16"/>
                <w:szCs w:val="16"/>
                <w:color w:val="auto"/>
              </w:rPr>
            </w:pPr>
          </w:p>
        </w:tc>
        <w:tc>
          <w:tcPr>
            <w:tcW w:w="48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8780" w:type="dxa"/>
            <w:vAlign w:val="bottom"/>
          </w:tcPr>
          <w:p>
            <w:pPr>
              <w:ind w:left="140"/>
              <w:spacing w:after="0" w:line="194" w:lineRule="exact"/>
              <w:rPr>
                <w:sz w:val="20"/>
                <w:szCs w:val="20"/>
                <w:color w:val="auto"/>
              </w:rPr>
            </w:pPr>
            <w:r>
              <w:rPr>
                <w:rFonts w:ascii="Arial" w:cs="Arial" w:eastAsia="Arial" w:hAnsi="Arial"/>
                <w:sz w:val="17"/>
                <w:szCs w:val="17"/>
                <w:color w:val="373535"/>
              </w:rPr>
              <w:t>€350 due June 2018</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140" w:type="dxa"/>
            <w:vAlign w:val="bottom"/>
            <w:shd w:val="clear" w:color="auto" w:fill="EEF5F2"/>
          </w:tcPr>
          <w:p>
            <w:pPr>
              <w:jc w:val="right"/>
              <w:ind w:right="136"/>
              <w:spacing w:after="0" w:line="194" w:lineRule="exact"/>
              <w:rPr>
                <w:sz w:val="20"/>
                <w:szCs w:val="20"/>
                <w:color w:val="auto"/>
              </w:rPr>
            </w:pPr>
            <w:r>
              <w:rPr>
                <w:rFonts w:ascii="Arial" w:cs="Arial" w:eastAsia="Arial" w:hAnsi="Arial"/>
                <w:sz w:val="17"/>
                <w:szCs w:val="17"/>
                <w:color w:val="76AD9A"/>
              </w:rPr>
              <w:t>480.9</w:t>
            </w:r>
          </w:p>
        </w:tc>
        <w:tc>
          <w:tcPr>
            <w:tcW w:w="4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461.7</w:t>
            </w:r>
          </w:p>
        </w:tc>
      </w:tr>
      <w:tr>
        <w:trPr>
          <w:trHeight w:val="206"/>
        </w:trPr>
        <w:tc>
          <w:tcPr>
            <w:tcW w:w="20" w:type="dxa"/>
            <w:vAlign w:val="bottom"/>
          </w:tcPr>
          <w:p>
            <w:pPr>
              <w:spacing w:after="0"/>
              <w:rPr>
                <w:sz w:val="17"/>
                <w:szCs w:val="17"/>
                <w:color w:val="auto"/>
              </w:rPr>
            </w:pPr>
          </w:p>
        </w:tc>
        <w:tc>
          <w:tcPr>
            <w:tcW w:w="8780" w:type="dxa"/>
            <w:vAlign w:val="bottom"/>
          </w:tcPr>
          <w:p>
            <w:pPr>
              <w:ind w:left="140"/>
              <w:spacing w:after="0"/>
              <w:rPr>
                <w:sz w:val="20"/>
                <w:szCs w:val="20"/>
                <w:color w:val="auto"/>
              </w:rPr>
            </w:pPr>
            <w:r>
              <w:rPr>
                <w:rFonts w:ascii="Arial" w:cs="Arial" w:eastAsia="Arial" w:hAnsi="Arial"/>
                <w:sz w:val="17"/>
                <w:szCs w:val="17"/>
                <w:color w:val="373535"/>
              </w:rPr>
              <w:t>€200 due June 2013</w:t>
            </w:r>
          </w:p>
        </w:tc>
        <w:tc>
          <w:tcPr>
            <w:tcW w:w="240" w:type="dxa"/>
            <w:vAlign w:val="bottom"/>
            <w:shd w:val="clear" w:color="auto" w:fill="EEF5F2"/>
          </w:tcPr>
          <w:p>
            <w:pPr>
              <w:spacing w:after="0"/>
              <w:rPr>
                <w:sz w:val="17"/>
                <w:szCs w:val="17"/>
                <w:color w:val="auto"/>
              </w:rPr>
            </w:pPr>
          </w:p>
        </w:tc>
        <w:tc>
          <w:tcPr>
            <w:tcW w:w="1140" w:type="dxa"/>
            <w:vAlign w:val="bottom"/>
            <w:shd w:val="clear" w:color="auto" w:fill="EEF5F2"/>
          </w:tcPr>
          <w:p>
            <w:pPr>
              <w:jc w:val="right"/>
              <w:ind w:right="136"/>
              <w:spacing w:after="0"/>
              <w:rPr>
                <w:sz w:val="20"/>
                <w:szCs w:val="20"/>
                <w:color w:val="auto"/>
              </w:rPr>
            </w:pPr>
            <w:r>
              <w:rPr>
                <w:rFonts w:ascii="Arial" w:cs="Arial" w:eastAsia="Arial" w:hAnsi="Arial"/>
                <w:sz w:val="17"/>
                <w:szCs w:val="17"/>
                <w:color w:val="76AD9A"/>
              </w:rPr>
              <w:t>—</w:t>
            </w:r>
          </w:p>
        </w:tc>
        <w:tc>
          <w:tcPr>
            <w:tcW w:w="4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373535"/>
              </w:rPr>
              <w:t>263.8</w:t>
            </w:r>
          </w:p>
        </w:tc>
      </w:tr>
      <w:tr>
        <w:trPr>
          <w:trHeight w:val="195"/>
        </w:trPr>
        <w:tc>
          <w:tcPr>
            <w:tcW w:w="8800" w:type="dxa"/>
            <w:vAlign w:val="bottom"/>
            <w:gridSpan w:val="2"/>
          </w:tcPr>
          <w:p>
            <w:pPr>
              <w:spacing w:after="0"/>
              <w:rPr>
                <w:sz w:val="20"/>
                <w:szCs w:val="20"/>
                <w:color w:val="auto"/>
              </w:rPr>
            </w:pPr>
            <w:r>
              <w:rPr>
                <w:rFonts w:ascii="Arial" w:cs="Arial" w:eastAsia="Arial" w:hAnsi="Arial"/>
                <w:sz w:val="17"/>
                <w:szCs w:val="17"/>
                <w:color w:val="373535"/>
              </w:rPr>
              <w:t>Other</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6"/>
              <w:spacing w:after="0"/>
              <w:rPr>
                <w:sz w:val="20"/>
                <w:szCs w:val="20"/>
                <w:color w:val="auto"/>
              </w:rPr>
            </w:pPr>
            <w:r>
              <w:rPr>
                <w:rFonts w:ascii="Arial" w:cs="Arial" w:eastAsia="Arial" w:hAnsi="Arial"/>
                <w:sz w:val="17"/>
                <w:szCs w:val="17"/>
                <w:color w:val="76AD9A"/>
              </w:rPr>
              <w:t>2.8</w:t>
            </w:r>
          </w:p>
        </w:tc>
        <w:tc>
          <w:tcPr>
            <w:tcW w:w="4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373535"/>
              </w:rPr>
              <w:t>1.3</w:t>
            </w:r>
          </w:p>
        </w:tc>
      </w:tr>
      <w:tr>
        <w:trPr>
          <w:trHeight w:val="186"/>
        </w:trPr>
        <w:tc>
          <w:tcPr>
            <w:tcW w:w="20" w:type="dxa"/>
            <w:vAlign w:val="bottom"/>
          </w:tcPr>
          <w:p>
            <w:pPr>
              <w:spacing w:after="0"/>
              <w:rPr>
                <w:sz w:val="16"/>
                <w:szCs w:val="16"/>
                <w:color w:val="auto"/>
              </w:rPr>
            </w:pPr>
          </w:p>
        </w:tc>
        <w:tc>
          <w:tcPr>
            <w:tcW w:w="8780" w:type="dxa"/>
            <w:vAlign w:val="bottom"/>
            <w:tcBorders>
              <w:top w:val="single" w:sz="8" w:color="717073"/>
              <w:bottom w:val="single" w:sz="8" w:color="717073"/>
            </w:tcBorders>
          </w:tcPr>
          <w:p>
            <w:pPr>
              <w:spacing w:after="0"/>
              <w:rPr>
                <w:sz w:val="16"/>
                <w:szCs w:val="16"/>
                <w:color w:val="auto"/>
              </w:rPr>
            </w:pPr>
          </w:p>
        </w:tc>
        <w:tc>
          <w:tcPr>
            <w:tcW w:w="240" w:type="dxa"/>
            <w:vAlign w:val="bottom"/>
            <w:tcBorders>
              <w:top w:val="single" w:sz="8" w:color="717073"/>
              <w:bottom w:val="single" w:sz="8" w:color="717073"/>
            </w:tcBorders>
            <w:shd w:val="clear" w:color="auto" w:fill="EEF5F2"/>
          </w:tcPr>
          <w:p>
            <w:pPr>
              <w:spacing w:after="0"/>
              <w:rPr>
                <w:sz w:val="16"/>
                <w:szCs w:val="16"/>
                <w:color w:val="auto"/>
              </w:rPr>
            </w:pPr>
          </w:p>
        </w:tc>
        <w:tc>
          <w:tcPr>
            <w:tcW w:w="1140" w:type="dxa"/>
            <w:vAlign w:val="bottom"/>
            <w:tcBorders>
              <w:top w:val="single" w:sz="8" w:color="717073"/>
              <w:bottom w:val="single" w:sz="8" w:color="717073"/>
            </w:tcBorders>
            <w:shd w:val="clear" w:color="auto" w:fill="EEF5F2"/>
          </w:tcPr>
          <w:p>
            <w:pPr>
              <w:jc w:val="right"/>
              <w:ind w:right="136"/>
              <w:spacing w:after="0" w:line="186" w:lineRule="exact"/>
              <w:rPr>
                <w:sz w:val="20"/>
                <w:szCs w:val="20"/>
                <w:color w:val="auto"/>
              </w:rPr>
            </w:pPr>
            <w:r>
              <w:rPr>
                <w:rFonts w:ascii="Arial" w:cs="Arial" w:eastAsia="Arial" w:hAnsi="Arial"/>
                <w:sz w:val="17"/>
                <w:szCs w:val="17"/>
                <w:color w:val="76AD9A"/>
              </w:rPr>
              <w:t>483.7</w:t>
            </w:r>
          </w:p>
        </w:tc>
        <w:tc>
          <w:tcPr>
            <w:tcW w:w="480" w:type="dxa"/>
            <w:vAlign w:val="bottom"/>
            <w:tcBorders>
              <w:top w:val="single" w:sz="8" w:color="717073"/>
              <w:bottom w:val="single" w:sz="8" w:color="717073"/>
            </w:tcBorders>
          </w:tcPr>
          <w:p>
            <w:pPr>
              <w:spacing w:after="0"/>
              <w:rPr>
                <w:sz w:val="16"/>
                <w:szCs w:val="16"/>
                <w:color w:val="auto"/>
              </w:rPr>
            </w:pPr>
          </w:p>
        </w:tc>
        <w:tc>
          <w:tcPr>
            <w:tcW w:w="66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726.8</w:t>
            </w:r>
          </w:p>
        </w:tc>
      </w:tr>
      <w:tr>
        <w:trPr>
          <w:trHeight w:val="186"/>
        </w:trPr>
        <w:tc>
          <w:tcPr>
            <w:tcW w:w="20" w:type="dxa"/>
            <w:vAlign w:val="bottom"/>
            <w:tcBorders>
              <w:bottom w:val="single" w:sz="8" w:color="717073"/>
            </w:tcBorders>
          </w:tcPr>
          <w:p>
            <w:pPr>
              <w:spacing w:after="0"/>
              <w:rPr>
                <w:sz w:val="16"/>
                <w:szCs w:val="16"/>
                <w:color w:val="auto"/>
              </w:rPr>
            </w:pPr>
          </w:p>
        </w:tc>
        <w:tc>
          <w:tcPr>
            <w:tcW w:w="878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Less — current maturities</w:t>
            </w: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shd w:val="clear" w:color="auto" w:fill="EEF5F2"/>
          </w:tcPr>
          <w:p>
            <w:pPr>
              <w:jc w:val="right"/>
              <w:ind w:right="136"/>
              <w:spacing w:after="0" w:line="186" w:lineRule="exact"/>
              <w:rPr>
                <w:sz w:val="20"/>
                <w:szCs w:val="20"/>
                <w:color w:val="auto"/>
              </w:rPr>
            </w:pPr>
            <w:r>
              <w:rPr>
                <w:rFonts w:ascii="Arial" w:cs="Arial" w:eastAsia="Arial" w:hAnsi="Arial"/>
                <w:sz w:val="17"/>
                <w:szCs w:val="17"/>
                <w:color w:val="76AD9A"/>
              </w:rPr>
              <w:t>1.8</w:t>
            </w:r>
          </w:p>
        </w:tc>
        <w:tc>
          <w:tcPr>
            <w:tcW w:w="4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264.7</w:t>
            </w:r>
          </w:p>
        </w:tc>
      </w:tr>
      <w:tr>
        <w:trPr>
          <w:trHeight w:val="186"/>
        </w:trPr>
        <w:tc>
          <w:tcPr>
            <w:tcW w:w="8800" w:type="dxa"/>
            <w:vAlign w:val="bottom"/>
            <w:gridSpan w:val="2"/>
          </w:tcPr>
          <w:p>
            <w:pPr>
              <w:spacing w:after="0" w:line="186" w:lineRule="exact"/>
              <w:rPr>
                <w:sz w:val="20"/>
                <w:szCs w:val="20"/>
                <w:color w:val="auto"/>
              </w:rPr>
            </w:pPr>
            <w:r>
              <w:rPr>
                <w:rFonts w:ascii="Arial" w:cs="Arial" w:eastAsia="Arial" w:hAnsi="Arial"/>
                <w:sz w:val="17"/>
                <w:szCs w:val="17"/>
                <w:color w:val="373535"/>
              </w:rPr>
              <w:t>Long-term debt</w:t>
            </w:r>
          </w:p>
        </w:tc>
        <w:tc>
          <w:tcPr>
            <w:tcW w:w="24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40" w:type="dxa"/>
            <w:vAlign w:val="bottom"/>
            <w:shd w:val="clear" w:color="auto" w:fill="EEF5F2"/>
          </w:tcPr>
          <w:p>
            <w:pPr>
              <w:jc w:val="right"/>
              <w:ind w:right="136"/>
              <w:spacing w:after="0" w:line="186" w:lineRule="exact"/>
              <w:rPr>
                <w:sz w:val="20"/>
                <w:szCs w:val="20"/>
                <w:color w:val="auto"/>
              </w:rPr>
            </w:pPr>
            <w:r>
              <w:rPr>
                <w:rFonts w:ascii="Arial" w:cs="Arial" w:eastAsia="Arial" w:hAnsi="Arial"/>
                <w:sz w:val="17"/>
                <w:szCs w:val="17"/>
                <w:color w:val="76AD9A"/>
              </w:rPr>
              <w:t>481.9</w:t>
            </w:r>
          </w:p>
        </w:tc>
        <w:tc>
          <w:tcPr>
            <w:tcW w:w="480" w:type="dxa"/>
            <w:vAlign w:val="bottom"/>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86" w:lineRule="exact"/>
              <w:rPr>
                <w:sz w:val="20"/>
                <w:szCs w:val="20"/>
                <w:color w:val="auto"/>
              </w:rPr>
            </w:pPr>
            <w:r>
              <w:rPr>
                <w:rFonts w:ascii="Arial" w:cs="Arial" w:eastAsia="Arial" w:hAnsi="Arial"/>
                <w:sz w:val="17"/>
                <w:szCs w:val="17"/>
                <w:color w:val="373535"/>
              </w:rPr>
              <w:t>462.1</w:t>
            </w:r>
          </w:p>
        </w:tc>
      </w:tr>
      <w:tr>
        <w:trPr>
          <w:trHeight w:val="20"/>
        </w:trPr>
        <w:tc>
          <w:tcPr>
            <w:tcW w:w="20" w:type="dxa"/>
            <w:vAlign w:val="bottom"/>
          </w:tcPr>
          <w:p>
            <w:pPr>
              <w:spacing w:after="0" w:line="20" w:lineRule="exact"/>
              <w:rPr>
                <w:sz w:val="1"/>
                <w:szCs w:val="1"/>
                <w:color w:val="auto"/>
              </w:rPr>
            </w:pPr>
          </w:p>
        </w:tc>
        <w:tc>
          <w:tcPr>
            <w:tcW w:w="87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480" w:type="dxa"/>
            <w:vAlign w:val="bottom"/>
            <w:shd w:val="clear" w:color="auto" w:fill="717073"/>
          </w:tcPr>
          <w:p>
            <w:pPr>
              <w:spacing w:after="0" w:line="20" w:lineRule="exact"/>
              <w:rPr>
                <w:sz w:val="1"/>
                <w:szCs w:val="1"/>
                <w:color w:val="auto"/>
              </w:rPr>
            </w:pPr>
          </w:p>
        </w:tc>
        <w:tc>
          <w:tcPr>
            <w:tcW w:w="660" w:type="dxa"/>
            <w:vAlign w:val="bottom"/>
            <w:shd w:val="clear" w:color="auto" w:fill="717073"/>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EURO NOTES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On June 14, 2013, upon maturity, we paid off our €200.0 aggregate principal amount of 4.75% notes with available cash.</w:t>
      </w:r>
    </w:p>
    <w:p>
      <w:pPr>
        <w:spacing w:after="0" w:line="17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On June 22, 2012, we offered and sold €350.0 aggregate principal amount of the Company’s 4.50% notes due June 22, 2018 (the “€350.0 Notes”). The net proceeds from the € 350.0 Notes of €348.7 were used to repay borrowings under our revolving credit facility that were drawn in May 2012 to repay our €300.0 notes that matured on June 1, 2012 and for general corporate purposes. The €350.0 Notes were issued at a price of 99.974% to yield an effective interest rate of 4.505%. Interest on the € 350.0 Notes is payable in arrears on June 22 of each year. The €350.0 Notes are unsecured senior obligations and rank equally with all of our existing and future senior unsecured debt and other liabilities. We may redeem the €350.0 Notes, in whole but not in part, at our option at any time for a redemption price determined in accordance with the term of the €350.0 Notes. The notes also contain certain customary non-financial restrictive covenants and events of default.</w:t>
      </w:r>
    </w:p>
    <w:p>
      <w:pPr>
        <w:spacing w:after="0" w:line="17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b w:val="1"/>
          <w:bCs w:val="1"/>
          <w:color w:val="373535"/>
        </w:rPr>
        <w:t>70</w:t>
      </w:r>
      <w:r>
        <w:rPr>
          <w:sz w:val="20"/>
          <w:szCs w:val="20"/>
          <w:color w:val="auto"/>
        </w:rPr>
        <w:tab/>
      </w: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52970" cy="247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08" w:name="page109"/>
    <w:bookmarkEnd w:id="108"/>
    <w:p>
      <w:pPr>
        <w:jc w:val="both"/>
        <w:spacing w:after="0" w:line="243" w:lineRule="auto"/>
        <w:rPr>
          <w:sz w:val="20"/>
          <w:szCs w:val="20"/>
          <w:color w:val="auto"/>
        </w:rPr>
      </w:pPr>
      <w:r>
        <w:rPr>
          <w:rFonts w:ascii="Arial" w:cs="Arial" w:eastAsia="Arial" w:hAnsi="Arial"/>
          <w:sz w:val="17"/>
          <w:szCs w:val="17"/>
          <w:color w:val="373535"/>
        </w:rPr>
        <w:t>When the €350.0 Notes mature, we plan to repay the amount with available cash, borrowings under our $600.0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should we decide to replace the €350.0 Notes.</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€ 350.0 Notes have been designated as a hedge of our net investment in subsidiaries with a euro-functional currency. Since our net investment in these subsidiaries exceeds the respective amount of the designated borrowings, translation gains or losses related to these borrowings are included as a component of accumulated other comprehensive income. (See the Significant Matters Affecting Results of Operations section of Management’s Discussion &amp; Analysis and Note 12 to the Consolidated Financial Statements for further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REVOLVING CREDIT AGREEMENT</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On October 15, 2013, we amended and restated our Five-Year Credit Agreement (“the Amended Agreement”) with a syndicate of commercial banks to, among other things: decrease the revolving commitments from $ 800.0 to $600.0, revise the termination date of the facility from October 5, 2016 to October 15, 2018, and permit the termination date of the facility to be extended by an additional year twice during the term of the Amended Agreement. The remaining material terms and conditions of the Amended Agreement are substantially similar to the material terms and conditions of our Five-Year Credit Agreement dated October 5, 2011.</w:t>
      </w:r>
    </w:p>
    <w:p>
      <w:pPr>
        <w:spacing w:after="0" w:line="158"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Amended Agreement allows for borrowing in various currencies and up to $150.0 may be used for the issuance of stand-by letters of credit. We had no borrowings under this facility as of both December 31, 2013 and 2012. Outstanding letters of credit issued under the Amended Agreement totaled $0.9 as of both December 31, 2013 and 2012. Additional borrowings of $599.1 and $799.1 were available to us under the facility as of December 31, 2013 and 2012, respectively.</w:t>
      </w:r>
    </w:p>
    <w:p>
      <w:pPr>
        <w:spacing w:after="0" w:line="17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Under the Amended Agreement, a credit ratings-based pricing grid determines the facility fee and the credit spread that we add to the applicable interbank borrowing rate on all borrowings. At our current credit rating, the annual facility fee is 22.5 bps paid on the entire $600.0 facility and the credit spread is 127.5 bps on any borrowings. Any downgrades from the credit agencies would unfavorably impact our facility fees and result in additional costs ranging from approximately $0.2 to $0.3 annually.</w:t>
      </w:r>
    </w:p>
    <w:p>
      <w:pPr>
        <w:spacing w:after="0" w:line="157"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The Amended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Debt-to-EBITDA) of not greater than 3.5 to 1 and a fixed charge coverage ratio of not less than 1.5 to 1. The Amended Agreement also contains customary events of default, including, among others, payment defaults, material inaccuracy of representations and warranties, covenant defaults, bankruptcy or involuntary proceedings, certain monetary and non-monetary judgments, change of control and customary ERISA defaults.</w:t>
      </w:r>
    </w:p>
    <w:p>
      <w:pPr>
        <w:spacing w:after="0" w:line="15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As defined in the Amended Agreement, we had a net Debt-to-EBITDA ratio of 0.28 to 1 (compared to the maximum allowable ratio of 3.5 to 1) and a Fixed Charge Coverage ratio of 3.29 to 1 (compared to the minimum required ratio of 1.5 to 1) as of December 31, 2013.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DEBT MATURITIES</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The maturities of long-term debt payable within each of the four years subsequent to December 31, 2014 are as follows: 2015 — $1.0, 2016 — $0.0, 2017 — $0.0, 2018 — $480.9.</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120" w:type="dxa"/>
            <w:vAlign w:val="bottom"/>
          </w:tcPr>
          <w:p>
            <w:pPr>
              <w:ind w:left="574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73535"/>
              </w:rPr>
              <w:t>71</w:t>
            </w:r>
          </w:p>
        </w:tc>
      </w:tr>
      <w:tr>
        <w:trPr>
          <w:trHeight w:val="418"/>
        </w:trPr>
        <w:tc>
          <w:tcPr>
            <w:tcW w:w="11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76AD9A"/>
        </w:rPr>
        <w:t>08.</w:t>
      </w:r>
    </w:p>
    <w:p>
      <w:pPr>
        <w:spacing w:after="0"/>
        <w:rPr>
          <w:sz w:val="20"/>
          <w:szCs w:val="20"/>
          <w:color w:val="auto"/>
        </w:rPr>
      </w:pPr>
      <w:r>
        <w:rPr>
          <w:rFonts w:ascii="Arial" w:cs="Arial" w:eastAsia="Arial" w:hAnsi="Arial"/>
          <w:sz w:val="17"/>
          <w:szCs w:val="17"/>
          <w:color w:val="76AD9A"/>
        </w:rPr>
        <w:t>Retirement and Deferred Compensation Plans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DEFINED BENEFIT PLANS</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We sponsor several qualified and nonqualified pension plans covering permanent employees. The reconciliation of the changes in the plans’ benefit obligations and the fair value of plan assets and the funded status of the plans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76AD9A"/>
              </w:rPr>
              <w:t>United States Plans</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color w:val="76AD9A"/>
              </w:rPr>
              <w:t>Non-United States Plans</w:t>
            </w:r>
          </w:p>
        </w:tc>
        <w:tc>
          <w:tcPr>
            <w:tcW w:w="0" w:type="dxa"/>
            <w:vAlign w:val="bottom"/>
          </w:tcPr>
          <w:p>
            <w:pPr>
              <w:spacing w:after="0"/>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40" w:type="dxa"/>
            <w:vAlign w:val="bottom"/>
            <w:tcBorders>
              <w:top w:val="single" w:sz="8" w:color="717073"/>
            </w:tcBorders>
            <w:shd w:val="clear" w:color="auto" w:fill="76AD9A"/>
          </w:tcPr>
          <w:p>
            <w:pPr>
              <w:spacing w:after="0"/>
              <w:rPr>
                <w:sz w:val="16"/>
                <w:szCs w:val="16"/>
                <w:color w:val="auto"/>
              </w:rPr>
            </w:pPr>
          </w:p>
        </w:tc>
        <w:tc>
          <w:tcPr>
            <w:tcW w:w="1040" w:type="dxa"/>
            <w:vAlign w:val="bottom"/>
            <w:tcBorders>
              <w:top w:val="single" w:sz="8" w:color="717073"/>
            </w:tcBorders>
            <w:shd w:val="clear" w:color="auto" w:fill="76AD9A"/>
          </w:tcPr>
          <w:p>
            <w:pPr>
              <w:jc w:val="right"/>
              <w:ind w:right="35"/>
              <w:spacing w:after="0"/>
              <w:rPr>
                <w:sz w:val="20"/>
                <w:szCs w:val="20"/>
                <w:color w:val="auto"/>
              </w:rPr>
            </w:pPr>
            <w:r>
              <w:rPr>
                <w:rFonts w:ascii="Arial" w:cs="Arial" w:eastAsia="Arial" w:hAnsi="Arial"/>
                <w:sz w:val="14"/>
                <w:szCs w:val="14"/>
                <w:b w:val="1"/>
                <w:bCs w:val="1"/>
                <w:color w:val="FFFFFF"/>
              </w:rPr>
              <w:t>2013</w:t>
            </w:r>
          </w:p>
        </w:tc>
        <w:tc>
          <w:tcPr>
            <w:tcW w:w="100" w:type="dxa"/>
            <w:vAlign w:val="bottom"/>
            <w:tcBorders>
              <w:top w:val="single" w:sz="8" w:color="717073"/>
            </w:tcBorders>
            <w:shd w:val="clear" w:color="auto" w:fill="76AD9A"/>
          </w:tcPr>
          <w:p>
            <w:pPr>
              <w:spacing w:after="0"/>
              <w:rPr>
                <w:sz w:val="16"/>
                <w:szCs w:val="16"/>
                <w:color w:val="auto"/>
              </w:rPr>
            </w:pPr>
          </w:p>
        </w:tc>
        <w:tc>
          <w:tcPr>
            <w:tcW w:w="52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jc w:val="right"/>
              <w:spacing w:after="0"/>
              <w:rPr>
                <w:sz w:val="20"/>
                <w:szCs w:val="20"/>
                <w:color w:val="auto"/>
              </w:rPr>
            </w:pPr>
            <w:r>
              <w:rPr>
                <w:rFonts w:ascii="Arial" w:cs="Arial" w:eastAsia="Arial" w:hAnsi="Arial"/>
                <w:sz w:val="14"/>
                <w:szCs w:val="14"/>
                <w:color w:val="76AD9A"/>
              </w:rPr>
              <w:t>2012</w:t>
            </w:r>
          </w:p>
        </w:tc>
        <w:tc>
          <w:tcPr>
            <w:tcW w:w="220" w:type="dxa"/>
            <w:vAlign w:val="bottom"/>
          </w:tcPr>
          <w:p>
            <w:pPr>
              <w:spacing w:after="0"/>
              <w:rPr>
                <w:sz w:val="16"/>
                <w:szCs w:val="16"/>
                <w:color w:val="auto"/>
              </w:rPr>
            </w:pPr>
          </w:p>
        </w:tc>
        <w:tc>
          <w:tcPr>
            <w:tcW w:w="220" w:type="dxa"/>
            <w:vAlign w:val="bottom"/>
            <w:tcBorders>
              <w:top w:val="single" w:sz="8" w:color="717073"/>
            </w:tcBorders>
            <w:shd w:val="clear" w:color="auto" w:fill="76AD9A"/>
          </w:tcPr>
          <w:p>
            <w:pPr>
              <w:spacing w:after="0"/>
              <w:rPr>
                <w:sz w:val="16"/>
                <w:szCs w:val="16"/>
                <w:color w:val="auto"/>
              </w:rPr>
            </w:pPr>
          </w:p>
        </w:tc>
        <w:tc>
          <w:tcPr>
            <w:tcW w:w="1120" w:type="dxa"/>
            <w:vAlign w:val="bottom"/>
            <w:tcBorders>
              <w:top w:val="single" w:sz="8" w:color="717073"/>
            </w:tcBorders>
            <w:shd w:val="clear" w:color="auto" w:fill="76AD9A"/>
          </w:tcPr>
          <w:p>
            <w:pPr>
              <w:jc w:val="right"/>
              <w:ind w:right="137"/>
              <w:spacing w:after="0"/>
              <w:rPr>
                <w:sz w:val="20"/>
                <w:szCs w:val="20"/>
                <w:color w:val="auto"/>
              </w:rPr>
            </w:pPr>
            <w:r>
              <w:rPr>
                <w:rFonts w:ascii="Arial" w:cs="Arial" w:eastAsia="Arial" w:hAnsi="Arial"/>
                <w:sz w:val="14"/>
                <w:szCs w:val="14"/>
                <w:b w:val="1"/>
                <w:bCs w:val="1"/>
                <w:color w:val="FFFFFF"/>
              </w:rPr>
              <w:t>2013</w:t>
            </w:r>
          </w:p>
        </w:tc>
        <w:tc>
          <w:tcPr>
            <w:tcW w:w="48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jc w:val="right"/>
              <w:spacing w:after="0"/>
              <w:rPr>
                <w:sz w:val="20"/>
                <w:szCs w:val="20"/>
                <w:color w:val="auto"/>
              </w:rPr>
            </w:pPr>
            <w:r>
              <w:rPr>
                <w:rFonts w:ascii="Arial" w:cs="Arial" w:eastAsia="Arial" w:hAnsi="Arial"/>
                <w:sz w:val="14"/>
                <w:szCs w:val="14"/>
                <w:color w:val="76AD9A"/>
              </w:rPr>
              <w:t>2012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77679"/>
              </w:rPr>
              <w:t>Change in Benefit Obligation</w:t>
            </w:r>
          </w:p>
        </w:tc>
        <w:tc>
          <w:tcPr>
            <w:tcW w:w="240" w:type="dxa"/>
            <w:vAlign w:val="bottom"/>
            <w:tcBorders>
              <w:top w:val="single" w:sz="8" w:color="76AD9A"/>
            </w:tcBorders>
            <w:shd w:val="clear" w:color="auto" w:fill="EEF5F2"/>
          </w:tcPr>
          <w:p>
            <w:pPr>
              <w:spacing w:after="0"/>
              <w:rPr>
                <w:sz w:val="16"/>
                <w:szCs w:val="16"/>
                <w:color w:val="auto"/>
              </w:rPr>
            </w:pPr>
          </w:p>
        </w:tc>
        <w:tc>
          <w:tcPr>
            <w:tcW w:w="1040" w:type="dxa"/>
            <w:vAlign w:val="bottom"/>
            <w:tcBorders>
              <w:top w:val="single" w:sz="8" w:color="76AD9A"/>
            </w:tcBorders>
            <w:shd w:val="clear" w:color="auto" w:fill="EEF5F2"/>
          </w:tcPr>
          <w:p>
            <w:pPr>
              <w:spacing w:after="0"/>
              <w:rPr>
                <w:sz w:val="16"/>
                <w:szCs w:val="16"/>
                <w:color w:val="auto"/>
              </w:rPr>
            </w:pPr>
          </w:p>
        </w:tc>
        <w:tc>
          <w:tcPr>
            <w:tcW w:w="100" w:type="dxa"/>
            <w:vAlign w:val="bottom"/>
            <w:tcBorders>
              <w:top w:val="single" w:sz="8" w:color="76AD9A"/>
            </w:tcBorders>
            <w:shd w:val="clear" w:color="auto" w:fill="EEF5F2"/>
          </w:tcPr>
          <w:p>
            <w:pPr>
              <w:spacing w:after="0"/>
              <w:rPr>
                <w:sz w:val="16"/>
                <w:szCs w:val="16"/>
                <w:color w:val="auto"/>
              </w:rPr>
            </w:pPr>
          </w:p>
        </w:tc>
        <w:tc>
          <w:tcPr>
            <w:tcW w:w="52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shd w:val="clear" w:color="auto" w:fill="EEF5F2"/>
          </w:tcPr>
          <w:p>
            <w:pPr>
              <w:spacing w:after="0"/>
              <w:rPr>
                <w:sz w:val="16"/>
                <w:szCs w:val="16"/>
                <w:color w:val="auto"/>
              </w:rPr>
            </w:pPr>
          </w:p>
        </w:tc>
        <w:tc>
          <w:tcPr>
            <w:tcW w:w="1120" w:type="dxa"/>
            <w:vAlign w:val="bottom"/>
            <w:tcBorders>
              <w:top w:val="single" w:sz="8" w:color="76AD9A"/>
            </w:tcBorders>
            <w:shd w:val="clear" w:color="auto" w:fill="EEF5F2"/>
          </w:tcPr>
          <w:p>
            <w:pPr>
              <w:spacing w:after="0"/>
              <w:rPr>
                <w:sz w:val="16"/>
                <w:szCs w:val="16"/>
                <w:color w:val="auto"/>
              </w:rPr>
            </w:pPr>
          </w:p>
        </w:tc>
        <w:tc>
          <w:tcPr>
            <w:tcW w:w="48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373535"/>
              </w:rPr>
              <w:t>Benefit obligation, beginning of year</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61.9</w:t>
            </w:r>
          </w:p>
        </w:tc>
        <w:tc>
          <w:tcPr>
            <w:tcW w:w="100" w:type="dxa"/>
            <w:vAlign w:val="bottom"/>
            <w:shd w:val="clear" w:color="auto" w:fill="EEF5F2"/>
          </w:tcPr>
          <w:p>
            <w:pPr>
              <w:spacing w:after="0"/>
              <w:rPr>
                <w:sz w:val="16"/>
                <w:szCs w:val="16"/>
                <w:color w:val="auto"/>
              </w:rPr>
            </w:pPr>
          </w:p>
        </w:tc>
        <w:tc>
          <w:tcPr>
            <w:tcW w:w="52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57.5</w:t>
            </w: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120" w:type="dxa"/>
            <w:vAlign w:val="bottom"/>
            <w:shd w:val="clear" w:color="auto" w:fill="EEF5F2"/>
          </w:tcPr>
          <w:p>
            <w:pPr>
              <w:jc w:val="right"/>
              <w:ind w:right="137"/>
              <w:spacing w:after="0" w:line="194" w:lineRule="exact"/>
              <w:rPr>
                <w:sz w:val="20"/>
                <w:szCs w:val="20"/>
                <w:color w:val="auto"/>
              </w:rPr>
            </w:pPr>
            <w:r>
              <w:rPr>
                <w:rFonts w:ascii="Arial" w:cs="Arial" w:eastAsia="Arial" w:hAnsi="Arial"/>
                <w:sz w:val="17"/>
                <w:szCs w:val="17"/>
                <w:color w:val="76AD9A"/>
              </w:rPr>
              <w:t>315.2</w:t>
            </w:r>
          </w:p>
        </w:tc>
        <w:tc>
          <w:tcPr>
            <w:tcW w:w="4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264.7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40" w:type="dxa"/>
            <w:vAlign w:val="bottom"/>
          </w:tcPr>
          <w:p>
            <w:pPr>
              <w:ind w:left="140"/>
              <w:spacing w:after="0" w:line="193" w:lineRule="exact"/>
              <w:rPr>
                <w:sz w:val="20"/>
                <w:szCs w:val="20"/>
                <w:color w:val="auto"/>
              </w:rPr>
            </w:pPr>
            <w:r>
              <w:rPr>
                <w:rFonts w:ascii="Arial" w:cs="Arial" w:eastAsia="Arial" w:hAnsi="Arial"/>
                <w:sz w:val="17"/>
                <w:szCs w:val="17"/>
                <w:color w:val="373535"/>
              </w:rPr>
              <w:t>Service cost</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3" w:lineRule="exact"/>
              <w:rPr>
                <w:sz w:val="20"/>
                <w:szCs w:val="20"/>
                <w:color w:val="auto"/>
              </w:rPr>
            </w:pPr>
            <w:r>
              <w:rPr>
                <w:rFonts w:ascii="Arial" w:cs="Arial" w:eastAsia="Arial" w:hAnsi="Arial"/>
                <w:sz w:val="17"/>
                <w:szCs w:val="17"/>
                <w:color w:val="76AD9A"/>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3" w:lineRule="exact"/>
              <w:rPr>
                <w:sz w:val="20"/>
                <w:szCs w:val="20"/>
                <w:color w:val="auto"/>
              </w:rPr>
            </w:pPr>
            <w:r>
              <w:rPr>
                <w:rFonts w:ascii="Arial" w:cs="Arial" w:eastAsia="Arial" w:hAnsi="Arial"/>
                <w:sz w:val="17"/>
                <w:szCs w:val="17"/>
                <w:color w:val="373535"/>
              </w:rPr>
              <w:t>—</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37"/>
              <w:spacing w:after="0" w:line="193" w:lineRule="exact"/>
              <w:rPr>
                <w:sz w:val="20"/>
                <w:szCs w:val="20"/>
                <w:color w:val="auto"/>
              </w:rPr>
            </w:pPr>
            <w:r>
              <w:rPr>
                <w:rFonts w:ascii="Arial" w:cs="Arial" w:eastAsia="Arial" w:hAnsi="Arial"/>
                <w:sz w:val="17"/>
                <w:szCs w:val="17"/>
                <w:color w:val="76AD9A"/>
              </w:rPr>
              <w:t>8.7</w:t>
            </w:r>
          </w:p>
        </w:tc>
        <w:tc>
          <w:tcPr>
            <w:tcW w:w="48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Arial" w:cs="Arial" w:eastAsia="Arial" w:hAnsi="Arial"/>
                <w:sz w:val="17"/>
                <w:szCs w:val="17"/>
                <w:color w:val="373535"/>
              </w:rPr>
              <w:t>10.4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Interest cost</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2.2</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2.6</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37"/>
              <w:spacing w:after="0" w:line="194" w:lineRule="exact"/>
              <w:rPr>
                <w:sz w:val="20"/>
                <w:szCs w:val="20"/>
                <w:color w:val="auto"/>
              </w:rPr>
            </w:pPr>
            <w:r>
              <w:rPr>
                <w:rFonts w:ascii="Arial" w:cs="Arial" w:eastAsia="Arial" w:hAnsi="Arial"/>
                <w:sz w:val="17"/>
                <w:szCs w:val="17"/>
                <w:color w:val="76AD9A"/>
              </w:rPr>
              <w:t>12.6</w:t>
            </w:r>
          </w:p>
        </w:tc>
        <w:tc>
          <w:tcPr>
            <w:tcW w:w="4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12.5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Curtailments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77"/>
              <w:spacing w:after="0" w:line="194" w:lineRule="exact"/>
              <w:rPr>
                <w:sz w:val="20"/>
                <w:szCs w:val="20"/>
                <w:color w:val="auto"/>
              </w:rPr>
            </w:pPr>
            <w:r>
              <w:rPr>
                <w:rFonts w:ascii="Arial" w:cs="Arial" w:eastAsia="Arial" w:hAnsi="Arial"/>
                <w:sz w:val="17"/>
                <w:szCs w:val="17"/>
                <w:color w:val="76AD9A"/>
              </w:rPr>
              <w:t>(3.4)</w:t>
            </w:r>
          </w:p>
        </w:tc>
        <w:tc>
          <w:tcPr>
            <w:tcW w:w="480" w:type="dxa"/>
            <w:vAlign w:val="bottom"/>
          </w:tcPr>
          <w:p>
            <w:pPr>
              <w:spacing w:after="0"/>
              <w:rPr>
                <w:sz w:val="16"/>
                <w:szCs w:val="16"/>
                <w:color w:val="auto"/>
              </w:rPr>
            </w:pP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Transfers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77"/>
              <w:spacing w:after="0" w:line="194" w:lineRule="exact"/>
              <w:rPr>
                <w:sz w:val="20"/>
                <w:szCs w:val="20"/>
                <w:color w:val="auto"/>
              </w:rPr>
            </w:pPr>
            <w:r>
              <w:rPr>
                <w:rFonts w:ascii="Arial" w:cs="Arial" w:eastAsia="Arial" w:hAnsi="Arial"/>
                <w:sz w:val="17"/>
                <w:szCs w:val="17"/>
                <w:color w:val="76AD9A"/>
              </w:rPr>
              <w:t>(0.3)</w:t>
            </w:r>
          </w:p>
        </w:tc>
        <w:tc>
          <w:tcPr>
            <w:tcW w:w="480" w:type="dxa"/>
            <w:vAlign w:val="bottom"/>
          </w:tcPr>
          <w:p>
            <w:pPr>
              <w:spacing w:after="0"/>
              <w:rPr>
                <w:sz w:val="16"/>
                <w:szCs w:val="16"/>
                <w:color w:val="auto"/>
              </w:rPr>
            </w:pP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Actuarial (gain) loss</w:t>
            </w:r>
          </w:p>
        </w:tc>
        <w:tc>
          <w:tcPr>
            <w:tcW w:w="24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(5.9)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6.0</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77"/>
              <w:spacing w:after="0" w:line="194" w:lineRule="exact"/>
              <w:rPr>
                <w:sz w:val="20"/>
                <w:szCs w:val="20"/>
                <w:color w:val="auto"/>
              </w:rPr>
            </w:pPr>
            <w:r>
              <w:rPr>
                <w:rFonts w:ascii="Arial" w:cs="Arial" w:eastAsia="Arial" w:hAnsi="Arial"/>
                <w:sz w:val="17"/>
                <w:szCs w:val="17"/>
                <w:color w:val="76AD9A"/>
              </w:rPr>
              <w:t>(0.6)</w:t>
            </w:r>
          </w:p>
        </w:tc>
        <w:tc>
          <w:tcPr>
            <w:tcW w:w="4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20.4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Plan participant contributions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37"/>
              <w:spacing w:after="0" w:line="194" w:lineRule="exact"/>
              <w:rPr>
                <w:sz w:val="20"/>
                <w:szCs w:val="20"/>
                <w:color w:val="auto"/>
              </w:rPr>
            </w:pPr>
            <w:r>
              <w:rPr>
                <w:rFonts w:ascii="Arial" w:cs="Arial" w:eastAsia="Arial" w:hAnsi="Arial"/>
                <w:sz w:val="17"/>
                <w:szCs w:val="17"/>
                <w:color w:val="76AD9A"/>
              </w:rPr>
              <w:t>0.4</w:t>
            </w:r>
          </w:p>
        </w:tc>
        <w:tc>
          <w:tcPr>
            <w:tcW w:w="4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373535"/>
              </w:rPr>
              <w:t>Benefits paid</w:t>
            </w:r>
          </w:p>
        </w:tc>
        <w:tc>
          <w:tcPr>
            <w:tcW w:w="240" w:type="dxa"/>
            <w:vAlign w:val="bottom"/>
            <w:shd w:val="clear" w:color="auto" w:fill="EEF5F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(4.4)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73535"/>
              </w:rPr>
              <w:t>(4.2)</w:t>
            </w:r>
          </w:p>
        </w:tc>
        <w:tc>
          <w:tcPr>
            <w:tcW w:w="220" w:type="dxa"/>
            <w:vAlign w:val="bottom"/>
            <w:shd w:val="clear" w:color="auto" w:fill="EEF5F2"/>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76AD9A"/>
              </w:rPr>
              <w:t>(6.7)</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373535"/>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Currency exchange rate changes</w:t>
            </w:r>
          </w:p>
        </w:tc>
        <w:tc>
          <w:tcPr>
            <w:tcW w:w="24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ind w:right="35"/>
              <w:spacing w:after="0"/>
              <w:rPr>
                <w:sz w:val="20"/>
                <w:szCs w:val="20"/>
                <w:color w:val="auto"/>
              </w:rPr>
            </w:pPr>
            <w:r>
              <w:rPr>
                <w:rFonts w:ascii="Arial" w:cs="Arial" w:eastAsia="Arial" w:hAnsi="Arial"/>
                <w:sz w:val="17"/>
                <w:szCs w:val="17"/>
                <w:color w:val="76AD9A"/>
              </w:rPr>
              <w:t>—</w:t>
            </w:r>
          </w:p>
        </w:tc>
        <w:tc>
          <w:tcPr>
            <w:tcW w:w="100" w:type="dxa"/>
            <w:vAlign w:val="bottom"/>
            <w:tcBorders>
              <w:bottom w:val="single" w:sz="8" w:color="717073"/>
            </w:tcBorders>
          </w:tcPr>
          <w:p>
            <w:pPr>
              <w:spacing w:after="0"/>
              <w:rPr>
                <w:sz w:val="16"/>
                <w:szCs w:val="16"/>
                <w:color w:val="auto"/>
              </w:rPr>
            </w:pPr>
          </w:p>
        </w:tc>
        <w:tc>
          <w:tcPr>
            <w:tcW w:w="520" w:type="dxa"/>
            <w:vAlign w:val="bottom"/>
            <w:tcBorders>
              <w:bottom w:val="single" w:sz="8" w:color="717073"/>
            </w:tcBorders>
          </w:tcPr>
          <w:p>
            <w:pPr>
              <w:spacing w:after="0"/>
              <w:rPr>
                <w:sz w:val="16"/>
                <w:szCs w:val="16"/>
                <w:color w:val="auto"/>
              </w:rPr>
            </w:pPr>
          </w:p>
        </w:tc>
        <w:tc>
          <w:tcPr>
            <w:tcW w:w="880" w:type="dxa"/>
            <w:vAlign w:val="bottom"/>
            <w:tcBorders>
              <w:bottom w:val="single" w:sz="8" w:color="717073"/>
            </w:tcBorders>
            <w:gridSpan w:val="2"/>
          </w:tcPr>
          <w:p>
            <w:pPr>
              <w:jc w:val="right"/>
              <w:ind w:right="220"/>
              <w:spacing w:after="0"/>
              <w:rPr>
                <w:sz w:val="20"/>
                <w:szCs w:val="20"/>
                <w:color w:val="auto"/>
              </w:rPr>
            </w:pPr>
            <w:r>
              <w:rPr>
                <w:rFonts w:ascii="Arial" w:cs="Arial" w:eastAsia="Arial" w:hAnsi="Arial"/>
                <w:sz w:val="17"/>
                <w:szCs w:val="17"/>
                <w:color w:val="373535"/>
              </w:rPr>
              <w:t>—</w:t>
            </w:r>
          </w:p>
        </w:tc>
        <w:tc>
          <w:tcPr>
            <w:tcW w:w="220" w:type="dxa"/>
            <w:vAlign w:val="bottom"/>
            <w:tcBorders>
              <w:bottom w:val="single" w:sz="8" w:color="717073"/>
            </w:tcBorders>
            <w:shd w:val="clear" w:color="auto" w:fill="EEF5F2"/>
          </w:tcPr>
          <w:p>
            <w:pPr>
              <w:spacing w:after="0"/>
              <w:rPr>
                <w:sz w:val="16"/>
                <w:szCs w:val="16"/>
                <w:color w:val="auto"/>
              </w:rPr>
            </w:pPr>
          </w:p>
        </w:tc>
        <w:tc>
          <w:tcPr>
            <w:tcW w:w="1120" w:type="dxa"/>
            <w:vAlign w:val="bottom"/>
            <w:tcBorders>
              <w:bottom w:val="single" w:sz="8" w:color="717073"/>
            </w:tcBorders>
          </w:tcPr>
          <w:p>
            <w:pPr>
              <w:jc w:val="right"/>
              <w:ind w:right="137"/>
              <w:spacing w:after="0"/>
              <w:rPr>
                <w:sz w:val="20"/>
                <w:szCs w:val="20"/>
                <w:color w:val="auto"/>
              </w:rPr>
            </w:pPr>
            <w:r>
              <w:rPr>
                <w:rFonts w:ascii="Arial" w:cs="Arial" w:eastAsia="Arial" w:hAnsi="Arial"/>
                <w:sz w:val="17"/>
                <w:szCs w:val="17"/>
                <w:color w:val="76AD9A"/>
              </w:rPr>
              <w:t>5.7</w:t>
            </w:r>
          </w:p>
        </w:tc>
        <w:tc>
          <w:tcPr>
            <w:tcW w:w="4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10.7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Benefit obligation, end of year</w:t>
            </w:r>
          </w:p>
        </w:tc>
        <w:tc>
          <w:tcPr>
            <w:tcW w:w="24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53.8</w:t>
            </w:r>
          </w:p>
        </w:tc>
        <w:tc>
          <w:tcPr>
            <w:tcW w:w="100" w:type="dxa"/>
            <w:vAlign w:val="bottom"/>
            <w:tcBorders>
              <w:bottom w:val="single" w:sz="8" w:color="717073"/>
            </w:tcBorders>
          </w:tcPr>
          <w:p>
            <w:pPr>
              <w:spacing w:after="0"/>
              <w:rPr>
                <w:sz w:val="16"/>
                <w:szCs w:val="16"/>
                <w:color w:val="auto"/>
              </w:rPr>
            </w:pPr>
          </w:p>
        </w:tc>
        <w:tc>
          <w:tcPr>
            <w:tcW w:w="520" w:type="dxa"/>
            <w:vAlign w:val="bottom"/>
            <w:tcBorders>
              <w:bottom w:val="single" w:sz="8" w:color="717073"/>
            </w:tcBorders>
          </w:tcPr>
          <w:p>
            <w:pPr>
              <w:jc w:val="right"/>
              <w:ind w:right="174"/>
              <w:spacing w:after="0" w:line="186" w:lineRule="exact"/>
              <w:rPr>
                <w:sz w:val="20"/>
                <w:szCs w:val="20"/>
                <w:color w:val="auto"/>
              </w:rPr>
            </w:pPr>
            <w:r>
              <w:rPr>
                <w:rFonts w:ascii="Arial" w:cs="Arial" w:eastAsia="Arial" w:hAnsi="Arial"/>
                <w:sz w:val="17"/>
                <w:szCs w:val="17"/>
                <w:color w:val="373535"/>
              </w:rPr>
              <w:t>$</w:t>
            </w:r>
          </w:p>
        </w:tc>
        <w:tc>
          <w:tcPr>
            <w:tcW w:w="880" w:type="dxa"/>
            <w:vAlign w:val="bottom"/>
            <w:tcBorders>
              <w:bottom w:val="single" w:sz="8" w:color="717073"/>
            </w:tcBorders>
            <w:gridSpan w:val="2"/>
          </w:tcPr>
          <w:p>
            <w:pPr>
              <w:jc w:val="right"/>
              <w:ind w:right="220"/>
              <w:spacing w:after="0" w:line="186" w:lineRule="exact"/>
              <w:rPr>
                <w:sz w:val="20"/>
                <w:szCs w:val="20"/>
                <w:color w:val="auto"/>
              </w:rPr>
            </w:pPr>
            <w:r>
              <w:rPr>
                <w:rFonts w:ascii="Arial" w:cs="Arial" w:eastAsia="Arial" w:hAnsi="Arial"/>
                <w:sz w:val="17"/>
                <w:szCs w:val="17"/>
                <w:color w:val="373535"/>
              </w:rPr>
              <w:t>61.9</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20" w:type="dxa"/>
            <w:vAlign w:val="bottom"/>
            <w:tcBorders>
              <w:bottom w:val="single" w:sz="8" w:color="717073"/>
            </w:tcBorders>
          </w:tcPr>
          <w:p>
            <w:pPr>
              <w:jc w:val="right"/>
              <w:ind w:right="137"/>
              <w:spacing w:after="0" w:line="186" w:lineRule="exact"/>
              <w:rPr>
                <w:sz w:val="20"/>
                <w:szCs w:val="20"/>
                <w:color w:val="auto"/>
              </w:rPr>
            </w:pPr>
            <w:r>
              <w:rPr>
                <w:rFonts w:ascii="Arial" w:cs="Arial" w:eastAsia="Arial" w:hAnsi="Arial"/>
                <w:sz w:val="17"/>
                <w:szCs w:val="17"/>
                <w:color w:val="76AD9A"/>
              </w:rPr>
              <w:t>331.6</w:t>
            </w:r>
          </w:p>
        </w:tc>
        <w:tc>
          <w:tcPr>
            <w:tcW w:w="480" w:type="dxa"/>
            <w:vAlign w:val="bottom"/>
            <w:tcBorders>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315.2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Arial" w:cs="Arial" w:eastAsia="Arial" w:hAnsi="Arial"/>
                <w:sz w:val="14"/>
                <w:szCs w:val="14"/>
                <w:color w:val="76AD9A"/>
              </w:rPr>
              <w:t>United States Plans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4"/>
          </w:tcPr>
          <w:p>
            <w:pPr>
              <w:jc w:val="right"/>
              <w:spacing w:after="0"/>
              <w:rPr>
                <w:sz w:val="20"/>
                <w:szCs w:val="20"/>
                <w:color w:val="auto"/>
              </w:rPr>
            </w:pPr>
            <w:r>
              <w:rPr>
                <w:rFonts w:ascii="Arial" w:cs="Arial" w:eastAsia="Arial" w:hAnsi="Arial"/>
                <w:sz w:val="14"/>
                <w:szCs w:val="14"/>
                <w:color w:val="76AD9A"/>
              </w:rPr>
              <w:t>Non-United States Plans</w:t>
            </w:r>
          </w:p>
        </w:tc>
        <w:tc>
          <w:tcPr>
            <w:tcW w:w="0" w:type="dxa"/>
            <w:vAlign w:val="bottom"/>
          </w:tcPr>
          <w:p>
            <w:pPr>
              <w:spacing w:after="0"/>
              <w:rPr>
                <w:sz w:val="1"/>
                <w:szCs w:val="1"/>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40" w:type="dxa"/>
            <w:vAlign w:val="bottom"/>
            <w:tcBorders>
              <w:top w:val="single" w:sz="8" w:color="717073"/>
            </w:tcBorders>
            <w:shd w:val="clear" w:color="auto" w:fill="76AD9A"/>
          </w:tcPr>
          <w:p>
            <w:pPr>
              <w:spacing w:after="0"/>
              <w:rPr>
                <w:sz w:val="16"/>
                <w:szCs w:val="16"/>
                <w:color w:val="auto"/>
              </w:rPr>
            </w:pPr>
          </w:p>
        </w:tc>
        <w:tc>
          <w:tcPr>
            <w:tcW w:w="1040" w:type="dxa"/>
            <w:vAlign w:val="bottom"/>
            <w:tcBorders>
              <w:top w:val="single" w:sz="8" w:color="717073"/>
            </w:tcBorders>
            <w:shd w:val="clear" w:color="auto" w:fill="76AD9A"/>
          </w:tcPr>
          <w:p>
            <w:pPr>
              <w:jc w:val="right"/>
              <w:ind w:right="35"/>
              <w:spacing w:after="0"/>
              <w:rPr>
                <w:sz w:val="20"/>
                <w:szCs w:val="20"/>
                <w:color w:val="auto"/>
              </w:rPr>
            </w:pPr>
            <w:r>
              <w:rPr>
                <w:rFonts w:ascii="Arial" w:cs="Arial" w:eastAsia="Arial" w:hAnsi="Arial"/>
                <w:sz w:val="14"/>
                <w:szCs w:val="14"/>
                <w:b w:val="1"/>
                <w:bCs w:val="1"/>
                <w:color w:val="FFFFFF"/>
              </w:rPr>
              <w:t>2013</w:t>
            </w:r>
          </w:p>
        </w:tc>
        <w:tc>
          <w:tcPr>
            <w:tcW w:w="100" w:type="dxa"/>
            <w:vAlign w:val="bottom"/>
            <w:tcBorders>
              <w:top w:val="single" w:sz="8" w:color="717073"/>
            </w:tcBorders>
            <w:shd w:val="clear" w:color="auto" w:fill="76AD9A"/>
          </w:tcPr>
          <w:p>
            <w:pPr>
              <w:spacing w:after="0"/>
              <w:rPr>
                <w:sz w:val="16"/>
                <w:szCs w:val="16"/>
                <w:color w:val="auto"/>
              </w:rPr>
            </w:pPr>
          </w:p>
        </w:tc>
        <w:tc>
          <w:tcPr>
            <w:tcW w:w="52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jc w:val="right"/>
              <w:spacing w:after="0"/>
              <w:rPr>
                <w:sz w:val="20"/>
                <w:szCs w:val="20"/>
                <w:color w:val="auto"/>
              </w:rPr>
            </w:pPr>
            <w:r>
              <w:rPr>
                <w:rFonts w:ascii="Arial" w:cs="Arial" w:eastAsia="Arial" w:hAnsi="Arial"/>
                <w:sz w:val="14"/>
                <w:szCs w:val="14"/>
                <w:color w:val="76AD9A"/>
              </w:rPr>
              <w:t>2012</w:t>
            </w:r>
          </w:p>
        </w:tc>
        <w:tc>
          <w:tcPr>
            <w:tcW w:w="220" w:type="dxa"/>
            <w:vAlign w:val="bottom"/>
          </w:tcPr>
          <w:p>
            <w:pPr>
              <w:spacing w:after="0"/>
              <w:rPr>
                <w:sz w:val="16"/>
                <w:szCs w:val="16"/>
                <w:color w:val="auto"/>
              </w:rPr>
            </w:pPr>
          </w:p>
        </w:tc>
        <w:tc>
          <w:tcPr>
            <w:tcW w:w="220" w:type="dxa"/>
            <w:vAlign w:val="bottom"/>
            <w:tcBorders>
              <w:top w:val="single" w:sz="8" w:color="717073"/>
            </w:tcBorders>
            <w:shd w:val="clear" w:color="auto" w:fill="76AD9A"/>
          </w:tcPr>
          <w:p>
            <w:pPr>
              <w:spacing w:after="0"/>
              <w:rPr>
                <w:sz w:val="16"/>
                <w:szCs w:val="16"/>
                <w:color w:val="auto"/>
              </w:rPr>
            </w:pPr>
          </w:p>
        </w:tc>
        <w:tc>
          <w:tcPr>
            <w:tcW w:w="1120" w:type="dxa"/>
            <w:vAlign w:val="bottom"/>
            <w:tcBorders>
              <w:top w:val="single" w:sz="8" w:color="717073"/>
            </w:tcBorders>
            <w:shd w:val="clear" w:color="auto" w:fill="76AD9A"/>
          </w:tcPr>
          <w:p>
            <w:pPr>
              <w:jc w:val="right"/>
              <w:ind w:right="137"/>
              <w:spacing w:after="0"/>
              <w:rPr>
                <w:sz w:val="20"/>
                <w:szCs w:val="20"/>
                <w:color w:val="auto"/>
              </w:rPr>
            </w:pPr>
            <w:r>
              <w:rPr>
                <w:rFonts w:ascii="Arial" w:cs="Arial" w:eastAsia="Arial" w:hAnsi="Arial"/>
                <w:sz w:val="14"/>
                <w:szCs w:val="14"/>
                <w:b w:val="1"/>
                <w:bCs w:val="1"/>
                <w:color w:val="FFFFFF"/>
              </w:rPr>
              <w:t>2013</w:t>
            </w:r>
          </w:p>
        </w:tc>
        <w:tc>
          <w:tcPr>
            <w:tcW w:w="48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jc w:val="right"/>
              <w:spacing w:after="0"/>
              <w:rPr>
                <w:sz w:val="20"/>
                <w:szCs w:val="20"/>
                <w:color w:val="auto"/>
              </w:rPr>
            </w:pPr>
            <w:r>
              <w:rPr>
                <w:rFonts w:ascii="Arial" w:cs="Arial" w:eastAsia="Arial" w:hAnsi="Arial"/>
                <w:sz w:val="14"/>
                <w:szCs w:val="14"/>
                <w:color w:val="76AD9A"/>
              </w:rPr>
              <w:t>2012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0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77679"/>
              </w:rPr>
              <w:t>Change in Plan Assets</w:t>
            </w:r>
          </w:p>
        </w:tc>
        <w:tc>
          <w:tcPr>
            <w:tcW w:w="240" w:type="dxa"/>
            <w:vAlign w:val="bottom"/>
            <w:tcBorders>
              <w:top w:val="single" w:sz="8" w:color="76AD9A"/>
            </w:tcBorders>
            <w:shd w:val="clear" w:color="auto" w:fill="EEF5F2"/>
          </w:tcPr>
          <w:p>
            <w:pPr>
              <w:spacing w:after="0"/>
              <w:rPr>
                <w:sz w:val="16"/>
                <w:szCs w:val="16"/>
                <w:color w:val="auto"/>
              </w:rPr>
            </w:pPr>
          </w:p>
        </w:tc>
        <w:tc>
          <w:tcPr>
            <w:tcW w:w="1040" w:type="dxa"/>
            <w:vAlign w:val="bottom"/>
            <w:tcBorders>
              <w:top w:val="single" w:sz="8" w:color="76AD9A"/>
            </w:tcBorders>
            <w:shd w:val="clear" w:color="auto" w:fill="EEF5F2"/>
          </w:tcPr>
          <w:p>
            <w:pPr>
              <w:spacing w:after="0"/>
              <w:rPr>
                <w:sz w:val="16"/>
                <w:szCs w:val="16"/>
                <w:color w:val="auto"/>
              </w:rPr>
            </w:pPr>
          </w:p>
        </w:tc>
        <w:tc>
          <w:tcPr>
            <w:tcW w:w="100" w:type="dxa"/>
            <w:vAlign w:val="bottom"/>
            <w:tcBorders>
              <w:top w:val="single" w:sz="8" w:color="76AD9A"/>
            </w:tcBorders>
            <w:shd w:val="clear" w:color="auto" w:fill="EEF5F2"/>
          </w:tcPr>
          <w:p>
            <w:pPr>
              <w:spacing w:after="0"/>
              <w:rPr>
                <w:sz w:val="16"/>
                <w:szCs w:val="16"/>
                <w:color w:val="auto"/>
              </w:rPr>
            </w:pPr>
          </w:p>
        </w:tc>
        <w:tc>
          <w:tcPr>
            <w:tcW w:w="52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shd w:val="clear" w:color="auto" w:fill="EEF5F2"/>
          </w:tcPr>
          <w:p>
            <w:pPr>
              <w:spacing w:after="0"/>
              <w:rPr>
                <w:sz w:val="16"/>
                <w:szCs w:val="16"/>
                <w:color w:val="auto"/>
              </w:rPr>
            </w:pPr>
          </w:p>
        </w:tc>
        <w:tc>
          <w:tcPr>
            <w:tcW w:w="1120" w:type="dxa"/>
            <w:vAlign w:val="bottom"/>
            <w:tcBorders>
              <w:top w:val="single" w:sz="8" w:color="76AD9A"/>
            </w:tcBorders>
            <w:shd w:val="clear" w:color="auto" w:fill="EEF5F2"/>
          </w:tcPr>
          <w:p>
            <w:pPr>
              <w:spacing w:after="0"/>
              <w:rPr>
                <w:sz w:val="16"/>
                <w:szCs w:val="16"/>
                <w:color w:val="auto"/>
              </w:rPr>
            </w:pPr>
          </w:p>
        </w:tc>
        <w:tc>
          <w:tcPr>
            <w:tcW w:w="48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373535"/>
              </w:rPr>
              <w:t>Fair value of plan assets, beginning of year</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36.0</w:t>
            </w:r>
          </w:p>
        </w:tc>
        <w:tc>
          <w:tcPr>
            <w:tcW w:w="100" w:type="dxa"/>
            <w:vAlign w:val="bottom"/>
            <w:shd w:val="clear" w:color="auto" w:fill="EEF5F2"/>
          </w:tcPr>
          <w:p>
            <w:pPr>
              <w:spacing w:after="0"/>
              <w:rPr>
                <w:sz w:val="16"/>
                <w:szCs w:val="16"/>
                <w:color w:val="auto"/>
              </w:rPr>
            </w:pPr>
          </w:p>
        </w:tc>
        <w:tc>
          <w:tcPr>
            <w:tcW w:w="52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34.7</w:t>
            </w: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120" w:type="dxa"/>
            <w:vAlign w:val="bottom"/>
            <w:shd w:val="clear" w:color="auto" w:fill="EEF5F2"/>
          </w:tcPr>
          <w:p>
            <w:pPr>
              <w:jc w:val="right"/>
              <w:ind w:right="137"/>
              <w:spacing w:after="0" w:line="194" w:lineRule="exact"/>
              <w:rPr>
                <w:sz w:val="20"/>
                <w:szCs w:val="20"/>
                <w:color w:val="auto"/>
              </w:rPr>
            </w:pPr>
            <w:r>
              <w:rPr>
                <w:rFonts w:ascii="Arial" w:cs="Arial" w:eastAsia="Arial" w:hAnsi="Arial"/>
                <w:sz w:val="17"/>
                <w:szCs w:val="17"/>
                <w:color w:val="76AD9A"/>
              </w:rPr>
              <w:t>296.4</w:t>
            </w:r>
          </w:p>
        </w:tc>
        <w:tc>
          <w:tcPr>
            <w:tcW w:w="4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250.4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040" w:type="dxa"/>
            <w:vAlign w:val="bottom"/>
          </w:tcPr>
          <w:p>
            <w:pPr>
              <w:ind w:left="140"/>
              <w:spacing w:after="0" w:line="193" w:lineRule="exact"/>
              <w:rPr>
                <w:sz w:val="20"/>
                <w:szCs w:val="20"/>
                <w:color w:val="auto"/>
              </w:rPr>
            </w:pPr>
            <w:r>
              <w:rPr>
                <w:rFonts w:ascii="Arial" w:cs="Arial" w:eastAsia="Arial" w:hAnsi="Arial"/>
                <w:sz w:val="17"/>
                <w:szCs w:val="17"/>
                <w:color w:val="373535"/>
              </w:rPr>
              <w:t>Actual return on plan assets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3" w:lineRule="exact"/>
              <w:rPr>
                <w:sz w:val="20"/>
                <w:szCs w:val="20"/>
                <w:color w:val="auto"/>
              </w:rPr>
            </w:pPr>
            <w:r>
              <w:rPr>
                <w:rFonts w:ascii="Arial" w:cs="Arial" w:eastAsia="Arial" w:hAnsi="Arial"/>
                <w:sz w:val="17"/>
                <w:szCs w:val="17"/>
                <w:color w:val="76AD9A"/>
              </w:rPr>
              <w:t>4.6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3" w:lineRule="exact"/>
              <w:rPr>
                <w:sz w:val="20"/>
                <w:szCs w:val="20"/>
                <w:color w:val="auto"/>
              </w:rPr>
            </w:pPr>
            <w:r>
              <w:rPr>
                <w:rFonts w:ascii="Arial" w:cs="Arial" w:eastAsia="Arial" w:hAnsi="Arial"/>
                <w:sz w:val="17"/>
                <w:szCs w:val="17"/>
                <w:color w:val="373535"/>
              </w:rPr>
              <w:t>2.8</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77"/>
              <w:spacing w:after="0" w:line="193" w:lineRule="exact"/>
              <w:rPr>
                <w:sz w:val="20"/>
                <w:szCs w:val="20"/>
                <w:color w:val="auto"/>
              </w:rPr>
            </w:pPr>
            <w:r>
              <w:rPr>
                <w:rFonts w:ascii="Arial" w:cs="Arial" w:eastAsia="Arial" w:hAnsi="Arial"/>
                <w:sz w:val="17"/>
                <w:szCs w:val="17"/>
                <w:color w:val="76AD9A"/>
              </w:rPr>
              <w:t>(4.2)</w:t>
            </w:r>
          </w:p>
        </w:tc>
        <w:tc>
          <w:tcPr>
            <w:tcW w:w="480" w:type="dxa"/>
            <w:vAlign w:val="bottom"/>
          </w:tcPr>
          <w:p>
            <w:pPr>
              <w:spacing w:after="0"/>
              <w:rPr>
                <w:sz w:val="16"/>
                <w:szCs w:val="16"/>
                <w:color w:val="auto"/>
              </w:rPr>
            </w:pPr>
          </w:p>
        </w:tc>
        <w:tc>
          <w:tcPr>
            <w:tcW w:w="660" w:type="dxa"/>
            <w:vAlign w:val="bottom"/>
          </w:tcPr>
          <w:p>
            <w:pPr>
              <w:jc w:val="right"/>
              <w:spacing w:after="0" w:line="193" w:lineRule="exact"/>
              <w:rPr>
                <w:sz w:val="20"/>
                <w:szCs w:val="20"/>
                <w:color w:val="auto"/>
              </w:rPr>
            </w:pPr>
            <w:r>
              <w:rPr>
                <w:rFonts w:ascii="Arial" w:cs="Arial" w:eastAsia="Arial" w:hAnsi="Arial"/>
                <w:sz w:val="17"/>
                <w:szCs w:val="17"/>
                <w:color w:val="373535"/>
              </w:rPr>
              <w:t>21.2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Plan participant contributions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37"/>
              <w:spacing w:after="0" w:line="194" w:lineRule="exact"/>
              <w:rPr>
                <w:sz w:val="20"/>
                <w:szCs w:val="20"/>
                <w:color w:val="auto"/>
              </w:rPr>
            </w:pPr>
            <w:r>
              <w:rPr>
                <w:rFonts w:ascii="Arial" w:cs="Arial" w:eastAsia="Arial" w:hAnsi="Arial"/>
                <w:sz w:val="17"/>
                <w:szCs w:val="17"/>
                <w:color w:val="76AD9A"/>
              </w:rPr>
              <w:t>0.4</w:t>
            </w:r>
          </w:p>
        </w:tc>
        <w:tc>
          <w:tcPr>
            <w:tcW w:w="4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ind w:left="140"/>
              <w:spacing w:after="0" w:line="194" w:lineRule="exact"/>
              <w:rPr>
                <w:sz w:val="20"/>
                <w:szCs w:val="20"/>
                <w:color w:val="auto"/>
              </w:rPr>
            </w:pPr>
            <w:r>
              <w:rPr>
                <w:rFonts w:ascii="Arial" w:cs="Arial" w:eastAsia="Arial" w:hAnsi="Arial"/>
                <w:sz w:val="17"/>
                <w:szCs w:val="17"/>
                <w:color w:val="373535"/>
              </w:rPr>
              <w:t>Company contributions</w:t>
            </w:r>
          </w:p>
        </w:tc>
        <w:tc>
          <w:tcPr>
            <w:tcW w:w="240" w:type="dxa"/>
            <w:vAlign w:val="bottom"/>
            <w:shd w:val="clear" w:color="auto" w:fill="EEF5F2"/>
          </w:tcPr>
          <w:p>
            <w:pPr>
              <w:spacing w:after="0"/>
              <w:rPr>
                <w:sz w:val="16"/>
                <w:szCs w:val="16"/>
                <w:color w:val="auto"/>
              </w:rPr>
            </w:pP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2.7</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137"/>
              <w:spacing w:after="0" w:line="194" w:lineRule="exact"/>
              <w:rPr>
                <w:sz w:val="20"/>
                <w:szCs w:val="20"/>
                <w:color w:val="auto"/>
              </w:rPr>
            </w:pPr>
            <w:r>
              <w:rPr>
                <w:rFonts w:ascii="Arial" w:cs="Arial" w:eastAsia="Arial" w:hAnsi="Arial"/>
                <w:sz w:val="17"/>
                <w:szCs w:val="17"/>
                <w:color w:val="76AD9A"/>
              </w:rPr>
              <w:t>15.0</w:t>
            </w:r>
          </w:p>
        </w:tc>
        <w:tc>
          <w:tcPr>
            <w:tcW w:w="4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17.7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373535"/>
              </w:rPr>
              <w:t>Benefits paid</w:t>
            </w:r>
          </w:p>
        </w:tc>
        <w:tc>
          <w:tcPr>
            <w:tcW w:w="240" w:type="dxa"/>
            <w:vAlign w:val="bottom"/>
            <w:shd w:val="clear" w:color="auto" w:fill="EEF5F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(4.4)</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73535"/>
              </w:rPr>
              <w:t>(4.2)</w:t>
            </w:r>
          </w:p>
        </w:tc>
        <w:tc>
          <w:tcPr>
            <w:tcW w:w="220" w:type="dxa"/>
            <w:vAlign w:val="bottom"/>
            <w:shd w:val="clear" w:color="auto" w:fill="EEF5F2"/>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76AD9A"/>
              </w:rPr>
              <w:t>(6.7)</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373535"/>
              </w:rPr>
              <w:t>(5.6)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04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Currency exchange rate changes</w:t>
            </w:r>
          </w:p>
        </w:tc>
        <w:tc>
          <w:tcPr>
            <w:tcW w:w="24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ind w:right="35"/>
              <w:spacing w:after="0"/>
              <w:rPr>
                <w:sz w:val="20"/>
                <w:szCs w:val="20"/>
                <w:color w:val="auto"/>
              </w:rPr>
            </w:pPr>
            <w:r>
              <w:rPr>
                <w:rFonts w:ascii="Arial" w:cs="Arial" w:eastAsia="Arial" w:hAnsi="Arial"/>
                <w:sz w:val="17"/>
                <w:szCs w:val="17"/>
                <w:color w:val="76AD9A"/>
              </w:rPr>
              <w:t>—</w:t>
            </w:r>
          </w:p>
        </w:tc>
        <w:tc>
          <w:tcPr>
            <w:tcW w:w="100" w:type="dxa"/>
            <w:vAlign w:val="bottom"/>
            <w:tcBorders>
              <w:bottom w:val="single" w:sz="8" w:color="717073"/>
            </w:tcBorders>
          </w:tcPr>
          <w:p>
            <w:pPr>
              <w:spacing w:after="0"/>
              <w:rPr>
                <w:sz w:val="16"/>
                <w:szCs w:val="16"/>
                <w:color w:val="auto"/>
              </w:rPr>
            </w:pPr>
          </w:p>
        </w:tc>
        <w:tc>
          <w:tcPr>
            <w:tcW w:w="520" w:type="dxa"/>
            <w:vAlign w:val="bottom"/>
            <w:tcBorders>
              <w:bottom w:val="single" w:sz="8" w:color="717073"/>
            </w:tcBorders>
          </w:tcPr>
          <w:p>
            <w:pPr>
              <w:spacing w:after="0"/>
              <w:rPr>
                <w:sz w:val="16"/>
                <w:szCs w:val="16"/>
                <w:color w:val="auto"/>
              </w:rPr>
            </w:pPr>
          </w:p>
        </w:tc>
        <w:tc>
          <w:tcPr>
            <w:tcW w:w="880" w:type="dxa"/>
            <w:vAlign w:val="bottom"/>
            <w:tcBorders>
              <w:bottom w:val="single" w:sz="8" w:color="717073"/>
            </w:tcBorders>
            <w:gridSpan w:val="2"/>
          </w:tcPr>
          <w:p>
            <w:pPr>
              <w:jc w:val="right"/>
              <w:ind w:right="220"/>
              <w:spacing w:after="0"/>
              <w:rPr>
                <w:sz w:val="20"/>
                <w:szCs w:val="20"/>
                <w:color w:val="auto"/>
              </w:rPr>
            </w:pPr>
            <w:r>
              <w:rPr>
                <w:rFonts w:ascii="Arial" w:cs="Arial" w:eastAsia="Arial" w:hAnsi="Arial"/>
                <w:sz w:val="17"/>
                <w:szCs w:val="17"/>
                <w:color w:val="373535"/>
              </w:rPr>
              <w:t>—</w:t>
            </w:r>
          </w:p>
        </w:tc>
        <w:tc>
          <w:tcPr>
            <w:tcW w:w="220" w:type="dxa"/>
            <w:vAlign w:val="bottom"/>
            <w:tcBorders>
              <w:bottom w:val="single" w:sz="8" w:color="717073"/>
            </w:tcBorders>
            <w:shd w:val="clear" w:color="auto" w:fill="EEF5F2"/>
          </w:tcPr>
          <w:p>
            <w:pPr>
              <w:spacing w:after="0"/>
              <w:rPr>
                <w:sz w:val="16"/>
                <w:szCs w:val="16"/>
                <w:color w:val="auto"/>
              </w:rPr>
            </w:pPr>
          </w:p>
        </w:tc>
        <w:tc>
          <w:tcPr>
            <w:tcW w:w="1120" w:type="dxa"/>
            <w:vAlign w:val="bottom"/>
            <w:tcBorders>
              <w:bottom w:val="single" w:sz="8" w:color="717073"/>
            </w:tcBorders>
          </w:tcPr>
          <w:p>
            <w:pPr>
              <w:jc w:val="right"/>
              <w:ind w:right="137"/>
              <w:spacing w:after="0"/>
              <w:rPr>
                <w:sz w:val="20"/>
                <w:szCs w:val="20"/>
                <w:color w:val="auto"/>
              </w:rPr>
            </w:pPr>
            <w:r>
              <w:rPr>
                <w:rFonts w:ascii="Arial" w:cs="Arial" w:eastAsia="Arial" w:hAnsi="Arial"/>
                <w:sz w:val="17"/>
                <w:szCs w:val="17"/>
                <w:color w:val="76AD9A"/>
              </w:rPr>
              <w:t>4.9</w:t>
            </w:r>
          </w:p>
        </w:tc>
        <w:tc>
          <w:tcPr>
            <w:tcW w:w="4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10.5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604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Fair value of plan assets, end of year</w:t>
            </w:r>
          </w:p>
        </w:tc>
        <w:tc>
          <w:tcPr>
            <w:tcW w:w="24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Borders>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39.1</w:t>
            </w:r>
          </w:p>
        </w:tc>
        <w:tc>
          <w:tcPr>
            <w:tcW w:w="100" w:type="dxa"/>
            <w:vAlign w:val="bottom"/>
            <w:tcBorders>
              <w:bottom w:val="single" w:sz="8" w:color="717073"/>
            </w:tcBorders>
          </w:tcPr>
          <w:p>
            <w:pPr>
              <w:spacing w:after="0"/>
              <w:rPr>
                <w:sz w:val="16"/>
                <w:szCs w:val="16"/>
                <w:color w:val="auto"/>
              </w:rPr>
            </w:pPr>
          </w:p>
        </w:tc>
        <w:tc>
          <w:tcPr>
            <w:tcW w:w="520" w:type="dxa"/>
            <w:vAlign w:val="bottom"/>
            <w:tcBorders>
              <w:bottom w:val="single" w:sz="8" w:color="717073"/>
            </w:tcBorders>
          </w:tcPr>
          <w:p>
            <w:pPr>
              <w:jc w:val="right"/>
              <w:ind w:right="174"/>
              <w:spacing w:after="0" w:line="186" w:lineRule="exact"/>
              <w:rPr>
                <w:sz w:val="20"/>
                <w:szCs w:val="20"/>
                <w:color w:val="auto"/>
              </w:rPr>
            </w:pPr>
            <w:r>
              <w:rPr>
                <w:rFonts w:ascii="Arial" w:cs="Arial" w:eastAsia="Arial" w:hAnsi="Arial"/>
                <w:sz w:val="17"/>
                <w:szCs w:val="17"/>
                <w:color w:val="373535"/>
              </w:rPr>
              <w:t>$</w:t>
            </w:r>
          </w:p>
        </w:tc>
        <w:tc>
          <w:tcPr>
            <w:tcW w:w="880" w:type="dxa"/>
            <w:vAlign w:val="bottom"/>
            <w:tcBorders>
              <w:bottom w:val="single" w:sz="8" w:color="717073"/>
            </w:tcBorders>
            <w:gridSpan w:val="2"/>
          </w:tcPr>
          <w:p>
            <w:pPr>
              <w:jc w:val="right"/>
              <w:ind w:right="220"/>
              <w:spacing w:after="0" w:line="186" w:lineRule="exact"/>
              <w:rPr>
                <w:sz w:val="20"/>
                <w:szCs w:val="20"/>
                <w:color w:val="auto"/>
              </w:rPr>
            </w:pPr>
            <w:r>
              <w:rPr>
                <w:rFonts w:ascii="Arial" w:cs="Arial" w:eastAsia="Arial" w:hAnsi="Arial"/>
                <w:sz w:val="17"/>
                <w:szCs w:val="17"/>
                <w:color w:val="373535"/>
              </w:rPr>
              <w:t>36.0</w:t>
            </w:r>
          </w:p>
        </w:tc>
        <w:tc>
          <w:tcPr>
            <w:tcW w:w="220" w:type="dxa"/>
            <w:vAlign w:val="bottom"/>
            <w:tcBorders>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20" w:type="dxa"/>
            <w:vAlign w:val="bottom"/>
            <w:tcBorders>
              <w:bottom w:val="single" w:sz="8" w:color="717073"/>
            </w:tcBorders>
          </w:tcPr>
          <w:p>
            <w:pPr>
              <w:jc w:val="right"/>
              <w:ind w:right="137"/>
              <w:spacing w:after="0" w:line="186" w:lineRule="exact"/>
              <w:rPr>
                <w:sz w:val="20"/>
                <w:szCs w:val="20"/>
                <w:color w:val="auto"/>
              </w:rPr>
            </w:pPr>
            <w:r>
              <w:rPr>
                <w:rFonts w:ascii="Arial" w:cs="Arial" w:eastAsia="Arial" w:hAnsi="Arial"/>
                <w:sz w:val="17"/>
                <w:szCs w:val="17"/>
                <w:color w:val="76AD9A"/>
              </w:rPr>
              <w:t>305.8</w:t>
            </w:r>
          </w:p>
        </w:tc>
        <w:tc>
          <w:tcPr>
            <w:tcW w:w="480" w:type="dxa"/>
            <w:vAlign w:val="bottom"/>
            <w:tcBorders>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296.4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60" w:type="dxa"/>
            <w:vAlign w:val="bottom"/>
            <w:gridSpan w:val="2"/>
          </w:tcPr>
          <w:p>
            <w:pPr>
              <w:spacing w:after="0"/>
              <w:rPr>
                <w:sz w:val="20"/>
                <w:szCs w:val="20"/>
                <w:color w:val="auto"/>
              </w:rPr>
            </w:pPr>
            <w:r>
              <w:rPr>
                <w:rFonts w:ascii="Arial" w:cs="Arial" w:eastAsia="Arial" w:hAnsi="Arial"/>
                <w:sz w:val="17"/>
                <w:szCs w:val="17"/>
                <w:color w:val="777679"/>
              </w:rPr>
              <w:t>Funded Status at End of Year</w:t>
            </w:r>
          </w:p>
        </w:tc>
        <w:tc>
          <w:tcPr>
            <w:tcW w:w="240" w:type="dxa"/>
            <w:vAlign w:val="bottom"/>
            <w:shd w:val="clear" w:color="auto" w:fill="EEF5F2"/>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shd w:val="clear" w:color="auto" w:fill="EEF5F2"/>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7"/>
                <w:szCs w:val="17"/>
                <w:color w:val="373535"/>
              </w:rPr>
              <w:t>(18.8)</w:t>
            </w:r>
          </w:p>
        </w:tc>
        <w:tc>
          <w:tcPr>
            <w:tcW w:w="0" w:type="dxa"/>
            <w:vAlign w:val="bottom"/>
          </w:tcPr>
          <w:p>
            <w:pPr>
              <w:spacing w:after="0"/>
              <w:rPr>
                <w:sz w:val="1"/>
                <w:szCs w:val="1"/>
                <w:color w:val="auto"/>
              </w:rPr>
            </w:pP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373535"/>
              </w:rPr>
              <w:t>Funded status, end of year</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(14.7)</w:t>
            </w:r>
          </w:p>
        </w:tc>
        <w:tc>
          <w:tcPr>
            <w:tcW w:w="100" w:type="dxa"/>
            <w:vAlign w:val="bottom"/>
          </w:tcPr>
          <w:p>
            <w:pPr>
              <w:spacing w:after="0"/>
              <w:rPr>
                <w:sz w:val="16"/>
                <w:szCs w:val="16"/>
                <w:color w:val="auto"/>
              </w:rPr>
            </w:pPr>
          </w:p>
        </w:tc>
        <w:tc>
          <w:tcPr>
            <w:tcW w:w="52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8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373535"/>
              </w:rPr>
              <w:t>(25.9)</w:t>
            </w: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120" w:type="dxa"/>
            <w:vAlign w:val="bottom"/>
          </w:tcPr>
          <w:p>
            <w:pPr>
              <w:jc w:val="right"/>
              <w:ind w:right="77"/>
              <w:spacing w:after="0" w:line="194" w:lineRule="exact"/>
              <w:rPr>
                <w:sz w:val="20"/>
                <w:szCs w:val="20"/>
                <w:color w:val="auto"/>
              </w:rPr>
            </w:pPr>
            <w:r>
              <w:rPr>
                <w:rFonts w:ascii="Arial" w:cs="Arial" w:eastAsia="Arial" w:hAnsi="Arial"/>
                <w:sz w:val="17"/>
                <w:szCs w:val="17"/>
                <w:color w:val="76AD9A"/>
              </w:rPr>
              <w:t>(25.8)</w:t>
            </w:r>
          </w:p>
        </w:tc>
        <w:tc>
          <w:tcPr>
            <w:tcW w:w="4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60" w:type="dxa"/>
            <w:vAlign w:val="bottom"/>
            <w:tcBorders>
              <w:top w:val="single" w:sz="8" w:color="717073"/>
            </w:tcBorders>
            <w:gridSpan w:val="2"/>
          </w:tcPr>
          <w:p>
            <w:pPr>
              <w:spacing w:after="0" w:line="185" w:lineRule="exact"/>
              <w:rPr>
                <w:sz w:val="20"/>
                <w:szCs w:val="20"/>
                <w:color w:val="auto"/>
              </w:rPr>
            </w:pPr>
            <w:r>
              <w:rPr>
                <w:rFonts w:ascii="Arial" w:cs="Arial" w:eastAsia="Arial" w:hAnsi="Arial"/>
                <w:sz w:val="17"/>
                <w:szCs w:val="17"/>
                <w:color w:val="777679"/>
              </w:rPr>
              <w:t>Amounts Recognized</w:t>
            </w:r>
          </w:p>
        </w:tc>
        <w:tc>
          <w:tcPr>
            <w:tcW w:w="240" w:type="dxa"/>
            <w:vAlign w:val="bottom"/>
            <w:tcBorders>
              <w:top w:val="single" w:sz="8" w:color="717073"/>
            </w:tcBorders>
            <w:shd w:val="clear" w:color="auto" w:fill="EEF5F2"/>
          </w:tcPr>
          <w:p>
            <w:pPr>
              <w:spacing w:after="0"/>
              <w:rPr>
                <w:sz w:val="16"/>
                <w:szCs w:val="16"/>
                <w:color w:val="auto"/>
              </w:rPr>
            </w:pPr>
          </w:p>
        </w:tc>
        <w:tc>
          <w:tcPr>
            <w:tcW w:w="1040" w:type="dxa"/>
            <w:vAlign w:val="bottom"/>
            <w:tcBorders>
              <w:top w:val="single" w:sz="8" w:color="717073"/>
            </w:tcBorders>
          </w:tcPr>
          <w:p>
            <w:pPr>
              <w:spacing w:after="0"/>
              <w:rPr>
                <w:sz w:val="16"/>
                <w:szCs w:val="16"/>
                <w:color w:val="auto"/>
              </w:rPr>
            </w:pPr>
          </w:p>
        </w:tc>
        <w:tc>
          <w:tcPr>
            <w:tcW w:w="100" w:type="dxa"/>
            <w:vAlign w:val="bottom"/>
            <w:tcBorders>
              <w:top w:val="single" w:sz="8" w:color="717073"/>
            </w:tcBorders>
          </w:tcPr>
          <w:p>
            <w:pPr>
              <w:spacing w:after="0"/>
              <w:rPr>
                <w:sz w:val="16"/>
                <w:szCs w:val="16"/>
                <w:color w:val="auto"/>
              </w:rPr>
            </w:pPr>
          </w:p>
        </w:tc>
        <w:tc>
          <w:tcPr>
            <w:tcW w:w="52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spacing w:after="0"/>
              <w:rPr>
                <w:sz w:val="16"/>
                <w:szCs w:val="16"/>
                <w:color w:val="auto"/>
              </w:rPr>
            </w:pPr>
          </w:p>
        </w:tc>
        <w:tc>
          <w:tcPr>
            <w:tcW w:w="220" w:type="dxa"/>
            <w:vAlign w:val="bottom"/>
            <w:tcBorders>
              <w:top w:val="single" w:sz="8" w:color="717073"/>
            </w:tcBorders>
          </w:tcPr>
          <w:p>
            <w:pPr>
              <w:spacing w:after="0"/>
              <w:rPr>
                <w:sz w:val="16"/>
                <w:szCs w:val="16"/>
                <w:color w:val="auto"/>
              </w:rPr>
            </w:pPr>
          </w:p>
        </w:tc>
        <w:tc>
          <w:tcPr>
            <w:tcW w:w="220" w:type="dxa"/>
            <w:vAlign w:val="bottom"/>
            <w:tcBorders>
              <w:top w:val="single" w:sz="8" w:color="717073"/>
            </w:tcBorders>
            <w:shd w:val="clear" w:color="auto" w:fill="EEF5F2"/>
          </w:tcPr>
          <w:p>
            <w:pPr>
              <w:spacing w:after="0"/>
              <w:rPr>
                <w:sz w:val="16"/>
                <w:szCs w:val="16"/>
                <w:color w:val="auto"/>
              </w:rPr>
            </w:pPr>
          </w:p>
        </w:tc>
        <w:tc>
          <w:tcPr>
            <w:tcW w:w="112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373535"/>
              </w:rPr>
              <w:t>Noncurrent assets</w:t>
            </w: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40" w:type="dxa"/>
            <w:vAlign w:val="bottom"/>
          </w:tcPr>
          <w:p>
            <w:pPr>
              <w:jc w:val="right"/>
              <w:ind w:right="35"/>
              <w:spacing w:after="0" w:line="194" w:lineRule="exact"/>
              <w:rPr>
                <w:sz w:val="20"/>
                <w:szCs w:val="20"/>
                <w:color w:val="auto"/>
              </w:rPr>
            </w:pPr>
            <w:r>
              <w:rPr>
                <w:rFonts w:ascii="Arial" w:cs="Arial" w:eastAsia="Arial" w:hAnsi="Arial"/>
                <w:sz w:val="17"/>
                <w:szCs w:val="17"/>
                <w:color w:val="76AD9A"/>
              </w:rPr>
              <w:t>17.2</w:t>
            </w:r>
          </w:p>
        </w:tc>
        <w:tc>
          <w:tcPr>
            <w:tcW w:w="100" w:type="dxa"/>
            <w:vAlign w:val="bottom"/>
          </w:tcPr>
          <w:p>
            <w:pPr>
              <w:spacing w:after="0"/>
              <w:rPr>
                <w:sz w:val="16"/>
                <w:szCs w:val="16"/>
                <w:color w:val="auto"/>
              </w:rPr>
            </w:pPr>
          </w:p>
        </w:tc>
        <w:tc>
          <w:tcPr>
            <w:tcW w:w="52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8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373535"/>
              </w:rPr>
              <w:t>11.6</w:t>
            </w: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120" w:type="dxa"/>
            <w:vAlign w:val="bottom"/>
          </w:tcPr>
          <w:p>
            <w:pPr>
              <w:jc w:val="right"/>
              <w:ind w:right="137"/>
              <w:spacing w:after="0" w:line="194" w:lineRule="exact"/>
              <w:rPr>
                <w:sz w:val="20"/>
                <w:szCs w:val="20"/>
                <w:color w:val="auto"/>
              </w:rPr>
            </w:pPr>
            <w:r>
              <w:rPr>
                <w:rFonts w:ascii="Arial" w:cs="Arial" w:eastAsia="Arial" w:hAnsi="Arial"/>
                <w:sz w:val="17"/>
                <w:szCs w:val="17"/>
                <w:color w:val="76AD9A"/>
              </w:rPr>
              <w:t>30.8</w:t>
            </w:r>
          </w:p>
        </w:tc>
        <w:tc>
          <w:tcPr>
            <w:tcW w:w="4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31.4</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60" w:type="dxa"/>
            <w:vAlign w:val="bottom"/>
            <w:gridSpan w:val="2"/>
          </w:tcPr>
          <w:p>
            <w:pPr>
              <w:spacing w:after="0" w:line="194" w:lineRule="exact"/>
              <w:rPr>
                <w:sz w:val="20"/>
                <w:szCs w:val="20"/>
                <w:color w:val="auto"/>
              </w:rPr>
            </w:pPr>
            <w:r>
              <w:rPr>
                <w:rFonts w:ascii="Arial" w:cs="Arial" w:eastAsia="Arial" w:hAnsi="Arial"/>
                <w:sz w:val="17"/>
                <w:szCs w:val="17"/>
                <w:color w:val="373535"/>
              </w:rPr>
              <w:t>Current liabilities</w:t>
            </w:r>
          </w:p>
        </w:tc>
        <w:tc>
          <w:tcPr>
            <w:tcW w:w="24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(2.9)</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gridSpan w:val="2"/>
          </w:tcPr>
          <w:p>
            <w:pPr>
              <w:jc w:val="right"/>
              <w:ind w:right="180"/>
              <w:spacing w:after="0" w:line="194" w:lineRule="exact"/>
              <w:rPr>
                <w:sz w:val="20"/>
                <w:szCs w:val="20"/>
                <w:color w:val="auto"/>
              </w:rPr>
            </w:pPr>
            <w:r>
              <w:rPr>
                <w:rFonts w:ascii="Arial" w:cs="Arial" w:eastAsia="Arial" w:hAnsi="Arial"/>
                <w:sz w:val="17"/>
                <w:szCs w:val="17"/>
                <w:color w:val="373535"/>
              </w:rPr>
              <w:t>(2.9)</w:t>
            </w:r>
          </w:p>
        </w:tc>
        <w:tc>
          <w:tcPr>
            <w:tcW w:w="220" w:type="dxa"/>
            <w:vAlign w:val="bottom"/>
            <w:shd w:val="clear" w:color="auto" w:fill="EEF5F2"/>
          </w:tcPr>
          <w:p>
            <w:pPr>
              <w:spacing w:after="0"/>
              <w:rPr>
                <w:sz w:val="16"/>
                <w:szCs w:val="16"/>
                <w:color w:val="auto"/>
              </w:rPr>
            </w:pPr>
          </w:p>
        </w:tc>
        <w:tc>
          <w:tcPr>
            <w:tcW w:w="1120" w:type="dxa"/>
            <w:vAlign w:val="bottom"/>
          </w:tcPr>
          <w:p>
            <w:pPr>
              <w:jc w:val="right"/>
              <w:ind w:right="77"/>
              <w:spacing w:after="0" w:line="194" w:lineRule="exact"/>
              <w:rPr>
                <w:sz w:val="20"/>
                <w:szCs w:val="20"/>
                <w:color w:val="auto"/>
              </w:rPr>
            </w:pPr>
            <w:r>
              <w:rPr>
                <w:rFonts w:ascii="Arial" w:cs="Arial" w:eastAsia="Arial" w:hAnsi="Arial"/>
                <w:sz w:val="17"/>
                <w:szCs w:val="17"/>
                <w:color w:val="76AD9A"/>
              </w:rPr>
              <w:t>(0.2)</w:t>
            </w:r>
          </w:p>
        </w:tc>
        <w:tc>
          <w:tcPr>
            <w:tcW w:w="480" w:type="dxa"/>
            <w:vAlign w:val="bottom"/>
          </w:tcPr>
          <w:p>
            <w:pPr>
              <w:spacing w:after="0"/>
              <w:rPr>
                <w:sz w:val="16"/>
                <w:szCs w:val="16"/>
                <w:color w:val="auto"/>
              </w:rPr>
            </w:pP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(0.3)</w:t>
            </w:r>
          </w:p>
        </w:tc>
        <w:tc>
          <w:tcPr>
            <w:tcW w:w="0" w:type="dxa"/>
            <w:vAlign w:val="bottom"/>
          </w:tcPr>
          <w:p>
            <w:pPr>
              <w:spacing w:after="0"/>
              <w:rPr>
                <w:sz w:val="1"/>
                <w:szCs w:val="1"/>
                <w:color w:val="auto"/>
              </w:rPr>
            </w:pPr>
          </w:p>
        </w:tc>
      </w:tr>
      <w:tr>
        <w:trPr>
          <w:trHeight w:val="206"/>
        </w:trPr>
        <w:tc>
          <w:tcPr>
            <w:tcW w:w="6060" w:type="dxa"/>
            <w:vAlign w:val="bottom"/>
            <w:gridSpan w:val="2"/>
          </w:tcPr>
          <w:p>
            <w:pPr>
              <w:spacing w:after="0"/>
              <w:rPr>
                <w:sz w:val="20"/>
                <w:szCs w:val="20"/>
                <w:color w:val="auto"/>
              </w:rPr>
            </w:pPr>
            <w:r>
              <w:rPr>
                <w:rFonts w:ascii="Arial" w:cs="Arial" w:eastAsia="Arial" w:hAnsi="Arial"/>
                <w:sz w:val="17"/>
                <w:szCs w:val="17"/>
                <w:color w:val="373535"/>
              </w:rPr>
              <w:t>Noncurrent liabilities</w:t>
            </w:r>
          </w:p>
        </w:tc>
        <w:tc>
          <w:tcPr>
            <w:tcW w:w="240" w:type="dxa"/>
            <w:vAlign w:val="bottom"/>
            <w:shd w:val="clear" w:color="auto" w:fill="EEF5F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(29.0)</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7"/>
                <w:szCs w:val="17"/>
                <w:color w:val="373535"/>
              </w:rPr>
              <w:t>(34.6)</w:t>
            </w:r>
          </w:p>
        </w:tc>
        <w:tc>
          <w:tcPr>
            <w:tcW w:w="220" w:type="dxa"/>
            <w:vAlign w:val="bottom"/>
            <w:shd w:val="clear" w:color="auto" w:fill="EEF5F2"/>
          </w:tcPr>
          <w:p>
            <w:pPr>
              <w:spacing w:after="0"/>
              <w:rPr>
                <w:sz w:val="17"/>
                <w:szCs w:val="17"/>
                <w:color w:val="auto"/>
              </w:rPr>
            </w:pPr>
          </w:p>
        </w:tc>
        <w:tc>
          <w:tcPr>
            <w:tcW w:w="1120" w:type="dxa"/>
            <w:vAlign w:val="bottom"/>
          </w:tcPr>
          <w:p>
            <w:pPr>
              <w:jc w:val="right"/>
              <w:ind w:right="77"/>
              <w:spacing w:after="0"/>
              <w:rPr>
                <w:sz w:val="20"/>
                <w:szCs w:val="20"/>
                <w:color w:val="auto"/>
              </w:rPr>
            </w:pPr>
            <w:r>
              <w:rPr>
                <w:rFonts w:ascii="Arial" w:cs="Arial" w:eastAsia="Arial" w:hAnsi="Arial"/>
                <w:sz w:val="17"/>
                <w:szCs w:val="17"/>
                <w:color w:val="76AD9A"/>
              </w:rPr>
              <w:t>(56.4)</w:t>
            </w:r>
          </w:p>
        </w:tc>
        <w:tc>
          <w:tcPr>
            <w:tcW w:w="4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373535"/>
              </w:rPr>
              <w:t>(49.9)</w:t>
            </w:r>
          </w:p>
        </w:tc>
        <w:tc>
          <w:tcPr>
            <w:tcW w:w="0" w:type="dxa"/>
            <w:vAlign w:val="bottom"/>
          </w:tcPr>
          <w:p>
            <w:pPr>
              <w:spacing w:after="0"/>
              <w:rPr>
                <w:sz w:val="1"/>
                <w:szCs w:val="1"/>
                <w:color w:val="auto"/>
              </w:rPr>
            </w:pPr>
          </w:p>
        </w:tc>
      </w:tr>
      <w:tr>
        <w:trPr>
          <w:trHeight w:val="187"/>
        </w:trPr>
        <w:tc>
          <w:tcPr>
            <w:tcW w:w="6060" w:type="dxa"/>
            <w:vAlign w:val="bottom"/>
            <w:tcBorders>
              <w:top w:val="single" w:sz="8" w:color="717073"/>
            </w:tcBorders>
            <w:gridSpan w:val="2"/>
          </w:tcPr>
          <w:p>
            <w:pPr>
              <w:spacing w:after="0" w:line="187" w:lineRule="exact"/>
              <w:rPr>
                <w:sz w:val="20"/>
                <w:szCs w:val="20"/>
                <w:color w:val="auto"/>
              </w:rPr>
            </w:pPr>
            <w:r>
              <w:rPr>
                <w:rFonts w:ascii="Arial" w:cs="Arial" w:eastAsia="Arial" w:hAnsi="Arial"/>
                <w:sz w:val="17"/>
                <w:szCs w:val="17"/>
                <w:color w:val="373535"/>
              </w:rPr>
              <w:t>Net amount recognized</w:t>
            </w:r>
          </w:p>
        </w:tc>
        <w:tc>
          <w:tcPr>
            <w:tcW w:w="240" w:type="dxa"/>
            <w:vAlign w:val="bottom"/>
            <w:tcBorders>
              <w:top w:val="single" w:sz="8" w:color="717073"/>
            </w:tcBorders>
            <w:shd w:val="clear" w:color="auto" w:fill="EEF5F2"/>
          </w:tcPr>
          <w:p>
            <w:pPr>
              <w:jc w:val="right"/>
              <w:spacing w:after="0" w:line="187" w:lineRule="exact"/>
              <w:rPr>
                <w:sz w:val="20"/>
                <w:szCs w:val="20"/>
                <w:color w:val="auto"/>
              </w:rPr>
            </w:pPr>
            <w:r>
              <w:rPr>
                <w:rFonts w:ascii="Arial" w:cs="Arial" w:eastAsia="Arial" w:hAnsi="Arial"/>
                <w:sz w:val="17"/>
                <w:szCs w:val="17"/>
                <w:color w:val="76AD9A"/>
              </w:rPr>
              <w:t>$</w:t>
            </w:r>
          </w:p>
        </w:tc>
        <w:tc>
          <w:tcPr>
            <w:tcW w:w="1040" w:type="dxa"/>
            <w:vAlign w:val="bottom"/>
            <w:tcBorders>
              <w:top w:val="single" w:sz="8" w:color="717073"/>
            </w:tcBorders>
          </w:tcPr>
          <w:p>
            <w:pPr>
              <w:jc w:val="right"/>
              <w:spacing w:after="0" w:line="187" w:lineRule="exact"/>
              <w:rPr>
                <w:sz w:val="20"/>
                <w:szCs w:val="20"/>
                <w:color w:val="auto"/>
              </w:rPr>
            </w:pPr>
            <w:r>
              <w:rPr>
                <w:rFonts w:ascii="Arial" w:cs="Arial" w:eastAsia="Arial" w:hAnsi="Arial"/>
                <w:sz w:val="17"/>
                <w:szCs w:val="17"/>
                <w:color w:val="76AD9A"/>
              </w:rPr>
              <w:t>(14.7)</w:t>
            </w:r>
          </w:p>
        </w:tc>
        <w:tc>
          <w:tcPr>
            <w:tcW w:w="100" w:type="dxa"/>
            <w:vAlign w:val="bottom"/>
            <w:tcBorders>
              <w:top w:val="single" w:sz="8" w:color="717073"/>
            </w:tcBorders>
          </w:tcPr>
          <w:p>
            <w:pPr>
              <w:spacing w:after="0"/>
              <w:rPr>
                <w:sz w:val="16"/>
                <w:szCs w:val="16"/>
                <w:color w:val="auto"/>
              </w:rPr>
            </w:pPr>
          </w:p>
        </w:tc>
        <w:tc>
          <w:tcPr>
            <w:tcW w:w="520" w:type="dxa"/>
            <w:vAlign w:val="bottom"/>
            <w:tcBorders>
              <w:top w:val="single" w:sz="8" w:color="717073"/>
            </w:tcBorders>
          </w:tcPr>
          <w:p>
            <w:pPr>
              <w:jc w:val="right"/>
              <w:ind w:right="174"/>
              <w:spacing w:after="0" w:line="187" w:lineRule="exact"/>
              <w:rPr>
                <w:sz w:val="20"/>
                <w:szCs w:val="20"/>
                <w:color w:val="auto"/>
              </w:rPr>
            </w:pPr>
            <w:r>
              <w:rPr>
                <w:rFonts w:ascii="Arial" w:cs="Arial" w:eastAsia="Arial" w:hAnsi="Arial"/>
                <w:sz w:val="17"/>
                <w:szCs w:val="17"/>
                <w:color w:val="373535"/>
              </w:rPr>
              <w:t>$</w:t>
            </w:r>
          </w:p>
        </w:tc>
        <w:tc>
          <w:tcPr>
            <w:tcW w:w="880" w:type="dxa"/>
            <w:vAlign w:val="bottom"/>
            <w:tcBorders>
              <w:top w:val="single" w:sz="8" w:color="717073"/>
            </w:tcBorders>
            <w:gridSpan w:val="2"/>
          </w:tcPr>
          <w:p>
            <w:pPr>
              <w:jc w:val="right"/>
              <w:ind w:right="180"/>
              <w:spacing w:after="0" w:line="187" w:lineRule="exact"/>
              <w:rPr>
                <w:sz w:val="20"/>
                <w:szCs w:val="20"/>
                <w:color w:val="auto"/>
              </w:rPr>
            </w:pPr>
            <w:r>
              <w:rPr>
                <w:rFonts w:ascii="Arial" w:cs="Arial" w:eastAsia="Arial" w:hAnsi="Arial"/>
                <w:sz w:val="17"/>
                <w:szCs w:val="17"/>
                <w:color w:val="373535"/>
              </w:rPr>
              <w:t>(25.9)</w:t>
            </w:r>
          </w:p>
        </w:tc>
        <w:tc>
          <w:tcPr>
            <w:tcW w:w="220" w:type="dxa"/>
            <w:vAlign w:val="bottom"/>
            <w:tcBorders>
              <w:top w:val="single" w:sz="8" w:color="717073"/>
            </w:tcBorders>
            <w:shd w:val="clear" w:color="auto" w:fill="EEF5F2"/>
          </w:tcPr>
          <w:p>
            <w:pPr>
              <w:jc w:val="right"/>
              <w:spacing w:after="0" w:line="187" w:lineRule="exact"/>
              <w:rPr>
                <w:sz w:val="20"/>
                <w:szCs w:val="20"/>
                <w:color w:val="auto"/>
              </w:rPr>
            </w:pPr>
            <w:r>
              <w:rPr>
                <w:rFonts w:ascii="Arial" w:cs="Arial" w:eastAsia="Arial" w:hAnsi="Arial"/>
                <w:sz w:val="17"/>
                <w:szCs w:val="17"/>
                <w:color w:val="76AD9A"/>
              </w:rPr>
              <w:t>$</w:t>
            </w:r>
          </w:p>
        </w:tc>
        <w:tc>
          <w:tcPr>
            <w:tcW w:w="1120" w:type="dxa"/>
            <w:vAlign w:val="bottom"/>
            <w:tcBorders>
              <w:top w:val="single" w:sz="8" w:color="717073"/>
            </w:tcBorders>
          </w:tcPr>
          <w:p>
            <w:pPr>
              <w:jc w:val="right"/>
              <w:ind w:right="77"/>
              <w:spacing w:after="0" w:line="187" w:lineRule="exact"/>
              <w:rPr>
                <w:sz w:val="20"/>
                <w:szCs w:val="20"/>
                <w:color w:val="auto"/>
              </w:rPr>
            </w:pPr>
            <w:r>
              <w:rPr>
                <w:rFonts w:ascii="Arial" w:cs="Arial" w:eastAsia="Arial" w:hAnsi="Arial"/>
                <w:sz w:val="17"/>
                <w:szCs w:val="17"/>
                <w:color w:val="76AD9A"/>
              </w:rPr>
              <w:t>(25.8)</w:t>
            </w:r>
          </w:p>
        </w:tc>
        <w:tc>
          <w:tcPr>
            <w:tcW w:w="480" w:type="dxa"/>
            <w:vAlign w:val="bottom"/>
            <w:tcBorders>
              <w:top w:val="single" w:sz="8" w:color="717073"/>
            </w:tcBorders>
          </w:tcPr>
          <w:p>
            <w:pPr>
              <w:jc w:val="right"/>
              <w:ind w:right="154"/>
              <w:spacing w:after="0" w:line="187" w:lineRule="exact"/>
              <w:rPr>
                <w:sz w:val="20"/>
                <w:szCs w:val="20"/>
                <w:color w:val="auto"/>
              </w:rPr>
            </w:pPr>
            <w:r>
              <w:rPr>
                <w:rFonts w:ascii="Arial" w:cs="Arial" w:eastAsia="Arial" w:hAnsi="Arial"/>
                <w:sz w:val="17"/>
                <w:szCs w:val="17"/>
                <w:color w:val="373535"/>
              </w:rPr>
              <w:t>$</w:t>
            </w:r>
          </w:p>
        </w:tc>
        <w:tc>
          <w:tcPr>
            <w:tcW w:w="660" w:type="dxa"/>
            <w:vAlign w:val="bottom"/>
            <w:tcBorders>
              <w:top w:val="single" w:sz="8" w:color="717073"/>
            </w:tcBorders>
          </w:tcPr>
          <w:p>
            <w:pPr>
              <w:jc w:val="right"/>
              <w:spacing w:after="0" w:line="187" w:lineRule="exact"/>
              <w:rPr>
                <w:sz w:val="20"/>
                <w:szCs w:val="20"/>
                <w:color w:val="auto"/>
              </w:rPr>
            </w:pPr>
            <w:r>
              <w:rPr>
                <w:rFonts w:ascii="Arial" w:cs="Arial" w:eastAsia="Arial" w:hAnsi="Arial"/>
                <w:sz w:val="17"/>
                <w:szCs w:val="17"/>
                <w:color w:val="373535"/>
              </w:rPr>
              <w:t>(18.8</w:t>
            </w:r>
          </w:p>
        </w:tc>
        <w:tc>
          <w:tcPr>
            <w:tcW w:w="60" w:type="dxa"/>
            <w:vAlign w:val="bottom"/>
          </w:tcPr>
          <w:p>
            <w:pPr>
              <w:jc w:val="right"/>
              <w:spacing w:after="0"/>
              <w:rPr>
                <w:sz w:val="20"/>
                <w:szCs w:val="20"/>
                <w:color w:val="auto"/>
              </w:rPr>
            </w:pPr>
            <w:r>
              <w:rPr>
                <w:rFonts w:ascii="Arial" w:cs="Arial" w:eastAsia="Arial" w:hAnsi="Arial"/>
                <w:sz w:val="16"/>
                <w:szCs w:val="16"/>
                <w:color w:val="373535"/>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100" w:type="dxa"/>
            <w:vAlign w:val="bottom"/>
            <w:shd w:val="clear" w:color="auto" w:fill="717073"/>
          </w:tcPr>
          <w:p>
            <w:pPr>
              <w:spacing w:after="0" w:line="20" w:lineRule="exact"/>
              <w:rPr>
                <w:sz w:val="1"/>
                <w:szCs w:val="1"/>
                <w:color w:val="auto"/>
              </w:rPr>
            </w:pPr>
          </w:p>
        </w:tc>
        <w:tc>
          <w:tcPr>
            <w:tcW w:w="520" w:type="dxa"/>
            <w:vAlign w:val="bottom"/>
            <w:shd w:val="clear" w:color="auto" w:fill="717073"/>
          </w:tcPr>
          <w:p>
            <w:pPr>
              <w:spacing w:after="0" w:line="20" w:lineRule="exact"/>
              <w:rPr>
                <w:sz w:val="1"/>
                <w:szCs w:val="1"/>
                <w:color w:val="auto"/>
              </w:rPr>
            </w:pPr>
          </w:p>
        </w:tc>
        <w:tc>
          <w:tcPr>
            <w:tcW w:w="66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20" w:type="dxa"/>
            <w:vAlign w:val="bottom"/>
            <w:shd w:val="clear" w:color="auto" w:fill="717073"/>
          </w:tcPr>
          <w:p>
            <w:pPr>
              <w:spacing w:after="0" w:line="20" w:lineRule="exact"/>
              <w:rPr>
                <w:sz w:val="1"/>
                <w:szCs w:val="1"/>
                <w:color w:val="auto"/>
              </w:rPr>
            </w:pPr>
          </w:p>
        </w:tc>
        <w:tc>
          <w:tcPr>
            <w:tcW w:w="480" w:type="dxa"/>
            <w:vAlign w:val="bottom"/>
            <w:shd w:val="clear" w:color="auto" w:fill="717073"/>
          </w:tcPr>
          <w:p>
            <w:pPr>
              <w:spacing w:after="0" w:line="20" w:lineRule="exact"/>
              <w:rPr>
                <w:sz w:val="1"/>
                <w:szCs w:val="1"/>
                <w:color w:val="auto"/>
              </w:rPr>
            </w:pPr>
          </w:p>
        </w:tc>
        <w:tc>
          <w:tcPr>
            <w:tcW w:w="660" w:type="dxa"/>
            <w:vAlign w:val="bottom"/>
            <w:shd w:val="clear" w:color="auto" w:fill="71707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-3547745</wp:posOffset>
            </wp:positionV>
            <wp:extent cx="729615" cy="12458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615" cy="1245870"/>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-3547745</wp:posOffset>
            </wp:positionV>
            <wp:extent cx="713105" cy="12458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105" cy="124587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-1785620</wp:posOffset>
            </wp:positionV>
            <wp:extent cx="729615" cy="1778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615" cy="1778635"/>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-1785620</wp:posOffset>
            </wp:positionV>
            <wp:extent cx="713105" cy="1778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105" cy="177863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373535"/>
        </w:rPr>
        <w:t>Amounts recognized in accumulated other comprehensive income, net of tax, consist of:</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40" w:type="dxa"/>
            <w:vAlign w:val="bottom"/>
            <w:tcBorders>
              <w:bottom w:val="single" w:sz="8" w:color="717073"/>
            </w:tcBorders>
          </w:tcPr>
          <w:p>
            <w:pPr>
              <w:spacing w:after="0"/>
              <w:rPr>
                <w:sz w:val="14"/>
                <w:szCs w:val="14"/>
                <w:color w:val="auto"/>
              </w:rPr>
            </w:pPr>
          </w:p>
        </w:tc>
        <w:tc>
          <w:tcPr>
            <w:tcW w:w="1020" w:type="dxa"/>
            <w:vAlign w:val="bottom"/>
            <w:tcBorders>
              <w:bottom w:val="single" w:sz="8" w:color="717073"/>
            </w:tcBorders>
          </w:tcPr>
          <w:p>
            <w:pPr>
              <w:spacing w:after="0"/>
              <w:rPr>
                <w:sz w:val="14"/>
                <w:szCs w:val="14"/>
                <w:color w:val="auto"/>
              </w:rPr>
            </w:pPr>
          </w:p>
        </w:tc>
        <w:tc>
          <w:tcPr>
            <w:tcW w:w="1300" w:type="dxa"/>
            <w:vAlign w:val="bottom"/>
            <w:tcBorders>
              <w:bottom w:val="single" w:sz="8" w:color="717073"/>
            </w:tcBorders>
            <w:gridSpan w:val="3"/>
          </w:tcPr>
          <w:p>
            <w:pPr>
              <w:jc w:val="right"/>
              <w:spacing w:after="0"/>
              <w:rPr>
                <w:sz w:val="20"/>
                <w:szCs w:val="20"/>
                <w:color w:val="auto"/>
              </w:rPr>
            </w:pPr>
            <w:r>
              <w:rPr>
                <w:rFonts w:ascii="Arial" w:cs="Arial" w:eastAsia="Arial" w:hAnsi="Arial"/>
                <w:sz w:val="14"/>
                <w:szCs w:val="14"/>
                <w:color w:val="76AD9A"/>
              </w:rPr>
              <w:t>United States Plans</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76AD9A"/>
              </w:rPr>
              <w:t>Non-United States Plans</w:t>
            </w:r>
          </w:p>
        </w:tc>
        <w:tc>
          <w:tcPr>
            <w:tcW w:w="20" w:type="dxa"/>
            <w:vAlign w:val="bottom"/>
          </w:tcPr>
          <w:p>
            <w:pPr>
              <w:spacing w:after="0"/>
              <w:rPr>
                <w:sz w:val="14"/>
                <w:szCs w:val="14"/>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1020" w:type="dxa"/>
            <w:vAlign w:val="bottom"/>
            <w:shd w:val="clear" w:color="auto" w:fill="76AD9A"/>
          </w:tcPr>
          <w:p>
            <w:pPr>
              <w:jc w:val="right"/>
              <w:ind w:right="18"/>
              <w:spacing w:after="0"/>
              <w:rPr>
                <w:sz w:val="20"/>
                <w:szCs w:val="20"/>
                <w:color w:val="auto"/>
              </w:rPr>
            </w:pPr>
            <w:r>
              <w:rPr>
                <w:rFonts w:ascii="Arial" w:cs="Arial" w:eastAsia="Arial" w:hAnsi="Arial"/>
                <w:sz w:val="14"/>
                <w:szCs w:val="14"/>
                <w:b w:val="1"/>
                <w:bCs w:val="1"/>
                <w:color w:val="FFFFFF"/>
              </w:rPr>
              <w:t>2013</w:t>
            </w:r>
          </w:p>
        </w:tc>
        <w:tc>
          <w:tcPr>
            <w:tcW w:w="120" w:type="dxa"/>
            <w:vAlign w:val="bottom"/>
            <w:shd w:val="clear" w:color="auto" w:fill="76AD9A"/>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76AD9A"/>
              </w:rPr>
              <w:t>2012</w:t>
            </w:r>
          </w:p>
        </w:tc>
        <w:tc>
          <w:tcPr>
            <w:tcW w:w="360" w:type="dxa"/>
            <w:vAlign w:val="bottom"/>
            <w:shd w:val="clear" w:color="auto" w:fill="76AD9A"/>
          </w:tcPr>
          <w:p>
            <w:pPr>
              <w:spacing w:after="0"/>
              <w:rPr>
                <w:sz w:val="16"/>
                <w:szCs w:val="16"/>
                <w:color w:val="auto"/>
              </w:rPr>
            </w:pPr>
          </w:p>
        </w:tc>
        <w:tc>
          <w:tcPr>
            <w:tcW w:w="980" w:type="dxa"/>
            <w:vAlign w:val="bottom"/>
            <w:shd w:val="clear" w:color="auto" w:fill="76AD9A"/>
          </w:tcPr>
          <w:p>
            <w:pPr>
              <w:jc w:val="right"/>
              <w:ind w:right="141"/>
              <w:spacing w:after="0"/>
              <w:rPr>
                <w:sz w:val="20"/>
                <w:szCs w:val="20"/>
                <w:color w:val="auto"/>
              </w:rPr>
            </w:pPr>
            <w:r>
              <w:rPr>
                <w:rFonts w:ascii="Arial" w:cs="Arial" w:eastAsia="Arial" w:hAnsi="Arial"/>
                <w:sz w:val="14"/>
                <w:szCs w:val="14"/>
                <w:b w:val="1"/>
                <w:bCs w:val="1"/>
                <w:color w:val="FFFFFF"/>
              </w:rPr>
              <w:t>2013</w:t>
            </w:r>
          </w:p>
        </w:tc>
        <w:tc>
          <w:tcPr>
            <w:tcW w:w="5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76AD9A"/>
              </w:rPr>
              <w:t>2012</w:t>
            </w:r>
          </w:p>
        </w:tc>
      </w:tr>
      <w:tr>
        <w:trPr>
          <w:trHeight w:val="186"/>
        </w:trPr>
        <w:tc>
          <w:tcPr>
            <w:tcW w:w="20" w:type="dxa"/>
            <w:vAlign w:val="bottom"/>
          </w:tcPr>
          <w:p>
            <w:pPr>
              <w:spacing w:after="0"/>
              <w:rPr>
                <w:sz w:val="16"/>
                <w:szCs w:val="16"/>
                <w:color w:val="auto"/>
              </w:rPr>
            </w:pPr>
          </w:p>
        </w:tc>
        <w:tc>
          <w:tcPr>
            <w:tcW w:w="6040" w:type="dxa"/>
            <w:vAlign w:val="bottom"/>
            <w:tcBorders>
              <w:top w:val="single" w:sz="8" w:color="76AD9A"/>
            </w:tcBorders>
          </w:tcPr>
          <w:p>
            <w:pPr>
              <w:spacing w:after="0" w:line="186" w:lineRule="exact"/>
              <w:rPr>
                <w:sz w:val="20"/>
                <w:szCs w:val="20"/>
                <w:color w:val="auto"/>
              </w:rPr>
            </w:pPr>
            <w:r>
              <w:rPr>
                <w:rFonts w:ascii="Arial" w:cs="Arial" w:eastAsia="Arial" w:hAnsi="Arial"/>
                <w:sz w:val="17"/>
                <w:szCs w:val="17"/>
                <w:color w:val="373535"/>
              </w:rPr>
              <w:t>Net loss</w:t>
            </w:r>
          </w:p>
        </w:tc>
        <w:tc>
          <w:tcPr>
            <w:tcW w:w="240" w:type="dxa"/>
            <w:vAlign w:val="bottom"/>
            <w:tcBorders>
              <w:top w:val="single" w:sz="8" w:color="76AD9A"/>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20" w:type="dxa"/>
            <w:vAlign w:val="bottom"/>
            <w:tcBorders>
              <w:top w:val="single" w:sz="8" w:color="76AD9A"/>
            </w:tcBorders>
            <w:shd w:val="clear" w:color="auto" w:fill="EEF5F2"/>
          </w:tcPr>
          <w:p>
            <w:pPr>
              <w:jc w:val="right"/>
              <w:ind w:right="18"/>
              <w:spacing w:after="0" w:line="186" w:lineRule="exact"/>
              <w:rPr>
                <w:sz w:val="20"/>
                <w:szCs w:val="20"/>
                <w:color w:val="auto"/>
              </w:rPr>
            </w:pPr>
            <w:r>
              <w:rPr>
                <w:rFonts w:ascii="Arial" w:cs="Arial" w:eastAsia="Arial" w:hAnsi="Arial"/>
                <w:sz w:val="17"/>
                <w:szCs w:val="17"/>
                <w:color w:val="76AD9A"/>
              </w:rPr>
              <w:t>9.5</w:t>
            </w:r>
          </w:p>
        </w:tc>
        <w:tc>
          <w:tcPr>
            <w:tcW w:w="120" w:type="dxa"/>
            <w:vAlign w:val="bottom"/>
            <w:tcBorders>
              <w:top w:val="single" w:sz="8" w:color="76AD9A"/>
            </w:tcBorders>
            <w:shd w:val="clear" w:color="auto" w:fill="EEF5F2"/>
          </w:tcPr>
          <w:p>
            <w:pPr>
              <w:spacing w:after="0"/>
              <w:rPr>
                <w:sz w:val="16"/>
                <w:szCs w:val="16"/>
                <w:color w:val="auto"/>
              </w:rPr>
            </w:pPr>
          </w:p>
        </w:tc>
        <w:tc>
          <w:tcPr>
            <w:tcW w:w="560" w:type="dxa"/>
            <w:vAlign w:val="bottom"/>
            <w:tcBorders>
              <w:top w:val="single" w:sz="8" w:color="76AD9A"/>
            </w:tcBorders>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6AD9A"/>
            </w:tcBorders>
            <w:gridSpan w:val="2"/>
          </w:tcPr>
          <w:p>
            <w:pPr>
              <w:jc w:val="right"/>
              <w:ind w:right="220"/>
              <w:spacing w:after="0" w:line="186" w:lineRule="exact"/>
              <w:rPr>
                <w:sz w:val="20"/>
                <w:szCs w:val="20"/>
                <w:color w:val="auto"/>
              </w:rPr>
            </w:pPr>
            <w:r>
              <w:rPr>
                <w:rFonts w:ascii="Arial" w:cs="Arial" w:eastAsia="Arial" w:hAnsi="Arial"/>
                <w:sz w:val="17"/>
                <w:szCs w:val="17"/>
                <w:color w:val="373535"/>
              </w:rPr>
              <w:t>15.8</w:t>
            </w:r>
          </w:p>
        </w:tc>
        <w:tc>
          <w:tcPr>
            <w:tcW w:w="360" w:type="dxa"/>
            <w:vAlign w:val="bottom"/>
            <w:tcBorders>
              <w:top w:val="single" w:sz="8" w:color="76AD9A"/>
            </w:tcBorders>
            <w:shd w:val="clear" w:color="auto" w:fill="EEF5F2"/>
          </w:tcPr>
          <w:p>
            <w:pPr>
              <w:jc w:val="right"/>
              <w:ind w:right="54"/>
              <w:spacing w:after="0" w:line="186" w:lineRule="exact"/>
              <w:rPr>
                <w:sz w:val="20"/>
                <w:szCs w:val="20"/>
                <w:color w:val="auto"/>
              </w:rPr>
            </w:pPr>
            <w:r>
              <w:rPr>
                <w:rFonts w:ascii="Arial" w:cs="Arial" w:eastAsia="Arial" w:hAnsi="Arial"/>
                <w:sz w:val="17"/>
                <w:szCs w:val="17"/>
                <w:color w:val="76AD9A"/>
              </w:rPr>
              <w:t>$</w:t>
            </w:r>
          </w:p>
        </w:tc>
        <w:tc>
          <w:tcPr>
            <w:tcW w:w="980" w:type="dxa"/>
            <w:vAlign w:val="bottom"/>
            <w:tcBorders>
              <w:top w:val="single" w:sz="8" w:color="76AD9A"/>
            </w:tcBorders>
            <w:shd w:val="clear" w:color="auto" w:fill="EEF5F2"/>
          </w:tcPr>
          <w:p>
            <w:pPr>
              <w:jc w:val="right"/>
              <w:ind w:right="141"/>
              <w:spacing w:after="0" w:line="186" w:lineRule="exact"/>
              <w:rPr>
                <w:sz w:val="20"/>
                <w:szCs w:val="20"/>
                <w:color w:val="auto"/>
              </w:rPr>
            </w:pPr>
            <w:r>
              <w:rPr>
                <w:rFonts w:ascii="Arial" w:cs="Arial" w:eastAsia="Arial" w:hAnsi="Arial"/>
                <w:sz w:val="17"/>
                <w:szCs w:val="17"/>
                <w:color w:val="76AD9A"/>
              </w:rPr>
              <w:t>25.3</w:t>
            </w:r>
          </w:p>
        </w:tc>
        <w:tc>
          <w:tcPr>
            <w:tcW w:w="520" w:type="dxa"/>
            <w:vAlign w:val="bottom"/>
            <w:tcBorders>
              <w:top w:val="single" w:sz="8" w:color="76AD9A"/>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620" w:type="dxa"/>
            <w:vAlign w:val="bottom"/>
            <w:tcBorders>
              <w:top w:val="single" w:sz="8" w:color="76AD9A"/>
            </w:tcBorders>
          </w:tcPr>
          <w:p>
            <w:pPr>
              <w:jc w:val="right"/>
              <w:spacing w:after="0" w:line="186" w:lineRule="exact"/>
              <w:rPr>
                <w:sz w:val="20"/>
                <w:szCs w:val="20"/>
                <w:color w:val="auto"/>
              </w:rPr>
            </w:pPr>
            <w:r>
              <w:rPr>
                <w:rFonts w:ascii="Arial" w:cs="Arial" w:eastAsia="Arial" w:hAnsi="Arial"/>
                <w:sz w:val="17"/>
                <w:szCs w:val="17"/>
                <w:color w:val="373535"/>
              </w:rPr>
              <w:t>14.8</w:t>
            </w:r>
          </w:p>
        </w:tc>
        <w:tc>
          <w:tcPr>
            <w:tcW w:w="20" w:type="dxa"/>
            <w:vAlign w:val="bottom"/>
          </w:tcPr>
          <w:p>
            <w:pPr>
              <w:spacing w:after="0"/>
              <w:rPr>
                <w:sz w:val="16"/>
                <w:szCs w:val="16"/>
                <w:color w:val="auto"/>
              </w:rPr>
            </w:pPr>
          </w:p>
        </w:tc>
      </w:tr>
      <w:tr>
        <w:trPr>
          <w:trHeight w:val="206"/>
        </w:trPr>
        <w:tc>
          <w:tcPr>
            <w:tcW w:w="6060" w:type="dxa"/>
            <w:vAlign w:val="bottom"/>
            <w:gridSpan w:val="2"/>
          </w:tcPr>
          <w:p>
            <w:pPr>
              <w:spacing w:after="0"/>
              <w:rPr>
                <w:sz w:val="20"/>
                <w:szCs w:val="20"/>
                <w:color w:val="auto"/>
              </w:rPr>
            </w:pPr>
            <w:r>
              <w:rPr>
                <w:rFonts w:ascii="Arial" w:cs="Arial" w:eastAsia="Arial" w:hAnsi="Arial"/>
                <w:sz w:val="17"/>
                <w:szCs w:val="17"/>
                <w:color w:val="373535"/>
              </w:rPr>
              <w:t>Prior service cost</w:t>
            </w:r>
          </w:p>
        </w:tc>
        <w:tc>
          <w:tcPr>
            <w:tcW w:w="240" w:type="dxa"/>
            <w:vAlign w:val="bottom"/>
            <w:shd w:val="clear" w:color="auto" w:fill="EEF5F2"/>
          </w:tcPr>
          <w:p>
            <w:pPr>
              <w:spacing w:after="0"/>
              <w:rPr>
                <w:sz w:val="17"/>
                <w:szCs w:val="17"/>
                <w:color w:val="auto"/>
              </w:rPr>
            </w:pPr>
          </w:p>
        </w:tc>
        <w:tc>
          <w:tcPr>
            <w:tcW w:w="1020" w:type="dxa"/>
            <w:vAlign w:val="bottom"/>
            <w:shd w:val="clear" w:color="auto" w:fill="EEF5F2"/>
          </w:tcPr>
          <w:p>
            <w:pPr>
              <w:jc w:val="right"/>
              <w:ind w:right="18"/>
              <w:spacing w:after="0"/>
              <w:rPr>
                <w:sz w:val="20"/>
                <w:szCs w:val="20"/>
                <w:color w:val="auto"/>
              </w:rPr>
            </w:pPr>
            <w:r>
              <w:rPr>
                <w:rFonts w:ascii="Arial" w:cs="Arial" w:eastAsia="Arial" w:hAnsi="Arial"/>
                <w:sz w:val="17"/>
                <w:szCs w:val="17"/>
                <w:color w:val="76AD9A"/>
              </w:rPr>
              <w:t>0.1</w:t>
            </w:r>
          </w:p>
        </w:tc>
        <w:tc>
          <w:tcPr>
            <w:tcW w:w="120" w:type="dxa"/>
            <w:vAlign w:val="bottom"/>
            <w:shd w:val="clear" w:color="auto" w:fill="EEF5F2"/>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7"/>
                <w:szCs w:val="17"/>
                <w:color w:val="373535"/>
              </w:rPr>
              <w:t>0.1</w:t>
            </w:r>
          </w:p>
        </w:tc>
        <w:tc>
          <w:tcPr>
            <w:tcW w:w="360" w:type="dxa"/>
            <w:vAlign w:val="bottom"/>
            <w:shd w:val="clear" w:color="auto" w:fill="EEF5F2"/>
          </w:tcPr>
          <w:p>
            <w:pPr>
              <w:spacing w:after="0"/>
              <w:rPr>
                <w:sz w:val="17"/>
                <w:szCs w:val="17"/>
                <w:color w:val="auto"/>
              </w:rPr>
            </w:pPr>
          </w:p>
        </w:tc>
        <w:tc>
          <w:tcPr>
            <w:tcW w:w="980" w:type="dxa"/>
            <w:vAlign w:val="bottom"/>
            <w:shd w:val="clear" w:color="auto" w:fill="EEF5F2"/>
          </w:tcPr>
          <w:p>
            <w:pPr>
              <w:jc w:val="right"/>
              <w:ind w:right="141"/>
              <w:spacing w:after="0"/>
              <w:rPr>
                <w:sz w:val="20"/>
                <w:szCs w:val="20"/>
                <w:color w:val="auto"/>
              </w:rPr>
            </w:pPr>
            <w:r>
              <w:rPr>
                <w:rFonts w:ascii="Arial" w:cs="Arial" w:eastAsia="Arial" w:hAnsi="Arial"/>
                <w:sz w:val="17"/>
                <w:szCs w:val="17"/>
                <w:color w:val="76AD9A"/>
              </w:rPr>
              <w:t>4.8</w:t>
            </w:r>
          </w:p>
        </w:tc>
        <w:tc>
          <w:tcPr>
            <w:tcW w:w="5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373535"/>
              </w:rPr>
              <w:t>6.3</w:t>
            </w:r>
          </w:p>
        </w:tc>
      </w:tr>
      <w:tr>
        <w:trPr>
          <w:trHeight w:val="186"/>
        </w:trPr>
        <w:tc>
          <w:tcPr>
            <w:tcW w:w="20" w:type="dxa"/>
            <w:vAlign w:val="bottom"/>
          </w:tcPr>
          <w:p>
            <w:pPr>
              <w:spacing w:after="0"/>
              <w:rPr>
                <w:sz w:val="16"/>
                <w:szCs w:val="16"/>
                <w:color w:val="auto"/>
              </w:rPr>
            </w:pPr>
          </w:p>
        </w:tc>
        <w:tc>
          <w:tcPr>
            <w:tcW w:w="6040" w:type="dxa"/>
            <w:vAlign w:val="bottom"/>
            <w:tcBorders>
              <w:top w:val="single" w:sz="8" w:color="717073"/>
              <w:bottom w:val="single" w:sz="8" w:color="717073"/>
            </w:tcBorders>
          </w:tcPr>
          <w:p>
            <w:pPr>
              <w:spacing w:after="0" w:line="186" w:lineRule="exact"/>
              <w:rPr>
                <w:sz w:val="20"/>
                <w:szCs w:val="20"/>
                <w:color w:val="auto"/>
              </w:rPr>
            </w:pPr>
            <w:r>
              <w:rPr>
                <w:rFonts w:ascii="Arial" w:cs="Arial" w:eastAsia="Arial" w:hAnsi="Arial"/>
                <w:sz w:val="17"/>
                <w:szCs w:val="17"/>
                <w:color w:val="373535"/>
              </w:rPr>
              <w:t>Total</w:t>
            </w:r>
          </w:p>
        </w:tc>
        <w:tc>
          <w:tcPr>
            <w:tcW w:w="24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20" w:type="dxa"/>
            <w:vAlign w:val="bottom"/>
            <w:tcBorders>
              <w:top w:val="single" w:sz="8" w:color="717073"/>
              <w:bottom w:val="single" w:sz="8" w:color="717073"/>
            </w:tcBorders>
            <w:shd w:val="clear" w:color="auto" w:fill="EEF5F2"/>
          </w:tcPr>
          <w:p>
            <w:pPr>
              <w:jc w:val="right"/>
              <w:ind w:right="18"/>
              <w:spacing w:after="0" w:line="186" w:lineRule="exact"/>
              <w:rPr>
                <w:sz w:val="20"/>
                <w:szCs w:val="20"/>
                <w:color w:val="auto"/>
              </w:rPr>
            </w:pPr>
            <w:r>
              <w:rPr>
                <w:rFonts w:ascii="Arial" w:cs="Arial" w:eastAsia="Arial" w:hAnsi="Arial"/>
                <w:sz w:val="17"/>
                <w:szCs w:val="17"/>
                <w:color w:val="76AD9A"/>
              </w:rPr>
              <w:t>9.6</w:t>
            </w:r>
          </w:p>
        </w:tc>
        <w:tc>
          <w:tcPr>
            <w:tcW w:w="120" w:type="dxa"/>
            <w:vAlign w:val="bottom"/>
            <w:tcBorders>
              <w:top w:val="single" w:sz="8" w:color="717073"/>
              <w:bottom w:val="single" w:sz="8" w:color="717073"/>
            </w:tcBorders>
            <w:shd w:val="clear" w:color="auto" w:fill="EEF5F2"/>
          </w:tcPr>
          <w:p>
            <w:pPr>
              <w:spacing w:after="0"/>
              <w:rPr>
                <w:sz w:val="16"/>
                <w:szCs w:val="16"/>
                <w:color w:val="auto"/>
              </w:rPr>
            </w:pPr>
          </w:p>
        </w:tc>
        <w:tc>
          <w:tcPr>
            <w:tcW w:w="560" w:type="dxa"/>
            <w:vAlign w:val="bottom"/>
            <w:tcBorders>
              <w:top w:val="single" w:sz="8" w:color="717073"/>
              <w:bottom w:val="single" w:sz="8" w:color="717073"/>
            </w:tcBorders>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840" w:type="dxa"/>
            <w:vAlign w:val="bottom"/>
            <w:tcBorders>
              <w:top w:val="single" w:sz="8" w:color="717073"/>
              <w:bottom w:val="single" w:sz="8" w:color="717073"/>
            </w:tcBorders>
            <w:gridSpan w:val="2"/>
          </w:tcPr>
          <w:p>
            <w:pPr>
              <w:jc w:val="right"/>
              <w:ind w:right="220"/>
              <w:spacing w:after="0" w:line="186" w:lineRule="exact"/>
              <w:rPr>
                <w:sz w:val="20"/>
                <w:szCs w:val="20"/>
                <w:color w:val="auto"/>
              </w:rPr>
            </w:pPr>
            <w:r>
              <w:rPr>
                <w:rFonts w:ascii="Arial" w:cs="Arial" w:eastAsia="Arial" w:hAnsi="Arial"/>
                <w:sz w:val="17"/>
                <w:szCs w:val="17"/>
                <w:color w:val="373535"/>
              </w:rPr>
              <w:t>15.9</w:t>
            </w:r>
          </w:p>
        </w:tc>
        <w:tc>
          <w:tcPr>
            <w:tcW w:w="360" w:type="dxa"/>
            <w:vAlign w:val="bottom"/>
            <w:tcBorders>
              <w:top w:val="single" w:sz="8" w:color="717073"/>
              <w:bottom w:val="single" w:sz="8" w:color="717073"/>
            </w:tcBorders>
            <w:shd w:val="clear" w:color="auto" w:fill="EEF5F2"/>
          </w:tcPr>
          <w:p>
            <w:pPr>
              <w:jc w:val="right"/>
              <w:ind w:right="54"/>
              <w:spacing w:after="0" w:line="186" w:lineRule="exact"/>
              <w:rPr>
                <w:sz w:val="20"/>
                <w:szCs w:val="20"/>
                <w:color w:val="auto"/>
              </w:rPr>
            </w:pPr>
            <w:r>
              <w:rPr>
                <w:rFonts w:ascii="Arial" w:cs="Arial" w:eastAsia="Arial" w:hAnsi="Arial"/>
                <w:sz w:val="17"/>
                <w:szCs w:val="17"/>
                <w:color w:val="76AD9A"/>
              </w:rPr>
              <w:t>$</w:t>
            </w:r>
          </w:p>
        </w:tc>
        <w:tc>
          <w:tcPr>
            <w:tcW w:w="980" w:type="dxa"/>
            <w:vAlign w:val="bottom"/>
            <w:tcBorders>
              <w:top w:val="single" w:sz="8" w:color="717073"/>
              <w:bottom w:val="single" w:sz="8" w:color="717073"/>
            </w:tcBorders>
            <w:shd w:val="clear" w:color="auto" w:fill="EEF5F2"/>
          </w:tcPr>
          <w:p>
            <w:pPr>
              <w:jc w:val="right"/>
              <w:ind w:right="141"/>
              <w:spacing w:after="0" w:line="186" w:lineRule="exact"/>
              <w:rPr>
                <w:sz w:val="20"/>
                <w:szCs w:val="20"/>
                <w:color w:val="auto"/>
              </w:rPr>
            </w:pPr>
            <w:r>
              <w:rPr>
                <w:rFonts w:ascii="Arial" w:cs="Arial" w:eastAsia="Arial" w:hAnsi="Arial"/>
                <w:sz w:val="17"/>
                <w:szCs w:val="17"/>
                <w:color w:val="76AD9A"/>
              </w:rPr>
              <w:t>30.1</w:t>
            </w:r>
          </w:p>
        </w:tc>
        <w:tc>
          <w:tcPr>
            <w:tcW w:w="520" w:type="dxa"/>
            <w:vAlign w:val="bottom"/>
            <w:tcBorders>
              <w:top w:val="single" w:sz="8" w:color="717073"/>
              <w:bottom w:val="single" w:sz="8" w:color="717073"/>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62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21.1</w:t>
            </w:r>
          </w:p>
        </w:tc>
        <w:tc>
          <w:tcPr>
            <w:tcW w:w="20" w:type="dxa"/>
            <w:vAlign w:val="bottom"/>
          </w:tcPr>
          <w:p>
            <w:pPr>
              <w:spacing w:after="0"/>
              <w:rPr>
                <w:sz w:val="16"/>
                <w:szCs w:val="16"/>
                <w:color w:val="auto"/>
              </w:rPr>
            </w:pPr>
          </w:p>
        </w:tc>
      </w:tr>
    </w:tbl>
    <w:p>
      <w:pPr>
        <w:spacing w:after="0" w:line="193"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The accumulated benefit obligation for our plans that have plan assets was $291.7 and $272.8 as of December 31, 2013 and 2012, respectively. The accumulated benefit obligation for certain of our plans exceeded the fair value of plan assets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gridSpan w:val="3"/>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920" w:type="dxa"/>
            <w:vAlign w:val="bottom"/>
            <w:shd w:val="clear" w:color="auto" w:fill="76AD9A"/>
          </w:tcPr>
          <w:p>
            <w:pPr>
              <w:jc w:val="right"/>
              <w:spacing w:after="0"/>
              <w:rPr>
                <w:sz w:val="20"/>
                <w:szCs w:val="20"/>
                <w:color w:val="auto"/>
              </w:rPr>
            </w:pPr>
            <w:r>
              <w:rPr>
                <w:rFonts w:ascii="Arial" w:cs="Arial" w:eastAsia="Arial" w:hAnsi="Arial"/>
                <w:sz w:val="14"/>
                <w:szCs w:val="14"/>
                <w:b w:val="1"/>
                <w:bCs w:val="1"/>
                <w:color w:val="FFFFFF"/>
              </w:rPr>
              <w:t>2013</w:t>
            </w:r>
          </w:p>
        </w:tc>
        <w:tc>
          <w:tcPr>
            <w:tcW w:w="220" w:type="dxa"/>
            <w:vAlign w:val="bottom"/>
            <w:shd w:val="clear" w:color="auto" w:fill="008015"/>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76AD9A"/>
              </w:rPr>
              <w:t>2012</w:t>
            </w: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gridSpan w:val="2"/>
          </w:tcPr>
          <w:p>
            <w:pPr>
              <w:spacing w:after="0" w:line="186" w:lineRule="exact"/>
              <w:rPr>
                <w:sz w:val="20"/>
                <w:szCs w:val="20"/>
                <w:color w:val="auto"/>
              </w:rPr>
            </w:pPr>
            <w:r>
              <w:rPr>
                <w:rFonts w:ascii="Arial" w:cs="Arial" w:eastAsia="Arial" w:hAnsi="Arial"/>
                <w:sz w:val="17"/>
                <w:szCs w:val="17"/>
                <w:color w:val="373535"/>
              </w:rPr>
              <w:t>Accumulated benefit obligation</w:t>
            </w:r>
          </w:p>
        </w:tc>
        <w:tc>
          <w:tcPr>
            <w:tcW w:w="240" w:type="dxa"/>
            <w:vAlign w:val="bottom"/>
            <w:tcBorders>
              <w:top w:val="single" w:sz="8" w:color="76AD9A"/>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920" w:type="dxa"/>
            <w:vAlign w:val="bottom"/>
            <w:tcBorders>
              <w:top w:val="single" w:sz="8" w:color="76AD9A"/>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10.3</w:t>
            </w:r>
          </w:p>
        </w:tc>
        <w:tc>
          <w:tcPr>
            <w:tcW w:w="220" w:type="dxa"/>
            <w:vAlign w:val="bottom"/>
            <w:tcBorders>
              <w:top w:val="single" w:sz="8" w:color="76AD9A"/>
            </w:tcBorders>
            <w:shd w:val="clear" w:color="auto" w:fill="008024"/>
          </w:tcPr>
          <w:p>
            <w:pPr>
              <w:spacing w:after="0"/>
              <w:rPr>
                <w:sz w:val="16"/>
                <w:szCs w:val="16"/>
                <w:color w:val="auto"/>
              </w:rPr>
            </w:pPr>
          </w:p>
        </w:tc>
        <w:tc>
          <w:tcPr>
            <w:tcW w:w="540" w:type="dxa"/>
            <w:vAlign w:val="bottom"/>
            <w:tcBorders>
              <w:top w:val="single" w:sz="8" w:color="76AD9A"/>
            </w:tcBorders>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600" w:type="dxa"/>
            <w:vAlign w:val="bottom"/>
            <w:tcBorders>
              <w:top w:val="single" w:sz="8" w:color="76AD9A"/>
            </w:tcBorders>
          </w:tcPr>
          <w:p>
            <w:pPr>
              <w:jc w:val="right"/>
              <w:spacing w:after="0" w:line="186" w:lineRule="exact"/>
              <w:rPr>
                <w:sz w:val="20"/>
                <w:szCs w:val="20"/>
                <w:color w:val="auto"/>
              </w:rPr>
            </w:pPr>
            <w:r>
              <w:rPr>
                <w:rFonts w:ascii="Arial" w:cs="Arial" w:eastAsia="Arial" w:hAnsi="Arial"/>
                <w:sz w:val="17"/>
                <w:szCs w:val="17"/>
                <w:color w:val="373535"/>
              </w:rPr>
              <w:t>9.2</w:t>
            </w:r>
          </w:p>
        </w:tc>
        <w:tc>
          <w:tcPr>
            <w:tcW w:w="100" w:type="dxa"/>
            <w:vAlign w:val="bottom"/>
          </w:tcPr>
          <w:p>
            <w:pPr>
              <w:spacing w:after="0"/>
              <w:rPr>
                <w:sz w:val="16"/>
                <w:szCs w:val="16"/>
                <w:color w:val="auto"/>
              </w:rPr>
            </w:pPr>
          </w:p>
        </w:tc>
      </w:tr>
      <w:tr>
        <w:trPr>
          <w:trHeight w:val="206"/>
        </w:trPr>
        <w:tc>
          <w:tcPr>
            <w:tcW w:w="8800" w:type="dxa"/>
            <w:vAlign w:val="bottom"/>
            <w:gridSpan w:val="3"/>
          </w:tcPr>
          <w:p>
            <w:pPr>
              <w:spacing w:after="0"/>
              <w:rPr>
                <w:sz w:val="20"/>
                <w:szCs w:val="20"/>
                <w:color w:val="auto"/>
              </w:rPr>
            </w:pPr>
            <w:r>
              <w:rPr>
                <w:rFonts w:ascii="Arial" w:cs="Arial" w:eastAsia="Arial" w:hAnsi="Arial"/>
                <w:sz w:val="17"/>
                <w:szCs w:val="17"/>
                <w:color w:val="373535"/>
              </w:rPr>
              <w:t>Plan assets</w:t>
            </w:r>
          </w:p>
        </w:tc>
        <w:tc>
          <w:tcPr>
            <w:tcW w:w="240" w:type="dxa"/>
            <w:vAlign w:val="bottom"/>
            <w:shd w:val="clear" w:color="auto" w:fill="EEF5F2"/>
          </w:tcPr>
          <w:p>
            <w:pPr>
              <w:spacing w:after="0"/>
              <w:rPr>
                <w:sz w:val="17"/>
                <w:szCs w:val="17"/>
                <w:color w:val="auto"/>
              </w:rPr>
            </w:pPr>
          </w:p>
        </w:tc>
        <w:tc>
          <w:tcPr>
            <w:tcW w:w="92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9.8</w:t>
            </w:r>
          </w:p>
        </w:tc>
        <w:tc>
          <w:tcPr>
            <w:tcW w:w="220" w:type="dxa"/>
            <w:vAlign w:val="bottom"/>
            <w:shd w:val="clear" w:color="auto" w:fill="008024"/>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373535"/>
              </w:rPr>
              <w:t>8.5</w:t>
            </w: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717073"/>
          </w:tcPr>
          <w:p>
            <w:pPr>
              <w:spacing w:after="0" w:line="20" w:lineRule="exact"/>
              <w:rPr>
                <w:sz w:val="1"/>
                <w:szCs w:val="1"/>
                <w:color w:val="auto"/>
              </w:rPr>
            </w:pPr>
          </w:p>
        </w:tc>
        <w:tc>
          <w:tcPr>
            <w:tcW w:w="84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9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540" w:type="dxa"/>
            <w:vAlign w:val="bottom"/>
            <w:shd w:val="clear" w:color="auto" w:fill="717073"/>
          </w:tcPr>
          <w:p>
            <w:pPr>
              <w:spacing w:after="0" w:line="20" w:lineRule="exact"/>
              <w:rPr>
                <w:sz w:val="1"/>
                <w:szCs w:val="1"/>
                <w:color w:val="auto"/>
              </w:rPr>
            </w:pPr>
          </w:p>
        </w:tc>
        <w:tc>
          <w:tcPr>
            <w:tcW w:w="600" w:type="dxa"/>
            <w:vAlign w:val="bottom"/>
            <w:shd w:val="clear" w:color="auto" w:fill="71707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6"/>
        </w:trPr>
        <w:tc>
          <w:tcPr>
            <w:tcW w:w="320" w:type="dxa"/>
            <w:vAlign w:val="bottom"/>
            <w:gridSpan w:val="2"/>
          </w:tcPr>
          <w:p>
            <w:pPr>
              <w:spacing w:after="0"/>
              <w:rPr>
                <w:sz w:val="20"/>
                <w:szCs w:val="20"/>
                <w:color w:val="auto"/>
              </w:rPr>
            </w:pPr>
            <w:r>
              <w:rPr>
                <w:rFonts w:ascii="Arial" w:cs="Arial" w:eastAsia="Arial" w:hAnsi="Arial"/>
                <w:sz w:val="14"/>
                <w:szCs w:val="14"/>
                <w:b w:val="1"/>
                <w:bCs w:val="1"/>
                <w:color w:val="373535"/>
              </w:rPr>
              <w:t>72</w:t>
            </w:r>
          </w:p>
        </w:tc>
        <w:tc>
          <w:tcPr>
            <w:tcW w:w="8480" w:type="dxa"/>
            <w:vAlign w:val="bottom"/>
          </w:tcPr>
          <w:p>
            <w:pPr>
              <w:ind w:left="140"/>
              <w:spacing w:after="0"/>
              <w:rPr>
                <w:sz w:val="20"/>
                <w:szCs w:val="20"/>
                <w:color w:val="auto"/>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848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color w:val="373535"/>
        </w:rPr>
        <w:t>The projected benefit obligation for certain of our plans exceeded the fair value of plan assets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92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380" w:type="dxa"/>
            <w:vAlign w:val="bottom"/>
            <w:shd w:val="clear" w:color="auto" w:fill="76AD9A"/>
          </w:tcPr>
          <w:p>
            <w:pPr>
              <w:spacing w:after="0"/>
              <w:rPr>
                <w:sz w:val="16"/>
                <w:szCs w:val="16"/>
                <w:color w:val="auto"/>
              </w:rPr>
            </w:pPr>
          </w:p>
        </w:tc>
        <w:tc>
          <w:tcPr>
            <w:tcW w:w="760" w:type="dxa"/>
            <w:vAlign w:val="bottom"/>
            <w:shd w:val="clear" w:color="auto" w:fill="76AD9A"/>
          </w:tcPr>
          <w:p>
            <w:pPr>
              <w:jc w:val="right"/>
              <w:spacing w:after="0"/>
              <w:rPr>
                <w:sz w:val="20"/>
                <w:szCs w:val="20"/>
                <w:color w:val="auto"/>
              </w:rPr>
            </w:pPr>
            <w:r>
              <w:rPr>
                <w:rFonts w:ascii="Arial" w:cs="Arial" w:eastAsia="Arial" w:hAnsi="Arial"/>
                <w:sz w:val="14"/>
                <w:szCs w:val="14"/>
                <w:b w:val="1"/>
                <w:bCs w:val="1"/>
                <w:color w:val="FFFFFF"/>
              </w:rPr>
              <w:t>2013</w:t>
            </w:r>
          </w:p>
        </w:tc>
        <w:tc>
          <w:tcPr>
            <w:tcW w:w="120" w:type="dxa"/>
            <w:vAlign w:val="bottom"/>
            <w:shd w:val="clear" w:color="auto" w:fill="008015"/>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76AD9A"/>
              </w:rPr>
              <w:t>2012</w:t>
            </w:r>
          </w:p>
        </w:tc>
      </w:tr>
      <w:tr>
        <w:trPr>
          <w:trHeight w:val="186"/>
        </w:trPr>
        <w:tc>
          <w:tcPr>
            <w:tcW w:w="20" w:type="dxa"/>
            <w:vAlign w:val="bottom"/>
          </w:tcPr>
          <w:p>
            <w:pPr>
              <w:spacing w:after="0"/>
              <w:rPr>
                <w:sz w:val="16"/>
                <w:szCs w:val="16"/>
                <w:color w:val="auto"/>
              </w:rPr>
            </w:pPr>
          </w:p>
        </w:tc>
        <w:tc>
          <w:tcPr>
            <w:tcW w:w="8900" w:type="dxa"/>
            <w:vAlign w:val="bottom"/>
            <w:tcBorders>
              <w:top w:val="single" w:sz="8" w:color="76AD9A"/>
            </w:tcBorders>
          </w:tcPr>
          <w:p>
            <w:pPr>
              <w:spacing w:after="0" w:line="186" w:lineRule="exact"/>
              <w:rPr>
                <w:sz w:val="20"/>
                <w:szCs w:val="20"/>
                <w:color w:val="auto"/>
              </w:rPr>
            </w:pPr>
            <w:r>
              <w:rPr>
                <w:rFonts w:ascii="Arial" w:cs="Arial" w:eastAsia="Arial" w:hAnsi="Arial"/>
                <w:sz w:val="17"/>
                <w:szCs w:val="17"/>
                <w:color w:val="373535"/>
              </w:rPr>
              <w:t>Projected benefit obligation</w:t>
            </w:r>
          </w:p>
        </w:tc>
        <w:tc>
          <w:tcPr>
            <w:tcW w:w="380" w:type="dxa"/>
            <w:vAlign w:val="bottom"/>
            <w:tcBorders>
              <w:top w:val="single" w:sz="8" w:color="76AD9A"/>
            </w:tcBorders>
            <w:shd w:val="clear" w:color="auto" w:fill="EEF5F2"/>
          </w:tcPr>
          <w:p>
            <w:pPr>
              <w:jc w:val="right"/>
              <w:ind w:right="54"/>
              <w:spacing w:after="0" w:line="186" w:lineRule="exact"/>
              <w:rPr>
                <w:sz w:val="20"/>
                <w:szCs w:val="20"/>
                <w:color w:val="auto"/>
              </w:rPr>
            </w:pPr>
            <w:r>
              <w:rPr>
                <w:rFonts w:ascii="Arial" w:cs="Arial" w:eastAsia="Arial" w:hAnsi="Arial"/>
                <w:sz w:val="17"/>
                <w:szCs w:val="17"/>
                <w:color w:val="76AD9A"/>
              </w:rPr>
              <w:t>$</w:t>
            </w:r>
          </w:p>
        </w:tc>
        <w:tc>
          <w:tcPr>
            <w:tcW w:w="760" w:type="dxa"/>
            <w:vAlign w:val="bottom"/>
            <w:tcBorders>
              <w:top w:val="single" w:sz="8" w:color="76AD9A"/>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53.4</w:t>
            </w:r>
          </w:p>
        </w:tc>
        <w:tc>
          <w:tcPr>
            <w:tcW w:w="120" w:type="dxa"/>
            <w:vAlign w:val="bottom"/>
            <w:tcBorders>
              <w:top w:val="single" w:sz="8" w:color="76AD9A"/>
            </w:tcBorders>
            <w:shd w:val="clear" w:color="auto" w:fill="008024"/>
          </w:tcPr>
          <w:p>
            <w:pPr>
              <w:spacing w:after="0"/>
              <w:rPr>
                <w:sz w:val="16"/>
                <w:szCs w:val="16"/>
                <w:color w:val="auto"/>
              </w:rPr>
            </w:pPr>
          </w:p>
        </w:tc>
        <w:tc>
          <w:tcPr>
            <w:tcW w:w="520" w:type="dxa"/>
            <w:vAlign w:val="bottom"/>
            <w:tcBorders>
              <w:top w:val="single" w:sz="8" w:color="76AD9A"/>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620" w:type="dxa"/>
            <w:vAlign w:val="bottom"/>
            <w:tcBorders>
              <w:top w:val="single" w:sz="8" w:color="76AD9A"/>
            </w:tcBorders>
          </w:tcPr>
          <w:p>
            <w:pPr>
              <w:jc w:val="right"/>
              <w:spacing w:after="0" w:line="186" w:lineRule="exact"/>
              <w:rPr>
                <w:sz w:val="20"/>
                <w:szCs w:val="20"/>
                <w:color w:val="auto"/>
              </w:rPr>
            </w:pPr>
            <w:r>
              <w:rPr>
                <w:rFonts w:ascii="Arial" w:cs="Arial" w:eastAsia="Arial" w:hAnsi="Arial"/>
                <w:sz w:val="17"/>
                <w:szCs w:val="17"/>
                <w:color w:val="373535"/>
              </w:rPr>
              <w:t>16.7</w:t>
            </w:r>
          </w:p>
        </w:tc>
        <w:tc>
          <w:tcPr>
            <w:tcW w:w="20" w:type="dxa"/>
            <w:vAlign w:val="bottom"/>
          </w:tcPr>
          <w:p>
            <w:pPr>
              <w:spacing w:after="0"/>
              <w:rPr>
                <w:sz w:val="16"/>
                <w:szCs w:val="16"/>
                <w:color w:val="auto"/>
              </w:rPr>
            </w:pPr>
          </w:p>
        </w:tc>
      </w:tr>
      <w:tr>
        <w:trPr>
          <w:trHeight w:val="206"/>
        </w:trPr>
        <w:tc>
          <w:tcPr>
            <w:tcW w:w="8920" w:type="dxa"/>
            <w:vAlign w:val="bottom"/>
            <w:gridSpan w:val="2"/>
          </w:tcPr>
          <w:p>
            <w:pPr>
              <w:spacing w:after="0"/>
              <w:rPr>
                <w:sz w:val="20"/>
                <w:szCs w:val="20"/>
                <w:color w:val="auto"/>
              </w:rPr>
            </w:pPr>
            <w:r>
              <w:rPr>
                <w:rFonts w:ascii="Arial" w:cs="Arial" w:eastAsia="Arial" w:hAnsi="Arial"/>
                <w:sz w:val="17"/>
                <w:szCs w:val="17"/>
                <w:color w:val="373535"/>
              </w:rPr>
              <w:t>Plan assets</w:t>
            </w:r>
          </w:p>
        </w:tc>
        <w:tc>
          <w:tcPr>
            <w:tcW w:w="380" w:type="dxa"/>
            <w:vAlign w:val="bottom"/>
            <w:shd w:val="clear" w:color="auto" w:fill="EEF5F2"/>
          </w:tcPr>
          <w:p>
            <w:pPr>
              <w:spacing w:after="0"/>
              <w:rPr>
                <w:sz w:val="17"/>
                <w:szCs w:val="17"/>
                <w:color w:val="auto"/>
              </w:rPr>
            </w:pPr>
          </w:p>
        </w:tc>
        <w:tc>
          <w:tcPr>
            <w:tcW w:w="76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44.8</w:t>
            </w:r>
          </w:p>
        </w:tc>
        <w:tc>
          <w:tcPr>
            <w:tcW w:w="120" w:type="dxa"/>
            <w:vAlign w:val="bottom"/>
            <w:shd w:val="clear" w:color="auto" w:fill="008024"/>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7"/>
                <w:szCs w:val="17"/>
                <w:color w:val="373535"/>
              </w:rPr>
              <w:t>12.4</w:t>
            </w:r>
          </w:p>
        </w:tc>
      </w:tr>
      <w:tr>
        <w:trPr>
          <w:trHeight w:val="20"/>
        </w:trPr>
        <w:tc>
          <w:tcPr>
            <w:tcW w:w="20" w:type="dxa"/>
            <w:vAlign w:val="bottom"/>
          </w:tcPr>
          <w:p>
            <w:pPr>
              <w:spacing w:after="0" w:line="20" w:lineRule="exact"/>
              <w:rPr>
                <w:sz w:val="1"/>
                <w:szCs w:val="1"/>
                <w:color w:val="auto"/>
              </w:rPr>
            </w:pPr>
          </w:p>
        </w:tc>
        <w:tc>
          <w:tcPr>
            <w:tcW w:w="8900" w:type="dxa"/>
            <w:vAlign w:val="bottom"/>
            <w:shd w:val="clear" w:color="auto" w:fill="717073"/>
          </w:tcPr>
          <w:p>
            <w:pPr>
              <w:spacing w:after="0" w:line="20" w:lineRule="exact"/>
              <w:rPr>
                <w:sz w:val="1"/>
                <w:szCs w:val="1"/>
                <w:color w:val="auto"/>
              </w:rPr>
            </w:pPr>
          </w:p>
        </w:tc>
        <w:tc>
          <w:tcPr>
            <w:tcW w:w="380" w:type="dxa"/>
            <w:vAlign w:val="bottom"/>
            <w:shd w:val="clear" w:color="auto" w:fill="717073"/>
          </w:tcPr>
          <w:p>
            <w:pPr>
              <w:spacing w:after="0" w:line="20" w:lineRule="exact"/>
              <w:rPr>
                <w:sz w:val="1"/>
                <w:szCs w:val="1"/>
                <w:color w:val="auto"/>
              </w:rPr>
            </w:pPr>
          </w:p>
        </w:tc>
        <w:tc>
          <w:tcPr>
            <w:tcW w:w="760" w:type="dxa"/>
            <w:vAlign w:val="bottom"/>
            <w:shd w:val="clear" w:color="auto" w:fill="717073"/>
          </w:tcPr>
          <w:p>
            <w:pPr>
              <w:spacing w:after="0" w:line="20" w:lineRule="exact"/>
              <w:rPr>
                <w:sz w:val="1"/>
                <w:szCs w:val="1"/>
                <w:color w:val="auto"/>
              </w:rPr>
            </w:pPr>
          </w:p>
        </w:tc>
        <w:tc>
          <w:tcPr>
            <w:tcW w:w="120" w:type="dxa"/>
            <w:vAlign w:val="bottom"/>
            <w:shd w:val="clear" w:color="auto" w:fill="717073"/>
          </w:tcPr>
          <w:p>
            <w:pPr>
              <w:spacing w:after="0" w:line="20" w:lineRule="exact"/>
              <w:rPr>
                <w:sz w:val="1"/>
                <w:szCs w:val="1"/>
                <w:color w:val="auto"/>
              </w:rPr>
            </w:pPr>
          </w:p>
        </w:tc>
        <w:tc>
          <w:tcPr>
            <w:tcW w:w="520" w:type="dxa"/>
            <w:vAlign w:val="bottom"/>
            <w:shd w:val="clear" w:color="auto" w:fill="717073"/>
          </w:tcPr>
          <w:p>
            <w:pPr>
              <w:spacing w:after="0" w:line="20" w:lineRule="exact"/>
              <w:rPr>
                <w:sz w:val="1"/>
                <w:szCs w:val="1"/>
                <w:color w:val="auto"/>
              </w:rPr>
            </w:pPr>
          </w:p>
        </w:tc>
        <w:tc>
          <w:tcPr>
            <w:tcW w:w="62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By their nature, certain of our plans do not have plan assets. The accumulated benefit obligation for these plans was $68.4 and $70.0 as of December 31, 2013 and 2012,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373535"/>
        </w:rPr>
        <w:t>The components of the net periodic benefit cost and other amounts recognized in other comprehensive loss for all plans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4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6"/>
                <w:szCs w:val="16"/>
                <w:color w:val="auto"/>
              </w:rPr>
            </w:pPr>
          </w:p>
        </w:tc>
        <w:tc>
          <w:tcPr>
            <w:tcW w:w="114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50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color w:val="76AD9A"/>
              </w:rPr>
              <w:t>2012</w:t>
            </w:r>
          </w:p>
        </w:tc>
        <w:tc>
          <w:tcPr>
            <w:tcW w:w="520" w:type="dxa"/>
            <w:vAlign w:val="bottom"/>
          </w:tcPr>
          <w:p>
            <w:pPr>
              <w:spacing w:after="0"/>
              <w:rPr>
                <w:sz w:val="16"/>
                <w:szCs w:val="16"/>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42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Service cost</w:t>
            </w:r>
          </w:p>
        </w:tc>
        <w:tc>
          <w:tcPr>
            <w:tcW w:w="22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140" w:type="dxa"/>
            <w:vAlign w:val="bottom"/>
            <w:tcBorders>
              <w:top w:val="single" w:sz="8" w:color="76AD9A"/>
            </w:tcBorders>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8.7</w:t>
            </w:r>
          </w:p>
        </w:tc>
        <w:tc>
          <w:tcPr>
            <w:tcW w:w="50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860" w:type="dxa"/>
            <w:vAlign w:val="bottom"/>
            <w:tcBorders>
              <w:top w:val="single" w:sz="8" w:color="76AD9A"/>
            </w:tcBorders>
          </w:tcPr>
          <w:p>
            <w:pPr>
              <w:jc w:val="right"/>
              <w:ind w:right="115"/>
              <w:spacing w:after="0" w:line="185" w:lineRule="exact"/>
              <w:rPr>
                <w:sz w:val="20"/>
                <w:szCs w:val="20"/>
                <w:color w:val="auto"/>
              </w:rPr>
            </w:pPr>
            <w:r>
              <w:rPr>
                <w:rFonts w:ascii="Arial" w:cs="Arial" w:eastAsia="Arial" w:hAnsi="Arial"/>
                <w:sz w:val="17"/>
                <w:szCs w:val="17"/>
                <w:color w:val="373535"/>
              </w:rPr>
              <w:t>10.4</w:t>
            </w:r>
          </w:p>
        </w:tc>
        <w:tc>
          <w:tcPr>
            <w:tcW w:w="520" w:type="dxa"/>
            <w:vAlign w:val="bottom"/>
            <w:tcBorders>
              <w:top w:val="single" w:sz="8" w:color="76AD9A"/>
            </w:tcBorders>
          </w:tcPr>
          <w:p>
            <w:pPr>
              <w:jc w:val="right"/>
              <w:ind w:right="174"/>
              <w:spacing w:after="0" w:line="185" w:lineRule="exact"/>
              <w:rPr>
                <w:sz w:val="20"/>
                <w:szCs w:val="20"/>
                <w:color w:val="auto"/>
              </w:rPr>
            </w:pPr>
            <w:r>
              <w:rPr>
                <w:rFonts w:ascii="Arial" w:cs="Arial" w:eastAsia="Arial" w:hAnsi="Arial"/>
                <w:sz w:val="17"/>
                <w:szCs w:val="17"/>
                <w:color w:val="373535"/>
              </w:rPr>
              <w:t>$</w:t>
            </w:r>
          </w:p>
        </w:tc>
        <w:tc>
          <w:tcPr>
            <w:tcW w:w="64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9.9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373535"/>
              </w:rPr>
              <w:t>Interest cost</w:t>
            </w:r>
          </w:p>
        </w:tc>
        <w:tc>
          <w:tcPr>
            <w:tcW w:w="22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14.8</w:t>
            </w:r>
          </w:p>
        </w:tc>
        <w:tc>
          <w:tcPr>
            <w:tcW w:w="500" w:type="dxa"/>
            <w:vAlign w:val="bottom"/>
          </w:tcPr>
          <w:p>
            <w:pPr>
              <w:spacing w:after="0"/>
              <w:rPr>
                <w:sz w:val="16"/>
                <w:szCs w:val="16"/>
                <w:color w:val="auto"/>
              </w:rPr>
            </w:pPr>
          </w:p>
        </w:tc>
        <w:tc>
          <w:tcPr>
            <w:tcW w:w="86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15.1</w:t>
            </w:r>
          </w:p>
        </w:tc>
        <w:tc>
          <w:tcPr>
            <w:tcW w:w="520" w:type="dxa"/>
            <w:vAlign w:val="bottom"/>
          </w:tcPr>
          <w:p>
            <w:pPr>
              <w:spacing w:after="0"/>
              <w:rPr>
                <w:sz w:val="16"/>
                <w:szCs w:val="16"/>
                <w:color w:val="auto"/>
              </w:rPr>
            </w:pPr>
          </w:p>
        </w:tc>
        <w:tc>
          <w:tcPr>
            <w:tcW w:w="6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15.5</w:t>
            </w:r>
          </w:p>
        </w:tc>
        <w:tc>
          <w:tcPr>
            <w:tcW w:w="40" w:type="dxa"/>
            <w:vAlign w:val="bottom"/>
          </w:tcPr>
          <w:p>
            <w:pPr>
              <w:spacing w:after="0"/>
              <w:rPr>
                <w:sz w:val="16"/>
                <w:szCs w:val="16"/>
                <w:color w:val="auto"/>
              </w:rPr>
            </w:pPr>
          </w:p>
        </w:tc>
      </w:tr>
      <w:tr>
        <w:trPr>
          <w:trHeight w:val="193"/>
        </w:trPr>
        <w:tc>
          <w:tcPr>
            <w:tcW w:w="7440" w:type="dxa"/>
            <w:vAlign w:val="bottom"/>
            <w:gridSpan w:val="2"/>
          </w:tcPr>
          <w:p>
            <w:pPr>
              <w:spacing w:after="0" w:line="193" w:lineRule="exact"/>
              <w:rPr>
                <w:sz w:val="20"/>
                <w:szCs w:val="20"/>
                <w:color w:val="auto"/>
              </w:rPr>
            </w:pPr>
            <w:r>
              <w:rPr>
                <w:rFonts w:ascii="Arial" w:cs="Arial" w:eastAsia="Arial" w:hAnsi="Arial"/>
                <w:sz w:val="17"/>
                <w:szCs w:val="17"/>
                <w:color w:val="373535"/>
              </w:rPr>
              <w:t>Expected return on assets</w:t>
            </w:r>
          </w:p>
        </w:tc>
        <w:tc>
          <w:tcPr>
            <w:tcW w:w="220" w:type="dxa"/>
            <w:vAlign w:val="bottom"/>
            <w:shd w:val="clear" w:color="auto" w:fill="EEF5F2"/>
          </w:tcPr>
          <w:p>
            <w:pPr>
              <w:spacing w:after="0"/>
              <w:rPr>
                <w:sz w:val="16"/>
                <w:szCs w:val="16"/>
                <w:color w:val="auto"/>
              </w:rPr>
            </w:pPr>
          </w:p>
        </w:tc>
        <w:tc>
          <w:tcPr>
            <w:tcW w:w="1140" w:type="dxa"/>
            <w:vAlign w:val="bottom"/>
          </w:tcPr>
          <w:p>
            <w:pPr>
              <w:jc w:val="right"/>
              <w:ind w:right="75"/>
              <w:spacing w:after="0" w:line="193" w:lineRule="exact"/>
              <w:rPr>
                <w:sz w:val="20"/>
                <w:szCs w:val="20"/>
                <w:color w:val="auto"/>
              </w:rPr>
            </w:pPr>
            <w:r>
              <w:rPr>
                <w:rFonts w:ascii="Arial" w:cs="Arial" w:eastAsia="Arial" w:hAnsi="Arial"/>
                <w:sz w:val="17"/>
                <w:szCs w:val="17"/>
                <w:color w:val="76AD9A"/>
              </w:rPr>
              <w:t>(13.2)</w:t>
            </w:r>
          </w:p>
        </w:tc>
        <w:tc>
          <w:tcPr>
            <w:tcW w:w="500" w:type="dxa"/>
            <w:vAlign w:val="bottom"/>
          </w:tcPr>
          <w:p>
            <w:pPr>
              <w:spacing w:after="0"/>
              <w:rPr>
                <w:sz w:val="16"/>
                <w:szCs w:val="16"/>
                <w:color w:val="auto"/>
              </w:rPr>
            </w:pPr>
          </w:p>
        </w:tc>
        <w:tc>
          <w:tcPr>
            <w:tcW w:w="860" w:type="dxa"/>
            <w:vAlign w:val="bottom"/>
          </w:tcPr>
          <w:p>
            <w:pPr>
              <w:jc w:val="right"/>
              <w:ind w:right="55"/>
              <w:spacing w:after="0" w:line="193" w:lineRule="exact"/>
              <w:rPr>
                <w:sz w:val="20"/>
                <w:szCs w:val="20"/>
                <w:color w:val="auto"/>
              </w:rPr>
            </w:pPr>
            <w:r>
              <w:rPr>
                <w:rFonts w:ascii="Arial" w:cs="Arial" w:eastAsia="Arial" w:hAnsi="Arial"/>
                <w:sz w:val="17"/>
                <w:szCs w:val="17"/>
                <w:color w:val="373535"/>
              </w:rPr>
              <w:t>(14.7)</w:t>
            </w:r>
          </w:p>
        </w:tc>
        <w:tc>
          <w:tcPr>
            <w:tcW w:w="520" w:type="dxa"/>
            <w:vAlign w:val="bottom"/>
          </w:tcPr>
          <w:p>
            <w:pPr>
              <w:spacing w:after="0"/>
              <w:rPr>
                <w:sz w:val="16"/>
                <w:szCs w:val="16"/>
                <w:color w:val="auto"/>
              </w:rPr>
            </w:pPr>
          </w:p>
        </w:tc>
        <w:tc>
          <w:tcPr>
            <w:tcW w:w="700" w:type="dxa"/>
            <w:vAlign w:val="bottom"/>
            <w:gridSpan w:val="3"/>
          </w:tcPr>
          <w:p>
            <w:pPr>
              <w:jc w:val="right"/>
              <w:spacing w:after="0" w:line="193" w:lineRule="exact"/>
              <w:rPr>
                <w:sz w:val="20"/>
                <w:szCs w:val="20"/>
                <w:color w:val="auto"/>
              </w:rPr>
            </w:pPr>
            <w:r>
              <w:rPr>
                <w:rFonts w:ascii="Arial" w:cs="Arial" w:eastAsia="Arial" w:hAnsi="Arial"/>
                <w:sz w:val="17"/>
                <w:szCs w:val="17"/>
                <w:color w:val="373535"/>
              </w:rPr>
              <w:t>(15.2)</w:t>
            </w: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373535"/>
              </w:rPr>
              <w:t>Curtailment and settlement</w:t>
            </w:r>
          </w:p>
        </w:tc>
        <w:tc>
          <w:tcPr>
            <w:tcW w:w="220" w:type="dxa"/>
            <w:vAlign w:val="bottom"/>
            <w:shd w:val="clear" w:color="auto" w:fill="EEF5F2"/>
          </w:tcPr>
          <w:p>
            <w:pPr>
              <w:spacing w:after="0"/>
              <w:rPr>
                <w:sz w:val="16"/>
                <w:szCs w:val="16"/>
                <w:color w:val="auto"/>
              </w:rPr>
            </w:pPr>
          </w:p>
        </w:tc>
        <w:tc>
          <w:tcPr>
            <w:tcW w:w="1140" w:type="dxa"/>
            <w:vAlign w:val="bottom"/>
          </w:tcPr>
          <w:p>
            <w:pPr>
              <w:jc w:val="right"/>
              <w:ind w:right="75"/>
              <w:spacing w:after="0" w:line="194" w:lineRule="exact"/>
              <w:rPr>
                <w:sz w:val="20"/>
                <w:szCs w:val="20"/>
                <w:color w:val="auto"/>
              </w:rPr>
            </w:pPr>
            <w:r>
              <w:rPr>
                <w:rFonts w:ascii="Arial" w:cs="Arial" w:eastAsia="Arial" w:hAnsi="Arial"/>
                <w:sz w:val="17"/>
                <w:szCs w:val="17"/>
                <w:color w:val="76AD9A"/>
              </w:rPr>
              <w:t>(2.3)</w:t>
            </w:r>
          </w:p>
        </w:tc>
        <w:tc>
          <w:tcPr>
            <w:tcW w:w="500" w:type="dxa"/>
            <w:vAlign w:val="bottom"/>
          </w:tcPr>
          <w:p>
            <w:pPr>
              <w:spacing w:after="0"/>
              <w:rPr>
                <w:sz w:val="16"/>
                <w:szCs w:val="16"/>
                <w:color w:val="auto"/>
              </w:rPr>
            </w:pPr>
          </w:p>
        </w:tc>
        <w:tc>
          <w:tcPr>
            <w:tcW w:w="86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w:t>
            </w:r>
          </w:p>
        </w:tc>
        <w:tc>
          <w:tcPr>
            <w:tcW w:w="520" w:type="dxa"/>
            <w:vAlign w:val="bottom"/>
          </w:tcPr>
          <w:p>
            <w:pPr>
              <w:spacing w:after="0"/>
              <w:rPr>
                <w:sz w:val="16"/>
                <w:szCs w:val="16"/>
                <w:color w:val="auto"/>
              </w:rPr>
            </w:pPr>
          </w:p>
        </w:tc>
        <w:tc>
          <w:tcPr>
            <w:tcW w:w="700" w:type="dxa"/>
            <w:vAlign w:val="bottom"/>
            <w:gridSpan w:val="3"/>
          </w:tcPr>
          <w:p>
            <w:pPr>
              <w:jc w:val="right"/>
              <w:spacing w:after="0" w:line="194" w:lineRule="exact"/>
              <w:rPr>
                <w:sz w:val="20"/>
                <w:szCs w:val="20"/>
                <w:color w:val="auto"/>
              </w:rPr>
            </w:pPr>
            <w:r>
              <w:rPr>
                <w:rFonts w:ascii="Arial" w:cs="Arial" w:eastAsia="Arial" w:hAnsi="Arial"/>
                <w:sz w:val="17"/>
                <w:szCs w:val="17"/>
                <w:color w:val="373535"/>
              </w:rPr>
              <w:t>(1.0)</w:t>
            </w:r>
          </w:p>
        </w:tc>
      </w:tr>
      <w:tr>
        <w:trPr>
          <w:trHeight w:val="206"/>
        </w:trPr>
        <w:tc>
          <w:tcPr>
            <w:tcW w:w="7440" w:type="dxa"/>
            <w:vAlign w:val="bottom"/>
            <w:gridSpan w:val="2"/>
          </w:tcPr>
          <w:p>
            <w:pPr>
              <w:spacing w:after="0"/>
              <w:rPr>
                <w:sz w:val="20"/>
                <w:szCs w:val="20"/>
                <w:color w:val="auto"/>
              </w:rPr>
            </w:pPr>
            <w:r>
              <w:rPr>
                <w:rFonts w:ascii="Arial" w:cs="Arial" w:eastAsia="Arial" w:hAnsi="Arial"/>
                <w:sz w:val="17"/>
                <w:szCs w:val="17"/>
                <w:color w:val="373535"/>
              </w:rPr>
              <w:t>Net loss (gain)</w:t>
            </w:r>
          </w:p>
        </w:tc>
        <w:tc>
          <w:tcPr>
            <w:tcW w:w="220" w:type="dxa"/>
            <w:vAlign w:val="bottom"/>
            <w:shd w:val="clear" w:color="auto" w:fill="EEF5F2"/>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3.3</w:t>
            </w:r>
          </w:p>
        </w:tc>
        <w:tc>
          <w:tcPr>
            <w:tcW w:w="500" w:type="dxa"/>
            <w:vAlign w:val="bottom"/>
          </w:tcPr>
          <w:p>
            <w:pPr>
              <w:spacing w:after="0"/>
              <w:rPr>
                <w:sz w:val="17"/>
                <w:szCs w:val="17"/>
                <w:color w:val="auto"/>
              </w:rPr>
            </w:pPr>
          </w:p>
        </w:tc>
        <w:tc>
          <w:tcPr>
            <w:tcW w:w="860" w:type="dxa"/>
            <w:vAlign w:val="bottom"/>
          </w:tcPr>
          <w:p>
            <w:pPr>
              <w:jc w:val="right"/>
              <w:ind w:right="115"/>
              <w:spacing w:after="0"/>
              <w:rPr>
                <w:sz w:val="20"/>
                <w:szCs w:val="20"/>
                <w:color w:val="auto"/>
              </w:rPr>
            </w:pPr>
            <w:r>
              <w:rPr>
                <w:rFonts w:ascii="Arial" w:cs="Arial" w:eastAsia="Arial" w:hAnsi="Arial"/>
                <w:sz w:val="17"/>
                <w:szCs w:val="17"/>
                <w:color w:val="373535"/>
              </w:rPr>
              <w:t>1.1</w:t>
            </w:r>
          </w:p>
        </w:tc>
        <w:tc>
          <w:tcPr>
            <w:tcW w:w="52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373535"/>
              </w:rPr>
              <w:t>(0.2)</w:t>
            </w:r>
          </w:p>
        </w:tc>
      </w:tr>
      <w:tr>
        <w:trPr>
          <w:trHeight w:val="195"/>
        </w:trPr>
        <w:tc>
          <w:tcPr>
            <w:tcW w:w="744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Prior service cost</w:t>
            </w:r>
          </w:p>
        </w:tc>
        <w:tc>
          <w:tcPr>
            <w:tcW w:w="22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rPr>
                <w:sz w:val="20"/>
                <w:szCs w:val="20"/>
                <w:color w:val="auto"/>
              </w:rPr>
            </w:pPr>
            <w:r>
              <w:rPr>
                <w:rFonts w:ascii="Arial" w:cs="Arial" w:eastAsia="Arial" w:hAnsi="Arial"/>
                <w:sz w:val="17"/>
                <w:szCs w:val="17"/>
                <w:color w:val="76AD9A"/>
              </w:rPr>
              <w:t>0.5</w:t>
            </w:r>
          </w:p>
        </w:tc>
        <w:tc>
          <w:tcPr>
            <w:tcW w:w="500" w:type="dxa"/>
            <w:vAlign w:val="bottom"/>
            <w:tcBorders>
              <w:bottom w:val="single" w:sz="8" w:color="717073"/>
            </w:tcBorders>
          </w:tcPr>
          <w:p>
            <w:pPr>
              <w:spacing w:after="0"/>
              <w:rPr>
                <w:sz w:val="16"/>
                <w:szCs w:val="16"/>
                <w:color w:val="auto"/>
              </w:rPr>
            </w:pPr>
          </w:p>
        </w:tc>
        <w:tc>
          <w:tcPr>
            <w:tcW w:w="860" w:type="dxa"/>
            <w:vAlign w:val="bottom"/>
            <w:tcBorders>
              <w:bottom w:val="single" w:sz="8" w:color="717073"/>
            </w:tcBorders>
          </w:tcPr>
          <w:p>
            <w:pPr>
              <w:jc w:val="right"/>
              <w:ind w:right="115"/>
              <w:spacing w:after="0"/>
              <w:rPr>
                <w:sz w:val="20"/>
                <w:szCs w:val="20"/>
                <w:color w:val="auto"/>
              </w:rPr>
            </w:pPr>
            <w:r>
              <w:rPr>
                <w:rFonts w:ascii="Arial" w:cs="Arial" w:eastAsia="Arial" w:hAnsi="Arial"/>
                <w:sz w:val="17"/>
                <w:szCs w:val="17"/>
                <w:color w:val="373535"/>
              </w:rPr>
              <w:t>0.7</w:t>
            </w:r>
          </w:p>
        </w:tc>
        <w:tc>
          <w:tcPr>
            <w:tcW w:w="52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0.7</w:t>
            </w:r>
          </w:p>
        </w:tc>
        <w:tc>
          <w:tcPr>
            <w:tcW w:w="40" w:type="dxa"/>
            <w:vAlign w:val="bottom"/>
          </w:tcPr>
          <w:p>
            <w:pPr>
              <w:spacing w:after="0"/>
              <w:rPr>
                <w:sz w:val="16"/>
                <w:szCs w:val="16"/>
                <w:color w:val="auto"/>
              </w:rPr>
            </w:pPr>
          </w:p>
        </w:tc>
      </w:tr>
      <w:tr>
        <w:trPr>
          <w:trHeight w:val="186"/>
        </w:trPr>
        <w:tc>
          <w:tcPr>
            <w:tcW w:w="7440" w:type="dxa"/>
            <w:vAlign w:val="bottom"/>
            <w:gridSpan w:val="2"/>
          </w:tcPr>
          <w:p>
            <w:pPr>
              <w:spacing w:after="0" w:line="186" w:lineRule="exact"/>
              <w:rPr>
                <w:sz w:val="20"/>
                <w:szCs w:val="20"/>
                <w:color w:val="auto"/>
              </w:rPr>
            </w:pPr>
            <w:r>
              <w:rPr>
                <w:rFonts w:ascii="Arial" w:cs="Arial" w:eastAsia="Arial" w:hAnsi="Arial"/>
                <w:sz w:val="17"/>
                <w:szCs w:val="17"/>
                <w:color w:val="373535"/>
              </w:rPr>
              <w:t>Net periodic benefit cost</w:t>
            </w:r>
          </w:p>
        </w:tc>
        <w:tc>
          <w:tcPr>
            <w:tcW w:w="220" w:type="dxa"/>
            <w:vAlign w:val="bottom"/>
            <w:shd w:val="clear" w:color="auto" w:fill="EEF5F2"/>
          </w:tcPr>
          <w:p>
            <w:pPr>
              <w:spacing w:after="0"/>
              <w:rPr>
                <w:sz w:val="16"/>
                <w:szCs w:val="16"/>
                <w:color w:val="auto"/>
              </w:rPr>
            </w:pPr>
          </w:p>
        </w:tc>
        <w:tc>
          <w:tcPr>
            <w:tcW w:w="1140" w:type="dxa"/>
            <w:vAlign w:val="bottom"/>
          </w:tcPr>
          <w:p>
            <w:pPr>
              <w:jc w:val="right"/>
              <w:ind w:right="135"/>
              <w:spacing w:after="0" w:line="186" w:lineRule="exact"/>
              <w:rPr>
                <w:sz w:val="20"/>
                <w:szCs w:val="20"/>
                <w:color w:val="auto"/>
              </w:rPr>
            </w:pPr>
            <w:r>
              <w:rPr>
                <w:rFonts w:ascii="Arial" w:cs="Arial" w:eastAsia="Arial" w:hAnsi="Arial"/>
                <w:sz w:val="17"/>
                <w:szCs w:val="17"/>
                <w:color w:val="76AD9A"/>
              </w:rPr>
              <w:t>11.8</w:t>
            </w:r>
          </w:p>
        </w:tc>
        <w:tc>
          <w:tcPr>
            <w:tcW w:w="500" w:type="dxa"/>
            <w:vAlign w:val="bottom"/>
          </w:tcPr>
          <w:p>
            <w:pPr>
              <w:spacing w:after="0"/>
              <w:rPr>
                <w:sz w:val="16"/>
                <w:szCs w:val="16"/>
                <w:color w:val="auto"/>
              </w:rPr>
            </w:pPr>
          </w:p>
        </w:tc>
        <w:tc>
          <w:tcPr>
            <w:tcW w:w="860" w:type="dxa"/>
            <w:vAlign w:val="bottom"/>
          </w:tcPr>
          <w:p>
            <w:pPr>
              <w:jc w:val="right"/>
              <w:ind w:right="115"/>
              <w:spacing w:after="0" w:line="186" w:lineRule="exact"/>
              <w:rPr>
                <w:sz w:val="20"/>
                <w:szCs w:val="20"/>
                <w:color w:val="auto"/>
              </w:rPr>
            </w:pPr>
            <w:r>
              <w:rPr>
                <w:rFonts w:ascii="Arial" w:cs="Arial" w:eastAsia="Arial" w:hAnsi="Arial"/>
                <w:sz w:val="17"/>
                <w:szCs w:val="17"/>
                <w:color w:val="373535"/>
              </w:rPr>
              <w:t>12.6</w:t>
            </w:r>
          </w:p>
        </w:tc>
        <w:tc>
          <w:tcPr>
            <w:tcW w:w="520" w:type="dxa"/>
            <w:vAlign w:val="bottom"/>
          </w:tcPr>
          <w:p>
            <w:pPr>
              <w:spacing w:after="0"/>
              <w:rPr>
                <w:sz w:val="16"/>
                <w:szCs w:val="16"/>
                <w:color w:val="auto"/>
              </w:rPr>
            </w:pPr>
          </w:p>
        </w:tc>
        <w:tc>
          <w:tcPr>
            <w:tcW w:w="6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9.7</w:t>
            </w:r>
          </w:p>
        </w:tc>
        <w:tc>
          <w:tcPr>
            <w:tcW w:w="40" w:type="dxa"/>
            <w:vAlign w:val="bottom"/>
          </w:tcPr>
          <w:p>
            <w:pPr>
              <w:spacing w:after="0"/>
              <w:rPr>
                <w:sz w:val="16"/>
                <w:szCs w:val="16"/>
                <w:color w:val="auto"/>
              </w:rPr>
            </w:pPr>
          </w:p>
        </w:tc>
      </w:tr>
      <w:tr>
        <w:trPr>
          <w:trHeight w:val="186"/>
        </w:trPr>
        <w:tc>
          <w:tcPr>
            <w:tcW w:w="7440" w:type="dxa"/>
            <w:vAlign w:val="bottom"/>
            <w:tcBorders>
              <w:top w:val="single" w:sz="8" w:color="717073"/>
            </w:tcBorders>
            <w:gridSpan w:val="2"/>
          </w:tcPr>
          <w:p>
            <w:pPr>
              <w:spacing w:after="0" w:line="185" w:lineRule="exact"/>
              <w:rPr>
                <w:sz w:val="20"/>
                <w:szCs w:val="20"/>
                <w:color w:val="auto"/>
              </w:rPr>
            </w:pPr>
            <w:r>
              <w:rPr>
                <w:rFonts w:ascii="Arial" w:cs="Arial" w:eastAsia="Arial" w:hAnsi="Arial"/>
                <w:sz w:val="17"/>
                <w:szCs w:val="17"/>
                <w:color w:val="777679"/>
              </w:rPr>
              <w:t>Other Changes in Plan Assets and Benefit Obligations</w:t>
            </w:r>
          </w:p>
        </w:tc>
        <w:tc>
          <w:tcPr>
            <w:tcW w:w="220" w:type="dxa"/>
            <w:vAlign w:val="bottom"/>
            <w:tcBorders>
              <w:top w:val="single" w:sz="8" w:color="717073"/>
            </w:tcBorders>
            <w:shd w:val="clear" w:color="auto" w:fill="EEF5F2"/>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500" w:type="dxa"/>
            <w:vAlign w:val="bottom"/>
            <w:tcBorders>
              <w:top w:val="single" w:sz="8" w:color="717073"/>
            </w:tcBorders>
          </w:tcPr>
          <w:p>
            <w:pPr>
              <w:spacing w:after="0"/>
              <w:rPr>
                <w:sz w:val="16"/>
                <w:szCs w:val="16"/>
                <w:color w:val="auto"/>
              </w:rPr>
            </w:pPr>
          </w:p>
        </w:tc>
        <w:tc>
          <w:tcPr>
            <w:tcW w:w="860" w:type="dxa"/>
            <w:vAlign w:val="bottom"/>
            <w:tcBorders>
              <w:top w:val="single" w:sz="8" w:color="717073"/>
            </w:tcBorders>
          </w:tcPr>
          <w:p>
            <w:pPr>
              <w:spacing w:after="0"/>
              <w:rPr>
                <w:sz w:val="16"/>
                <w:szCs w:val="16"/>
                <w:color w:val="auto"/>
              </w:rPr>
            </w:pPr>
          </w:p>
        </w:tc>
        <w:tc>
          <w:tcPr>
            <w:tcW w:w="520" w:type="dxa"/>
            <w:vAlign w:val="bottom"/>
            <w:tcBorders>
              <w:top w:val="single" w:sz="8" w:color="717073"/>
            </w:tcBorders>
          </w:tcPr>
          <w:p>
            <w:pPr>
              <w:spacing w:after="0"/>
              <w:rPr>
                <w:sz w:val="16"/>
                <w:szCs w:val="16"/>
                <w:color w:val="auto"/>
              </w:rPr>
            </w:pPr>
          </w:p>
        </w:tc>
        <w:tc>
          <w:tcPr>
            <w:tcW w:w="64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420" w:type="dxa"/>
            <w:vAlign w:val="bottom"/>
          </w:tcPr>
          <w:p>
            <w:pPr>
              <w:ind w:left="140"/>
              <w:spacing w:after="0" w:line="194" w:lineRule="exact"/>
              <w:rPr>
                <w:sz w:val="20"/>
                <w:szCs w:val="20"/>
                <w:color w:val="auto"/>
              </w:rPr>
            </w:pPr>
            <w:r>
              <w:rPr>
                <w:rFonts w:ascii="Arial" w:cs="Arial" w:eastAsia="Arial" w:hAnsi="Arial"/>
                <w:sz w:val="17"/>
                <w:szCs w:val="17"/>
                <w:color w:val="777679"/>
              </w:rPr>
              <w:t>Recognized in Other Comprehensive Loss</w:t>
            </w:r>
          </w:p>
        </w:tc>
        <w:tc>
          <w:tcPr>
            <w:tcW w:w="220" w:type="dxa"/>
            <w:vAlign w:val="bottom"/>
            <w:shd w:val="clear" w:color="auto" w:fill="EEF5F2"/>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373535"/>
              </w:rPr>
              <w:t>Net loss</w:t>
            </w:r>
          </w:p>
        </w:tc>
        <w:tc>
          <w:tcPr>
            <w:tcW w:w="220" w:type="dxa"/>
            <w:vAlign w:val="bottom"/>
            <w:shd w:val="clear" w:color="auto" w:fill="EEF5F2"/>
          </w:tcPr>
          <w:p>
            <w:pPr>
              <w:spacing w:after="0"/>
              <w:rPr>
                <w:sz w:val="16"/>
                <w:szCs w:val="16"/>
                <w:color w:val="auto"/>
              </w:rPr>
            </w:pPr>
          </w:p>
        </w:tc>
        <w:tc>
          <w:tcPr>
            <w:tcW w:w="1140" w:type="dxa"/>
            <w:vAlign w:val="bottom"/>
          </w:tcPr>
          <w:p>
            <w:pPr>
              <w:jc w:val="right"/>
              <w:ind w:right="135"/>
              <w:spacing w:after="0" w:line="194" w:lineRule="exact"/>
              <w:rPr>
                <w:sz w:val="20"/>
                <w:szCs w:val="20"/>
                <w:color w:val="auto"/>
              </w:rPr>
            </w:pPr>
            <w:r>
              <w:rPr>
                <w:rFonts w:ascii="Arial" w:cs="Arial" w:eastAsia="Arial" w:hAnsi="Arial"/>
                <w:sz w:val="17"/>
                <w:szCs w:val="17"/>
                <w:color w:val="76AD9A"/>
              </w:rPr>
              <w:t>6.8</w:t>
            </w:r>
          </w:p>
        </w:tc>
        <w:tc>
          <w:tcPr>
            <w:tcW w:w="500" w:type="dxa"/>
            <w:vAlign w:val="bottom"/>
          </w:tcPr>
          <w:p>
            <w:pPr>
              <w:spacing w:after="0"/>
              <w:rPr>
                <w:sz w:val="16"/>
                <w:szCs w:val="16"/>
                <w:color w:val="auto"/>
              </w:rPr>
            </w:pPr>
          </w:p>
        </w:tc>
        <w:tc>
          <w:tcPr>
            <w:tcW w:w="86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15.4</w:t>
            </w:r>
          </w:p>
        </w:tc>
        <w:tc>
          <w:tcPr>
            <w:tcW w:w="520" w:type="dxa"/>
            <w:vAlign w:val="bottom"/>
          </w:tcPr>
          <w:p>
            <w:pPr>
              <w:spacing w:after="0"/>
              <w:rPr>
                <w:sz w:val="16"/>
                <w:szCs w:val="16"/>
                <w:color w:val="auto"/>
              </w:rPr>
            </w:pPr>
          </w:p>
        </w:tc>
        <w:tc>
          <w:tcPr>
            <w:tcW w:w="6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11.6</w:t>
            </w:r>
          </w:p>
        </w:tc>
        <w:tc>
          <w:tcPr>
            <w:tcW w:w="40" w:type="dxa"/>
            <w:vAlign w:val="bottom"/>
          </w:tcPr>
          <w:p>
            <w:pPr>
              <w:spacing w:after="0"/>
              <w:rPr>
                <w:sz w:val="16"/>
                <w:szCs w:val="16"/>
                <w:color w:val="auto"/>
              </w:rPr>
            </w:pP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373535"/>
              </w:rPr>
              <w:t>Prior service credit</w:t>
            </w:r>
          </w:p>
        </w:tc>
        <w:tc>
          <w:tcPr>
            <w:tcW w:w="220" w:type="dxa"/>
            <w:vAlign w:val="bottom"/>
            <w:shd w:val="clear" w:color="auto" w:fill="EEF5F2"/>
          </w:tcPr>
          <w:p>
            <w:pPr>
              <w:spacing w:after="0"/>
              <w:rPr>
                <w:sz w:val="16"/>
                <w:szCs w:val="16"/>
                <w:color w:val="auto"/>
              </w:rPr>
            </w:pPr>
          </w:p>
        </w:tc>
        <w:tc>
          <w:tcPr>
            <w:tcW w:w="1140" w:type="dxa"/>
            <w:vAlign w:val="bottom"/>
          </w:tcPr>
          <w:p>
            <w:pPr>
              <w:jc w:val="right"/>
              <w:ind w:right="75"/>
              <w:spacing w:after="0" w:line="194" w:lineRule="exact"/>
              <w:rPr>
                <w:sz w:val="20"/>
                <w:szCs w:val="20"/>
                <w:color w:val="auto"/>
              </w:rPr>
            </w:pPr>
            <w:r>
              <w:rPr>
                <w:rFonts w:ascii="Arial" w:cs="Arial" w:eastAsia="Arial" w:hAnsi="Arial"/>
                <w:sz w:val="17"/>
                <w:szCs w:val="17"/>
                <w:color w:val="76AD9A"/>
              </w:rPr>
              <w:t>(1.1)</w:t>
            </w:r>
          </w:p>
        </w:tc>
        <w:tc>
          <w:tcPr>
            <w:tcW w:w="500" w:type="dxa"/>
            <w:vAlign w:val="bottom"/>
          </w:tcPr>
          <w:p>
            <w:pPr>
              <w:spacing w:after="0"/>
              <w:rPr>
                <w:sz w:val="16"/>
                <w:szCs w:val="16"/>
                <w:color w:val="auto"/>
              </w:rPr>
            </w:pPr>
          </w:p>
        </w:tc>
        <w:tc>
          <w:tcPr>
            <w:tcW w:w="860" w:type="dxa"/>
            <w:vAlign w:val="bottom"/>
          </w:tcPr>
          <w:p>
            <w:pPr>
              <w:jc w:val="right"/>
              <w:ind w:right="115"/>
              <w:spacing w:after="0" w:line="194" w:lineRule="exact"/>
              <w:rPr>
                <w:sz w:val="20"/>
                <w:szCs w:val="20"/>
                <w:color w:val="auto"/>
              </w:rPr>
            </w:pPr>
            <w:r>
              <w:rPr>
                <w:rFonts w:ascii="Arial" w:cs="Arial" w:eastAsia="Arial" w:hAnsi="Arial"/>
                <w:sz w:val="17"/>
                <w:szCs w:val="17"/>
                <w:color w:val="373535"/>
              </w:rPr>
              <w:t>—</w:t>
            </w:r>
          </w:p>
        </w:tc>
        <w:tc>
          <w:tcPr>
            <w:tcW w:w="520" w:type="dxa"/>
            <w:vAlign w:val="bottom"/>
          </w:tcPr>
          <w:p>
            <w:pPr>
              <w:spacing w:after="0"/>
              <w:rPr>
                <w:sz w:val="16"/>
                <w:szCs w:val="16"/>
                <w:color w:val="auto"/>
              </w:rPr>
            </w:pPr>
          </w:p>
        </w:tc>
        <w:tc>
          <w:tcPr>
            <w:tcW w:w="70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194"/>
        </w:trPr>
        <w:tc>
          <w:tcPr>
            <w:tcW w:w="7440" w:type="dxa"/>
            <w:vAlign w:val="bottom"/>
            <w:gridSpan w:val="2"/>
          </w:tcPr>
          <w:p>
            <w:pPr>
              <w:spacing w:after="0" w:line="194" w:lineRule="exact"/>
              <w:rPr>
                <w:sz w:val="20"/>
                <w:szCs w:val="20"/>
                <w:color w:val="auto"/>
              </w:rPr>
            </w:pPr>
            <w:r>
              <w:rPr>
                <w:rFonts w:ascii="Arial" w:cs="Arial" w:eastAsia="Arial" w:hAnsi="Arial"/>
                <w:sz w:val="17"/>
                <w:szCs w:val="17"/>
                <w:color w:val="373535"/>
              </w:rPr>
              <w:t>Amortization of net (loss) gain</w:t>
            </w:r>
          </w:p>
        </w:tc>
        <w:tc>
          <w:tcPr>
            <w:tcW w:w="220" w:type="dxa"/>
            <w:vAlign w:val="bottom"/>
            <w:shd w:val="clear" w:color="auto" w:fill="EEF5F2"/>
          </w:tcPr>
          <w:p>
            <w:pPr>
              <w:spacing w:after="0"/>
              <w:rPr>
                <w:sz w:val="16"/>
                <w:szCs w:val="16"/>
                <w:color w:val="auto"/>
              </w:rPr>
            </w:pPr>
          </w:p>
        </w:tc>
        <w:tc>
          <w:tcPr>
            <w:tcW w:w="1140" w:type="dxa"/>
            <w:vAlign w:val="bottom"/>
          </w:tcPr>
          <w:p>
            <w:pPr>
              <w:jc w:val="right"/>
              <w:ind w:right="75"/>
              <w:spacing w:after="0" w:line="194" w:lineRule="exact"/>
              <w:rPr>
                <w:sz w:val="20"/>
                <w:szCs w:val="20"/>
                <w:color w:val="auto"/>
              </w:rPr>
            </w:pPr>
            <w:r>
              <w:rPr>
                <w:rFonts w:ascii="Arial" w:cs="Arial" w:eastAsia="Arial" w:hAnsi="Arial"/>
                <w:sz w:val="17"/>
                <w:szCs w:val="17"/>
                <w:color w:val="76AD9A"/>
              </w:rPr>
              <w:t>(3.3)</w:t>
            </w:r>
          </w:p>
        </w:tc>
        <w:tc>
          <w:tcPr>
            <w:tcW w:w="500" w:type="dxa"/>
            <w:vAlign w:val="bottom"/>
          </w:tcPr>
          <w:p>
            <w:pPr>
              <w:spacing w:after="0"/>
              <w:rPr>
                <w:sz w:val="16"/>
                <w:szCs w:val="16"/>
                <w:color w:val="auto"/>
              </w:rPr>
            </w:pPr>
          </w:p>
        </w:tc>
        <w:tc>
          <w:tcPr>
            <w:tcW w:w="860" w:type="dxa"/>
            <w:vAlign w:val="bottom"/>
          </w:tcPr>
          <w:p>
            <w:pPr>
              <w:jc w:val="right"/>
              <w:ind w:right="55"/>
              <w:spacing w:after="0" w:line="194" w:lineRule="exact"/>
              <w:rPr>
                <w:sz w:val="20"/>
                <w:szCs w:val="20"/>
                <w:color w:val="auto"/>
              </w:rPr>
            </w:pPr>
            <w:r>
              <w:rPr>
                <w:rFonts w:ascii="Arial" w:cs="Arial" w:eastAsia="Arial" w:hAnsi="Arial"/>
                <w:sz w:val="17"/>
                <w:szCs w:val="17"/>
                <w:color w:val="373535"/>
              </w:rPr>
              <w:t>(1.1)</w:t>
            </w:r>
          </w:p>
        </w:tc>
        <w:tc>
          <w:tcPr>
            <w:tcW w:w="520" w:type="dxa"/>
            <w:vAlign w:val="bottom"/>
          </w:tcPr>
          <w:p>
            <w:pPr>
              <w:spacing w:after="0"/>
              <w:rPr>
                <w:sz w:val="16"/>
                <w:szCs w:val="16"/>
                <w:color w:val="auto"/>
              </w:rPr>
            </w:pPr>
          </w:p>
        </w:tc>
        <w:tc>
          <w:tcPr>
            <w:tcW w:w="6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0.2</w:t>
            </w:r>
          </w:p>
        </w:tc>
        <w:tc>
          <w:tcPr>
            <w:tcW w:w="40" w:type="dxa"/>
            <w:vAlign w:val="bottom"/>
          </w:tcPr>
          <w:p>
            <w:pPr>
              <w:spacing w:after="0"/>
              <w:rPr>
                <w:sz w:val="16"/>
                <w:szCs w:val="16"/>
                <w:color w:val="auto"/>
              </w:rPr>
            </w:pPr>
          </w:p>
        </w:tc>
      </w:tr>
      <w:tr>
        <w:trPr>
          <w:trHeight w:val="207"/>
        </w:trPr>
        <w:tc>
          <w:tcPr>
            <w:tcW w:w="7440" w:type="dxa"/>
            <w:vAlign w:val="bottom"/>
            <w:gridSpan w:val="2"/>
          </w:tcPr>
          <w:p>
            <w:pPr>
              <w:spacing w:after="0"/>
              <w:rPr>
                <w:sz w:val="20"/>
                <w:szCs w:val="20"/>
                <w:color w:val="auto"/>
              </w:rPr>
            </w:pPr>
            <w:r>
              <w:rPr>
                <w:rFonts w:ascii="Arial" w:cs="Arial" w:eastAsia="Arial" w:hAnsi="Arial"/>
                <w:sz w:val="17"/>
                <w:szCs w:val="17"/>
                <w:color w:val="373535"/>
              </w:rPr>
              <w:t>Amortization of prior service cost</w:t>
            </w:r>
          </w:p>
        </w:tc>
        <w:tc>
          <w:tcPr>
            <w:tcW w:w="220" w:type="dxa"/>
            <w:vAlign w:val="bottom"/>
            <w:shd w:val="clear" w:color="auto" w:fill="EEF5F2"/>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76AD9A"/>
              </w:rPr>
              <w:t>(0.5)</w:t>
            </w:r>
          </w:p>
        </w:tc>
        <w:tc>
          <w:tcPr>
            <w:tcW w:w="500" w:type="dxa"/>
            <w:vAlign w:val="bottom"/>
          </w:tcPr>
          <w:p>
            <w:pPr>
              <w:spacing w:after="0"/>
              <w:rPr>
                <w:sz w:val="18"/>
                <w:szCs w:val="18"/>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373535"/>
              </w:rPr>
              <w:t>(0.7)</w:t>
            </w:r>
          </w:p>
        </w:tc>
        <w:tc>
          <w:tcPr>
            <w:tcW w:w="5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7"/>
                <w:szCs w:val="17"/>
                <w:color w:val="373535"/>
              </w:rPr>
              <w:t>(0.7)</w:t>
            </w:r>
          </w:p>
        </w:tc>
      </w:tr>
      <w:tr>
        <w:trPr>
          <w:trHeight w:val="186"/>
        </w:trPr>
        <w:tc>
          <w:tcPr>
            <w:tcW w:w="7440" w:type="dxa"/>
            <w:vAlign w:val="bottom"/>
            <w:tcBorders>
              <w:top w:val="single" w:sz="8" w:color="717073"/>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Total recognized in other comprehensive loss</w:t>
            </w:r>
          </w:p>
        </w:tc>
        <w:tc>
          <w:tcPr>
            <w:tcW w:w="220" w:type="dxa"/>
            <w:vAlign w:val="bottom"/>
            <w:tcBorders>
              <w:top w:val="single" w:sz="8" w:color="717073"/>
              <w:bottom w:val="single" w:sz="8" w:color="717073"/>
            </w:tcBorders>
            <w:shd w:val="clear" w:color="auto" w:fill="EEF5F2"/>
          </w:tcPr>
          <w:p>
            <w:pPr>
              <w:spacing w:after="0"/>
              <w:rPr>
                <w:sz w:val="16"/>
                <w:szCs w:val="16"/>
                <w:color w:val="auto"/>
              </w:rPr>
            </w:pPr>
          </w:p>
        </w:tc>
        <w:tc>
          <w:tcPr>
            <w:tcW w:w="114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76AD9A"/>
              </w:rPr>
              <w:t>1.9</w:t>
            </w:r>
          </w:p>
        </w:tc>
        <w:tc>
          <w:tcPr>
            <w:tcW w:w="500" w:type="dxa"/>
            <w:vAlign w:val="bottom"/>
            <w:tcBorders>
              <w:top w:val="single" w:sz="8" w:color="717073"/>
              <w:bottom w:val="single" w:sz="8" w:color="717073"/>
            </w:tcBorders>
          </w:tcPr>
          <w:p>
            <w:pPr>
              <w:spacing w:after="0"/>
              <w:rPr>
                <w:sz w:val="16"/>
                <w:szCs w:val="16"/>
                <w:color w:val="auto"/>
              </w:rPr>
            </w:pPr>
          </w:p>
        </w:tc>
        <w:tc>
          <w:tcPr>
            <w:tcW w:w="860" w:type="dxa"/>
            <w:vAlign w:val="bottom"/>
            <w:tcBorders>
              <w:top w:val="single" w:sz="8" w:color="717073"/>
              <w:bottom w:val="single" w:sz="8" w:color="717073"/>
            </w:tcBorders>
          </w:tcPr>
          <w:p>
            <w:pPr>
              <w:jc w:val="right"/>
              <w:ind w:right="115"/>
              <w:spacing w:after="0" w:line="186" w:lineRule="exact"/>
              <w:rPr>
                <w:sz w:val="20"/>
                <w:szCs w:val="20"/>
                <w:color w:val="auto"/>
              </w:rPr>
            </w:pPr>
            <w:r>
              <w:rPr>
                <w:rFonts w:ascii="Arial" w:cs="Arial" w:eastAsia="Arial" w:hAnsi="Arial"/>
                <w:sz w:val="17"/>
                <w:szCs w:val="17"/>
                <w:color w:val="373535"/>
              </w:rPr>
              <w:t>13.6</w:t>
            </w:r>
          </w:p>
        </w:tc>
        <w:tc>
          <w:tcPr>
            <w:tcW w:w="520" w:type="dxa"/>
            <w:vAlign w:val="bottom"/>
            <w:tcBorders>
              <w:top w:val="single" w:sz="8" w:color="717073"/>
              <w:bottom w:val="single" w:sz="8" w:color="717073"/>
            </w:tcBorders>
          </w:tcPr>
          <w:p>
            <w:pPr>
              <w:spacing w:after="0"/>
              <w:rPr>
                <w:sz w:val="16"/>
                <w:szCs w:val="16"/>
                <w:color w:val="auto"/>
              </w:rPr>
            </w:pPr>
          </w:p>
        </w:tc>
        <w:tc>
          <w:tcPr>
            <w:tcW w:w="660" w:type="dxa"/>
            <w:vAlign w:val="bottom"/>
            <w:tcBorders>
              <w:top w:val="single" w:sz="8" w:color="717073"/>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11.1</w:t>
            </w:r>
          </w:p>
        </w:tc>
        <w:tc>
          <w:tcPr>
            <w:tcW w:w="40" w:type="dxa"/>
            <w:vAlign w:val="bottom"/>
          </w:tcPr>
          <w:p>
            <w:pPr>
              <w:spacing w:after="0"/>
              <w:rPr>
                <w:sz w:val="16"/>
                <w:szCs w:val="16"/>
                <w:color w:val="auto"/>
              </w:rPr>
            </w:pPr>
          </w:p>
        </w:tc>
      </w:tr>
      <w:tr>
        <w:trPr>
          <w:trHeight w:val="186"/>
        </w:trPr>
        <w:tc>
          <w:tcPr>
            <w:tcW w:w="7440" w:type="dxa"/>
            <w:vAlign w:val="bottom"/>
            <w:gridSpan w:val="2"/>
          </w:tcPr>
          <w:p>
            <w:pPr>
              <w:spacing w:after="0" w:line="186" w:lineRule="exact"/>
              <w:rPr>
                <w:sz w:val="20"/>
                <w:szCs w:val="20"/>
                <w:color w:val="auto"/>
              </w:rPr>
            </w:pPr>
            <w:r>
              <w:rPr>
                <w:rFonts w:ascii="Arial" w:cs="Arial" w:eastAsia="Arial" w:hAnsi="Arial"/>
                <w:sz w:val="17"/>
                <w:szCs w:val="17"/>
                <w:color w:val="373535"/>
              </w:rPr>
              <w:t>Total recognized in net periodic benefit cost and other comprehensive loss</w:t>
            </w: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40" w:type="dxa"/>
            <w:vAlign w:val="bottom"/>
          </w:tcPr>
          <w:p>
            <w:pPr>
              <w:jc w:val="right"/>
              <w:ind w:right="135"/>
              <w:spacing w:after="0" w:line="186" w:lineRule="exact"/>
              <w:rPr>
                <w:sz w:val="20"/>
                <w:szCs w:val="20"/>
                <w:color w:val="auto"/>
              </w:rPr>
            </w:pPr>
            <w:r>
              <w:rPr>
                <w:rFonts w:ascii="Arial" w:cs="Arial" w:eastAsia="Arial" w:hAnsi="Arial"/>
                <w:sz w:val="17"/>
                <w:szCs w:val="17"/>
                <w:color w:val="76AD9A"/>
              </w:rPr>
              <w:t>13.7</w:t>
            </w:r>
          </w:p>
        </w:tc>
        <w:tc>
          <w:tcPr>
            <w:tcW w:w="500" w:type="dxa"/>
            <w:vAlign w:val="bottom"/>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860" w:type="dxa"/>
            <w:vAlign w:val="bottom"/>
          </w:tcPr>
          <w:p>
            <w:pPr>
              <w:jc w:val="right"/>
              <w:ind w:right="115"/>
              <w:spacing w:after="0" w:line="186" w:lineRule="exact"/>
              <w:rPr>
                <w:sz w:val="20"/>
                <w:szCs w:val="20"/>
                <w:color w:val="auto"/>
              </w:rPr>
            </w:pPr>
            <w:r>
              <w:rPr>
                <w:rFonts w:ascii="Arial" w:cs="Arial" w:eastAsia="Arial" w:hAnsi="Arial"/>
                <w:sz w:val="17"/>
                <w:szCs w:val="17"/>
                <w:color w:val="373535"/>
              </w:rPr>
              <w:t>26.2</w:t>
            </w:r>
          </w:p>
        </w:tc>
        <w:tc>
          <w:tcPr>
            <w:tcW w:w="520" w:type="dxa"/>
            <w:vAlign w:val="bottom"/>
          </w:tcPr>
          <w:p>
            <w:pPr>
              <w:jc w:val="right"/>
              <w:ind w:right="174"/>
              <w:spacing w:after="0" w:line="186" w:lineRule="exact"/>
              <w:rPr>
                <w:sz w:val="20"/>
                <w:szCs w:val="20"/>
                <w:color w:val="auto"/>
              </w:rPr>
            </w:pPr>
            <w:r>
              <w:rPr>
                <w:rFonts w:ascii="Arial" w:cs="Arial" w:eastAsia="Arial" w:hAnsi="Arial"/>
                <w:sz w:val="17"/>
                <w:szCs w:val="17"/>
                <w:color w:val="373535"/>
              </w:rPr>
              <w:t>$</w:t>
            </w:r>
          </w:p>
        </w:tc>
        <w:tc>
          <w:tcPr>
            <w:tcW w:w="6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20.8</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500" w:type="dxa"/>
            <w:vAlign w:val="bottom"/>
            <w:shd w:val="clear" w:color="auto" w:fill="717073"/>
          </w:tcPr>
          <w:p>
            <w:pPr>
              <w:spacing w:after="0" w:line="20" w:lineRule="exact"/>
              <w:rPr>
                <w:sz w:val="1"/>
                <w:szCs w:val="1"/>
                <w:color w:val="auto"/>
              </w:rPr>
            </w:pPr>
          </w:p>
        </w:tc>
        <w:tc>
          <w:tcPr>
            <w:tcW w:w="860" w:type="dxa"/>
            <w:vAlign w:val="bottom"/>
            <w:shd w:val="clear" w:color="auto" w:fill="717073"/>
          </w:tcPr>
          <w:p>
            <w:pPr>
              <w:spacing w:after="0" w:line="20" w:lineRule="exact"/>
              <w:rPr>
                <w:sz w:val="1"/>
                <w:szCs w:val="1"/>
                <w:color w:val="auto"/>
              </w:rPr>
            </w:pPr>
          </w:p>
        </w:tc>
        <w:tc>
          <w:tcPr>
            <w:tcW w:w="520" w:type="dxa"/>
            <w:vAlign w:val="bottom"/>
            <w:shd w:val="clear" w:color="auto" w:fill="717073"/>
          </w:tcPr>
          <w:p>
            <w:pPr>
              <w:spacing w:after="0" w:line="20" w:lineRule="exact"/>
              <w:rPr>
                <w:sz w:val="1"/>
                <w:szCs w:val="1"/>
                <w:color w:val="auto"/>
              </w:rPr>
            </w:pPr>
          </w:p>
        </w:tc>
        <w:tc>
          <w:tcPr>
            <w:tcW w:w="64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-1778000</wp:posOffset>
            </wp:positionV>
            <wp:extent cx="721360" cy="1770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360" cy="1770380"/>
                    </a:xfrm>
                    <a:prstGeom prst="rect">
                      <a:avLst/>
                    </a:prstGeom>
                    <a:noFill/>
                  </pic:spPr>
                </pic:pic>
              </a:graphicData>
            </a:graphic>
          </wp:anchor>
        </w:drawing>
      </w:r>
    </w:p>
    <w:p>
      <w:pPr>
        <w:spacing w:after="0" w:line="147"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Effective January 1, 2013, we amended a defined benefit plan in the Netherlands. The defined benefit plan was frozen, and the participants were transitioned to a defined contribution plan, resulting in a curtailment gain of $2.3.</w:t>
      </w:r>
    </w:p>
    <w:p>
      <w:pPr>
        <w:spacing w:after="0" w:line="148"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Effective July 1, 2011, we completed a voluntary transition of our Norwegian employees from defined pension plans to defined contribution plans, resulting in a curtailment and settlement gain of $1.0.</w:t>
      </w:r>
    </w:p>
    <w:p>
      <w:pPr>
        <w:spacing w:after="0" w:line="161"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The estimated net loss and prior service cost for the defined benefit pension plans that will be amortized from accumulated other comprehensive loss into net periodic benefit cost during 2014 are $3.3 and $0.5,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373535"/>
        </w:rPr>
        <w:t>The weighted-average assumptions used in the measurement of the benefit obligation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740" w:type="dxa"/>
            <w:vAlign w:val="bottom"/>
            <w:gridSpan w:val="3"/>
          </w:tcPr>
          <w:p>
            <w:pPr>
              <w:jc w:val="right"/>
              <w:ind w:right="300"/>
              <w:spacing w:after="0"/>
              <w:rPr>
                <w:sz w:val="20"/>
                <w:szCs w:val="20"/>
                <w:color w:val="auto"/>
              </w:rPr>
            </w:pPr>
            <w:r>
              <w:rPr>
                <w:rFonts w:ascii="Arial" w:cs="Arial" w:eastAsia="Arial" w:hAnsi="Arial"/>
                <w:sz w:val="14"/>
                <w:szCs w:val="14"/>
                <w:color w:val="76AD9A"/>
              </w:rPr>
              <w:t>United States Plans</w:t>
            </w:r>
          </w:p>
        </w:tc>
        <w:tc>
          <w:tcPr>
            <w:tcW w:w="2440" w:type="dxa"/>
            <w:vAlign w:val="bottom"/>
            <w:gridSpan w:val="3"/>
          </w:tcPr>
          <w:p>
            <w:pPr>
              <w:jc w:val="right"/>
              <w:ind w:right="140"/>
              <w:spacing w:after="0"/>
              <w:rPr>
                <w:sz w:val="20"/>
                <w:szCs w:val="20"/>
                <w:color w:val="auto"/>
              </w:rPr>
            </w:pPr>
            <w:r>
              <w:rPr>
                <w:rFonts w:ascii="Arial" w:cs="Arial" w:eastAsia="Arial" w:hAnsi="Arial"/>
                <w:sz w:val="14"/>
                <w:szCs w:val="14"/>
                <w:color w:val="76AD9A"/>
              </w:rPr>
              <w:t>Non-United States Plans</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00" w:type="dxa"/>
            <w:vAlign w:val="bottom"/>
            <w:shd w:val="clear" w:color="auto" w:fill="71707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940" w:type="dxa"/>
            <w:vAlign w:val="bottom"/>
            <w:shd w:val="clear" w:color="auto" w:fill="71707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24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1340" w:type="dxa"/>
            <w:vAlign w:val="bottom"/>
            <w:shd w:val="clear" w:color="auto" w:fill="76AD9A"/>
          </w:tcPr>
          <w:p>
            <w:pPr>
              <w:jc w:val="right"/>
              <w:ind w:right="143"/>
              <w:spacing w:after="0"/>
              <w:rPr>
                <w:sz w:val="20"/>
                <w:szCs w:val="20"/>
                <w:color w:val="auto"/>
              </w:rPr>
            </w:pPr>
            <w:r>
              <w:rPr>
                <w:rFonts w:ascii="Arial" w:cs="Arial" w:eastAsia="Arial" w:hAnsi="Arial"/>
                <w:sz w:val="14"/>
                <w:szCs w:val="14"/>
                <w:b w:val="1"/>
                <w:bCs w:val="1"/>
                <w:color w:val="FFFFFF"/>
              </w:rPr>
              <w:t>2013</w:t>
            </w:r>
          </w:p>
        </w:tc>
        <w:tc>
          <w:tcPr>
            <w:tcW w:w="1400" w:type="dxa"/>
            <w:vAlign w:val="bottom"/>
            <w:gridSpan w:val="2"/>
          </w:tcPr>
          <w:p>
            <w:pPr>
              <w:jc w:val="right"/>
              <w:ind w:right="300"/>
              <w:spacing w:after="0"/>
              <w:rPr>
                <w:sz w:val="20"/>
                <w:szCs w:val="20"/>
                <w:color w:val="auto"/>
              </w:rPr>
            </w:pPr>
            <w:r>
              <w:rPr>
                <w:rFonts w:ascii="Arial" w:cs="Arial" w:eastAsia="Arial" w:hAnsi="Arial"/>
                <w:sz w:val="14"/>
                <w:szCs w:val="14"/>
                <w:color w:val="76AD9A"/>
              </w:rPr>
              <w:t>2012</w:t>
            </w:r>
          </w:p>
        </w:tc>
        <w:tc>
          <w:tcPr>
            <w:tcW w:w="1340" w:type="dxa"/>
            <w:vAlign w:val="bottom"/>
            <w:shd w:val="clear" w:color="auto" w:fill="76AD9A"/>
          </w:tcPr>
          <w:p>
            <w:pPr>
              <w:jc w:val="right"/>
              <w:ind w:right="143"/>
              <w:spacing w:after="0"/>
              <w:rPr>
                <w:sz w:val="20"/>
                <w:szCs w:val="20"/>
                <w:color w:val="auto"/>
              </w:rPr>
            </w:pPr>
            <w:r>
              <w:rPr>
                <w:rFonts w:ascii="Arial" w:cs="Arial" w:eastAsia="Arial" w:hAnsi="Arial"/>
                <w:sz w:val="14"/>
                <w:szCs w:val="14"/>
                <w:b w:val="1"/>
                <w:bCs w:val="1"/>
                <w:color w:val="FFFFFF"/>
              </w:rPr>
              <w:t>2013</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76AD9A"/>
              </w:rPr>
              <w:t>2012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20" w:type="dxa"/>
            <w:vAlign w:val="bottom"/>
            <w:shd w:val="clear" w:color="auto" w:fill="76AD9A"/>
          </w:tcPr>
          <w:p>
            <w:pPr>
              <w:spacing w:after="0" w:line="20" w:lineRule="exact"/>
              <w:rPr>
                <w:sz w:val="1"/>
                <w:szCs w:val="1"/>
                <w:color w:val="auto"/>
              </w:rPr>
            </w:pPr>
          </w:p>
        </w:tc>
        <w:tc>
          <w:tcPr>
            <w:tcW w:w="1340" w:type="dxa"/>
            <w:vAlign w:val="bottom"/>
            <w:shd w:val="clear" w:color="auto" w:fill="76AD9A"/>
          </w:tcPr>
          <w:p>
            <w:pPr>
              <w:spacing w:after="0" w:line="20" w:lineRule="exact"/>
              <w:rPr>
                <w:sz w:val="1"/>
                <w:szCs w:val="1"/>
                <w:color w:val="auto"/>
              </w:rPr>
            </w:pPr>
          </w:p>
        </w:tc>
        <w:tc>
          <w:tcPr>
            <w:tcW w:w="1100" w:type="dxa"/>
            <w:vAlign w:val="bottom"/>
            <w:shd w:val="clear" w:color="auto" w:fill="76AD9A"/>
          </w:tcPr>
          <w:p>
            <w:pPr>
              <w:spacing w:after="0" w:line="20" w:lineRule="exact"/>
              <w:rPr>
                <w:sz w:val="1"/>
                <w:szCs w:val="1"/>
                <w:color w:val="auto"/>
              </w:rPr>
            </w:pPr>
          </w:p>
        </w:tc>
        <w:tc>
          <w:tcPr>
            <w:tcW w:w="300" w:type="dxa"/>
            <w:vAlign w:val="bottom"/>
            <w:shd w:val="clear" w:color="auto" w:fill="76AD9A"/>
          </w:tcPr>
          <w:p>
            <w:pPr>
              <w:spacing w:after="0" w:line="20" w:lineRule="exact"/>
              <w:rPr>
                <w:sz w:val="1"/>
                <w:szCs w:val="1"/>
                <w:color w:val="auto"/>
              </w:rPr>
            </w:pPr>
          </w:p>
        </w:tc>
        <w:tc>
          <w:tcPr>
            <w:tcW w:w="1340" w:type="dxa"/>
            <w:vAlign w:val="bottom"/>
            <w:shd w:val="clear" w:color="auto" w:fill="76AD9A"/>
          </w:tcPr>
          <w:p>
            <w:pPr>
              <w:spacing w:after="0" w:line="20" w:lineRule="exact"/>
              <w:rPr>
                <w:sz w:val="1"/>
                <w:szCs w:val="1"/>
                <w:color w:val="auto"/>
              </w:rPr>
            </w:pPr>
          </w:p>
        </w:tc>
        <w:tc>
          <w:tcPr>
            <w:tcW w:w="940" w:type="dxa"/>
            <w:vAlign w:val="bottom"/>
            <w:shd w:val="clear" w:color="auto" w:fill="76AD9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6220" w:type="dxa"/>
            <w:vAlign w:val="bottom"/>
          </w:tcPr>
          <w:p>
            <w:pPr>
              <w:spacing w:after="0" w:line="185" w:lineRule="exact"/>
              <w:rPr>
                <w:sz w:val="20"/>
                <w:szCs w:val="20"/>
                <w:color w:val="auto"/>
              </w:rPr>
            </w:pPr>
            <w:r>
              <w:rPr>
                <w:rFonts w:ascii="Arial" w:cs="Arial" w:eastAsia="Arial" w:hAnsi="Arial"/>
                <w:sz w:val="17"/>
                <w:szCs w:val="17"/>
                <w:color w:val="373535"/>
              </w:rPr>
              <w:t>Discount rate</w:t>
            </w:r>
          </w:p>
        </w:tc>
        <w:tc>
          <w:tcPr>
            <w:tcW w:w="1340" w:type="dxa"/>
            <w:vAlign w:val="bottom"/>
            <w:shd w:val="clear" w:color="auto" w:fill="EEF5F2"/>
          </w:tcPr>
          <w:p>
            <w:pPr>
              <w:jc w:val="right"/>
              <w:spacing w:after="0" w:line="185" w:lineRule="exact"/>
              <w:rPr>
                <w:sz w:val="20"/>
                <w:szCs w:val="20"/>
                <w:color w:val="auto"/>
              </w:rPr>
            </w:pPr>
            <w:r>
              <w:rPr>
                <w:rFonts w:ascii="Arial" w:cs="Arial" w:eastAsia="Arial" w:hAnsi="Arial"/>
                <w:sz w:val="17"/>
                <w:szCs w:val="17"/>
                <w:color w:val="76AD9A"/>
              </w:rPr>
              <w:t>4.6%</w:t>
            </w:r>
          </w:p>
        </w:tc>
        <w:tc>
          <w:tcPr>
            <w:tcW w:w="1400" w:type="dxa"/>
            <w:vAlign w:val="bottom"/>
            <w:gridSpan w:val="2"/>
          </w:tcPr>
          <w:p>
            <w:pPr>
              <w:jc w:val="right"/>
              <w:ind w:right="140"/>
              <w:spacing w:after="0" w:line="185" w:lineRule="exact"/>
              <w:rPr>
                <w:sz w:val="20"/>
                <w:szCs w:val="20"/>
                <w:color w:val="auto"/>
              </w:rPr>
            </w:pPr>
            <w:r>
              <w:rPr>
                <w:rFonts w:ascii="Arial" w:cs="Arial" w:eastAsia="Arial" w:hAnsi="Arial"/>
                <w:sz w:val="17"/>
                <w:szCs w:val="17"/>
                <w:color w:val="373535"/>
              </w:rPr>
              <w:t>3.7%</w:t>
            </w:r>
          </w:p>
        </w:tc>
        <w:tc>
          <w:tcPr>
            <w:tcW w:w="1340" w:type="dxa"/>
            <w:vAlign w:val="bottom"/>
            <w:shd w:val="clear" w:color="auto" w:fill="EEF5F2"/>
          </w:tcPr>
          <w:p>
            <w:pPr>
              <w:jc w:val="right"/>
              <w:spacing w:after="0" w:line="185" w:lineRule="exact"/>
              <w:rPr>
                <w:sz w:val="20"/>
                <w:szCs w:val="20"/>
                <w:color w:val="auto"/>
              </w:rPr>
            </w:pPr>
            <w:r>
              <w:rPr>
                <w:rFonts w:ascii="Arial" w:cs="Arial" w:eastAsia="Arial" w:hAnsi="Arial"/>
                <w:sz w:val="17"/>
                <w:szCs w:val="17"/>
                <w:color w:val="76AD9A"/>
              </w:rPr>
              <w:t>4.1%</w:t>
            </w:r>
          </w:p>
        </w:tc>
        <w:tc>
          <w:tcPr>
            <w:tcW w:w="1100" w:type="dxa"/>
            <w:vAlign w:val="bottom"/>
            <w:gridSpan w:val="2"/>
          </w:tcPr>
          <w:p>
            <w:pPr>
              <w:jc w:val="right"/>
              <w:spacing w:after="0" w:line="185" w:lineRule="exact"/>
              <w:rPr>
                <w:sz w:val="20"/>
                <w:szCs w:val="20"/>
                <w:color w:val="auto"/>
              </w:rPr>
            </w:pPr>
            <w:r>
              <w:rPr>
                <w:rFonts w:ascii="Arial" w:cs="Arial" w:eastAsia="Arial" w:hAnsi="Arial"/>
                <w:sz w:val="17"/>
                <w:szCs w:val="17"/>
                <w:color w:val="373535"/>
              </w:rPr>
              <w:t>4.2%</w:t>
            </w:r>
          </w:p>
        </w:tc>
        <w:tc>
          <w:tcPr>
            <w:tcW w:w="0" w:type="dxa"/>
            <w:vAlign w:val="bottom"/>
          </w:tcPr>
          <w:p>
            <w:pPr>
              <w:spacing w:after="0"/>
              <w:rPr>
                <w:sz w:val="1"/>
                <w:szCs w:val="1"/>
                <w:color w:val="auto"/>
              </w:rPr>
            </w:pPr>
          </w:p>
        </w:tc>
      </w:tr>
      <w:tr>
        <w:trPr>
          <w:trHeight w:val="207"/>
        </w:trPr>
        <w:tc>
          <w:tcPr>
            <w:tcW w:w="6240" w:type="dxa"/>
            <w:vAlign w:val="bottom"/>
            <w:gridSpan w:val="2"/>
          </w:tcPr>
          <w:p>
            <w:pPr>
              <w:spacing w:after="0"/>
              <w:rPr>
                <w:sz w:val="20"/>
                <w:szCs w:val="20"/>
                <w:color w:val="auto"/>
              </w:rPr>
            </w:pPr>
            <w:r>
              <w:rPr>
                <w:rFonts w:ascii="Arial" w:cs="Arial" w:eastAsia="Arial" w:hAnsi="Arial"/>
                <w:sz w:val="17"/>
                <w:szCs w:val="17"/>
                <w:color w:val="373535"/>
              </w:rPr>
              <w:t>Rate of compensation increase</w:t>
            </w:r>
          </w:p>
        </w:tc>
        <w:tc>
          <w:tcPr>
            <w:tcW w:w="134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3.0%</w:t>
            </w:r>
          </w:p>
        </w:tc>
        <w:tc>
          <w:tcPr>
            <w:tcW w:w="1400" w:type="dxa"/>
            <w:vAlign w:val="bottom"/>
            <w:gridSpan w:val="2"/>
          </w:tcPr>
          <w:p>
            <w:pPr>
              <w:jc w:val="right"/>
              <w:ind w:right="140"/>
              <w:spacing w:after="0"/>
              <w:rPr>
                <w:sz w:val="20"/>
                <w:szCs w:val="20"/>
                <w:color w:val="auto"/>
              </w:rPr>
            </w:pPr>
            <w:r>
              <w:rPr>
                <w:rFonts w:ascii="Arial" w:cs="Arial" w:eastAsia="Arial" w:hAnsi="Arial"/>
                <w:sz w:val="17"/>
                <w:szCs w:val="17"/>
                <w:color w:val="373535"/>
              </w:rPr>
              <w:t>3.0%</w:t>
            </w:r>
          </w:p>
        </w:tc>
        <w:tc>
          <w:tcPr>
            <w:tcW w:w="134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3.8%</w:t>
            </w:r>
          </w:p>
        </w:tc>
        <w:tc>
          <w:tcPr>
            <w:tcW w:w="1100" w:type="dxa"/>
            <w:vAlign w:val="bottom"/>
            <w:gridSpan w:val="2"/>
          </w:tcPr>
          <w:p>
            <w:pPr>
              <w:jc w:val="right"/>
              <w:spacing w:after="0"/>
              <w:rPr>
                <w:sz w:val="20"/>
                <w:szCs w:val="20"/>
                <w:color w:val="auto"/>
              </w:rPr>
            </w:pPr>
            <w:r>
              <w:rPr>
                <w:rFonts w:ascii="Arial" w:cs="Arial" w:eastAsia="Arial" w:hAnsi="Arial"/>
                <w:sz w:val="17"/>
                <w:szCs w:val="17"/>
                <w:color w:val="373535"/>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1100" w:type="dxa"/>
            <w:vAlign w:val="bottom"/>
            <w:shd w:val="clear" w:color="auto" w:fill="717073"/>
          </w:tcPr>
          <w:p>
            <w:pPr>
              <w:spacing w:after="0" w:line="20" w:lineRule="exact"/>
              <w:rPr>
                <w:sz w:val="1"/>
                <w:szCs w:val="1"/>
                <w:color w:val="auto"/>
              </w:rPr>
            </w:pPr>
          </w:p>
        </w:tc>
        <w:tc>
          <w:tcPr>
            <w:tcW w:w="300" w:type="dxa"/>
            <w:vAlign w:val="bottom"/>
            <w:shd w:val="clear" w:color="auto" w:fill="717073"/>
          </w:tcPr>
          <w:p>
            <w:pPr>
              <w:spacing w:after="0" w:line="20" w:lineRule="exact"/>
              <w:rPr>
                <w:sz w:val="1"/>
                <w:szCs w:val="1"/>
                <w:color w:val="auto"/>
              </w:rPr>
            </w:pPr>
          </w:p>
        </w:tc>
        <w:tc>
          <w:tcPr>
            <w:tcW w:w="1340" w:type="dxa"/>
            <w:vAlign w:val="bottom"/>
            <w:shd w:val="clear" w:color="auto" w:fill="717073"/>
          </w:tcPr>
          <w:p>
            <w:pPr>
              <w:spacing w:after="0" w:line="20" w:lineRule="exact"/>
              <w:rPr>
                <w:sz w:val="1"/>
                <w:szCs w:val="1"/>
                <w:color w:val="auto"/>
              </w:rPr>
            </w:pPr>
          </w:p>
        </w:tc>
        <w:tc>
          <w:tcPr>
            <w:tcW w:w="940" w:type="dxa"/>
            <w:vAlign w:val="bottom"/>
            <w:shd w:val="clear" w:color="auto" w:fill="71707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353535"/>
        </w:rPr>
        <w:t>The weighted-average assumptions used in the measurement of the net periodic benefit cost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spacing w:after="0"/>
              <w:rPr>
                <w:sz w:val="20"/>
                <w:szCs w:val="20"/>
                <w:color w:val="auto"/>
              </w:rPr>
            </w:pPr>
            <w:r>
              <w:rPr>
                <w:rFonts w:ascii="Arial" w:cs="Arial" w:eastAsia="Arial" w:hAnsi="Arial"/>
                <w:sz w:val="14"/>
                <w:szCs w:val="14"/>
                <w:color w:val="76AD9A"/>
              </w:rPr>
              <w:t>United States Plans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60" w:type="dxa"/>
            <w:vAlign w:val="bottom"/>
            <w:gridSpan w:val="3"/>
          </w:tcPr>
          <w:p>
            <w:pPr>
              <w:jc w:val="right"/>
              <w:ind w:right="140"/>
              <w:spacing w:after="0"/>
              <w:rPr>
                <w:sz w:val="20"/>
                <w:szCs w:val="20"/>
                <w:color w:val="auto"/>
              </w:rPr>
            </w:pPr>
            <w:r>
              <w:rPr>
                <w:rFonts w:ascii="Arial" w:cs="Arial" w:eastAsia="Arial" w:hAnsi="Arial"/>
                <w:sz w:val="14"/>
                <w:szCs w:val="14"/>
                <w:color w:val="76AD9A"/>
              </w:rPr>
              <w:t>Non-United States Plans</w:t>
            </w:r>
          </w:p>
        </w:tc>
        <w:tc>
          <w:tcPr>
            <w:tcW w:w="0" w:type="dxa"/>
            <w:vAlign w:val="bottom"/>
          </w:tcPr>
          <w:p>
            <w:pPr>
              <w:spacing w:after="0"/>
              <w:rPr>
                <w:sz w:val="1"/>
                <w:szCs w:val="1"/>
                <w:color w:val="auto"/>
              </w:rPr>
            </w:pPr>
          </w:p>
        </w:tc>
      </w:tr>
      <w:tr>
        <w:trPr>
          <w:trHeight w:val="20"/>
        </w:trPr>
        <w:tc>
          <w:tcPr>
            <w:tcW w:w="41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14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6"/>
                <w:szCs w:val="16"/>
                <w:color w:val="auto"/>
              </w:rPr>
            </w:pPr>
          </w:p>
        </w:tc>
        <w:tc>
          <w:tcPr>
            <w:tcW w:w="1080" w:type="dxa"/>
            <w:vAlign w:val="bottom"/>
            <w:shd w:val="clear" w:color="auto" w:fill="76AD9A"/>
          </w:tcPr>
          <w:p>
            <w:pPr>
              <w:jc w:val="right"/>
              <w:ind w:right="118"/>
              <w:spacing w:after="0"/>
              <w:rPr>
                <w:sz w:val="20"/>
                <w:szCs w:val="20"/>
                <w:color w:val="auto"/>
              </w:rPr>
            </w:pPr>
            <w:r>
              <w:rPr>
                <w:rFonts w:ascii="Arial" w:cs="Arial" w:eastAsia="Arial" w:hAnsi="Arial"/>
                <w:sz w:val="14"/>
                <w:szCs w:val="14"/>
                <w:b w:val="1"/>
                <w:bCs w:val="1"/>
                <w:color w:val="FFFFFF"/>
              </w:rPr>
              <w:t>2013</w:t>
            </w:r>
          </w:p>
        </w:tc>
        <w:tc>
          <w:tcPr>
            <w:tcW w:w="1460" w:type="dxa"/>
            <w:vAlign w:val="bottom"/>
          </w:tcPr>
          <w:p>
            <w:pPr>
              <w:jc w:val="right"/>
              <w:ind w:right="401"/>
              <w:spacing w:after="0"/>
              <w:rPr>
                <w:sz w:val="20"/>
                <w:szCs w:val="20"/>
                <w:color w:val="auto"/>
              </w:rPr>
            </w:pPr>
            <w:r>
              <w:rPr>
                <w:rFonts w:ascii="Arial" w:cs="Arial" w:eastAsia="Arial" w:hAnsi="Arial"/>
                <w:sz w:val="14"/>
                <w:szCs w:val="14"/>
                <w:color w:val="76AD9A"/>
              </w:rPr>
              <w:t>2012</w:t>
            </w:r>
          </w:p>
        </w:tc>
        <w:tc>
          <w:tcPr>
            <w:tcW w:w="660" w:type="dxa"/>
            <w:vAlign w:val="bottom"/>
          </w:tcPr>
          <w:p>
            <w:pPr>
              <w:jc w:val="right"/>
              <w:spacing w:after="0"/>
              <w:rPr>
                <w:sz w:val="20"/>
                <w:szCs w:val="20"/>
                <w:color w:val="auto"/>
              </w:rPr>
            </w:pPr>
            <w:r>
              <w:rPr>
                <w:rFonts w:ascii="Arial" w:cs="Arial" w:eastAsia="Arial" w:hAnsi="Arial"/>
                <w:sz w:val="14"/>
                <w:szCs w:val="14"/>
                <w:color w:val="76AD9A"/>
              </w:rPr>
              <w:t>2011</w:t>
            </w:r>
          </w:p>
        </w:tc>
        <w:tc>
          <w:tcPr>
            <w:tcW w:w="280" w:type="dxa"/>
            <w:vAlign w:val="bottom"/>
          </w:tcPr>
          <w:p>
            <w:pPr>
              <w:spacing w:after="0"/>
              <w:rPr>
                <w:sz w:val="16"/>
                <w:szCs w:val="16"/>
                <w:color w:val="auto"/>
              </w:rPr>
            </w:pPr>
          </w:p>
        </w:tc>
        <w:tc>
          <w:tcPr>
            <w:tcW w:w="220" w:type="dxa"/>
            <w:vAlign w:val="bottom"/>
            <w:shd w:val="clear" w:color="auto" w:fill="76AD9A"/>
          </w:tcPr>
          <w:p>
            <w:pPr>
              <w:spacing w:after="0"/>
              <w:rPr>
                <w:sz w:val="16"/>
                <w:szCs w:val="16"/>
                <w:color w:val="auto"/>
              </w:rPr>
            </w:pPr>
          </w:p>
        </w:tc>
        <w:tc>
          <w:tcPr>
            <w:tcW w:w="1100" w:type="dxa"/>
            <w:vAlign w:val="bottom"/>
            <w:shd w:val="clear" w:color="auto" w:fill="76AD9A"/>
          </w:tcPr>
          <w:p>
            <w:pPr>
              <w:jc w:val="right"/>
              <w:ind w:right="138"/>
              <w:spacing w:after="0"/>
              <w:rPr>
                <w:sz w:val="20"/>
                <w:szCs w:val="20"/>
                <w:color w:val="auto"/>
              </w:rPr>
            </w:pPr>
            <w:r>
              <w:rPr>
                <w:rFonts w:ascii="Arial" w:cs="Arial" w:eastAsia="Arial" w:hAnsi="Arial"/>
                <w:sz w:val="14"/>
                <w:szCs w:val="14"/>
                <w:b w:val="1"/>
                <w:bCs w:val="1"/>
                <w:color w:val="FFFFFF"/>
              </w:rPr>
              <w:t>2013</w:t>
            </w:r>
          </w:p>
        </w:tc>
        <w:tc>
          <w:tcPr>
            <w:tcW w:w="1460" w:type="dxa"/>
            <w:vAlign w:val="bottom"/>
          </w:tcPr>
          <w:p>
            <w:pPr>
              <w:jc w:val="right"/>
              <w:ind w:right="401"/>
              <w:spacing w:after="0"/>
              <w:rPr>
                <w:sz w:val="20"/>
                <w:szCs w:val="20"/>
                <w:color w:val="auto"/>
              </w:rPr>
            </w:pPr>
            <w:r>
              <w:rPr>
                <w:rFonts w:ascii="Arial" w:cs="Arial" w:eastAsia="Arial" w:hAnsi="Arial"/>
                <w:sz w:val="14"/>
                <w:szCs w:val="14"/>
                <w:color w:val="76AD9A"/>
              </w:rPr>
              <w:t>2012</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76AD9A"/>
              </w:rPr>
              <w:t>2011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20" w:type="dxa"/>
            <w:vAlign w:val="bottom"/>
            <w:shd w:val="clear" w:color="auto" w:fill="76AD9A"/>
          </w:tcPr>
          <w:p>
            <w:pPr>
              <w:spacing w:after="0" w:line="20" w:lineRule="exact"/>
              <w:rPr>
                <w:sz w:val="1"/>
                <w:szCs w:val="1"/>
                <w:color w:val="auto"/>
              </w:rPr>
            </w:pPr>
          </w:p>
        </w:tc>
        <w:tc>
          <w:tcPr>
            <w:tcW w:w="220" w:type="dxa"/>
            <w:vAlign w:val="bottom"/>
            <w:shd w:val="clear" w:color="auto" w:fill="76AD9A"/>
          </w:tcPr>
          <w:p>
            <w:pPr>
              <w:spacing w:after="0" w:line="20" w:lineRule="exact"/>
              <w:rPr>
                <w:sz w:val="1"/>
                <w:szCs w:val="1"/>
                <w:color w:val="auto"/>
              </w:rPr>
            </w:pPr>
          </w:p>
        </w:tc>
        <w:tc>
          <w:tcPr>
            <w:tcW w:w="1080" w:type="dxa"/>
            <w:vAlign w:val="bottom"/>
            <w:shd w:val="clear" w:color="auto" w:fill="76AD9A"/>
          </w:tcPr>
          <w:p>
            <w:pPr>
              <w:spacing w:after="0" w:line="20" w:lineRule="exact"/>
              <w:rPr>
                <w:sz w:val="1"/>
                <w:szCs w:val="1"/>
                <w:color w:val="auto"/>
              </w:rPr>
            </w:pPr>
          </w:p>
        </w:tc>
        <w:tc>
          <w:tcPr>
            <w:tcW w:w="1460" w:type="dxa"/>
            <w:vAlign w:val="bottom"/>
            <w:shd w:val="clear" w:color="auto" w:fill="76AD9A"/>
          </w:tcPr>
          <w:p>
            <w:pPr>
              <w:spacing w:after="0" w:line="20" w:lineRule="exact"/>
              <w:rPr>
                <w:sz w:val="1"/>
                <w:szCs w:val="1"/>
                <w:color w:val="auto"/>
              </w:rPr>
            </w:pPr>
          </w:p>
        </w:tc>
        <w:tc>
          <w:tcPr>
            <w:tcW w:w="660" w:type="dxa"/>
            <w:vAlign w:val="bottom"/>
            <w:shd w:val="clear" w:color="auto" w:fill="76AD9A"/>
          </w:tcPr>
          <w:p>
            <w:pPr>
              <w:spacing w:after="0" w:line="20" w:lineRule="exact"/>
              <w:rPr>
                <w:sz w:val="1"/>
                <w:szCs w:val="1"/>
                <w:color w:val="auto"/>
              </w:rPr>
            </w:pPr>
          </w:p>
        </w:tc>
        <w:tc>
          <w:tcPr>
            <w:tcW w:w="280" w:type="dxa"/>
            <w:vAlign w:val="bottom"/>
            <w:shd w:val="clear" w:color="auto" w:fill="76AD9A"/>
          </w:tcPr>
          <w:p>
            <w:pPr>
              <w:spacing w:after="0" w:line="20" w:lineRule="exact"/>
              <w:rPr>
                <w:sz w:val="1"/>
                <w:szCs w:val="1"/>
                <w:color w:val="auto"/>
              </w:rPr>
            </w:pPr>
          </w:p>
        </w:tc>
        <w:tc>
          <w:tcPr>
            <w:tcW w:w="220" w:type="dxa"/>
            <w:vAlign w:val="bottom"/>
            <w:shd w:val="clear" w:color="auto" w:fill="76AD9A"/>
          </w:tcPr>
          <w:p>
            <w:pPr>
              <w:spacing w:after="0" w:line="20" w:lineRule="exact"/>
              <w:rPr>
                <w:sz w:val="1"/>
                <w:szCs w:val="1"/>
                <w:color w:val="auto"/>
              </w:rPr>
            </w:pPr>
          </w:p>
        </w:tc>
        <w:tc>
          <w:tcPr>
            <w:tcW w:w="1100" w:type="dxa"/>
            <w:vAlign w:val="bottom"/>
            <w:shd w:val="clear" w:color="auto" w:fill="76AD9A"/>
          </w:tcPr>
          <w:p>
            <w:pPr>
              <w:spacing w:after="0" w:line="20" w:lineRule="exact"/>
              <w:rPr>
                <w:sz w:val="1"/>
                <w:szCs w:val="1"/>
                <w:color w:val="auto"/>
              </w:rPr>
            </w:pPr>
          </w:p>
        </w:tc>
        <w:tc>
          <w:tcPr>
            <w:tcW w:w="1460" w:type="dxa"/>
            <w:vAlign w:val="bottom"/>
            <w:shd w:val="clear" w:color="auto" w:fill="76AD9A"/>
          </w:tcPr>
          <w:p>
            <w:pPr>
              <w:spacing w:after="0" w:line="20" w:lineRule="exact"/>
              <w:rPr>
                <w:sz w:val="1"/>
                <w:szCs w:val="1"/>
                <w:color w:val="auto"/>
              </w:rPr>
            </w:pPr>
          </w:p>
        </w:tc>
        <w:tc>
          <w:tcPr>
            <w:tcW w:w="640" w:type="dxa"/>
            <w:vAlign w:val="bottom"/>
            <w:shd w:val="clear" w:color="auto" w:fill="76AD9A"/>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4120" w:type="dxa"/>
            <w:vAlign w:val="bottom"/>
          </w:tcPr>
          <w:p>
            <w:pPr>
              <w:spacing w:after="0" w:line="185" w:lineRule="exact"/>
              <w:rPr>
                <w:sz w:val="20"/>
                <w:szCs w:val="20"/>
                <w:color w:val="auto"/>
              </w:rPr>
            </w:pPr>
            <w:r>
              <w:rPr>
                <w:rFonts w:ascii="Arial" w:cs="Arial" w:eastAsia="Arial" w:hAnsi="Arial"/>
                <w:sz w:val="17"/>
                <w:szCs w:val="17"/>
                <w:color w:val="373535"/>
              </w:rPr>
              <w:t>Discount rate</w:t>
            </w:r>
          </w:p>
        </w:tc>
        <w:tc>
          <w:tcPr>
            <w:tcW w:w="220" w:type="dxa"/>
            <w:vAlign w:val="bottom"/>
            <w:shd w:val="clear" w:color="auto" w:fill="EEF5F2"/>
          </w:tcPr>
          <w:p>
            <w:pPr>
              <w:spacing w:after="0"/>
              <w:rPr>
                <w:sz w:val="16"/>
                <w:szCs w:val="16"/>
                <w:color w:val="auto"/>
              </w:rPr>
            </w:pPr>
          </w:p>
        </w:tc>
        <w:tc>
          <w:tcPr>
            <w:tcW w:w="1080" w:type="dxa"/>
            <w:vAlign w:val="bottom"/>
            <w:shd w:val="clear" w:color="auto" w:fill="EEF5F2"/>
          </w:tcPr>
          <w:p>
            <w:pPr>
              <w:jc w:val="right"/>
              <w:spacing w:after="0" w:line="185" w:lineRule="exact"/>
              <w:rPr>
                <w:sz w:val="20"/>
                <w:szCs w:val="20"/>
                <w:color w:val="auto"/>
              </w:rPr>
            </w:pPr>
            <w:r>
              <w:rPr>
                <w:rFonts w:ascii="Arial" w:cs="Arial" w:eastAsia="Arial" w:hAnsi="Arial"/>
                <w:sz w:val="17"/>
                <w:szCs w:val="17"/>
                <w:color w:val="76AD9A"/>
              </w:rPr>
              <w:t>3.7%</w:t>
            </w:r>
          </w:p>
        </w:tc>
        <w:tc>
          <w:tcPr>
            <w:tcW w:w="1460" w:type="dxa"/>
            <w:vAlign w:val="bottom"/>
          </w:tcPr>
          <w:p>
            <w:pPr>
              <w:jc w:val="right"/>
              <w:ind w:right="241"/>
              <w:spacing w:after="0" w:line="185" w:lineRule="exact"/>
              <w:rPr>
                <w:sz w:val="20"/>
                <w:szCs w:val="20"/>
                <w:color w:val="auto"/>
              </w:rPr>
            </w:pPr>
            <w:r>
              <w:rPr>
                <w:rFonts w:ascii="Arial" w:cs="Arial" w:eastAsia="Arial" w:hAnsi="Arial"/>
                <w:sz w:val="17"/>
                <w:szCs w:val="17"/>
                <w:color w:val="373535"/>
              </w:rPr>
              <w:t>4.6%</w:t>
            </w:r>
          </w:p>
        </w:tc>
        <w:tc>
          <w:tcPr>
            <w:tcW w:w="940" w:type="dxa"/>
            <w:vAlign w:val="bottom"/>
            <w:gridSpan w:val="2"/>
          </w:tcPr>
          <w:p>
            <w:pPr>
              <w:jc w:val="right"/>
              <w:ind w:right="140"/>
              <w:spacing w:after="0" w:line="185" w:lineRule="exact"/>
              <w:rPr>
                <w:sz w:val="20"/>
                <w:szCs w:val="20"/>
                <w:color w:val="auto"/>
              </w:rPr>
            </w:pPr>
            <w:r>
              <w:rPr>
                <w:rFonts w:ascii="Arial" w:cs="Arial" w:eastAsia="Arial" w:hAnsi="Arial"/>
                <w:sz w:val="17"/>
                <w:szCs w:val="17"/>
                <w:color w:val="373535"/>
              </w:rPr>
              <w:t>5.1%</w:t>
            </w:r>
          </w:p>
        </w:tc>
        <w:tc>
          <w:tcPr>
            <w:tcW w:w="220" w:type="dxa"/>
            <w:vAlign w:val="bottom"/>
            <w:shd w:val="clear" w:color="auto" w:fill="EEF5F2"/>
          </w:tcPr>
          <w:p>
            <w:pPr>
              <w:spacing w:after="0"/>
              <w:rPr>
                <w:sz w:val="16"/>
                <w:szCs w:val="16"/>
                <w:color w:val="auto"/>
              </w:rPr>
            </w:pPr>
          </w:p>
        </w:tc>
        <w:tc>
          <w:tcPr>
            <w:tcW w:w="1100" w:type="dxa"/>
            <w:vAlign w:val="bottom"/>
            <w:shd w:val="clear" w:color="auto" w:fill="EEF5F2"/>
          </w:tcPr>
          <w:p>
            <w:pPr>
              <w:jc w:val="right"/>
              <w:spacing w:after="0" w:line="185" w:lineRule="exact"/>
              <w:rPr>
                <w:sz w:val="20"/>
                <w:szCs w:val="20"/>
                <w:color w:val="auto"/>
              </w:rPr>
            </w:pPr>
            <w:r>
              <w:rPr>
                <w:rFonts w:ascii="Arial" w:cs="Arial" w:eastAsia="Arial" w:hAnsi="Arial"/>
                <w:sz w:val="17"/>
                <w:szCs w:val="17"/>
                <w:color w:val="76AD9A"/>
              </w:rPr>
              <w:t>4.2%</w:t>
            </w:r>
          </w:p>
        </w:tc>
        <w:tc>
          <w:tcPr>
            <w:tcW w:w="1460" w:type="dxa"/>
            <w:vAlign w:val="bottom"/>
          </w:tcPr>
          <w:p>
            <w:pPr>
              <w:jc w:val="right"/>
              <w:ind w:right="261"/>
              <w:spacing w:after="0" w:line="185" w:lineRule="exact"/>
              <w:rPr>
                <w:sz w:val="20"/>
                <w:szCs w:val="20"/>
                <w:color w:val="auto"/>
              </w:rPr>
            </w:pPr>
            <w:r>
              <w:rPr>
                <w:rFonts w:ascii="Arial" w:cs="Arial" w:eastAsia="Arial" w:hAnsi="Arial"/>
                <w:sz w:val="17"/>
                <w:szCs w:val="17"/>
                <w:color w:val="373535"/>
              </w:rPr>
              <w:t>4.7%</w:t>
            </w:r>
          </w:p>
        </w:tc>
        <w:tc>
          <w:tcPr>
            <w:tcW w:w="800" w:type="dxa"/>
            <w:vAlign w:val="bottom"/>
            <w:gridSpan w:val="2"/>
          </w:tcPr>
          <w:p>
            <w:pPr>
              <w:jc w:val="right"/>
              <w:spacing w:after="0" w:line="185" w:lineRule="exact"/>
              <w:rPr>
                <w:sz w:val="20"/>
                <w:szCs w:val="20"/>
                <w:color w:val="auto"/>
              </w:rPr>
            </w:pPr>
            <w:r>
              <w:rPr>
                <w:rFonts w:ascii="Arial" w:cs="Arial" w:eastAsia="Arial" w:hAnsi="Arial"/>
                <w:sz w:val="17"/>
                <w:szCs w:val="17"/>
                <w:color w:val="373535"/>
              </w:rPr>
              <w:t>5.1%</w:t>
            </w:r>
          </w:p>
        </w:tc>
        <w:tc>
          <w:tcPr>
            <w:tcW w:w="0" w:type="dxa"/>
            <w:vAlign w:val="bottom"/>
          </w:tcPr>
          <w:p>
            <w:pPr>
              <w:spacing w:after="0"/>
              <w:rPr>
                <w:sz w:val="1"/>
                <w:szCs w:val="1"/>
                <w:color w:val="auto"/>
              </w:rPr>
            </w:pPr>
          </w:p>
        </w:tc>
      </w:tr>
      <w:tr>
        <w:trPr>
          <w:trHeight w:val="194"/>
        </w:trPr>
        <w:tc>
          <w:tcPr>
            <w:tcW w:w="4140" w:type="dxa"/>
            <w:vAlign w:val="bottom"/>
            <w:gridSpan w:val="2"/>
          </w:tcPr>
          <w:p>
            <w:pPr>
              <w:spacing w:after="0" w:line="194" w:lineRule="exact"/>
              <w:rPr>
                <w:sz w:val="20"/>
                <w:szCs w:val="20"/>
                <w:color w:val="auto"/>
              </w:rPr>
            </w:pPr>
            <w:r>
              <w:rPr>
                <w:rFonts w:ascii="Arial" w:cs="Arial" w:eastAsia="Arial" w:hAnsi="Arial"/>
                <w:sz w:val="17"/>
                <w:szCs w:val="17"/>
                <w:color w:val="373535"/>
              </w:rPr>
              <w:t>Expected long-term return on plan assets</w:t>
            </w:r>
          </w:p>
        </w:tc>
        <w:tc>
          <w:tcPr>
            <w:tcW w:w="220" w:type="dxa"/>
            <w:vAlign w:val="bottom"/>
            <w:shd w:val="clear" w:color="auto" w:fill="EEF5F2"/>
          </w:tcPr>
          <w:p>
            <w:pPr>
              <w:spacing w:after="0"/>
              <w:rPr>
                <w:sz w:val="16"/>
                <w:szCs w:val="16"/>
                <w:color w:val="auto"/>
              </w:rPr>
            </w:pPr>
          </w:p>
        </w:tc>
        <w:tc>
          <w:tcPr>
            <w:tcW w:w="108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6.0%</w:t>
            </w:r>
          </w:p>
        </w:tc>
        <w:tc>
          <w:tcPr>
            <w:tcW w:w="1460" w:type="dxa"/>
            <w:vAlign w:val="bottom"/>
          </w:tcPr>
          <w:p>
            <w:pPr>
              <w:jc w:val="right"/>
              <w:ind w:right="241"/>
              <w:spacing w:after="0" w:line="194" w:lineRule="exact"/>
              <w:rPr>
                <w:sz w:val="20"/>
                <w:szCs w:val="20"/>
                <w:color w:val="auto"/>
              </w:rPr>
            </w:pPr>
            <w:r>
              <w:rPr>
                <w:rFonts w:ascii="Arial" w:cs="Arial" w:eastAsia="Arial" w:hAnsi="Arial"/>
                <w:sz w:val="17"/>
                <w:szCs w:val="17"/>
                <w:color w:val="373535"/>
              </w:rPr>
              <w:t>6.3%</w:t>
            </w:r>
          </w:p>
        </w:tc>
        <w:tc>
          <w:tcPr>
            <w:tcW w:w="94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373535"/>
              </w:rPr>
              <w:t>7.0%</w:t>
            </w:r>
          </w:p>
        </w:tc>
        <w:tc>
          <w:tcPr>
            <w:tcW w:w="220" w:type="dxa"/>
            <w:vAlign w:val="bottom"/>
            <w:shd w:val="clear" w:color="auto" w:fill="EEF5F2"/>
          </w:tcPr>
          <w:p>
            <w:pPr>
              <w:spacing w:after="0"/>
              <w:rPr>
                <w:sz w:val="16"/>
                <w:szCs w:val="16"/>
                <w:color w:val="auto"/>
              </w:rPr>
            </w:pPr>
          </w:p>
        </w:tc>
        <w:tc>
          <w:tcPr>
            <w:tcW w:w="110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4.0%</w:t>
            </w:r>
          </w:p>
        </w:tc>
        <w:tc>
          <w:tcPr>
            <w:tcW w:w="1460" w:type="dxa"/>
            <w:vAlign w:val="bottom"/>
          </w:tcPr>
          <w:p>
            <w:pPr>
              <w:jc w:val="right"/>
              <w:ind w:right="261"/>
              <w:spacing w:after="0" w:line="194" w:lineRule="exact"/>
              <w:rPr>
                <w:sz w:val="20"/>
                <w:szCs w:val="20"/>
                <w:color w:val="auto"/>
              </w:rPr>
            </w:pPr>
            <w:r>
              <w:rPr>
                <w:rFonts w:ascii="Arial" w:cs="Arial" w:eastAsia="Arial" w:hAnsi="Arial"/>
                <w:sz w:val="17"/>
                <w:szCs w:val="17"/>
                <w:color w:val="373535"/>
              </w:rPr>
              <w:t>4.7%</w:t>
            </w:r>
          </w:p>
        </w:tc>
        <w:tc>
          <w:tcPr>
            <w:tcW w:w="80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5.3%</w:t>
            </w:r>
          </w:p>
        </w:tc>
        <w:tc>
          <w:tcPr>
            <w:tcW w:w="0" w:type="dxa"/>
            <w:vAlign w:val="bottom"/>
          </w:tcPr>
          <w:p>
            <w:pPr>
              <w:spacing w:after="0"/>
              <w:rPr>
                <w:sz w:val="1"/>
                <w:szCs w:val="1"/>
                <w:color w:val="auto"/>
              </w:rPr>
            </w:pPr>
          </w:p>
        </w:tc>
      </w:tr>
      <w:tr>
        <w:trPr>
          <w:trHeight w:val="206"/>
        </w:trPr>
        <w:tc>
          <w:tcPr>
            <w:tcW w:w="4140" w:type="dxa"/>
            <w:vAlign w:val="bottom"/>
            <w:gridSpan w:val="2"/>
          </w:tcPr>
          <w:p>
            <w:pPr>
              <w:spacing w:after="0"/>
              <w:rPr>
                <w:sz w:val="20"/>
                <w:szCs w:val="20"/>
                <w:color w:val="auto"/>
              </w:rPr>
            </w:pPr>
            <w:r>
              <w:rPr>
                <w:rFonts w:ascii="Arial" w:cs="Arial" w:eastAsia="Arial" w:hAnsi="Arial"/>
                <w:sz w:val="17"/>
                <w:szCs w:val="17"/>
                <w:color w:val="373535"/>
              </w:rPr>
              <w:t>Rate of compensation increase</w:t>
            </w:r>
          </w:p>
        </w:tc>
        <w:tc>
          <w:tcPr>
            <w:tcW w:w="220" w:type="dxa"/>
            <w:vAlign w:val="bottom"/>
            <w:shd w:val="clear" w:color="auto" w:fill="EEF5F2"/>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76AD9A"/>
              </w:rPr>
              <w:t>3.0%</w:t>
            </w:r>
          </w:p>
        </w:tc>
        <w:tc>
          <w:tcPr>
            <w:tcW w:w="1460" w:type="dxa"/>
            <w:vAlign w:val="bottom"/>
          </w:tcPr>
          <w:p>
            <w:pPr>
              <w:jc w:val="right"/>
              <w:ind w:right="241"/>
              <w:spacing w:after="0"/>
              <w:rPr>
                <w:sz w:val="20"/>
                <w:szCs w:val="20"/>
                <w:color w:val="auto"/>
              </w:rPr>
            </w:pPr>
            <w:r>
              <w:rPr>
                <w:rFonts w:ascii="Arial" w:cs="Arial" w:eastAsia="Arial" w:hAnsi="Arial"/>
                <w:sz w:val="17"/>
                <w:szCs w:val="17"/>
                <w:color w:val="373535"/>
              </w:rPr>
              <w:t>3.0%</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373535"/>
              </w:rPr>
              <w:t>4.0%</w:t>
            </w:r>
          </w:p>
        </w:tc>
        <w:tc>
          <w:tcPr>
            <w:tcW w:w="220" w:type="dxa"/>
            <w:vAlign w:val="bottom"/>
            <w:shd w:val="clear" w:color="auto" w:fill="EEF5F2"/>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76AD9A"/>
              </w:rPr>
              <w:t>3.6%</w:t>
            </w:r>
          </w:p>
        </w:tc>
        <w:tc>
          <w:tcPr>
            <w:tcW w:w="1460" w:type="dxa"/>
            <w:vAlign w:val="bottom"/>
          </w:tcPr>
          <w:p>
            <w:pPr>
              <w:jc w:val="right"/>
              <w:ind w:right="261"/>
              <w:spacing w:after="0"/>
              <w:rPr>
                <w:sz w:val="20"/>
                <w:szCs w:val="20"/>
                <w:color w:val="auto"/>
              </w:rPr>
            </w:pPr>
            <w:r>
              <w:rPr>
                <w:rFonts w:ascii="Arial" w:cs="Arial" w:eastAsia="Arial" w:hAnsi="Arial"/>
                <w:sz w:val="17"/>
                <w:szCs w:val="17"/>
                <w:color w:val="373535"/>
              </w:rPr>
              <w:t>4.0%</w:t>
            </w:r>
          </w:p>
        </w:tc>
        <w:tc>
          <w:tcPr>
            <w:tcW w:w="800" w:type="dxa"/>
            <w:vAlign w:val="bottom"/>
            <w:gridSpan w:val="2"/>
          </w:tcPr>
          <w:p>
            <w:pPr>
              <w:jc w:val="right"/>
              <w:spacing w:after="0"/>
              <w:rPr>
                <w:sz w:val="20"/>
                <w:szCs w:val="20"/>
                <w:color w:val="auto"/>
              </w:rPr>
            </w:pPr>
            <w:r>
              <w:rPr>
                <w:rFonts w:ascii="Arial" w:cs="Arial" w:eastAsia="Arial" w:hAnsi="Arial"/>
                <w:sz w:val="17"/>
                <w:szCs w:val="17"/>
                <w:color w:val="373535"/>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080" w:type="dxa"/>
            <w:vAlign w:val="bottom"/>
            <w:shd w:val="clear" w:color="auto" w:fill="717073"/>
          </w:tcPr>
          <w:p>
            <w:pPr>
              <w:spacing w:after="0" w:line="20" w:lineRule="exact"/>
              <w:rPr>
                <w:sz w:val="1"/>
                <w:szCs w:val="1"/>
                <w:color w:val="auto"/>
              </w:rPr>
            </w:pPr>
          </w:p>
        </w:tc>
        <w:tc>
          <w:tcPr>
            <w:tcW w:w="1460" w:type="dxa"/>
            <w:vAlign w:val="bottom"/>
            <w:shd w:val="clear" w:color="auto" w:fill="717073"/>
          </w:tcPr>
          <w:p>
            <w:pPr>
              <w:spacing w:after="0" w:line="20" w:lineRule="exact"/>
              <w:rPr>
                <w:sz w:val="1"/>
                <w:szCs w:val="1"/>
                <w:color w:val="auto"/>
              </w:rPr>
            </w:pPr>
          </w:p>
        </w:tc>
        <w:tc>
          <w:tcPr>
            <w:tcW w:w="660" w:type="dxa"/>
            <w:vAlign w:val="bottom"/>
            <w:shd w:val="clear" w:color="auto" w:fill="717073"/>
          </w:tcPr>
          <w:p>
            <w:pPr>
              <w:spacing w:after="0" w:line="20" w:lineRule="exact"/>
              <w:rPr>
                <w:sz w:val="1"/>
                <w:szCs w:val="1"/>
                <w:color w:val="auto"/>
              </w:rPr>
            </w:pPr>
          </w:p>
        </w:tc>
        <w:tc>
          <w:tcPr>
            <w:tcW w:w="28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100" w:type="dxa"/>
            <w:vAlign w:val="bottom"/>
            <w:shd w:val="clear" w:color="auto" w:fill="717073"/>
          </w:tcPr>
          <w:p>
            <w:pPr>
              <w:spacing w:after="0" w:line="20" w:lineRule="exact"/>
              <w:rPr>
                <w:sz w:val="1"/>
                <w:szCs w:val="1"/>
                <w:color w:val="auto"/>
              </w:rPr>
            </w:pPr>
          </w:p>
        </w:tc>
        <w:tc>
          <w:tcPr>
            <w:tcW w:w="1460" w:type="dxa"/>
            <w:vAlign w:val="bottom"/>
            <w:shd w:val="clear" w:color="auto" w:fill="717073"/>
          </w:tcPr>
          <w:p>
            <w:pPr>
              <w:spacing w:after="0" w:line="20" w:lineRule="exact"/>
              <w:rPr>
                <w:sz w:val="1"/>
                <w:szCs w:val="1"/>
                <w:color w:val="auto"/>
              </w:rPr>
            </w:pPr>
          </w:p>
        </w:tc>
        <w:tc>
          <w:tcPr>
            <w:tcW w:w="640" w:type="dxa"/>
            <w:vAlign w:val="bottom"/>
            <w:shd w:val="clear" w:color="auto" w:fill="71707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2763520</wp:posOffset>
            </wp:positionH>
            <wp:positionV relativeFrom="paragraph">
              <wp:posOffset>-261620</wp:posOffset>
            </wp:positionV>
            <wp:extent cx="557530" cy="2540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7530" cy="254000"/>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-261620</wp:posOffset>
            </wp:positionV>
            <wp:extent cx="557530" cy="2540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7530" cy="254000"/>
                    </a:xfrm>
                    <a:prstGeom prst="rect">
                      <a:avLst/>
                    </a:prstGeom>
                    <a:noFill/>
                  </pic:spPr>
                </pic:pic>
              </a:graphicData>
            </a:graphic>
          </wp:anchor>
        </w:drawing>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determine our assumption for the discount rate based on an index of high-quality corporate bond yields and matched-funding yield curve analysis as of the end of each fiscal year.</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120" w:type="dxa"/>
            <w:vAlign w:val="bottom"/>
          </w:tcPr>
          <w:p>
            <w:pPr>
              <w:ind w:left="5740"/>
              <w:spacing w:after="0"/>
              <w:rPr>
                <w:sz w:val="20"/>
                <w:szCs w:val="20"/>
                <w:color w:val="auto"/>
              </w:rPr>
            </w:pPr>
            <w:r>
              <w:rPr>
                <w:rFonts w:ascii="Arial" w:cs="Arial" w:eastAsia="Arial" w:hAnsi="Arial"/>
                <w:sz w:val="14"/>
                <w:szCs w:val="14"/>
                <w:b w:val="1"/>
                <w:bCs w:val="1"/>
                <w:color w:val="777679"/>
              </w:rPr>
              <w:t xml:space="preserve">Notes to Consolidated Financial Statements </w:t>
            </w:r>
            <w:r>
              <w:rPr>
                <w:rFonts w:ascii="Arial" w:cs="Arial" w:eastAsia="Arial" w:hAnsi="Arial"/>
                <w:sz w:val="14"/>
                <w:szCs w:val="14"/>
                <w:color w:val="373535"/>
              </w:rPr>
              <w:t>ManpowerGroup 2013 Annual Report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73535"/>
              </w:rPr>
              <w:t>73</w:t>
            </w:r>
          </w:p>
        </w:tc>
      </w:tr>
      <w:tr>
        <w:trPr>
          <w:trHeight w:val="418"/>
        </w:trPr>
        <w:tc>
          <w:tcPr>
            <w:tcW w:w="11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Our overall expected long-term rate of return on United States plan assets is 6.0%, while our overall expected long-term rate of return on our non-United States plans varies by country and ranges from 2.3% to 4.7%. For a majority of our plans, a building block approach has been employed to establish this return. Historical markets are studied and long-term historical relationships between equity securities and fixed income instruments are preserved consistent with the widely accepted capital market principle that assets with higher volatility generate a greater return over time. Current market factors such as inflation and interest rates are evaluated before long-term capital market assumptions are determined. The long-term portfolio return is established with proper consideration of diversification and rebalancing. We also use guaranteed insurance contracts for four of our foreign plans. Peer data and historical returns are reviewed to check for reasonableness and appropriateness of our expected rate of return.</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Projected salary levels utilized in the determination of the projected benefit obligation for the pension plans are based upon historical experience and the future expectations for each respective country.</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Our plans’ investment policies are to optimize the long-term return on plan assets at an acceptable level of risk and to maintain careful control of the risk level within each asset class. Our long-term objective is to minimize plan expenses and contributions by outperforming plan liabilities. We have historically used a balanced portfolio strategy based primarily on a target allocation of equity securities and fixed-income instruments, which vary by location. These target allocations, which are similar to the 2013 allocations, are determined based on the favorable risk tolerance characteristics of the plan and, at times, may be adjusted within a specified range to advance our overall objective.</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fair value of our pension plan assets are primarily determined by using market quotes and other relevant information that is generated by market transactions involving identical or comparable assets, except for the insurance contract that is measured at the present value of expected future benefit payments using the Deutsche National Bank interest curve. The fair value of our pension plan assets by asset category was as follows:</w:t>
      </w:r>
    </w:p>
    <w:p>
      <w:pPr>
        <w:sectPr>
          <w:pgSz w:w="11900" w:h="16838" w:orient="portrait"/>
          <w:cols w:equalWidth="0" w:num="1">
            <w:col w:w="11420"/>
          </w:cols>
          <w:pgMar w:left="240" w:top="653"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76AD9A"/>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1362710</wp:posOffset>
            </wp:positionH>
            <wp:positionV relativeFrom="paragraph">
              <wp:posOffset>-6350</wp:posOffset>
            </wp:positionV>
            <wp:extent cx="27946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76AD9A"/>
        </w:rPr>
        <w:t>Fair Value Measurements Using</w:t>
      </w:r>
    </w:p>
    <w:tbl>
      <w:tblPr>
        <w:tblLayout w:type="fixed"/>
        <w:tblInd w:w="2140" w:type="dxa"/>
        <w:tblCellMar>
          <w:top w:w="0" w:type="dxa"/>
          <w:left w:w="0" w:type="dxa"/>
          <w:bottom w:w="0" w:type="dxa"/>
          <w:right w:w="0" w:type="dxa"/>
        </w:tblCellMar>
      </w:tblPr>
      <w:tr>
        <w:trPr>
          <w:trHeight w:val="152"/>
        </w:trPr>
        <w:tc>
          <w:tcPr>
            <w:tcW w:w="1040" w:type="dxa"/>
            <w:vAlign w:val="bottom"/>
            <w:tcBorders>
              <w:top w:val="single" w:sz="8" w:color="717073"/>
            </w:tcBorders>
          </w:tcPr>
          <w:p>
            <w:pPr>
              <w:spacing w:after="0"/>
              <w:rPr>
                <w:sz w:val="13"/>
                <w:szCs w:val="13"/>
                <w:color w:val="auto"/>
              </w:rPr>
            </w:pPr>
          </w:p>
        </w:tc>
        <w:tc>
          <w:tcPr>
            <w:tcW w:w="1260" w:type="dxa"/>
            <w:vAlign w:val="bottom"/>
            <w:tcBorders>
              <w:top w:val="single" w:sz="8" w:color="717073"/>
            </w:tcBorders>
          </w:tcPr>
          <w:p>
            <w:pPr>
              <w:jc w:val="right"/>
              <w:ind w:right="151"/>
              <w:spacing w:after="0" w:line="153" w:lineRule="exact"/>
              <w:rPr>
                <w:sz w:val="20"/>
                <w:szCs w:val="20"/>
                <w:color w:val="auto"/>
              </w:rPr>
            </w:pPr>
            <w:r>
              <w:rPr>
                <w:rFonts w:ascii="Arial" w:cs="Arial" w:eastAsia="Arial" w:hAnsi="Arial"/>
                <w:sz w:val="14"/>
                <w:szCs w:val="14"/>
                <w:color w:val="76AD9A"/>
              </w:rPr>
              <w:t>Quoted Prices</w:t>
            </w:r>
          </w:p>
        </w:tc>
        <w:tc>
          <w:tcPr>
            <w:tcW w:w="1060" w:type="dxa"/>
            <w:vAlign w:val="bottom"/>
            <w:tcBorders>
              <w:top w:val="single" w:sz="8" w:color="717073"/>
            </w:tcBorders>
          </w:tcPr>
          <w:p>
            <w:pPr>
              <w:spacing w:after="0"/>
              <w:rPr>
                <w:sz w:val="13"/>
                <w:szCs w:val="13"/>
                <w:color w:val="auto"/>
              </w:rPr>
            </w:pPr>
          </w:p>
        </w:tc>
        <w:tc>
          <w:tcPr>
            <w:tcW w:w="1040" w:type="dxa"/>
            <w:vAlign w:val="bottom"/>
            <w:tcBorders>
              <w:top w:val="single" w:sz="8" w:color="717073"/>
            </w:tcBorders>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in Active</w:t>
            </w:r>
          </w:p>
        </w:tc>
        <w:tc>
          <w:tcPr>
            <w:tcW w:w="10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Significant</w:t>
            </w:r>
          </w:p>
        </w:tc>
        <w:tc>
          <w:tcPr>
            <w:tcW w:w="104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Markets for</w:t>
            </w:r>
          </w:p>
        </w:tc>
        <w:tc>
          <w:tcPr>
            <w:tcW w:w="10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Other</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r>
      <w:tr>
        <w:trPr>
          <w:trHeight w:val="155"/>
        </w:trPr>
        <w:tc>
          <w:tcPr>
            <w:tcW w:w="1040" w:type="dxa"/>
            <w:vAlign w:val="bottom"/>
          </w:tcPr>
          <w:p>
            <w:pPr>
              <w:spacing w:after="0"/>
              <w:rPr>
                <w:sz w:val="13"/>
                <w:szCs w:val="13"/>
                <w:color w:val="auto"/>
              </w:rPr>
            </w:pP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Identical</w:t>
            </w:r>
          </w:p>
        </w:tc>
        <w:tc>
          <w:tcPr>
            <w:tcW w:w="10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Observable</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76AD9A"/>
              </w:rPr>
              <w:t>Unobservable</w:t>
            </w:r>
          </w:p>
        </w:tc>
      </w:tr>
      <w:tr>
        <w:trPr>
          <w:trHeight w:val="155"/>
        </w:trPr>
        <w:tc>
          <w:tcPr>
            <w:tcW w:w="1040" w:type="dxa"/>
            <w:vAlign w:val="bottom"/>
          </w:tcPr>
          <w:p>
            <w:pPr>
              <w:jc w:val="right"/>
              <w:ind w:right="91"/>
              <w:spacing w:after="0" w:line="155" w:lineRule="exact"/>
              <w:rPr>
                <w:sz w:val="20"/>
                <w:szCs w:val="20"/>
                <w:color w:val="auto"/>
              </w:rPr>
            </w:pPr>
            <w:r>
              <w:rPr>
                <w:rFonts w:ascii="Arial" w:cs="Arial" w:eastAsia="Arial" w:hAnsi="Arial"/>
                <w:sz w:val="14"/>
                <w:szCs w:val="14"/>
                <w:color w:val="76AD9A"/>
                <w:w w:val="97"/>
              </w:rPr>
              <w:t>December 31,</w:t>
            </w: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Assets</w:t>
            </w:r>
          </w:p>
        </w:tc>
        <w:tc>
          <w:tcPr>
            <w:tcW w:w="10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Inputs</w:t>
            </w:r>
          </w:p>
        </w:tc>
        <w:tc>
          <w:tcPr>
            <w:tcW w:w="1040" w:type="dxa"/>
            <w:vAlign w:val="bottom"/>
          </w:tcPr>
          <w:p>
            <w:pPr>
              <w:jc w:val="right"/>
              <w:spacing w:after="0" w:line="155" w:lineRule="exact"/>
              <w:rPr>
                <w:sz w:val="20"/>
                <w:szCs w:val="20"/>
                <w:color w:val="auto"/>
              </w:rPr>
            </w:pPr>
            <w:r>
              <w:rPr>
                <w:rFonts w:ascii="Arial" w:cs="Arial" w:eastAsia="Arial" w:hAnsi="Arial"/>
                <w:sz w:val="14"/>
                <w:szCs w:val="14"/>
                <w:color w:val="76AD9A"/>
              </w:rPr>
              <w:t>Inputs</w:t>
            </w:r>
          </w:p>
        </w:tc>
      </w:tr>
      <w:tr>
        <w:trPr>
          <w:trHeight w:val="150"/>
        </w:trPr>
        <w:tc>
          <w:tcPr>
            <w:tcW w:w="1040" w:type="dxa"/>
            <w:vAlign w:val="bottom"/>
          </w:tcPr>
          <w:p>
            <w:pPr>
              <w:jc w:val="right"/>
              <w:ind w:right="91"/>
              <w:spacing w:after="0" w:line="151" w:lineRule="exact"/>
              <w:rPr>
                <w:sz w:val="20"/>
                <w:szCs w:val="20"/>
                <w:color w:val="auto"/>
              </w:rPr>
            </w:pPr>
            <w:r>
              <w:rPr>
                <w:rFonts w:ascii="Arial" w:cs="Arial" w:eastAsia="Arial" w:hAnsi="Arial"/>
                <w:sz w:val="14"/>
                <w:szCs w:val="14"/>
                <w:color w:val="76AD9A"/>
              </w:rPr>
              <w:t>2013</w:t>
            </w:r>
          </w:p>
        </w:tc>
        <w:tc>
          <w:tcPr>
            <w:tcW w:w="1260" w:type="dxa"/>
            <w:vAlign w:val="bottom"/>
          </w:tcPr>
          <w:p>
            <w:pPr>
              <w:jc w:val="right"/>
              <w:ind w:right="111"/>
              <w:spacing w:after="0" w:line="151" w:lineRule="exact"/>
              <w:rPr>
                <w:sz w:val="20"/>
                <w:szCs w:val="20"/>
                <w:color w:val="auto"/>
              </w:rPr>
            </w:pPr>
            <w:r>
              <w:rPr>
                <w:rFonts w:ascii="Arial" w:cs="Arial" w:eastAsia="Arial" w:hAnsi="Arial"/>
                <w:sz w:val="14"/>
                <w:szCs w:val="14"/>
                <w:color w:val="76AD9A"/>
              </w:rPr>
              <w:t>(Level 1)</w:t>
            </w:r>
          </w:p>
        </w:tc>
        <w:tc>
          <w:tcPr>
            <w:tcW w:w="1060" w:type="dxa"/>
            <w:vAlign w:val="bottom"/>
          </w:tcPr>
          <w:p>
            <w:pPr>
              <w:jc w:val="right"/>
              <w:ind w:right="91"/>
              <w:spacing w:after="0" w:line="151" w:lineRule="exact"/>
              <w:rPr>
                <w:sz w:val="20"/>
                <w:szCs w:val="20"/>
                <w:color w:val="auto"/>
              </w:rPr>
            </w:pPr>
            <w:r>
              <w:rPr>
                <w:rFonts w:ascii="Arial" w:cs="Arial" w:eastAsia="Arial" w:hAnsi="Arial"/>
                <w:sz w:val="14"/>
                <w:szCs w:val="14"/>
                <w:color w:val="76AD9A"/>
              </w:rPr>
              <w:t>(Level 2)</w:t>
            </w:r>
          </w:p>
        </w:tc>
        <w:tc>
          <w:tcPr>
            <w:tcW w:w="1040" w:type="dxa"/>
            <w:vAlign w:val="bottom"/>
          </w:tcPr>
          <w:p>
            <w:pPr>
              <w:jc w:val="right"/>
              <w:spacing w:after="0" w:line="151" w:lineRule="exact"/>
              <w:rPr>
                <w:sz w:val="20"/>
                <w:szCs w:val="20"/>
                <w:color w:val="auto"/>
              </w:rPr>
            </w:pPr>
            <w:r>
              <w:rPr>
                <w:rFonts w:ascii="Arial" w:cs="Arial" w:eastAsia="Arial" w:hAnsi="Arial"/>
                <w:sz w:val="14"/>
                <w:szCs w:val="14"/>
                <w:color w:val="76AD9A"/>
              </w:rPr>
              <w:t>(Level 3)</w:t>
            </w: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76AD9A"/>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8270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27020" cy="8255"/>
                    </a:xfrm>
                    <a:prstGeom prst="rect">
                      <a:avLst/>
                    </a:prstGeom>
                    <a:noFill/>
                  </pic:spPr>
                </pic:pic>
              </a:graphicData>
            </a:graphic>
          </wp:anchor>
        </w:drawing>
      </w:r>
    </w:p>
    <w:p>
      <w:pPr>
        <w:spacing w:after="0" w:line="2" w:lineRule="exact"/>
        <w:rPr>
          <w:sz w:val="20"/>
          <w:szCs w:val="20"/>
          <w:color w:val="auto"/>
        </w:rPr>
      </w:pPr>
    </w:p>
    <w:p>
      <w:pPr>
        <w:jc w:val="right"/>
        <w:ind w:right="80"/>
        <w:spacing w:after="0"/>
        <w:rPr>
          <w:sz w:val="20"/>
          <w:szCs w:val="20"/>
          <w:color w:val="auto"/>
        </w:rPr>
      </w:pPr>
      <w:r>
        <w:rPr>
          <w:rFonts w:ascii="Arial" w:cs="Arial" w:eastAsia="Arial" w:hAnsi="Arial"/>
          <w:sz w:val="14"/>
          <w:szCs w:val="14"/>
          <w:color w:val="76AD9A"/>
        </w:rPr>
        <w:t>Fair Value Measurements Using</w:t>
      </w:r>
    </w:p>
    <w:tbl>
      <w:tblPr>
        <w:tblLayout w:type="fixed"/>
        <w:tblInd w:w="0" w:type="dxa"/>
        <w:tblCellMar>
          <w:top w:w="0" w:type="dxa"/>
          <w:left w:w="0" w:type="dxa"/>
          <w:bottom w:w="0" w:type="dxa"/>
          <w:right w:w="0" w:type="dxa"/>
        </w:tblCellMar>
      </w:tblPr>
      <w:tr>
        <w:trPr>
          <w:trHeight w:val="152"/>
        </w:trPr>
        <w:tc>
          <w:tcPr>
            <w:tcW w:w="1040" w:type="dxa"/>
            <w:vAlign w:val="bottom"/>
            <w:tcBorders>
              <w:top w:val="single" w:sz="8" w:color="717073"/>
            </w:tcBorders>
          </w:tcPr>
          <w:p>
            <w:pPr>
              <w:spacing w:after="0"/>
              <w:rPr>
                <w:sz w:val="13"/>
                <w:szCs w:val="13"/>
                <w:color w:val="auto"/>
              </w:rPr>
            </w:pPr>
          </w:p>
        </w:tc>
        <w:tc>
          <w:tcPr>
            <w:tcW w:w="1260" w:type="dxa"/>
            <w:vAlign w:val="bottom"/>
            <w:tcBorders>
              <w:top w:val="single" w:sz="8" w:color="717073"/>
            </w:tcBorders>
          </w:tcPr>
          <w:p>
            <w:pPr>
              <w:jc w:val="right"/>
              <w:ind w:right="151"/>
              <w:spacing w:after="0" w:line="153" w:lineRule="exact"/>
              <w:rPr>
                <w:sz w:val="20"/>
                <w:szCs w:val="20"/>
                <w:color w:val="auto"/>
              </w:rPr>
            </w:pPr>
            <w:r>
              <w:rPr>
                <w:rFonts w:ascii="Arial" w:cs="Arial" w:eastAsia="Arial" w:hAnsi="Arial"/>
                <w:sz w:val="14"/>
                <w:szCs w:val="14"/>
                <w:color w:val="76AD9A"/>
              </w:rPr>
              <w:t>Quoted Prices</w:t>
            </w:r>
          </w:p>
        </w:tc>
        <w:tc>
          <w:tcPr>
            <w:tcW w:w="1100" w:type="dxa"/>
            <w:vAlign w:val="bottom"/>
            <w:tcBorders>
              <w:top w:val="single" w:sz="8" w:color="717073"/>
            </w:tcBorders>
          </w:tcPr>
          <w:p>
            <w:pPr>
              <w:spacing w:after="0"/>
              <w:rPr>
                <w:sz w:val="13"/>
                <w:szCs w:val="13"/>
                <w:color w:val="auto"/>
              </w:rPr>
            </w:pPr>
          </w:p>
        </w:tc>
        <w:tc>
          <w:tcPr>
            <w:tcW w:w="1060" w:type="dxa"/>
            <w:vAlign w:val="bottom"/>
            <w:tcBorders>
              <w:top w:val="single" w:sz="8" w:color="717073"/>
            </w:tcBorders>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in Active</w:t>
            </w:r>
          </w:p>
        </w:tc>
        <w:tc>
          <w:tcPr>
            <w:tcW w:w="110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Significant</w:t>
            </w:r>
          </w:p>
        </w:tc>
        <w:tc>
          <w:tcPr>
            <w:tcW w:w="106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Markets for</w:t>
            </w:r>
          </w:p>
        </w:tc>
        <w:tc>
          <w:tcPr>
            <w:tcW w:w="110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Other</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r>
      <w:tr>
        <w:trPr>
          <w:trHeight w:val="155"/>
        </w:trPr>
        <w:tc>
          <w:tcPr>
            <w:tcW w:w="1040" w:type="dxa"/>
            <w:vAlign w:val="bottom"/>
          </w:tcPr>
          <w:p>
            <w:pPr>
              <w:spacing w:after="0"/>
              <w:rPr>
                <w:sz w:val="13"/>
                <w:szCs w:val="13"/>
                <w:color w:val="auto"/>
              </w:rPr>
            </w:pP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Identical</w:t>
            </w:r>
          </w:p>
        </w:tc>
        <w:tc>
          <w:tcPr>
            <w:tcW w:w="110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Observable</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76AD9A"/>
              </w:rPr>
              <w:t>Unobservable</w:t>
            </w:r>
          </w:p>
        </w:tc>
      </w:tr>
      <w:tr>
        <w:trPr>
          <w:trHeight w:val="155"/>
        </w:trPr>
        <w:tc>
          <w:tcPr>
            <w:tcW w:w="1040" w:type="dxa"/>
            <w:vAlign w:val="bottom"/>
          </w:tcPr>
          <w:p>
            <w:pPr>
              <w:jc w:val="right"/>
              <w:ind w:right="111"/>
              <w:spacing w:after="0" w:line="155" w:lineRule="exact"/>
              <w:rPr>
                <w:sz w:val="20"/>
                <w:szCs w:val="20"/>
                <w:color w:val="auto"/>
              </w:rPr>
            </w:pPr>
            <w:r>
              <w:rPr>
                <w:rFonts w:ascii="Arial" w:cs="Arial" w:eastAsia="Arial" w:hAnsi="Arial"/>
                <w:sz w:val="14"/>
                <w:szCs w:val="14"/>
                <w:color w:val="76AD9A"/>
                <w:w w:val="95"/>
              </w:rPr>
              <w:t>December 31,</w:t>
            </w:r>
          </w:p>
        </w:tc>
        <w:tc>
          <w:tcPr>
            <w:tcW w:w="126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Assets</w:t>
            </w:r>
          </w:p>
        </w:tc>
        <w:tc>
          <w:tcPr>
            <w:tcW w:w="1100" w:type="dxa"/>
            <w:vAlign w:val="bottom"/>
          </w:tcPr>
          <w:p>
            <w:pPr>
              <w:jc w:val="right"/>
              <w:ind w:right="151"/>
              <w:spacing w:after="0" w:line="155" w:lineRule="exact"/>
              <w:rPr>
                <w:sz w:val="20"/>
                <w:szCs w:val="20"/>
                <w:color w:val="auto"/>
              </w:rPr>
            </w:pPr>
            <w:r>
              <w:rPr>
                <w:rFonts w:ascii="Arial" w:cs="Arial" w:eastAsia="Arial" w:hAnsi="Arial"/>
                <w:sz w:val="14"/>
                <w:szCs w:val="14"/>
                <w:color w:val="76AD9A"/>
              </w:rPr>
              <w:t>Inputs</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76AD9A"/>
              </w:rPr>
              <w:t>Inputs</w:t>
            </w:r>
          </w:p>
        </w:tc>
      </w:tr>
      <w:tr>
        <w:trPr>
          <w:trHeight w:val="150"/>
        </w:trPr>
        <w:tc>
          <w:tcPr>
            <w:tcW w:w="1040" w:type="dxa"/>
            <w:vAlign w:val="bottom"/>
          </w:tcPr>
          <w:p>
            <w:pPr>
              <w:jc w:val="right"/>
              <w:ind w:right="111"/>
              <w:spacing w:after="0" w:line="151" w:lineRule="exact"/>
              <w:rPr>
                <w:sz w:val="20"/>
                <w:szCs w:val="20"/>
                <w:color w:val="auto"/>
              </w:rPr>
            </w:pPr>
            <w:r>
              <w:rPr>
                <w:rFonts w:ascii="Arial" w:cs="Arial" w:eastAsia="Arial" w:hAnsi="Arial"/>
                <w:sz w:val="14"/>
                <w:szCs w:val="14"/>
                <w:color w:val="76AD9A"/>
              </w:rPr>
              <w:t>2013</w:t>
            </w:r>
          </w:p>
        </w:tc>
        <w:tc>
          <w:tcPr>
            <w:tcW w:w="1260" w:type="dxa"/>
            <w:vAlign w:val="bottom"/>
          </w:tcPr>
          <w:p>
            <w:pPr>
              <w:jc w:val="right"/>
              <w:ind w:right="111"/>
              <w:spacing w:after="0" w:line="151" w:lineRule="exact"/>
              <w:rPr>
                <w:sz w:val="20"/>
                <w:szCs w:val="20"/>
                <w:color w:val="auto"/>
              </w:rPr>
            </w:pPr>
            <w:r>
              <w:rPr>
                <w:rFonts w:ascii="Arial" w:cs="Arial" w:eastAsia="Arial" w:hAnsi="Arial"/>
                <w:sz w:val="14"/>
                <w:szCs w:val="14"/>
                <w:color w:val="76AD9A"/>
              </w:rPr>
              <w:t>(Level 1)</w:t>
            </w:r>
          </w:p>
        </w:tc>
        <w:tc>
          <w:tcPr>
            <w:tcW w:w="1100" w:type="dxa"/>
            <w:vAlign w:val="bottom"/>
          </w:tcPr>
          <w:p>
            <w:pPr>
              <w:jc w:val="right"/>
              <w:ind w:right="111"/>
              <w:spacing w:after="0" w:line="151" w:lineRule="exact"/>
              <w:rPr>
                <w:sz w:val="20"/>
                <w:szCs w:val="20"/>
                <w:color w:val="auto"/>
              </w:rPr>
            </w:pPr>
            <w:r>
              <w:rPr>
                <w:rFonts w:ascii="Arial" w:cs="Arial" w:eastAsia="Arial" w:hAnsi="Arial"/>
                <w:sz w:val="14"/>
                <w:szCs w:val="14"/>
                <w:color w:val="76AD9A"/>
              </w:rPr>
              <w:t>(Level 2)</w:t>
            </w:r>
          </w:p>
        </w:tc>
        <w:tc>
          <w:tcPr>
            <w:tcW w:w="1060" w:type="dxa"/>
            <w:vAlign w:val="bottom"/>
          </w:tcPr>
          <w:p>
            <w:pPr>
              <w:jc w:val="right"/>
              <w:spacing w:after="0" w:line="151" w:lineRule="exact"/>
              <w:rPr>
                <w:sz w:val="20"/>
                <w:szCs w:val="20"/>
                <w:color w:val="auto"/>
              </w:rPr>
            </w:pPr>
            <w:r>
              <w:rPr>
                <w:rFonts w:ascii="Arial" w:cs="Arial" w:eastAsia="Arial" w:hAnsi="Arial"/>
                <w:sz w:val="14"/>
                <w:szCs w:val="14"/>
                <w:color w:val="76AD9A"/>
              </w:rPr>
              <w:t>(Level 3)</w:t>
            </w:r>
          </w:p>
        </w:tc>
      </w:tr>
    </w:tbl>
    <w:p>
      <w:pPr>
        <w:spacing w:after="0" w:line="1" w:lineRule="exact"/>
        <w:rPr>
          <w:sz w:val="20"/>
          <w:szCs w:val="20"/>
          <w:color w:val="auto"/>
        </w:rPr>
      </w:pPr>
    </w:p>
    <w:p>
      <w:pPr>
        <w:sectPr>
          <w:pgSz w:w="11900" w:h="16838" w:orient="portrait"/>
          <w:cols w:equalWidth="0" w:num="2">
            <w:col w:w="6540" w:space="340"/>
            <w:col w:w="4540"/>
          </w:cols>
          <w:pgMar w:left="240" w:top="653" w:right="2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96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77679"/>
              </w:rPr>
              <w:t>Asset Category</w:t>
            </w:r>
          </w:p>
        </w:tc>
        <w:tc>
          <w:tcPr>
            <w:tcW w:w="460" w:type="dxa"/>
            <w:vAlign w:val="bottom"/>
            <w:tcBorders>
              <w:top w:val="single" w:sz="8" w:color="76AD9A"/>
            </w:tcBorders>
          </w:tcPr>
          <w:p>
            <w:pPr>
              <w:spacing w:after="0"/>
              <w:rPr>
                <w:sz w:val="16"/>
                <w:szCs w:val="16"/>
                <w:color w:val="auto"/>
              </w:rPr>
            </w:pPr>
          </w:p>
        </w:tc>
        <w:tc>
          <w:tcPr>
            <w:tcW w:w="700" w:type="dxa"/>
            <w:vAlign w:val="bottom"/>
            <w:tcBorders>
              <w:top w:val="single" w:sz="8" w:color="76AD9A"/>
            </w:tcBorders>
          </w:tcPr>
          <w:p>
            <w:pPr>
              <w:spacing w:after="0"/>
              <w:rPr>
                <w:sz w:val="16"/>
                <w:szCs w:val="16"/>
                <w:color w:val="auto"/>
              </w:rPr>
            </w:pPr>
          </w:p>
        </w:tc>
        <w:tc>
          <w:tcPr>
            <w:tcW w:w="520" w:type="dxa"/>
            <w:vAlign w:val="bottom"/>
            <w:tcBorders>
              <w:top w:val="single" w:sz="8" w:color="76AD9A"/>
            </w:tcBorders>
          </w:tcPr>
          <w:p>
            <w:pPr>
              <w:spacing w:after="0"/>
              <w:rPr>
                <w:sz w:val="16"/>
                <w:szCs w:val="16"/>
                <w:color w:val="auto"/>
              </w:rPr>
            </w:pPr>
          </w:p>
        </w:tc>
        <w:tc>
          <w:tcPr>
            <w:tcW w:w="720" w:type="dxa"/>
            <w:vAlign w:val="bottom"/>
            <w:tcBorders>
              <w:top w:val="single" w:sz="8" w:color="76AD9A"/>
            </w:tcBorders>
          </w:tcPr>
          <w:p>
            <w:pPr>
              <w:spacing w:after="0"/>
              <w:rPr>
                <w:sz w:val="16"/>
                <w:szCs w:val="16"/>
                <w:color w:val="auto"/>
              </w:rPr>
            </w:pPr>
          </w:p>
        </w:tc>
        <w:tc>
          <w:tcPr>
            <w:tcW w:w="440" w:type="dxa"/>
            <w:vAlign w:val="bottom"/>
            <w:tcBorders>
              <w:top w:val="single" w:sz="8" w:color="76AD9A"/>
            </w:tcBorders>
          </w:tcPr>
          <w:p>
            <w:pPr>
              <w:spacing w:after="0"/>
              <w:rPr>
                <w:sz w:val="16"/>
                <w:szCs w:val="16"/>
                <w:color w:val="auto"/>
              </w:rPr>
            </w:pPr>
          </w:p>
        </w:tc>
        <w:tc>
          <w:tcPr>
            <w:tcW w:w="600" w:type="dxa"/>
            <w:vAlign w:val="bottom"/>
            <w:tcBorders>
              <w:top w:val="single" w:sz="8" w:color="76AD9A"/>
            </w:tcBorders>
          </w:tcPr>
          <w:p>
            <w:pPr>
              <w:spacing w:after="0"/>
              <w:rPr>
                <w:sz w:val="16"/>
                <w:szCs w:val="16"/>
                <w:color w:val="auto"/>
              </w:rPr>
            </w:pPr>
          </w:p>
        </w:tc>
        <w:tc>
          <w:tcPr>
            <w:tcW w:w="60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440" w:type="dxa"/>
            <w:vAlign w:val="bottom"/>
            <w:tcBorders>
              <w:top w:val="single" w:sz="8" w:color="76AD9A"/>
            </w:tcBorders>
          </w:tcPr>
          <w:p>
            <w:pPr>
              <w:spacing w:after="0"/>
              <w:rPr>
                <w:sz w:val="16"/>
                <w:szCs w:val="16"/>
                <w:color w:val="auto"/>
              </w:rPr>
            </w:pPr>
          </w:p>
        </w:tc>
        <w:tc>
          <w:tcPr>
            <w:tcW w:w="760" w:type="dxa"/>
            <w:vAlign w:val="bottom"/>
            <w:tcBorders>
              <w:top w:val="single" w:sz="8" w:color="76AD9A"/>
            </w:tcBorders>
          </w:tcPr>
          <w:p>
            <w:pPr>
              <w:spacing w:after="0"/>
              <w:rPr>
                <w:sz w:val="16"/>
                <w:szCs w:val="16"/>
                <w:color w:val="auto"/>
              </w:rPr>
            </w:pPr>
          </w:p>
        </w:tc>
        <w:tc>
          <w:tcPr>
            <w:tcW w:w="460" w:type="dxa"/>
            <w:vAlign w:val="bottom"/>
            <w:tcBorders>
              <w:top w:val="single" w:sz="8" w:color="76AD9A"/>
            </w:tcBorders>
          </w:tcPr>
          <w:p>
            <w:pPr>
              <w:spacing w:after="0"/>
              <w:rPr>
                <w:sz w:val="16"/>
                <w:szCs w:val="16"/>
                <w:color w:val="auto"/>
              </w:rPr>
            </w:pPr>
          </w:p>
        </w:tc>
        <w:tc>
          <w:tcPr>
            <w:tcW w:w="800" w:type="dxa"/>
            <w:vAlign w:val="bottom"/>
            <w:tcBorders>
              <w:top w:val="single" w:sz="8" w:color="76AD9A"/>
            </w:tcBorders>
          </w:tcPr>
          <w:p>
            <w:pPr>
              <w:spacing w:after="0"/>
              <w:rPr>
                <w:sz w:val="16"/>
                <w:szCs w:val="16"/>
                <w:color w:val="auto"/>
              </w:rPr>
            </w:pPr>
          </w:p>
        </w:tc>
        <w:tc>
          <w:tcPr>
            <w:tcW w:w="44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500" w:type="dxa"/>
            <w:vAlign w:val="bottom"/>
            <w:tcBorders>
              <w:top w:val="single" w:sz="8" w:color="76AD9A"/>
            </w:tcBorders>
          </w:tcPr>
          <w:p>
            <w:pPr>
              <w:spacing w:after="0"/>
              <w:rPr>
                <w:sz w:val="16"/>
                <w:szCs w:val="16"/>
                <w:color w:val="auto"/>
              </w:rPr>
            </w:pPr>
          </w:p>
        </w:tc>
        <w:tc>
          <w:tcPr>
            <w:tcW w:w="620" w:type="dxa"/>
            <w:vAlign w:val="bottom"/>
            <w:tcBorders>
              <w:top w:val="single" w:sz="8" w:color="76AD9A"/>
            </w:tcBorders>
          </w:tcPr>
          <w:p>
            <w:pPr>
              <w:spacing w:after="0"/>
              <w:rPr>
                <w:sz w:val="16"/>
                <w:szCs w:val="16"/>
                <w:color w:val="auto"/>
              </w:rPr>
            </w:pP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7"/>
                <w:szCs w:val="17"/>
                <w:color w:val="373535"/>
              </w:rPr>
              <w:t>Cash and cash</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8"/>
        </w:trPr>
        <w:tc>
          <w:tcPr>
            <w:tcW w:w="1960" w:type="dxa"/>
            <w:vAlign w:val="bottom"/>
          </w:tcPr>
          <w:p>
            <w:pPr>
              <w:ind w:left="160"/>
              <w:spacing w:after="0" w:line="199" w:lineRule="exact"/>
              <w:rPr>
                <w:sz w:val="20"/>
                <w:szCs w:val="20"/>
                <w:color w:val="auto"/>
              </w:rPr>
            </w:pPr>
            <w:r>
              <w:rPr>
                <w:rFonts w:ascii="Arial" w:cs="Arial" w:eastAsia="Arial" w:hAnsi="Arial"/>
                <w:sz w:val="17"/>
                <w:szCs w:val="17"/>
                <w:color w:val="373535"/>
              </w:rPr>
              <w:t>equivalents</w:t>
            </w:r>
            <w:r>
              <w:rPr>
                <w:rFonts w:ascii="Arial" w:cs="Arial" w:eastAsia="Arial" w:hAnsi="Arial"/>
                <w:sz w:val="23"/>
                <w:szCs w:val="23"/>
                <w:color w:val="373535"/>
                <w:vertAlign w:val="superscript"/>
              </w:rPr>
              <w:t>(1)</w:t>
            </w:r>
          </w:p>
        </w:tc>
        <w:tc>
          <w:tcPr>
            <w:tcW w:w="460" w:type="dxa"/>
            <w:vAlign w:val="bottom"/>
          </w:tcPr>
          <w:p>
            <w:pPr>
              <w:jc w:val="right"/>
              <w:ind w:right="194"/>
              <w:spacing w:after="0"/>
              <w:rPr>
                <w:sz w:val="20"/>
                <w:szCs w:val="20"/>
                <w:color w:val="auto"/>
              </w:rPr>
            </w:pPr>
            <w:r>
              <w:rPr>
                <w:rFonts w:ascii="Arial" w:cs="Arial" w:eastAsia="Arial" w:hAnsi="Arial"/>
                <w:sz w:val="17"/>
                <w:szCs w:val="17"/>
                <w:color w:val="373535"/>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0.9</w:t>
            </w:r>
          </w:p>
        </w:tc>
        <w:tc>
          <w:tcPr>
            <w:tcW w:w="520" w:type="dxa"/>
            <w:vAlign w:val="bottom"/>
          </w:tcPr>
          <w:p>
            <w:pPr>
              <w:jc w:val="right"/>
              <w:ind w:right="214"/>
              <w:spacing w:after="0"/>
              <w:rPr>
                <w:sz w:val="20"/>
                <w:szCs w:val="20"/>
                <w:color w:val="auto"/>
              </w:rPr>
            </w:pPr>
            <w:r>
              <w:rPr>
                <w:rFonts w:ascii="Arial" w:cs="Arial" w:eastAsia="Arial" w:hAnsi="Arial"/>
                <w:sz w:val="17"/>
                <w:szCs w:val="17"/>
                <w:color w:val="373535"/>
              </w:rPr>
              <w:t>$</w:t>
            </w: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0.9</w:t>
            </w:r>
          </w:p>
        </w:tc>
        <w:tc>
          <w:tcPr>
            <w:tcW w:w="440" w:type="dxa"/>
            <w:vAlign w:val="bottom"/>
          </w:tcPr>
          <w:p>
            <w:pPr>
              <w:jc w:val="right"/>
              <w:ind w:right="174"/>
              <w:spacing w:after="0"/>
              <w:rPr>
                <w:sz w:val="20"/>
                <w:szCs w:val="20"/>
                <w:color w:val="auto"/>
              </w:rPr>
            </w:pPr>
            <w:r>
              <w:rPr>
                <w:rFonts w:ascii="Arial" w:cs="Arial" w:eastAsia="Arial" w:hAnsi="Arial"/>
                <w:sz w:val="17"/>
                <w:szCs w:val="17"/>
                <w:color w:val="373535"/>
              </w:rPr>
              <w:t>$</w:t>
            </w:r>
          </w:p>
        </w:tc>
        <w:tc>
          <w:tcPr>
            <w:tcW w:w="600" w:type="dxa"/>
            <w:vAlign w:val="bottom"/>
          </w:tcPr>
          <w:p>
            <w:pPr>
              <w:jc w:val="right"/>
              <w:spacing w:after="0"/>
              <w:rPr>
                <w:sz w:val="20"/>
                <w:szCs w:val="20"/>
                <w:color w:val="auto"/>
              </w:rPr>
            </w:pPr>
            <w:r>
              <w:rPr>
                <w:rFonts w:ascii="Arial" w:cs="Arial" w:eastAsia="Arial" w:hAnsi="Arial"/>
                <w:sz w:val="17"/>
                <w:szCs w:val="17"/>
                <w:color w:val="373535"/>
              </w:rPr>
              <w:t>—</w:t>
            </w:r>
          </w:p>
        </w:tc>
        <w:tc>
          <w:tcPr>
            <w:tcW w:w="600" w:type="dxa"/>
            <w:vAlign w:val="bottom"/>
          </w:tcPr>
          <w:p>
            <w:pPr>
              <w:jc w:val="right"/>
              <w:ind w:right="294"/>
              <w:spacing w:after="0"/>
              <w:rPr>
                <w:sz w:val="20"/>
                <w:szCs w:val="20"/>
                <w:color w:val="auto"/>
              </w:rPr>
            </w:pPr>
            <w:r>
              <w:rPr>
                <w:rFonts w:ascii="Arial" w:cs="Arial" w:eastAsia="Arial" w:hAnsi="Arial"/>
                <w:sz w:val="17"/>
                <w:szCs w:val="17"/>
                <w:color w:val="373535"/>
              </w:rPr>
              <w:t>$</w:t>
            </w:r>
          </w:p>
        </w:tc>
        <w:tc>
          <w:tcPr>
            <w:tcW w:w="660" w:type="dxa"/>
            <w:vAlign w:val="bottom"/>
          </w:tcPr>
          <w:p>
            <w:pPr>
              <w:ind w:left="380"/>
              <w:spacing w:after="0"/>
              <w:rPr>
                <w:sz w:val="20"/>
                <w:szCs w:val="20"/>
                <w:color w:val="auto"/>
              </w:rPr>
            </w:pPr>
            <w:r>
              <w:rPr>
                <w:rFonts w:ascii="Arial" w:cs="Arial" w:eastAsia="Arial" w:hAnsi="Arial"/>
                <w:sz w:val="17"/>
                <w:szCs w:val="17"/>
                <w:color w:val="373535"/>
              </w:rPr>
              <w:t>—</w:t>
            </w:r>
          </w:p>
        </w:tc>
        <w:tc>
          <w:tcPr>
            <w:tcW w:w="440" w:type="dxa"/>
            <w:vAlign w:val="bottom"/>
          </w:tcPr>
          <w:p>
            <w:pPr>
              <w:jc w:val="right"/>
              <w:ind w:right="134"/>
              <w:spacing w:after="0"/>
              <w:rPr>
                <w:sz w:val="20"/>
                <w:szCs w:val="20"/>
                <w:color w:val="auto"/>
              </w:rPr>
            </w:pPr>
            <w:r>
              <w:rPr>
                <w:rFonts w:ascii="Arial" w:cs="Arial" w:eastAsia="Arial" w:hAnsi="Arial"/>
                <w:sz w:val="17"/>
                <w:szCs w:val="17"/>
                <w:color w:val="373535"/>
              </w:rPr>
              <w:t>$</w:t>
            </w:r>
          </w:p>
        </w:tc>
        <w:tc>
          <w:tcPr>
            <w:tcW w:w="760" w:type="dxa"/>
            <w:vAlign w:val="bottom"/>
          </w:tcPr>
          <w:p>
            <w:pPr>
              <w:jc w:val="right"/>
              <w:ind w:right="34"/>
              <w:spacing w:after="0"/>
              <w:rPr>
                <w:sz w:val="20"/>
                <w:szCs w:val="20"/>
                <w:color w:val="auto"/>
              </w:rPr>
            </w:pPr>
            <w:r>
              <w:rPr>
                <w:rFonts w:ascii="Arial" w:cs="Arial" w:eastAsia="Arial" w:hAnsi="Arial"/>
                <w:sz w:val="17"/>
                <w:szCs w:val="17"/>
                <w:color w:val="373535"/>
              </w:rPr>
              <w:t>1.7</w:t>
            </w:r>
          </w:p>
        </w:tc>
        <w:tc>
          <w:tcPr>
            <w:tcW w:w="460" w:type="dxa"/>
            <w:vAlign w:val="bottom"/>
          </w:tcPr>
          <w:p>
            <w:pPr>
              <w:jc w:val="right"/>
              <w:ind w:right="154"/>
              <w:spacing w:after="0"/>
              <w:rPr>
                <w:sz w:val="20"/>
                <w:szCs w:val="20"/>
                <w:color w:val="auto"/>
              </w:rPr>
            </w:pPr>
            <w:r>
              <w:rPr>
                <w:rFonts w:ascii="Arial" w:cs="Arial" w:eastAsia="Arial" w:hAnsi="Arial"/>
                <w:sz w:val="17"/>
                <w:szCs w:val="17"/>
                <w:color w:val="373535"/>
              </w:rPr>
              <w:t>$</w:t>
            </w:r>
          </w:p>
        </w:tc>
        <w:tc>
          <w:tcPr>
            <w:tcW w:w="800" w:type="dxa"/>
            <w:vAlign w:val="bottom"/>
          </w:tcPr>
          <w:p>
            <w:pPr>
              <w:jc w:val="right"/>
              <w:ind w:right="34"/>
              <w:spacing w:after="0"/>
              <w:rPr>
                <w:sz w:val="20"/>
                <w:szCs w:val="20"/>
                <w:color w:val="auto"/>
              </w:rPr>
            </w:pPr>
            <w:r>
              <w:rPr>
                <w:rFonts w:ascii="Arial" w:cs="Arial" w:eastAsia="Arial" w:hAnsi="Arial"/>
                <w:sz w:val="17"/>
                <w:szCs w:val="17"/>
                <w:color w:val="373535"/>
              </w:rPr>
              <w:t>1.7</w:t>
            </w:r>
          </w:p>
        </w:tc>
        <w:tc>
          <w:tcPr>
            <w:tcW w:w="440" w:type="dxa"/>
            <w:vAlign w:val="bottom"/>
          </w:tcPr>
          <w:p>
            <w:pPr>
              <w:jc w:val="right"/>
              <w:ind w:right="134"/>
              <w:spacing w:after="0"/>
              <w:rPr>
                <w:sz w:val="20"/>
                <w:szCs w:val="20"/>
                <w:color w:val="auto"/>
              </w:rPr>
            </w:pPr>
            <w:r>
              <w:rPr>
                <w:rFonts w:ascii="Arial" w:cs="Arial" w:eastAsia="Arial" w:hAnsi="Arial"/>
                <w:sz w:val="17"/>
                <w:szCs w:val="17"/>
                <w:color w:val="373535"/>
              </w:rPr>
              <w:t>$</w:t>
            </w:r>
          </w:p>
        </w:tc>
        <w:tc>
          <w:tcPr>
            <w:tcW w:w="66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500" w:type="dxa"/>
            <w:vAlign w:val="bottom"/>
          </w:tcPr>
          <w:p>
            <w:pPr>
              <w:jc w:val="right"/>
              <w:ind w:right="194"/>
              <w:spacing w:after="0"/>
              <w:rPr>
                <w:sz w:val="20"/>
                <w:szCs w:val="20"/>
                <w:color w:val="auto"/>
              </w:rPr>
            </w:pPr>
            <w:r>
              <w:rPr>
                <w:rFonts w:ascii="Arial" w:cs="Arial" w:eastAsia="Arial" w:hAnsi="Arial"/>
                <w:sz w:val="17"/>
                <w:szCs w:val="17"/>
                <w:color w:val="373535"/>
              </w:rPr>
              <w:t>$</w:t>
            </w:r>
          </w:p>
        </w:tc>
        <w:tc>
          <w:tcPr>
            <w:tcW w:w="620" w:type="dxa"/>
            <w:vAlign w:val="bottom"/>
          </w:tcPr>
          <w:p>
            <w:pPr>
              <w:jc w:val="right"/>
              <w:spacing w:after="0"/>
              <w:rPr>
                <w:sz w:val="20"/>
                <w:szCs w:val="20"/>
                <w:color w:val="auto"/>
              </w:rPr>
            </w:pPr>
            <w:r>
              <w:rPr>
                <w:rFonts w:ascii="Arial" w:cs="Arial" w:eastAsia="Arial" w:hAnsi="Arial"/>
                <w:sz w:val="17"/>
                <w:szCs w:val="17"/>
                <w:color w:val="373535"/>
              </w:rPr>
              <w:t>—</w:t>
            </w: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7"/>
                <w:szCs w:val="17"/>
                <w:color w:val="373535"/>
              </w:rPr>
              <w:t>Equity securities: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1960" w:type="dxa"/>
            <w:vAlign w:val="bottom"/>
          </w:tcPr>
          <w:p>
            <w:pPr>
              <w:ind w:left="160"/>
              <w:spacing w:after="0" w:line="194" w:lineRule="exact"/>
              <w:rPr>
                <w:sz w:val="20"/>
                <w:szCs w:val="20"/>
                <w:color w:val="auto"/>
              </w:rPr>
            </w:pPr>
            <w:r>
              <w:rPr>
                <w:rFonts w:ascii="Arial" w:cs="Arial" w:eastAsia="Arial" w:hAnsi="Arial"/>
                <w:sz w:val="17"/>
                <w:szCs w:val="17"/>
                <w:color w:val="373535"/>
              </w:rPr>
              <w:t>United States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1960" w:type="dxa"/>
            <w:vAlign w:val="bottom"/>
          </w:tcPr>
          <w:p>
            <w:pPr>
              <w:ind w:left="300"/>
              <w:spacing w:after="0" w:line="194" w:lineRule="exact"/>
              <w:rPr>
                <w:sz w:val="20"/>
                <w:szCs w:val="20"/>
                <w:color w:val="auto"/>
              </w:rPr>
            </w:pPr>
            <w:r>
              <w:rPr>
                <w:rFonts w:ascii="Arial" w:cs="Arial" w:eastAsia="Arial" w:hAnsi="Arial"/>
                <w:sz w:val="17"/>
                <w:szCs w:val="17"/>
                <w:color w:val="373535"/>
              </w:rPr>
              <w:t>companies</w:t>
            </w:r>
          </w:p>
        </w:tc>
        <w:tc>
          <w:tcPr>
            <w:tcW w:w="460" w:type="dxa"/>
            <w:vAlign w:val="bottom"/>
          </w:tcPr>
          <w:p>
            <w:pPr>
              <w:spacing w:after="0"/>
              <w:rPr>
                <w:sz w:val="16"/>
                <w:szCs w:val="16"/>
                <w:color w:val="auto"/>
              </w:rPr>
            </w:pPr>
          </w:p>
        </w:tc>
        <w:tc>
          <w:tcPr>
            <w:tcW w:w="70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15.5</w:t>
            </w:r>
          </w:p>
        </w:tc>
        <w:tc>
          <w:tcPr>
            <w:tcW w:w="520" w:type="dxa"/>
            <w:vAlign w:val="bottom"/>
          </w:tcPr>
          <w:p>
            <w:pPr>
              <w:spacing w:after="0"/>
              <w:rPr>
                <w:sz w:val="16"/>
                <w:szCs w:val="16"/>
                <w:color w:val="auto"/>
              </w:rPr>
            </w:pP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15.5</w:t>
            </w:r>
          </w:p>
        </w:tc>
        <w:tc>
          <w:tcPr>
            <w:tcW w:w="4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600" w:type="dxa"/>
            <w:vAlign w:val="bottom"/>
          </w:tcPr>
          <w:p>
            <w:pPr>
              <w:spacing w:after="0"/>
              <w:rPr>
                <w:sz w:val="16"/>
                <w:szCs w:val="16"/>
                <w:color w:val="auto"/>
              </w:rPr>
            </w:pPr>
          </w:p>
        </w:tc>
        <w:tc>
          <w:tcPr>
            <w:tcW w:w="660" w:type="dxa"/>
            <w:vAlign w:val="bottom"/>
          </w:tcPr>
          <w:p>
            <w:pPr>
              <w:ind w:left="380"/>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460" w:type="dxa"/>
            <w:vAlign w:val="bottom"/>
          </w:tcPr>
          <w:p>
            <w:pPr>
              <w:spacing w:after="0"/>
              <w:rPr>
                <w:sz w:val="16"/>
                <w:szCs w:val="16"/>
                <w:color w:val="auto"/>
              </w:rPr>
            </w:pPr>
          </w:p>
        </w:tc>
        <w:tc>
          <w:tcPr>
            <w:tcW w:w="8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5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1960" w:type="dxa"/>
            <w:vAlign w:val="bottom"/>
          </w:tcPr>
          <w:p>
            <w:pPr>
              <w:ind w:left="160"/>
              <w:spacing w:after="0" w:line="194" w:lineRule="exact"/>
              <w:rPr>
                <w:sz w:val="20"/>
                <w:szCs w:val="20"/>
                <w:color w:val="auto"/>
              </w:rPr>
            </w:pPr>
            <w:r>
              <w:rPr>
                <w:rFonts w:ascii="Arial" w:cs="Arial" w:eastAsia="Arial" w:hAnsi="Arial"/>
                <w:sz w:val="17"/>
                <w:szCs w:val="17"/>
                <w:color w:val="373535"/>
              </w:rPr>
              <w:t>International</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1960" w:type="dxa"/>
            <w:vAlign w:val="bottom"/>
          </w:tcPr>
          <w:p>
            <w:pPr>
              <w:ind w:left="300"/>
              <w:spacing w:after="0" w:line="194" w:lineRule="exact"/>
              <w:rPr>
                <w:sz w:val="20"/>
                <w:szCs w:val="20"/>
                <w:color w:val="auto"/>
              </w:rPr>
            </w:pPr>
            <w:r>
              <w:rPr>
                <w:rFonts w:ascii="Arial" w:cs="Arial" w:eastAsia="Arial" w:hAnsi="Arial"/>
                <w:sz w:val="17"/>
                <w:szCs w:val="17"/>
                <w:color w:val="373535"/>
              </w:rPr>
              <w:t>companies</w:t>
            </w:r>
          </w:p>
        </w:tc>
        <w:tc>
          <w:tcPr>
            <w:tcW w:w="460" w:type="dxa"/>
            <w:vAlign w:val="bottom"/>
          </w:tcPr>
          <w:p>
            <w:pPr>
              <w:spacing w:after="0"/>
              <w:rPr>
                <w:sz w:val="16"/>
                <w:szCs w:val="16"/>
                <w:color w:val="auto"/>
              </w:rPr>
            </w:pPr>
          </w:p>
        </w:tc>
        <w:tc>
          <w:tcPr>
            <w:tcW w:w="70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520" w:type="dxa"/>
            <w:vAlign w:val="bottom"/>
          </w:tcPr>
          <w:p>
            <w:pPr>
              <w:spacing w:after="0"/>
              <w:rPr>
                <w:sz w:val="16"/>
                <w:szCs w:val="16"/>
                <w:color w:val="auto"/>
              </w:rPr>
            </w:pP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600" w:type="dxa"/>
            <w:vAlign w:val="bottom"/>
          </w:tcPr>
          <w:p>
            <w:pPr>
              <w:spacing w:after="0"/>
              <w:rPr>
                <w:sz w:val="16"/>
                <w:szCs w:val="16"/>
                <w:color w:val="auto"/>
              </w:rPr>
            </w:pPr>
          </w:p>
        </w:tc>
        <w:tc>
          <w:tcPr>
            <w:tcW w:w="660" w:type="dxa"/>
            <w:vAlign w:val="bottom"/>
          </w:tcPr>
          <w:p>
            <w:pPr>
              <w:ind w:left="380"/>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36.6</w:t>
            </w:r>
          </w:p>
        </w:tc>
        <w:tc>
          <w:tcPr>
            <w:tcW w:w="460" w:type="dxa"/>
            <w:vAlign w:val="bottom"/>
          </w:tcPr>
          <w:p>
            <w:pPr>
              <w:spacing w:after="0"/>
              <w:rPr>
                <w:sz w:val="16"/>
                <w:szCs w:val="16"/>
                <w:color w:val="auto"/>
              </w:rPr>
            </w:pPr>
          </w:p>
        </w:tc>
        <w:tc>
          <w:tcPr>
            <w:tcW w:w="8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36.6</w:t>
            </w:r>
          </w:p>
        </w:tc>
        <w:tc>
          <w:tcPr>
            <w:tcW w:w="440" w:type="dxa"/>
            <w:vAlign w:val="bottom"/>
          </w:tcPr>
          <w:p>
            <w:pPr>
              <w:spacing w:after="0"/>
              <w:rPr>
                <w:sz w:val="16"/>
                <w:szCs w:val="16"/>
                <w:color w:val="auto"/>
              </w:rPr>
            </w:pPr>
          </w:p>
        </w:tc>
        <w:tc>
          <w:tcPr>
            <w:tcW w:w="6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5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89"/>
        </w:trPr>
        <w:tc>
          <w:tcPr>
            <w:tcW w:w="1960" w:type="dxa"/>
            <w:vAlign w:val="bottom"/>
          </w:tcPr>
          <w:p>
            <w:pPr>
              <w:spacing w:after="0" w:line="189" w:lineRule="exact"/>
              <w:rPr>
                <w:sz w:val="20"/>
                <w:szCs w:val="20"/>
                <w:color w:val="auto"/>
              </w:rPr>
            </w:pPr>
            <w:r>
              <w:rPr>
                <w:rFonts w:ascii="Arial" w:cs="Arial" w:eastAsia="Arial" w:hAnsi="Arial"/>
                <w:sz w:val="17"/>
                <w:szCs w:val="17"/>
                <w:color w:val="373535"/>
              </w:rPr>
              <w:t>Fixed income securities: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8"/>
        </w:trPr>
        <w:tc>
          <w:tcPr>
            <w:tcW w:w="1960" w:type="dxa"/>
            <w:vAlign w:val="bottom"/>
          </w:tcPr>
          <w:p>
            <w:pPr>
              <w:ind w:left="160"/>
              <w:spacing w:after="0" w:line="199" w:lineRule="exact"/>
              <w:rPr>
                <w:sz w:val="20"/>
                <w:szCs w:val="20"/>
                <w:color w:val="auto"/>
              </w:rPr>
            </w:pPr>
            <w:r>
              <w:rPr>
                <w:rFonts w:ascii="Arial" w:cs="Arial" w:eastAsia="Arial" w:hAnsi="Arial"/>
                <w:sz w:val="17"/>
                <w:szCs w:val="17"/>
                <w:color w:val="373535"/>
              </w:rPr>
              <w:t>Government bonds</w:t>
            </w:r>
            <w:r>
              <w:rPr>
                <w:rFonts w:ascii="Arial" w:cs="Arial" w:eastAsia="Arial" w:hAnsi="Arial"/>
                <w:sz w:val="23"/>
                <w:szCs w:val="23"/>
                <w:color w:val="373535"/>
                <w:vertAlign w:val="superscript"/>
              </w:rPr>
              <w:t>(2)</w:t>
            </w:r>
          </w:p>
        </w:tc>
        <w:tc>
          <w:tcPr>
            <w:tcW w:w="46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22.7</w:t>
            </w:r>
          </w:p>
        </w:tc>
        <w:tc>
          <w:tcPr>
            <w:tcW w:w="5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73535"/>
              </w:rPr>
              <w:t>22.7</w:t>
            </w:r>
          </w:p>
        </w:tc>
        <w:tc>
          <w:tcPr>
            <w:tcW w:w="600" w:type="dxa"/>
            <w:vAlign w:val="bottom"/>
          </w:tcPr>
          <w:p>
            <w:pPr>
              <w:spacing w:after="0"/>
              <w:rPr>
                <w:sz w:val="17"/>
                <w:szCs w:val="17"/>
                <w:color w:val="auto"/>
              </w:rPr>
            </w:pPr>
          </w:p>
        </w:tc>
        <w:tc>
          <w:tcPr>
            <w:tcW w:w="660" w:type="dxa"/>
            <w:vAlign w:val="bottom"/>
          </w:tcPr>
          <w:p>
            <w:pPr>
              <w:ind w:left="380"/>
              <w:spacing w:after="0"/>
              <w:rPr>
                <w:sz w:val="20"/>
                <w:szCs w:val="20"/>
                <w:color w:val="auto"/>
              </w:rPr>
            </w:pPr>
            <w:r>
              <w:rPr>
                <w:rFonts w:ascii="Arial" w:cs="Arial" w:eastAsia="Arial" w:hAnsi="Arial"/>
                <w:sz w:val="17"/>
                <w:szCs w:val="17"/>
                <w:color w:val="373535"/>
              </w:rPr>
              <w:t>—</w:t>
            </w:r>
          </w:p>
        </w:tc>
        <w:tc>
          <w:tcPr>
            <w:tcW w:w="440" w:type="dxa"/>
            <w:vAlign w:val="bottom"/>
          </w:tcPr>
          <w:p>
            <w:pPr>
              <w:spacing w:after="0"/>
              <w:rPr>
                <w:sz w:val="17"/>
                <w:szCs w:val="17"/>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44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373535"/>
              </w:rPr>
              <w:t>—</w:t>
            </w:r>
          </w:p>
        </w:tc>
      </w:tr>
      <w:tr>
        <w:trPr>
          <w:trHeight w:val="194"/>
        </w:trPr>
        <w:tc>
          <w:tcPr>
            <w:tcW w:w="1960" w:type="dxa"/>
            <w:vAlign w:val="bottom"/>
          </w:tcPr>
          <w:p>
            <w:pPr>
              <w:ind w:left="160"/>
              <w:spacing w:after="0" w:line="194" w:lineRule="exact"/>
              <w:rPr>
                <w:sz w:val="20"/>
                <w:szCs w:val="20"/>
                <w:color w:val="auto"/>
              </w:rPr>
            </w:pPr>
            <w:r>
              <w:rPr>
                <w:rFonts w:ascii="Arial" w:cs="Arial" w:eastAsia="Arial" w:hAnsi="Arial"/>
                <w:sz w:val="17"/>
                <w:szCs w:val="17"/>
                <w:color w:val="373535"/>
              </w:rPr>
              <w:t>Guaranteed insurance</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4"/>
        </w:trPr>
        <w:tc>
          <w:tcPr>
            <w:tcW w:w="1960" w:type="dxa"/>
            <w:vAlign w:val="bottom"/>
          </w:tcPr>
          <w:p>
            <w:pPr>
              <w:ind w:left="300"/>
              <w:spacing w:after="0" w:line="194" w:lineRule="exact"/>
              <w:rPr>
                <w:sz w:val="20"/>
                <w:szCs w:val="20"/>
                <w:color w:val="auto"/>
              </w:rPr>
            </w:pPr>
            <w:r>
              <w:rPr>
                <w:rFonts w:ascii="Arial" w:cs="Arial" w:eastAsia="Arial" w:hAnsi="Arial"/>
                <w:sz w:val="17"/>
                <w:szCs w:val="17"/>
                <w:color w:val="373535"/>
              </w:rPr>
              <w:t>contracts</w:t>
            </w:r>
          </w:p>
        </w:tc>
        <w:tc>
          <w:tcPr>
            <w:tcW w:w="460" w:type="dxa"/>
            <w:vAlign w:val="bottom"/>
          </w:tcPr>
          <w:p>
            <w:pPr>
              <w:spacing w:after="0"/>
              <w:rPr>
                <w:sz w:val="16"/>
                <w:szCs w:val="16"/>
                <w:color w:val="auto"/>
              </w:rPr>
            </w:pPr>
          </w:p>
        </w:tc>
        <w:tc>
          <w:tcPr>
            <w:tcW w:w="70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520" w:type="dxa"/>
            <w:vAlign w:val="bottom"/>
          </w:tcPr>
          <w:p>
            <w:pPr>
              <w:spacing w:after="0"/>
              <w:rPr>
                <w:sz w:val="16"/>
                <w:szCs w:val="16"/>
                <w:color w:val="auto"/>
              </w:rPr>
            </w:pP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600" w:type="dxa"/>
            <w:vAlign w:val="bottom"/>
          </w:tcPr>
          <w:p>
            <w:pPr>
              <w:spacing w:after="0"/>
              <w:rPr>
                <w:sz w:val="16"/>
                <w:szCs w:val="16"/>
                <w:color w:val="auto"/>
              </w:rPr>
            </w:pPr>
          </w:p>
        </w:tc>
        <w:tc>
          <w:tcPr>
            <w:tcW w:w="660" w:type="dxa"/>
            <w:vAlign w:val="bottom"/>
          </w:tcPr>
          <w:p>
            <w:pPr>
              <w:ind w:left="380"/>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44.8</w:t>
            </w:r>
          </w:p>
        </w:tc>
        <w:tc>
          <w:tcPr>
            <w:tcW w:w="460" w:type="dxa"/>
            <w:vAlign w:val="bottom"/>
          </w:tcPr>
          <w:p>
            <w:pPr>
              <w:spacing w:after="0"/>
              <w:rPr>
                <w:sz w:val="16"/>
                <w:szCs w:val="16"/>
                <w:color w:val="auto"/>
              </w:rPr>
            </w:pPr>
          </w:p>
        </w:tc>
        <w:tc>
          <w:tcPr>
            <w:tcW w:w="8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44.8</w:t>
            </w:r>
          </w:p>
        </w:tc>
        <w:tc>
          <w:tcPr>
            <w:tcW w:w="5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1960" w:type="dxa"/>
            <w:vAlign w:val="bottom"/>
          </w:tcPr>
          <w:p>
            <w:pPr>
              <w:ind w:left="160"/>
              <w:spacing w:after="0" w:line="194" w:lineRule="exact"/>
              <w:rPr>
                <w:sz w:val="20"/>
                <w:szCs w:val="20"/>
                <w:color w:val="auto"/>
              </w:rPr>
            </w:pPr>
            <w:r>
              <w:rPr>
                <w:rFonts w:ascii="Arial" w:cs="Arial" w:eastAsia="Arial" w:hAnsi="Arial"/>
                <w:sz w:val="17"/>
                <w:szCs w:val="17"/>
                <w:color w:val="373535"/>
              </w:rPr>
              <w:t>Annuity contract</w:t>
            </w:r>
          </w:p>
        </w:tc>
        <w:tc>
          <w:tcPr>
            <w:tcW w:w="460" w:type="dxa"/>
            <w:vAlign w:val="bottom"/>
          </w:tcPr>
          <w:p>
            <w:pPr>
              <w:spacing w:after="0"/>
              <w:rPr>
                <w:sz w:val="16"/>
                <w:szCs w:val="16"/>
                <w:color w:val="auto"/>
              </w:rPr>
            </w:pPr>
          </w:p>
        </w:tc>
        <w:tc>
          <w:tcPr>
            <w:tcW w:w="70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520" w:type="dxa"/>
            <w:vAlign w:val="bottom"/>
          </w:tcPr>
          <w:p>
            <w:pPr>
              <w:spacing w:after="0"/>
              <w:rPr>
                <w:sz w:val="16"/>
                <w:szCs w:val="16"/>
                <w:color w:val="auto"/>
              </w:rPr>
            </w:pP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600" w:type="dxa"/>
            <w:vAlign w:val="bottom"/>
          </w:tcPr>
          <w:p>
            <w:pPr>
              <w:spacing w:after="0"/>
              <w:rPr>
                <w:sz w:val="16"/>
                <w:szCs w:val="16"/>
                <w:color w:val="auto"/>
              </w:rPr>
            </w:pPr>
          </w:p>
        </w:tc>
        <w:tc>
          <w:tcPr>
            <w:tcW w:w="660" w:type="dxa"/>
            <w:vAlign w:val="bottom"/>
          </w:tcPr>
          <w:p>
            <w:pPr>
              <w:ind w:left="380"/>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33.4</w:t>
            </w:r>
          </w:p>
        </w:tc>
        <w:tc>
          <w:tcPr>
            <w:tcW w:w="460" w:type="dxa"/>
            <w:vAlign w:val="bottom"/>
          </w:tcPr>
          <w:p>
            <w:pPr>
              <w:spacing w:after="0"/>
              <w:rPr>
                <w:sz w:val="16"/>
                <w:szCs w:val="16"/>
                <w:color w:val="auto"/>
              </w:rPr>
            </w:pPr>
          </w:p>
        </w:tc>
        <w:tc>
          <w:tcPr>
            <w:tcW w:w="8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33.4</w:t>
            </w:r>
          </w:p>
        </w:tc>
        <w:tc>
          <w:tcPr>
            <w:tcW w:w="5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1960" w:type="dxa"/>
            <w:vAlign w:val="bottom"/>
          </w:tcPr>
          <w:p>
            <w:pPr>
              <w:spacing w:after="0" w:line="194" w:lineRule="exact"/>
              <w:rPr>
                <w:sz w:val="20"/>
                <w:szCs w:val="20"/>
                <w:color w:val="auto"/>
              </w:rPr>
            </w:pPr>
            <w:r>
              <w:rPr>
                <w:rFonts w:ascii="Arial" w:cs="Arial" w:eastAsia="Arial" w:hAnsi="Arial"/>
                <w:sz w:val="17"/>
                <w:szCs w:val="17"/>
                <w:color w:val="373535"/>
              </w:rPr>
              <w:t>Other types of</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89"/>
        </w:trPr>
        <w:tc>
          <w:tcPr>
            <w:tcW w:w="1960" w:type="dxa"/>
            <w:vAlign w:val="bottom"/>
          </w:tcPr>
          <w:p>
            <w:pPr>
              <w:ind w:left="160"/>
              <w:spacing w:after="0" w:line="189" w:lineRule="exact"/>
              <w:rPr>
                <w:sz w:val="20"/>
                <w:szCs w:val="20"/>
                <w:color w:val="auto"/>
              </w:rPr>
            </w:pPr>
            <w:r>
              <w:rPr>
                <w:rFonts w:ascii="Arial" w:cs="Arial" w:eastAsia="Arial" w:hAnsi="Arial"/>
                <w:sz w:val="17"/>
                <w:szCs w:val="17"/>
                <w:color w:val="373535"/>
              </w:rPr>
              <w:t>investments:</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8"/>
        </w:trPr>
        <w:tc>
          <w:tcPr>
            <w:tcW w:w="1960" w:type="dxa"/>
            <w:vAlign w:val="bottom"/>
          </w:tcPr>
          <w:p>
            <w:pPr>
              <w:ind w:left="160"/>
              <w:spacing w:after="0" w:line="199" w:lineRule="exact"/>
              <w:rPr>
                <w:sz w:val="20"/>
                <w:szCs w:val="20"/>
                <w:color w:val="auto"/>
              </w:rPr>
            </w:pPr>
            <w:r>
              <w:rPr>
                <w:rFonts w:ascii="Arial" w:cs="Arial" w:eastAsia="Arial" w:hAnsi="Arial"/>
                <w:sz w:val="17"/>
                <w:szCs w:val="17"/>
                <w:color w:val="373535"/>
              </w:rPr>
              <w:t>Unitized funds</w:t>
            </w:r>
            <w:r>
              <w:rPr>
                <w:rFonts w:ascii="Arial" w:cs="Arial" w:eastAsia="Arial" w:hAnsi="Arial"/>
                <w:sz w:val="23"/>
                <w:szCs w:val="23"/>
                <w:color w:val="373535"/>
                <w:vertAlign w:val="superscript"/>
              </w:rPr>
              <w:t>(3)</w:t>
            </w:r>
          </w:p>
        </w:tc>
        <w:tc>
          <w:tcPr>
            <w:tcW w:w="46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2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73535"/>
              </w:rPr>
              <w:t>—</w:t>
            </w:r>
          </w:p>
        </w:tc>
        <w:tc>
          <w:tcPr>
            <w:tcW w:w="600" w:type="dxa"/>
            <w:vAlign w:val="bottom"/>
          </w:tcPr>
          <w:p>
            <w:pPr>
              <w:spacing w:after="0"/>
              <w:rPr>
                <w:sz w:val="17"/>
                <w:szCs w:val="17"/>
                <w:color w:val="auto"/>
              </w:rPr>
            </w:pPr>
          </w:p>
        </w:tc>
        <w:tc>
          <w:tcPr>
            <w:tcW w:w="660" w:type="dxa"/>
            <w:vAlign w:val="bottom"/>
          </w:tcPr>
          <w:p>
            <w:pPr>
              <w:ind w:left="380"/>
              <w:spacing w:after="0"/>
              <w:rPr>
                <w:sz w:val="20"/>
                <w:szCs w:val="20"/>
                <w:color w:val="auto"/>
              </w:rPr>
            </w:pPr>
            <w:r>
              <w:rPr>
                <w:rFonts w:ascii="Arial" w:cs="Arial" w:eastAsia="Arial" w:hAnsi="Arial"/>
                <w:sz w:val="17"/>
                <w:szCs w:val="17"/>
                <w:color w:val="373535"/>
              </w:rPr>
              <w:t>—</w:t>
            </w:r>
          </w:p>
        </w:tc>
        <w:tc>
          <w:tcPr>
            <w:tcW w:w="440" w:type="dxa"/>
            <w:vAlign w:val="bottom"/>
          </w:tcPr>
          <w:p>
            <w:pPr>
              <w:spacing w:after="0"/>
              <w:rPr>
                <w:sz w:val="17"/>
                <w:szCs w:val="17"/>
                <w:color w:val="auto"/>
              </w:rPr>
            </w:pPr>
          </w:p>
        </w:tc>
        <w:tc>
          <w:tcPr>
            <w:tcW w:w="760" w:type="dxa"/>
            <w:vAlign w:val="bottom"/>
          </w:tcPr>
          <w:p>
            <w:pPr>
              <w:jc w:val="right"/>
              <w:ind w:right="34"/>
              <w:spacing w:after="0"/>
              <w:rPr>
                <w:sz w:val="20"/>
                <w:szCs w:val="20"/>
                <w:color w:val="auto"/>
              </w:rPr>
            </w:pPr>
            <w:r>
              <w:rPr>
                <w:rFonts w:ascii="Arial" w:cs="Arial" w:eastAsia="Arial" w:hAnsi="Arial"/>
                <w:sz w:val="17"/>
                <w:szCs w:val="17"/>
                <w:color w:val="373535"/>
              </w:rPr>
              <w:t>101.3</w:t>
            </w:r>
          </w:p>
        </w:tc>
        <w:tc>
          <w:tcPr>
            <w:tcW w:w="460" w:type="dxa"/>
            <w:vAlign w:val="bottom"/>
          </w:tcPr>
          <w:p>
            <w:pPr>
              <w:spacing w:after="0"/>
              <w:rPr>
                <w:sz w:val="17"/>
                <w:szCs w:val="17"/>
                <w:color w:val="auto"/>
              </w:rPr>
            </w:pPr>
          </w:p>
        </w:tc>
        <w:tc>
          <w:tcPr>
            <w:tcW w:w="800" w:type="dxa"/>
            <w:vAlign w:val="bottom"/>
          </w:tcPr>
          <w:p>
            <w:pPr>
              <w:jc w:val="right"/>
              <w:ind w:right="34"/>
              <w:spacing w:after="0"/>
              <w:rPr>
                <w:sz w:val="20"/>
                <w:szCs w:val="20"/>
                <w:color w:val="auto"/>
              </w:rPr>
            </w:pPr>
            <w:r>
              <w:rPr>
                <w:rFonts w:ascii="Arial" w:cs="Arial" w:eastAsia="Arial" w:hAnsi="Arial"/>
                <w:sz w:val="17"/>
                <w:szCs w:val="17"/>
                <w:color w:val="373535"/>
              </w:rPr>
              <w:t>101.3</w:t>
            </w:r>
          </w:p>
        </w:tc>
        <w:tc>
          <w:tcPr>
            <w:tcW w:w="440" w:type="dxa"/>
            <w:vAlign w:val="bottom"/>
          </w:tcPr>
          <w:p>
            <w:pPr>
              <w:spacing w:after="0"/>
              <w:rPr>
                <w:sz w:val="17"/>
                <w:szCs w:val="17"/>
                <w:color w:val="auto"/>
              </w:rPr>
            </w:pPr>
          </w:p>
        </w:tc>
        <w:tc>
          <w:tcPr>
            <w:tcW w:w="66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373535"/>
              </w:rPr>
              <w:t>—</w:t>
            </w:r>
          </w:p>
        </w:tc>
      </w:tr>
      <w:tr>
        <w:trPr>
          <w:trHeight w:val="194"/>
        </w:trPr>
        <w:tc>
          <w:tcPr>
            <w:tcW w:w="1960" w:type="dxa"/>
            <w:vAlign w:val="bottom"/>
          </w:tcPr>
          <w:p>
            <w:pPr>
              <w:ind w:left="160"/>
              <w:spacing w:after="0" w:line="194" w:lineRule="exact"/>
              <w:rPr>
                <w:sz w:val="20"/>
                <w:szCs w:val="20"/>
                <w:color w:val="auto"/>
              </w:rPr>
            </w:pPr>
            <w:r>
              <w:rPr>
                <w:rFonts w:ascii="Arial" w:cs="Arial" w:eastAsia="Arial" w:hAnsi="Arial"/>
                <w:sz w:val="17"/>
                <w:szCs w:val="17"/>
                <w:color w:val="373535"/>
              </w:rPr>
              <w:t>Insurance contract</w:t>
            </w:r>
          </w:p>
        </w:tc>
        <w:tc>
          <w:tcPr>
            <w:tcW w:w="460" w:type="dxa"/>
            <w:vAlign w:val="bottom"/>
          </w:tcPr>
          <w:p>
            <w:pPr>
              <w:spacing w:after="0"/>
              <w:rPr>
                <w:sz w:val="16"/>
                <w:szCs w:val="16"/>
                <w:color w:val="auto"/>
              </w:rPr>
            </w:pPr>
          </w:p>
        </w:tc>
        <w:tc>
          <w:tcPr>
            <w:tcW w:w="70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520" w:type="dxa"/>
            <w:vAlign w:val="bottom"/>
          </w:tcPr>
          <w:p>
            <w:pPr>
              <w:spacing w:after="0"/>
              <w:rPr>
                <w:sz w:val="16"/>
                <w:szCs w:val="16"/>
                <w:color w:val="auto"/>
              </w:rPr>
            </w:pPr>
          </w:p>
        </w:tc>
        <w:tc>
          <w:tcPr>
            <w:tcW w:w="720" w:type="dxa"/>
            <w:vAlign w:val="bottom"/>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c>
          <w:tcPr>
            <w:tcW w:w="600" w:type="dxa"/>
            <w:vAlign w:val="bottom"/>
          </w:tcPr>
          <w:p>
            <w:pPr>
              <w:spacing w:after="0"/>
              <w:rPr>
                <w:sz w:val="16"/>
                <w:szCs w:val="16"/>
                <w:color w:val="auto"/>
              </w:rPr>
            </w:pPr>
          </w:p>
        </w:tc>
        <w:tc>
          <w:tcPr>
            <w:tcW w:w="660" w:type="dxa"/>
            <w:vAlign w:val="bottom"/>
          </w:tcPr>
          <w:p>
            <w:pPr>
              <w:ind w:left="380"/>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7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80.9</w:t>
            </w:r>
          </w:p>
        </w:tc>
        <w:tc>
          <w:tcPr>
            <w:tcW w:w="460" w:type="dxa"/>
            <w:vAlign w:val="bottom"/>
          </w:tcPr>
          <w:p>
            <w:pPr>
              <w:spacing w:after="0"/>
              <w:rPr>
                <w:sz w:val="16"/>
                <w:szCs w:val="16"/>
                <w:color w:val="auto"/>
              </w:rPr>
            </w:pPr>
          </w:p>
        </w:tc>
        <w:tc>
          <w:tcPr>
            <w:tcW w:w="8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440" w:type="dxa"/>
            <w:vAlign w:val="bottom"/>
          </w:tcPr>
          <w:p>
            <w:pPr>
              <w:spacing w:after="0"/>
              <w:rPr>
                <w:sz w:val="16"/>
                <w:szCs w:val="16"/>
                <w:color w:val="auto"/>
              </w:rPr>
            </w:pPr>
          </w:p>
        </w:tc>
        <w:tc>
          <w:tcPr>
            <w:tcW w:w="66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50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Arial" w:cs="Arial" w:eastAsia="Arial" w:hAnsi="Arial"/>
                <w:sz w:val="17"/>
                <w:szCs w:val="17"/>
                <w:color w:val="373535"/>
              </w:rPr>
              <w:t>80.9</w:t>
            </w:r>
          </w:p>
        </w:tc>
      </w:tr>
      <w:tr>
        <w:trPr>
          <w:trHeight w:val="194"/>
        </w:trPr>
        <w:tc>
          <w:tcPr>
            <w:tcW w:w="1960" w:type="dxa"/>
            <w:vAlign w:val="bottom"/>
            <w:tcBorders>
              <w:bottom w:val="single" w:sz="8" w:color="717073"/>
            </w:tcBorders>
          </w:tcPr>
          <w:p>
            <w:pPr>
              <w:ind w:left="160"/>
              <w:spacing w:after="0" w:line="194" w:lineRule="exact"/>
              <w:rPr>
                <w:sz w:val="20"/>
                <w:szCs w:val="20"/>
                <w:color w:val="auto"/>
              </w:rPr>
            </w:pPr>
            <w:r>
              <w:rPr>
                <w:rFonts w:ascii="Arial" w:cs="Arial" w:eastAsia="Arial" w:hAnsi="Arial"/>
                <w:sz w:val="17"/>
                <w:szCs w:val="17"/>
                <w:color w:val="373535"/>
              </w:rPr>
              <w:t>Real estate funds</w:t>
            </w:r>
          </w:p>
        </w:tc>
        <w:tc>
          <w:tcPr>
            <w:tcW w:w="460" w:type="dxa"/>
            <w:vAlign w:val="bottom"/>
            <w:tcBorders>
              <w:bottom w:val="single" w:sz="8" w:color="717073"/>
            </w:tcBorders>
          </w:tcPr>
          <w:p>
            <w:pPr>
              <w:spacing w:after="0"/>
              <w:rPr>
                <w:sz w:val="16"/>
                <w:szCs w:val="16"/>
                <w:color w:val="auto"/>
              </w:rPr>
            </w:pPr>
          </w:p>
        </w:tc>
        <w:tc>
          <w:tcPr>
            <w:tcW w:w="70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520" w:type="dxa"/>
            <w:vAlign w:val="bottom"/>
            <w:tcBorders>
              <w:bottom w:val="single" w:sz="8" w:color="717073"/>
            </w:tcBorders>
          </w:tcPr>
          <w:p>
            <w:pPr>
              <w:spacing w:after="0"/>
              <w:rPr>
                <w:sz w:val="16"/>
                <w:szCs w:val="16"/>
                <w:color w:val="auto"/>
              </w:rPr>
            </w:pPr>
          </w:p>
        </w:tc>
        <w:tc>
          <w:tcPr>
            <w:tcW w:w="72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40" w:type="dxa"/>
            <w:vAlign w:val="bottom"/>
            <w:tcBorders>
              <w:bottom w:val="single" w:sz="8" w:color="717073"/>
            </w:tcBorders>
          </w:tcPr>
          <w:p>
            <w:pPr>
              <w:spacing w:after="0"/>
              <w:rPr>
                <w:sz w:val="16"/>
                <w:szCs w:val="16"/>
                <w:color w:val="auto"/>
              </w:rPr>
            </w:pPr>
          </w:p>
        </w:tc>
        <w:tc>
          <w:tcPr>
            <w:tcW w:w="60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w:t>
            </w:r>
          </w:p>
        </w:tc>
        <w:tc>
          <w:tcPr>
            <w:tcW w:w="60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ind w:left="380"/>
              <w:spacing w:after="0" w:line="194" w:lineRule="exact"/>
              <w:rPr>
                <w:sz w:val="20"/>
                <w:szCs w:val="20"/>
                <w:color w:val="auto"/>
              </w:rPr>
            </w:pPr>
            <w:r>
              <w:rPr>
                <w:rFonts w:ascii="Arial" w:cs="Arial" w:eastAsia="Arial" w:hAnsi="Arial"/>
                <w:sz w:val="17"/>
                <w:szCs w:val="17"/>
                <w:color w:val="373535"/>
              </w:rPr>
              <w:t>—</w:t>
            </w:r>
          </w:p>
        </w:tc>
        <w:tc>
          <w:tcPr>
            <w:tcW w:w="440" w:type="dxa"/>
            <w:vAlign w:val="bottom"/>
            <w:tcBorders>
              <w:bottom w:val="single" w:sz="8" w:color="717073"/>
            </w:tcBorders>
          </w:tcPr>
          <w:p>
            <w:pPr>
              <w:spacing w:after="0"/>
              <w:rPr>
                <w:sz w:val="16"/>
                <w:szCs w:val="16"/>
                <w:color w:val="auto"/>
              </w:rPr>
            </w:pPr>
          </w:p>
        </w:tc>
        <w:tc>
          <w:tcPr>
            <w:tcW w:w="760" w:type="dxa"/>
            <w:vAlign w:val="bottom"/>
            <w:tcBorders>
              <w:bottom w:val="single" w:sz="8" w:color="717073"/>
            </w:tcBorders>
          </w:tcPr>
          <w:p>
            <w:pPr>
              <w:jc w:val="right"/>
              <w:ind w:right="34"/>
              <w:spacing w:after="0" w:line="194" w:lineRule="exact"/>
              <w:rPr>
                <w:sz w:val="20"/>
                <w:szCs w:val="20"/>
                <w:color w:val="auto"/>
              </w:rPr>
            </w:pPr>
            <w:r>
              <w:rPr>
                <w:rFonts w:ascii="Arial" w:cs="Arial" w:eastAsia="Arial" w:hAnsi="Arial"/>
                <w:sz w:val="17"/>
                <w:szCs w:val="17"/>
                <w:color w:val="373535"/>
              </w:rPr>
              <w:t>7.1</w:t>
            </w:r>
          </w:p>
        </w:tc>
        <w:tc>
          <w:tcPr>
            <w:tcW w:w="46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44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ind w:right="94"/>
              <w:spacing w:after="0" w:line="194" w:lineRule="exact"/>
              <w:rPr>
                <w:sz w:val="20"/>
                <w:szCs w:val="20"/>
                <w:color w:val="auto"/>
              </w:rPr>
            </w:pPr>
            <w:r>
              <w:rPr>
                <w:rFonts w:ascii="Arial" w:cs="Arial" w:eastAsia="Arial" w:hAnsi="Arial"/>
                <w:sz w:val="17"/>
                <w:szCs w:val="17"/>
                <w:color w:val="373535"/>
              </w:rPr>
              <w:t>7.1</w:t>
            </w:r>
          </w:p>
        </w:tc>
        <w:tc>
          <w:tcPr>
            <w:tcW w:w="500" w:type="dxa"/>
            <w:vAlign w:val="bottom"/>
            <w:tcBorders>
              <w:bottom w:val="single" w:sz="8" w:color="717073"/>
            </w:tcBorders>
          </w:tcPr>
          <w:p>
            <w:pPr>
              <w:spacing w:after="0"/>
              <w:rPr>
                <w:sz w:val="16"/>
                <w:szCs w:val="16"/>
                <w:color w:val="auto"/>
              </w:rPr>
            </w:pPr>
          </w:p>
        </w:tc>
        <w:tc>
          <w:tcPr>
            <w:tcW w:w="62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86"/>
        </w:trPr>
        <w:tc>
          <w:tcPr>
            <w:tcW w:w="1960" w:type="dxa"/>
            <w:vAlign w:val="bottom"/>
            <w:tcBorders>
              <w:bottom w:val="single" w:sz="8" w:color="717073"/>
            </w:tcBorders>
          </w:tcPr>
          <w:p>
            <w:pPr>
              <w:spacing w:after="0"/>
              <w:rPr>
                <w:sz w:val="16"/>
                <w:szCs w:val="16"/>
                <w:color w:val="auto"/>
              </w:rPr>
            </w:pPr>
          </w:p>
        </w:tc>
        <w:tc>
          <w:tcPr>
            <w:tcW w:w="460" w:type="dxa"/>
            <w:vAlign w:val="bottom"/>
            <w:tcBorders>
              <w:bottom w:val="single" w:sz="8" w:color="717073"/>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bottom w:val="single" w:sz="8" w:color="717073"/>
            </w:tcBorders>
          </w:tcPr>
          <w:p>
            <w:pPr>
              <w:jc w:val="right"/>
              <w:ind w:right="14"/>
              <w:spacing w:after="0" w:line="186" w:lineRule="exact"/>
              <w:rPr>
                <w:sz w:val="20"/>
                <w:szCs w:val="20"/>
                <w:color w:val="auto"/>
              </w:rPr>
            </w:pPr>
            <w:r>
              <w:rPr>
                <w:rFonts w:ascii="Arial" w:cs="Arial" w:eastAsia="Arial" w:hAnsi="Arial"/>
                <w:sz w:val="17"/>
                <w:szCs w:val="17"/>
                <w:color w:val="373535"/>
              </w:rPr>
              <w:t>39.1</w:t>
            </w:r>
          </w:p>
        </w:tc>
        <w:tc>
          <w:tcPr>
            <w:tcW w:w="520" w:type="dxa"/>
            <w:vAlign w:val="bottom"/>
            <w:tcBorders>
              <w:bottom w:val="single" w:sz="8" w:color="717073"/>
            </w:tcBorders>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720" w:type="dxa"/>
            <w:vAlign w:val="bottom"/>
            <w:tcBorders>
              <w:bottom w:val="single" w:sz="8" w:color="717073"/>
            </w:tcBorders>
          </w:tcPr>
          <w:p>
            <w:pPr>
              <w:jc w:val="right"/>
              <w:ind w:right="14"/>
              <w:spacing w:after="0" w:line="186" w:lineRule="exact"/>
              <w:rPr>
                <w:sz w:val="20"/>
                <w:szCs w:val="20"/>
                <w:color w:val="auto"/>
              </w:rPr>
            </w:pPr>
            <w:r>
              <w:rPr>
                <w:rFonts w:ascii="Arial" w:cs="Arial" w:eastAsia="Arial" w:hAnsi="Arial"/>
                <w:sz w:val="17"/>
                <w:szCs w:val="17"/>
                <w:color w:val="373535"/>
              </w:rPr>
              <w:t>16.4</w:t>
            </w:r>
          </w:p>
        </w:tc>
        <w:tc>
          <w:tcPr>
            <w:tcW w:w="440" w:type="dxa"/>
            <w:vAlign w:val="bottom"/>
            <w:tcBorders>
              <w:bottom w:val="single" w:sz="8" w:color="717073"/>
            </w:tcBorders>
          </w:tcPr>
          <w:p>
            <w:pPr>
              <w:jc w:val="right"/>
              <w:ind w:right="134"/>
              <w:spacing w:after="0" w:line="186" w:lineRule="exact"/>
              <w:rPr>
                <w:sz w:val="20"/>
                <w:szCs w:val="20"/>
                <w:color w:val="auto"/>
              </w:rPr>
            </w:pPr>
            <w:r>
              <w:rPr>
                <w:rFonts w:ascii="Arial" w:cs="Arial" w:eastAsia="Arial" w:hAnsi="Arial"/>
                <w:sz w:val="17"/>
                <w:szCs w:val="17"/>
                <w:color w:val="373535"/>
              </w:rPr>
              <w:t>$</w:t>
            </w:r>
          </w:p>
        </w:tc>
        <w:tc>
          <w:tcPr>
            <w:tcW w:w="6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22.7</w:t>
            </w:r>
          </w:p>
        </w:tc>
        <w:tc>
          <w:tcPr>
            <w:tcW w:w="600" w:type="dxa"/>
            <w:vAlign w:val="bottom"/>
            <w:tcBorders>
              <w:bottom w:val="single" w:sz="8" w:color="717073"/>
            </w:tcBorders>
          </w:tcPr>
          <w:p>
            <w:pPr>
              <w:jc w:val="right"/>
              <w:ind w:right="37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ind w:left="380"/>
              <w:spacing w:after="0" w:line="186" w:lineRule="exact"/>
              <w:rPr>
                <w:sz w:val="20"/>
                <w:szCs w:val="20"/>
                <w:color w:val="auto"/>
              </w:rPr>
            </w:pPr>
            <w:r>
              <w:rPr>
                <w:rFonts w:ascii="Arial" w:cs="Arial" w:eastAsia="Arial" w:hAnsi="Arial"/>
                <w:sz w:val="17"/>
                <w:szCs w:val="17"/>
                <w:color w:val="373535"/>
              </w:rPr>
              <w:t>—</w:t>
            </w:r>
          </w:p>
        </w:tc>
        <w:tc>
          <w:tcPr>
            <w:tcW w:w="440" w:type="dxa"/>
            <w:vAlign w:val="bottom"/>
            <w:tcBorders>
              <w:bottom w:val="single" w:sz="8" w:color="717073"/>
            </w:tcBorders>
          </w:tcPr>
          <w:p>
            <w:pPr>
              <w:jc w:val="right"/>
              <w:ind w:right="134"/>
              <w:spacing w:after="0" w:line="186" w:lineRule="exact"/>
              <w:rPr>
                <w:sz w:val="20"/>
                <w:szCs w:val="20"/>
                <w:color w:val="auto"/>
              </w:rPr>
            </w:pPr>
            <w:r>
              <w:rPr>
                <w:rFonts w:ascii="Arial" w:cs="Arial" w:eastAsia="Arial" w:hAnsi="Arial"/>
                <w:sz w:val="17"/>
                <w:szCs w:val="17"/>
                <w:color w:val="373535"/>
              </w:rPr>
              <w:t>$</w:t>
            </w:r>
          </w:p>
        </w:tc>
        <w:tc>
          <w:tcPr>
            <w:tcW w:w="76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305.8</w:t>
            </w:r>
          </w:p>
        </w:tc>
        <w:tc>
          <w:tcPr>
            <w:tcW w:w="460" w:type="dxa"/>
            <w:vAlign w:val="bottom"/>
            <w:tcBorders>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139.6</w:t>
            </w:r>
          </w:p>
        </w:tc>
        <w:tc>
          <w:tcPr>
            <w:tcW w:w="440" w:type="dxa"/>
            <w:vAlign w:val="bottom"/>
            <w:tcBorders>
              <w:bottom w:val="single" w:sz="8" w:color="717073"/>
            </w:tcBorders>
          </w:tcPr>
          <w:p>
            <w:pPr>
              <w:jc w:val="right"/>
              <w:ind w:right="13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85.3</w:t>
            </w:r>
          </w:p>
        </w:tc>
        <w:tc>
          <w:tcPr>
            <w:tcW w:w="500" w:type="dxa"/>
            <w:vAlign w:val="bottom"/>
            <w:tcBorders>
              <w:bottom w:val="single" w:sz="8" w:color="717073"/>
            </w:tcBorders>
          </w:tcPr>
          <w:p>
            <w:pPr>
              <w:jc w:val="right"/>
              <w:ind w:right="194"/>
              <w:spacing w:after="0" w:line="186" w:lineRule="exact"/>
              <w:rPr>
                <w:sz w:val="20"/>
                <w:szCs w:val="20"/>
                <w:color w:val="auto"/>
              </w:rPr>
            </w:pPr>
            <w:r>
              <w:rPr>
                <w:rFonts w:ascii="Arial" w:cs="Arial" w:eastAsia="Arial" w:hAnsi="Arial"/>
                <w:sz w:val="17"/>
                <w:szCs w:val="17"/>
                <w:color w:val="373535"/>
              </w:rPr>
              <w:t>$</w:t>
            </w:r>
          </w:p>
        </w:tc>
        <w:tc>
          <w:tcPr>
            <w:tcW w:w="6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80.9</w:t>
            </w:r>
          </w:p>
        </w:tc>
      </w:tr>
    </w:tbl>
    <w:p>
      <w:pPr>
        <w:spacing w:after="0" w:line="193" w:lineRule="exact"/>
        <w:rPr>
          <w:sz w:val="20"/>
          <w:szCs w:val="20"/>
          <w:color w:val="auto"/>
        </w:rPr>
      </w:pPr>
    </w:p>
    <w:p>
      <w:pPr>
        <w:ind w:left="360" w:hanging="357"/>
        <w:spacing w:after="0"/>
        <w:tabs>
          <w:tab w:leader="none" w:pos="360" w:val="left"/>
        </w:tabs>
        <w:numPr>
          <w:ilvl w:val="0"/>
          <w:numId w:val="108"/>
        </w:numPr>
        <w:rPr>
          <w:rFonts w:ascii="Arial" w:cs="Arial" w:eastAsia="Arial" w:hAnsi="Arial"/>
          <w:sz w:val="17"/>
          <w:szCs w:val="17"/>
          <w:color w:val="373535"/>
        </w:rPr>
      </w:pPr>
      <w:r>
        <w:rPr>
          <w:rFonts w:ascii="Arial" w:cs="Arial" w:eastAsia="Arial" w:hAnsi="Arial"/>
          <w:sz w:val="17"/>
          <w:szCs w:val="17"/>
          <w:color w:val="373535"/>
        </w:rPr>
        <w:t>This category includes a prime obligations money market portfolio.</w:t>
      </w:r>
    </w:p>
    <w:p>
      <w:pPr>
        <w:spacing w:after="0" w:line="191" w:lineRule="exact"/>
        <w:rPr>
          <w:rFonts w:ascii="Arial" w:cs="Arial" w:eastAsia="Arial" w:hAnsi="Arial"/>
          <w:sz w:val="17"/>
          <w:szCs w:val="17"/>
          <w:color w:val="373535"/>
        </w:rPr>
      </w:pPr>
    </w:p>
    <w:p>
      <w:pPr>
        <w:ind w:left="360" w:hanging="357"/>
        <w:spacing w:after="0"/>
        <w:tabs>
          <w:tab w:leader="none" w:pos="360" w:val="left"/>
        </w:tabs>
        <w:numPr>
          <w:ilvl w:val="0"/>
          <w:numId w:val="108"/>
        </w:numPr>
        <w:rPr>
          <w:rFonts w:ascii="Arial" w:cs="Arial" w:eastAsia="Arial" w:hAnsi="Arial"/>
          <w:sz w:val="17"/>
          <w:szCs w:val="17"/>
          <w:color w:val="373535"/>
        </w:rPr>
      </w:pPr>
      <w:r>
        <w:rPr>
          <w:rFonts w:ascii="Arial" w:cs="Arial" w:eastAsia="Arial" w:hAnsi="Arial"/>
          <w:sz w:val="17"/>
          <w:szCs w:val="17"/>
          <w:color w:val="373535"/>
        </w:rPr>
        <w:t>This category includes United States Treasury/Federal agency securities and foreign government securities.</w:t>
      </w:r>
    </w:p>
    <w:p>
      <w:pPr>
        <w:spacing w:after="0" w:line="191" w:lineRule="exact"/>
        <w:rPr>
          <w:rFonts w:ascii="Arial" w:cs="Arial" w:eastAsia="Arial" w:hAnsi="Arial"/>
          <w:sz w:val="17"/>
          <w:szCs w:val="17"/>
          <w:color w:val="373535"/>
        </w:rPr>
      </w:pPr>
    </w:p>
    <w:p>
      <w:pPr>
        <w:ind w:left="360" w:hanging="357"/>
        <w:spacing w:after="0"/>
        <w:tabs>
          <w:tab w:leader="none" w:pos="360" w:val="left"/>
        </w:tabs>
        <w:numPr>
          <w:ilvl w:val="0"/>
          <w:numId w:val="108"/>
        </w:numPr>
        <w:rPr>
          <w:rFonts w:ascii="Arial" w:cs="Arial" w:eastAsia="Arial" w:hAnsi="Arial"/>
          <w:sz w:val="17"/>
          <w:szCs w:val="17"/>
          <w:color w:val="373535"/>
        </w:rPr>
      </w:pPr>
      <w:r>
        <w:rPr>
          <w:rFonts w:ascii="Arial" w:cs="Arial" w:eastAsia="Arial" w:hAnsi="Arial"/>
          <w:sz w:val="17"/>
          <w:szCs w:val="17"/>
          <w:color w:val="373535"/>
        </w:rPr>
        <w:t>This category includes investments in approximately 80% fixed income securities and 20% equity.</w:t>
      </w:r>
    </w:p>
    <w:p>
      <w:pPr>
        <w:spacing w:after="0" w:line="181" w:lineRule="exact"/>
        <w:rPr>
          <w:sz w:val="20"/>
          <w:szCs w:val="20"/>
          <w:color w:val="auto"/>
        </w:rPr>
      </w:pPr>
    </w:p>
    <w:p>
      <w:pPr>
        <w:ind w:left="460" w:hanging="457"/>
        <w:spacing w:after="0"/>
        <w:tabs>
          <w:tab w:leader="none" w:pos="460" w:val="left"/>
        </w:tabs>
        <w:numPr>
          <w:ilvl w:val="0"/>
          <w:numId w:val="109"/>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7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4"/>
          <w:szCs w:val="14"/>
          <w:color w:val="76AD9A"/>
        </w:rPr>
        <w:t>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1665605</wp:posOffset>
            </wp:positionH>
            <wp:positionV relativeFrom="paragraph">
              <wp:posOffset>-6350</wp:posOffset>
            </wp:positionV>
            <wp:extent cx="26714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71445" cy="825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4"/>
          <w:szCs w:val="14"/>
          <w:color w:val="76AD9A"/>
        </w:rPr>
        <w:t>Fair Value Measurements Using</w:t>
      </w:r>
    </w:p>
    <w:tbl>
      <w:tblPr>
        <w:tblLayout w:type="fixed"/>
        <w:tblInd w:w="2620" w:type="dxa"/>
        <w:tblCellMar>
          <w:top w:w="0" w:type="dxa"/>
          <w:left w:w="0" w:type="dxa"/>
          <w:bottom w:w="0" w:type="dxa"/>
          <w:right w:w="0" w:type="dxa"/>
        </w:tblCellMar>
      </w:tblPr>
      <w:tr>
        <w:trPr>
          <w:trHeight w:val="152"/>
        </w:trPr>
        <w:tc>
          <w:tcPr>
            <w:tcW w:w="1080" w:type="dxa"/>
            <w:vAlign w:val="bottom"/>
            <w:tcBorders>
              <w:top w:val="single" w:sz="8" w:color="717073"/>
            </w:tcBorders>
          </w:tcPr>
          <w:p>
            <w:pPr>
              <w:spacing w:after="0"/>
              <w:rPr>
                <w:sz w:val="13"/>
                <w:szCs w:val="13"/>
                <w:color w:val="auto"/>
              </w:rPr>
            </w:pPr>
          </w:p>
        </w:tc>
        <w:tc>
          <w:tcPr>
            <w:tcW w:w="1140" w:type="dxa"/>
            <w:vAlign w:val="bottom"/>
            <w:tcBorders>
              <w:top w:val="single" w:sz="8" w:color="717073"/>
            </w:tcBorders>
          </w:tcPr>
          <w:p>
            <w:pPr>
              <w:jc w:val="right"/>
              <w:ind w:right="111"/>
              <w:spacing w:after="0" w:line="153" w:lineRule="exact"/>
              <w:rPr>
                <w:sz w:val="20"/>
                <w:szCs w:val="20"/>
                <w:color w:val="auto"/>
              </w:rPr>
            </w:pPr>
            <w:r>
              <w:rPr>
                <w:rFonts w:ascii="Arial" w:cs="Arial" w:eastAsia="Arial" w:hAnsi="Arial"/>
                <w:sz w:val="14"/>
                <w:szCs w:val="14"/>
                <w:color w:val="76AD9A"/>
              </w:rPr>
              <w:t>Quoted Prices</w:t>
            </w:r>
          </w:p>
        </w:tc>
        <w:tc>
          <w:tcPr>
            <w:tcW w:w="1000" w:type="dxa"/>
            <w:vAlign w:val="bottom"/>
            <w:tcBorders>
              <w:top w:val="single" w:sz="8" w:color="717073"/>
            </w:tcBorders>
          </w:tcPr>
          <w:p>
            <w:pPr>
              <w:spacing w:after="0"/>
              <w:rPr>
                <w:sz w:val="13"/>
                <w:szCs w:val="13"/>
                <w:color w:val="auto"/>
              </w:rPr>
            </w:pPr>
          </w:p>
        </w:tc>
        <w:tc>
          <w:tcPr>
            <w:tcW w:w="1000" w:type="dxa"/>
            <w:vAlign w:val="bottom"/>
            <w:tcBorders>
              <w:top w:val="single" w:sz="8" w:color="717073"/>
            </w:tcBorders>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140" w:type="dxa"/>
            <w:vAlign w:val="bottom"/>
          </w:tcPr>
          <w:p>
            <w:pPr>
              <w:jc w:val="right"/>
              <w:ind w:right="111"/>
              <w:spacing w:after="0" w:line="155" w:lineRule="exact"/>
              <w:rPr>
                <w:sz w:val="20"/>
                <w:szCs w:val="20"/>
                <w:color w:val="auto"/>
              </w:rPr>
            </w:pPr>
            <w:r>
              <w:rPr>
                <w:rFonts w:ascii="Arial" w:cs="Arial" w:eastAsia="Arial" w:hAnsi="Arial"/>
                <w:sz w:val="14"/>
                <w:szCs w:val="14"/>
                <w:color w:val="76AD9A"/>
              </w:rPr>
              <w:t>in Active</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Significant</w:t>
            </w:r>
          </w:p>
        </w:tc>
        <w:tc>
          <w:tcPr>
            <w:tcW w:w="1000" w:type="dxa"/>
            <w:vAlign w:val="bottom"/>
          </w:tcPr>
          <w:p>
            <w:pPr>
              <w:spacing w:after="0"/>
              <w:rPr>
                <w:sz w:val="13"/>
                <w:szCs w:val="13"/>
                <w:color w:val="auto"/>
              </w:rPr>
            </w:pPr>
          </w:p>
        </w:tc>
      </w:tr>
      <w:tr>
        <w:trPr>
          <w:trHeight w:val="155"/>
        </w:trPr>
        <w:tc>
          <w:tcPr>
            <w:tcW w:w="1080" w:type="dxa"/>
            <w:vAlign w:val="bottom"/>
          </w:tcPr>
          <w:p>
            <w:pPr>
              <w:spacing w:after="0"/>
              <w:rPr>
                <w:sz w:val="13"/>
                <w:szCs w:val="13"/>
                <w:color w:val="auto"/>
              </w:rPr>
            </w:pPr>
          </w:p>
        </w:tc>
        <w:tc>
          <w:tcPr>
            <w:tcW w:w="114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Markets for</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Other</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r>
      <w:tr>
        <w:trPr>
          <w:trHeight w:val="155"/>
        </w:trPr>
        <w:tc>
          <w:tcPr>
            <w:tcW w:w="1080" w:type="dxa"/>
            <w:vAlign w:val="bottom"/>
          </w:tcPr>
          <w:p>
            <w:pPr>
              <w:spacing w:after="0"/>
              <w:rPr>
                <w:sz w:val="13"/>
                <w:szCs w:val="13"/>
                <w:color w:val="auto"/>
              </w:rPr>
            </w:pPr>
          </w:p>
        </w:tc>
        <w:tc>
          <w:tcPr>
            <w:tcW w:w="1140" w:type="dxa"/>
            <w:vAlign w:val="bottom"/>
          </w:tcPr>
          <w:p>
            <w:pPr>
              <w:jc w:val="right"/>
              <w:ind w:right="111"/>
              <w:spacing w:after="0" w:line="155" w:lineRule="exact"/>
              <w:rPr>
                <w:sz w:val="20"/>
                <w:szCs w:val="20"/>
                <w:color w:val="auto"/>
              </w:rPr>
            </w:pPr>
            <w:r>
              <w:rPr>
                <w:rFonts w:ascii="Arial" w:cs="Arial" w:eastAsia="Arial" w:hAnsi="Arial"/>
                <w:sz w:val="14"/>
                <w:szCs w:val="14"/>
                <w:color w:val="76AD9A"/>
              </w:rPr>
              <w:t>Identical</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Observable</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76AD9A"/>
              </w:rPr>
              <w:t>Unobservable</w:t>
            </w:r>
          </w:p>
        </w:tc>
      </w:tr>
      <w:tr>
        <w:trPr>
          <w:trHeight w:val="155"/>
        </w:trPr>
        <w:tc>
          <w:tcPr>
            <w:tcW w:w="1080" w:type="dxa"/>
            <w:vAlign w:val="bottom"/>
          </w:tcPr>
          <w:p>
            <w:pPr>
              <w:jc w:val="right"/>
              <w:ind w:right="31"/>
              <w:spacing w:after="0" w:line="155" w:lineRule="exact"/>
              <w:rPr>
                <w:sz w:val="20"/>
                <w:szCs w:val="20"/>
                <w:color w:val="auto"/>
              </w:rPr>
            </w:pPr>
            <w:r>
              <w:rPr>
                <w:rFonts w:ascii="Arial" w:cs="Arial" w:eastAsia="Arial" w:hAnsi="Arial"/>
                <w:sz w:val="14"/>
                <w:szCs w:val="14"/>
                <w:color w:val="76AD9A"/>
              </w:rPr>
              <w:t>December 31,</w:t>
            </w:r>
          </w:p>
        </w:tc>
        <w:tc>
          <w:tcPr>
            <w:tcW w:w="114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Assets</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Inputs</w:t>
            </w: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76AD9A"/>
              </w:rPr>
              <w:t>Inputs</w:t>
            </w:r>
          </w:p>
        </w:tc>
      </w:tr>
      <w:tr>
        <w:trPr>
          <w:trHeight w:val="150"/>
        </w:trPr>
        <w:tc>
          <w:tcPr>
            <w:tcW w:w="1080" w:type="dxa"/>
            <w:vAlign w:val="bottom"/>
          </w:tcPr>
          <w:p>
            <w:pPr>
              <w:jc w:val="right"/>
              <w:ind w:right="31"/>
              <w:spacing w:after="0" w:line="151" w:lineRule="exact"/>
              <w:rPr>
                <w:sz w:val="20"/>
                <w:szCs w:val="20"/>
                <w:color w:val="auto"/>
              </w:rPr>
            </w:pPr>
            <w:r>
              <w:rPr>
                <w:rFonts w:ascii="Arial" w:cs="Arial" w:eastAsia="Arial" w:hAnsi="Arial"/>
                <w:sz w:val="14"/>
                <w:szCs w:val="14"/>
                <w:color w:val="76AD9A"/>
              </w:rPr>
              <w:t>2013</w:t>
            </w:r>
          </w:p>
        </w:tc>
        <w:tc>
          <w:tcPr>
            <w:tcW w:w="1140" w:type="dxa"/>
            <w:vAlign w:val="bottom"/>
          </w:tcPr>
          <w:p>
            <w:pPr>
              <w:jc w:val="right"/>
              <w:ind w:right="91"/>
              <w:spacing w:after="0" w:line="151" w:lineRule="exact"/>
              <w:rPr>
                <w:sz w:val="20"/>
                <w:szCs w:val="20"/>
                <w:color w:val="auto"/>
              </w:rPr>
            </w:pPr>
            <w:r>
              <w:rPr>
                <w:rFonts w:ascii="Arial" w:cs="Arial" w:eastAsia="Arial" w:hAnsi="Arial"/>
                <w:sz w:val="14"/>
                <w:szCs w:val="14"/>
                <w:color w:val="76AD9A"/>
              </w:rPr>
              <w:t>(Level 1)</w:t>
            </w:r>
          </w:p>
        </w:tc>
        <w:tc>
          <w:tcPr>
            <w:tcW w:w="1000" w:type="dxa"/>
            <w:vAlign w:val="bottom"/>
          </w:tcPr>
          <w:p>
            <w:pPr>
              <w:jc w:val="right"/>
              <w:ind w:right="31"/>
              <w:spacing w:after="0" w:line="151" w:lineRule="exact"/>
              <w:rPr>
                <w:sz w:val="20"/>
                <w:szCs w:val="20"/>
                <w:color w:val="auto"/>
              </w:rPr>
            </w:pPr>
            <w:r>
              <w:rPr>
                <w:rFonts w:ascii="Arial" w:cs="Arial" w:eastAsia="Arial" w:hAnsi="Arial"/>
                <w:sz w:val="14"/>
                <w:szCs w:val="14"/>
                <w:color w:val="76AD9A"/>
              </w:rPr>
              <w:t>(Level 2)</w:t>
            </w:r>
          </w:p>
        </w:tc>
        <w:tc>
          <w:tcPr>
            <w:tcW w:w="1000" w:type="dxa"/>
            <w:vAlign w:val="bottom"/>
          </w:tcPr>
          <w:p>
            <w:pPr>
              <w:jc w:val="right"/>
              <w:spacing w:after="0" w:line="151" w:lineRule="exact"/>
              <w:rPr>
                <w:sz w:val="20"/>
                <w:szCs w:val="20"/>
                <w:color w:val="auto"/>
              </w:rPr>
            </w:pPr>
            <w:r>
              <w:rPr>
                <w:rFonts w:ascii="Arial" w:cs="Arial" w:eastAsia="Arial" w:hAnsi="Arial"/>
                <w:sz w:val="14"/>
                <w:szCs w:val="14"/>
                <w:color w:val="76AD9A"/>
              </w:rPr>
              <w:t>(Level 3)</w:t>
            </w:r>
          </w:p>
        </w:tc>
      </w:tr>
    </w:tbl>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Arial" w:cs="Arial" w:eastAsia="Arial" w:hAnsi="Arial"/>
          <w:sz w:val="14"/>
          <w:szCs w:val="14"/>
          <w:color w:val="76AD9A"/>
        </w:rPr>
        <w:t>Non-United States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26060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2" w:lineRule="exact"/>
        <w:rPr>
          <w:sz w:val="20"/>
          <w:szCs w:val="20"/>
          <w:color w:val="auto"/>
        </w:rPr>
      </w:pPr>
    </w:p>
    <w:p>
      <w:pPr>
        <w:jc w:val="right"/>
        <w:ind w:right="100"/>
        <w:spacing w:after="0"/>
        <w:rPr>
          <w:sz w:val="20"/>
          <w:szCs w:val="20"/>
          <w:color w:val="auto"/>
        </w:rPr>
      </w:pPr>
      <w:r>
        <w:rPr>
          <w:rFonts w:ascii="Arial" w:cs="Arial" w:eastAsia="Arial" w:hAnsi="Arial"/>
          <w:sz w:val="14"/>
          <w:szCs w:val="14"/>
          <w:color w:val="76AD9A"/>
        </w:rPr>
        <w:t>Fair Value Measurements Using</w:t>
      </w:r>
    </w:p>
    <w:tbl>
      <w:tblPr>
        <w:tblLayout w:type="fixed"/>
        <w:tblInd w:w="0" w:type="dxa"/>
        <w:tblCellMar>
          <w:top w:w="0" w:type="dxa"/>
          <w:left w:w="0" w:type="dxa"/>
          <w:bottom w:w="0" w:type="dxa"/>
          <w:right w:w="0" w:type="dxa"/>
        </w:tblCellMar>
      </w:tblPr>
      <w:tr>
        <w:trPr>
          <w:trHeight w:val="152"/>
        </w:trPr>
        <w:tc>
          <w:tcPr>
            <w:tcW w:w="960" w:type="dxa"/>
            <w:vAlign w:val="bottom"/>
            <w:tcBorders>
              <w:top w:val="single" w:sz="8" w:color="717073"/>
            </w:tcBorders>
          </w:tcPr>
          <w:p>
            <w:pPr>
              <w:spacing w:after="0"/>
              <w:rPr>
                <w:sz w:val="13"/>
                <w:szCs w:val="13"/>
                <w:color w:val="auto"/>
              </w:rPr>
            </w:pPr>
          </w:p>
        </w:tc>
        <w:tc>
          <w:tcPr>
            <w:tcW w:w="1160" w:type="dxa"/>
            <w:vAlign w:val="bottom"/>
            <w:tcBorders>
              <w:top w:val="single" w:sz="8" w:color="717073"/>
            </w:tcBorders>
          </w:tcPr>
          <w:p>
            <w:pPr>
              <w:jc w:val="right"/>
              <w:ind w:right="131"/>
              <w:spacing w:after="0" w:line="153" w:lineRule="exact"/>
              <w:rPr>
                <w:sz w:val="20"/>
                <w:szCs w:val="20"/>
                <w:color w:val="auto"/>
              </w:rPr>
            </w:pPr>
            <w:r>
              <w:rPr>
                <w:rFonts w:ascii="Arial" w:cs="Arial" w:eastAsia="Arial" w:hAnsi="Arial"/>
                <w:sz w:val="14"/>
                <w:szCs w:val="14"/>
                <w:color w:val="76AD9A"/>
              </w:rPr>
              <w:t>Quoted Prices</w:t>
            </w:r>
          </w:p>
        </w:tc>
        <w:tc>
          <w:tcPr>
            <w:tcW w:w="1000" w:type="dxa"/>
            <w:vAlign w:val="bottom"/>
            <w:tcBorders>
              <w:top w:val="single" w:sz="8" w:color="717073"/>
            </w:tcBorders>
          </w:tcPr>
          <w:p>
            <w:pPr>
              <w:spacing w:after="0"/>
              <w:rPr>
                <w:sz w:val="13"/>
                <w:szCs w:val="13"/>
                <w:color w:val="auto"/>
              </w:rPr>
            </w:pPr>
          </w:p>
        </w:tc>
        <w:tc>
          <w:tcPr>
            <w:tcW w:w="980" w:type="dxa"/>
            <w:vAlign w:val="bottom"/>
            <w:tcBorders>
              <w:top w:val="single" w:sz="8" w:color="717073"/>
            </w:tcBorders>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1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in Active</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Significant</w:t>
            </w:r>
          </w:p>
        </w:tc>
        <w:tc>
          <w:tcPr>
            <w:tcW w:w="980" w:type="dxa"/>
            <w:vAlign w:val="bottom"/>
          </w:tcPr>
          <w:p>
            <w:pPr>
              <w:spacing w:after="0"/>
              <w:rPr>
                <w:sz w:val="13"/>
                <w:szCs w:val="13"/>
                <w:color w:val="auto"/>
              </w:rPr>
            </w:pPr>
          </w:p>
        </w:tc>
      </w:tr>
      <w:tr>
        <w:trPr>
          <w:trHeight w:val="155"/>
        </w:trPr>
        <w:tc>
          <w:tcPr>
            <w:tcW w:w="960" w:type="dxa"/>
            <w:vAlign w:val="bottom"/>
          </w:tcPr>
          <w:p>
            <w:pPr>
              <w:spacing w:after="0"/>
              <w:rPr>
                <w:sz w:val="13"/>
                <w:szCs w:val="13"/>
                <w:color w:val="auto"/>
              </w:rPr>
            </w:pPr>
          </w:p>
        </w:tc>
        <w:tc>
          <w:tcPr>
            <w:tcW w:w="11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Markets for</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Other</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76AD9A"/>
              </w:rPr>
              <w:t>Significant</w:t>
            </w:r>
          </w:p>
        </w:tc>
      </w:tr>
      <w:tr>
        <w:trPr>
          <w:trHeight w:val="155"/>
        </w:trPr>
        <w:tc>
          <w:tcPr>
            <w:tcW w:w="960" w:type="dxa"/>
            <w:vAlign w:val="bottom"/>
          </w:tcPr>
          <w:p>
            <w:pPr>
              <w:spacing w:after="0"/>
              <w:rPr>
                <w:sz w:val="13"/>
                <w:szCs w:val="13"/>
                <w:color w:val="auto"/>
              </w:rPr>
            </w:pPr>
          </w:p>
        </w:tc>
        <w:tc>
          <w:tcPr>
            <w:tcW w:w="11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Identical</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Observable</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76AD9A"/>
              </w:rPr>
              <w:t>Unobservable</w:t>
            </w:r>
          </w:p>
        </w:tc>
      </w:tr>
      <w:tr>
        <w:trPr>
          <w:trHeight w:val="155"/>
        </w:trPr>
        <w:tc>
          <w:tcPr>
            <w:tcW w:w="960" w:type="dxa"/>
            <w:vAlign w:val="bottom"/>
          </w:tcPr>
          <w:p>
            <w:pPr>
              <w:jc w:val="right"/>
              <w:ind w:right="31"/>
              <w:spacing w:after="0" w:line="155" w:lineRule="exact"/>
              <w:rPr>
                <w:sz w:val="20"/>
                <w:szCs w:val="20"/>
                <w:color w:val="auto"/>
              </w:rPr>
            </w:pPr>
            <w:r>
              <w:rPr>
                <w:rFonts w:ascii="Arial" w:cs="Arial" w:eastAsia="Arial" w:hAnsi="Arial"/>
                <w:sz w:val="14"/>
                <w:szCs w:val="14"/>
                <w:color w:val="76AD9A"/>
                <w:w w:val="95"/>
              </w:rPr>
              <w:t>December 31,</w:t>
            </w:r>
          </w:p>
        </w:tc>
        <w:tc>
          <w:tcPr>
            <w:tcW w:w="1160" w:type="dxa"/>
            <w:vAlign w:val="bottom"/>
          </w:tcPr>
          <w:p>
            <w:pPr>
              <w:jc w:val="right"/>
              <w:ind w:right="131"/>
              <w:spacing w:after="0" w:line="155" w:lineRule="exact"/>
              <w:rPr>
                <w:sz w:val="20"/>
                <w:szCs w:val="20"/>
                <w:color w:val="auto"/>
              </w:rPr>
            </w:pPr>
            <w:r>
              <w:rPr>
                <w:rFonts w:ascii="Arial" w:cs="Arial" w:eastAsia="Arial" w:hAnsi="Arial"/>
                <w:sz w:val="14"/>
                <w:szCs w:val="14"/>
                <w:color w:val="76AD9A"/>
              </w:rPr>
              <w:t>Assets</w:t>
            </w:r>
          </w:p>
        </w:tc>
        <w:tc>
          <w:tcPr>
            <w:tcW w:w="1000" w:type="dxa"/>
            <w:vAlign w:val="bottom"/>
          </w:tcPr>
          <w:p>
            <w:pPr>
              <w:jc w:val="right"/>
              <w:ind w:right="71"/>
              <w:spacing w:after="0" w:line="155" w:lineRule="exact"/>
              <w:rPr>
                <w:sz w:val="20"/>
                <w:szCs w:val="20"/>
                <w:color w:val="auto"/>
              </w:rPr>
            </w:pPr>
            <w:r>
              <w:rPr>
                <w:rFonts w:ascii="Arial" w:cs="Arial" w:eastAsia="Arial" w:hAnsi="Arial"/>
                <w:sz w:val="14"/>
                <w:szCs w:val="14"/>
                <w:color w:val="76AD9A"/>
              </w:rPr>
              <w:t>Inputs</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76AD9A"/>
              </w:rPr>
              <w:t>Inputs</w:t>
            </w:r>
          </w:p>
        </w:tc>
      </w:tr>
      <w:tr>
        <w:trPr>
          <w:trHeight w:val="150"/>
        </w:trPr>
        <w:tc>
          <w:tcPr>
            <w:tcW w:w="960" w:type="dxa"/>
            <w:vAlign w:val="bottom"/>
          </w:tcPr>
          <w:p>
            <w:pPr>
              <w:jc w:val="right"/>
              <w:ind w:right="31"/>
              <w:spacing w:after="0" w:line="151" w:lineRule="exact"/>
              <w:rPr>
                <w:sz w:val="20"/>
                <w:szCs w:val="20"/>
                <w:color w:val="auto"/>
              </w:rPr>
            </w:pPr>
            <w:r>
              <w:rPr>
                <w:rFonts w:ascii="Arial" w:cs="Arial" w:eastAsia="Arial" w:hAnsi="Arial"/>
                <w:sz w:val="14"/>
                <w:szCs w:val="14"/>
                <w:color w:val="76AD9A"/>
              </w:rPr>
              <w:t>2013</w:t>
            </w:r>
          </w:p>
        </w:tc>
        <w:tc>
          <w:tcPr>
            <w:tcW w:w="1160" w:type="dxa"/>
            <w:vAlign w:val="bottom"/>
          </w:tcPr>
          <w:p>
            <w:pPr>
              <w:jc w:val="right"/>
              <w:ind w:right="91"/>
              <w:spacing w:after="0" w:line="151" w:lineRule="exact"/>
              <w:rPr>
                <w:sz w:val="20"/>
                <w:szCs w:val="20"/>
                <w:color w:val="auto"/>
              </w:rPr>
            </w:pPr>
            <w:r>
              <w:rPr>
                <w:rFonts w:ascii="Arial" w:cs="Arial" w:eastAsia="Arial" w:hAnsi="Arial"/>
                <w:sz w:val="14"/>
                <w:szCs w:val="14"/>
                <w:color w:val="76AD9A"/>
              </w:rPr>
              <w:t>(Level 1)</w:t>
            </w:r>
          </w:p>
        </w:tc>
        <w:tc>
          <w:tcPr>
            <w:tcW w:w="1000" w:type="dxa"/>
            <w:vAlign w:val="bottom"/>
          </w:tcPr>
          <w:p>
            <w:pPr>
              <w:jc w:val="right"/>
              <w:ind w:right="31"/>
              <w:spacing w:after="0" w:line="151" w:lineRule="exact"/>
              <w:rPr>
                <w:sz w:val="20"/>
                <w:szCs w:val="20"/>
                <w:color w:val="auto"/>
              </w:rPr>
            </w:pPr>
            <w:r>
              <w:rPr>
                <w:rFonts w:ascii="Arial" w:cs="Arial" w:eastAsia="Arial" w:hAnsi="Arial"/>
                <w:sz w:val="14"/>
                <w:szCs w:val="14"/>
                <w:color w:val="76AD9A"/>
              </w:rPr>
              <w:t>(Level 2)</w:t>
            </w:r>
          </w:p>
        </w:tc>
        <w:tc>
          <w:tcPr>
            <w:tcW w:w="980" w:type="dxa"/>
            <w:vAlign w:val="bottom"/>
          </w:tcPr>
          <w:p>
            <w:pPr>
              <w:jc w:val="right"/>
              <w:spacing w:after="0" w:line="151" w:lineRule="exact"/>
              <w:rPr>
                <w:sz w:val="20"/>
                <w:szCs w:val="20"/>
                <w:color w:val="auto"/>
              </w:rPr>
            </w:pPr>
            <w:r>
              <w:rPr>
                <w:rFonts w:ascii="Arial" w:cs="Arial" w:eastAsia="Arial" w:hAnsi="Arial"/>
                <w:sz w:val="14"/>
                <w:szCs w:val="14"/>
                <w:color w:val="76AD9A"/>
              </w:rPr>
              <w:t>(Level 3)</w:t>
            </w:r>
          </w:p>
        </w:tc>
      </w:tr>
    </w:tbl>
    <w:p>
      <w:pPr>
        <w:spacing w:after="0" w:line="1" w:lineRule="exact"/>
        <w:rPr>
          <w:sz w:val="20"/>
          <w:szCs w:val="20"/>
          <w:color w:val="auto"/>
        </w:rPr>
      </w:pPr>
    </w:p>
    <w:p>
      <w:pPr>
        <w:sectPr>
          <w:pgSz w:w="11900" w:h="16838" w:orient="portrait"/>
          <w:cols w:equalWidth="0" w:num="2">
            <w:col w:w="6840" w:space="380"/>
            <w:col w:w="4200"/>
          </w:cols>
          <w:pgMar w:left="240" w:top="725" w:right="239" w:bottom="1440" w:gutter="0" w:footer="0" w:header="0"/>
        </w:sectPr>
      </w:pPr>
    </w:p>
    <w:tbl>
      <w:tblPr>
        <w:tblLayout w:type="fixed"/>
        <w:tblInd w:w="0" w:type="dxa"/>
        <w:tblCellMar>
          <w:top w:w="0" w:type="dxa"/>
          <w:left w:w="0" w:type="dxa"/>
          <w:bottom w:w="0" w:type="dxa"/>
          <w:right w:w="0" w:type="dxa"/>
        </w:tblCellMar>
      </w:tblPr>
      <w:tr>
        <w:trPr>
          <w:trHeight w:val="207"/>
        </w:trPr>
        <w:tc>
          <w:tcPr>
            <w:tcW w:w="2460" w:type="dxa"/>
            <w:vAlign w:val="bottom"/>
            <w:tcBorders>
              <w:top w:val="single" w:sz="8" w:color="76AD9A"/>
            </w:tcBorders>
          </w:tcPr>
          <w:p>
            <w:pPr>
              <w:spacing w:after="0"/>
              <w:rPr>
                <w:sz w:val="20"/>
                <w:szCs w:val="20"/>
                <w:color w:val="auto"/>
              </w:rPr>
            </w:pPr>
            <w:r>
              <w:rPr>
                <w:rFonts w:ascii="Arial" w:cs="Arial" w:eastAsia="Arial" w:hAnsi="Arial"/>
                <w:sz w:val="17"/>
                <w:szCs w:val="17"/>
                <w:color w:val="777679"/>
              </w:rPr>
              <w:t>Asset Category</w:t>
            </w:r>
          </w:p>
        </w:tc>
        <w:tc>
          <w:tcPr>
            <w:tcW w:w="580" w:type="dxa"/>
            <w:vAlign w:val="bottom"/>
            <w:tcBorders>
              <w:top w:val="single" w:sz="8" w:color="76AD9A"/>
            </w:tcBorders>
          </w:tcPr>
          <w:p>
            <w:pPr>
              <w:spacing w:after="0"/>
              <w:rPr>
                <w:sz w:val="17"/>
                <w:szCs w:val="17"/>
                <w:color w:val="auto"/>
              </w:rPr>
            </w:pPr>
          </w:p>
        </w:tc>
        <w:tc>
          <w:tcPr>
            <w:tcW w:w="660" w:type="dxa"/>
            <w:vAlign w:val="bottom"/>
            <w:tcBorders>
              <w:top w:val="single" w:sz="8" w:color="76AD9A"/>
            </w:tcBorders>
          </w:tcPr>
          <w:p>
            <w:pPr>
              <w:spacing w:after="0"/>
              <w:rPr>
                <w:sz w:val="17"/>
                <w:szCs w:val="17"/>
                <w:color w:val="auto"/>
              </w:rPr>
            </w:pPr>
          </w:p>
        </w:tc>
        <w:tc>
          <w:tcPr>
            <w:tcW w:w="420" w:type="dxa"/>
            <w:vAlign w:val="bottom"/>
            <w:tcBorders>
              <w:top w:val="single" w:sz="8" w:color="76AD9A"/>
            </w:tcBorders>
          </w:tcPr>
          <w:p>
            <w:pPr>
              <w:spacing w:after="0"/>
              <w:rPr>
                <w:sz w:val="17"/>
                <w:szCs w:val="17"/>
                <w:color w:val="auto"/>
              </w:rPr>
            </w:pPr>
          </w:p>
        </w:tc>
        <w:tc>
          <w:tcPr>
            <w:tcW w:w="660" w:type="dxa"/>
            <w:vAlign w:val="bottom"/>
            <w:tcBorders>
              <w:top w:val="single" w:sz="8" w:color="76AD9A"/>
            </w:tcBorders>
          </w:tcPr>
          <w:p>
            <w:pPr>
              <w:spacing w:after="0"/>
              <w:rPr>
                <w:sz w:val="17"/>
                <w:szCs w:val="17"/>
                <w:color w:val="auto"/>
              </w:rPr>
            </w:pPr>
          </w:p>
        </w:tc>
        <w:tc>
          <w:tcPr>
            <w:tcW w:w="420" w:type="dxa"/>
            <w:vAlign w:val="bottom"/>
            <w:tcBorders>
              <w:top w:val="single" w:sz="8" w:color="76AD9A"/>
            </w:tcBorders>
          </w:tcPr>
          <w:p>
            <w:pPr>
              <w:spacing w:after="0"/>
              <w:rPr>
                <w:sz w:val="17"/>
                <w:szCs w:val="17"/>
                <w:color w:val="auto"/>
              </w:rPr>
            </w:pPr>
          </w:p>
        </w:tc>
        <w:tc>
          <w:tcPr>
            <w:tcW w:w="640" w:type="dxa"/>
            <w:vAlign w:val="bottom"/>
            <w:tcBorders>
              <w:top w:val="single" w:sz="8" w:color="76AD9A"/>
            </w:tcBorders>
          </w:tcPr>
          <w:p>
            <w:pPr>
              <w:spacing w:after="0"/>
              <w:rPr>
                <w:sz w:val="17"/>
                <w:szCs w:val="17"/>
                <w:color w:val="auto"/>
              </w:rPr>
            </w:pPr>
          </w:p>
        </w:tc>
        <w:tc>
          <w:tcPr>
            <w:tcW w:w="520" w:type="dxa"/>
            <w:vAlign w:val="bottom"/>
            <w:tcBorders>
              <w:top w:val="single" w:sz="8" w:color="76AD9A"/>
            </w:tcBorders>
          </w:tcPr>
          <w:p>
            <w:pPr>
              <w:spacing w:after="0"/>
              <w:rPr>
                <w:sz w:val="17"/>
                <w:szCs w:val="17"/>
                <w:color w:val="auto"/>
              </w:rPr>
            </w:pPr>
          </w:p>
        </w:tc>
        <w:tc>
          <w:tcPr>
            <w:tcW w:w="620" w:type="dxa"/>
            <w:vAlign w:val="bottom"/>
            <w:tcBorders>
              <w:top w:val="single" w:sz="8" w:color="76AD9A"/>
            </w:tcBorders>
          </w:tcPr>
          <w:p>
            <w:pPr>
              <w:spacing w:after="0"/>
              <w:rPr>
                <w:sz w:val="17"/>
                <w:szCs w:val="17"/>
                <w:color w:val="auto"/>
              </w:rPr>
            </w:pPr>
          </w:p>
        </w:tc>
        <w:tc>
          <w:tcPr>
            <w:tcW w:w="460" w:type="dxa"/>
            <w:vAlign w:val="bottom"/>
            <w:tcBorders>
              <w:top w:val="single" w:sz="8" w:color="76AD9A"/>
            </w:tcBorders>
          </w:tcPr>
          <w:p>
            <w:pPr>
              <w:spacing w:after="0"/>
              <w:rPr>
                <w:sz w:val="17"/>
                <w:szCs w:val="17"/>
                <w:color w:val="auto"/>
              </w:rPr>
            </w:pPr>
          </w:p>
        </w:tc>
        <w:tc>
          <w:tcPr>
            <w:tcW w:w="740" w:type="dxa"/>
            <w:vAlign w:val="bottom"/>
            <w:tcBorders>
              <w:top w:val="single" w:sz="8" w:color="76AD9A"/>
            </w:tcBorders>
          </w:tcPr>
          <w:p>
            <w:pPr>
              <w:spacing w:after="0"/>
              <w:rPr>
                <w:sz w:val="17"/>
                <w:szCs w:val="17"/>
                <w:color w:val="auto"/>
              </w:rPr>
            </w:pPr>
          </w:p>
        </w:tc>
        <w:tc>
          <w:tcPr>
            <w:tcW w:w="380" w:type="dxa"/>
            <w:vAlign w:val="bottom"/>
            <w:tcBorders>
              <w:top w:val="single" w:sz="8" w:color="76AD9A"/>
            </w:tcBorders>
          </w:tcPr>
          <w:p>
            <w:pPr>
              <w:spacing w:after="0"/>
              <w:rPr>
                <w:sz w:val="17"/>
                <w:szCs w:val="17"/>
                <w:color w:val="auto"/>
              </w:rPr>
            </w:pPr>
          </w:p>
        </w:tc>
        <w:tc>
          <w:tcPr>
            <w:tcW w:w="720" w:type="dxa"/>
            <w:vAlign w:val="bottom"/>
            <w:tcBorders>
              <w:top w:val="single" w:sz="8" w:color="76AD9A"/>
            </w:tcBorders>
          </w:tcPr>
          <w:p>
            <w:pPr>
              <w:spacing w:after="0"/>
              <w:rPr>
                <w:sz w:val="17"/>
                <w:szCs w:val="17"/>
                <w:color w:val="auto"/>
              </w:rPr>
            </w:pPr>
          </w:p>
        </w:tc>
        <w:tc>
          <w:tcPr>
            <w:tcW w:w="360" w:type="dxa"/>
            <w:vAlign w:val="bottom"/>
            <w:tcBorders>
              <w:top w:val="single" w:sz="8" w:color="76AD9A"/>
            </w:tcBorders>
          </w:tcPr>
          <w:p>
            <w:pPr>
              <w:spacing w:after="0"/>
              <w:rPr>
                <w:sz w:val="17"/>
                <w:szCs w:val="17"/>
                <w:color w:val="auto"/>
              </w:rPr>
            </w:pPr>
          </w:p>
        </w:tc>
        <w:tc>
          <w:tcPr>
            <w:tcW w:w="700" w:type="dxa"/>
            <w:vAlign w:val="bottom"/>
            <w:tcBorders>
              <w:top w:val="single" w:sz="8" w:color="76AD9A"/>
            </w:tcBorders>
          </w:tcPr>
          <w:p>
            <w:pPr>
              <w:spacing w:after="0"/>
              <w:rPr>
                <w:sz w:val="17"/>
                <w:szCs w:val="17"/>
                <w:color w:val="auto"/>
              </w:rPr>
            </w:pPr>
          </w:p>
        </w:tc>
        <w:tc>
          <w:tcPr>
            <w:tcW w:w="500" w:type="dxa"/>
            <w:vAlign w:val="bottom"/>
            <w:tcBorders>
              <w:top w:val="single" w:sz="8" w:color="76AD9A"/>
            </w:tcBorders>
          </w:tcPr>
          <w:p>
            <w:pPr>
              <w:spacing w:after="0"/>
              <w:rPr>
                <w:sz w:val="17"/>
                <w:szCs w:val="17"/>
                <w:color w:val="auto"/>
              </w:rPr>
            </w:pPr>
          </w:p>
        </w:tc>
        <w:tc>
          <w:tcPr>
            <w:tcW w:w="480" w:type="dxa"/>
            <w:vAlign w:val="bottom"/>
            <w:tcBorders>
              <w:top w:val="single" w:sz="8" w:color="76AD9A"/>
            </w:tcBorders>
          </w:tcPr>
          <w:p>
            <w:pPr>
              <w:spacing w:after="0"/>
              <w:rPr>
                <w:sz w:val="17"/>
                <w:szCs w:val="17"/>
                <w:color w:val="auto"/>
              </w:rPr>
            </w:pPr>
          </w:p>
        </w:tc>
      </w:tr>
      <w:tr>
        <w:trPr>
          <w:trHeight w:val="211"/>
        </w:trPr>
        <w:tc>
          <w:tcPr>
            <w:tcW w:w="2460" w:type="dxa"/>
            <w:vAlign w:val="bottom"/>
          </w:tcPr>
          <w:p>
            <w:pPr>
              <w:spacing w:after="0" w:line="211" w:lineRule="exact"/>
              <w:rPr>
                <w:sz w:val="20"/>
                <w:szCs w:val="20"/>
                <w:color w:val="auto"/>
              </w:rPr>
            </w:pPr>
            <w:r>
              <w:rPr>
                <w:rFonts w:ascii="Arial" w:cs="Arial" w:eastAsia="Arial" w:hAnsi="Arial"/>
                <w:sz w:val="17"/>
                <w:szCs w:val="17"/>
                <w:color w:val="373535"/>
              </w:rPr>
              <w:t>Cash and cash equivalents</w:t>
            </w:r>
            <w:r>
              <w:rPr>
                <w:rFonts w:ascii="Arial" w:cs="Arial" w:eastAsia="Arial" w:hAnsi="Arial"/>
                <w:sz w:val="24"/>
                <w:szCs w:val="24"/>
                <w:color w:val="373535"/>
                <w:vertAlign w:val="superscript"/>
              </w:rPr>
              <w:t>(1)</w:t>
            </w:r>
          </w:p>
        </w:tc>
        <w:tc>
          <w:tcPr>
            <w:tcW w:w="580" w:type="dxa"/>
            <w:vAlign w:val="bottom"/>
          </w:tcPr>
          <w:p>
            <w:pPr>
              <w:jc w:val="right"/>
              <w:ind w:right="134"/>
              <w:spacing w:after="0"/>
              <w:rPr>
                <w:sz w:val="20"/>
                <w:szCs w:val="20"/>
                <w:color w:val="auto"/>
              </w:rPr>
            </w:pPr>
            <w:r>
              <w:rPr>
                <w:rFonts w:ascii="Arial" w:cs="Arial" w:eastAsia="Arial" w:hAnsi="Arial"/>
                <w:sz w:val="17"/>
                <w:szCs w:val="17"/>
                <w:color w:val="373535"/>
              </w:rPr>
              <w:t>$</w:t>
            </w: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1.8</w:t>
            </w:r>
          </w:p>
        </w:tc>
        <w:tc>
          <w:tcPr>
            <w:tcW w:w="420" w:type="dxa"/>
            <w:vAlign w:val="bottom"/>
          </w:tcPr>
          <w:p>
            <w:pPr>
              <w:jc w:val="right"/>
              <w:ind w:right="154"/>
              <w:spacing w:after="0"/>
              <w:rPr>
                <w:sz w:val="20"/>
                <w:szCs w:val="20"/>
                <w:color w:val="auto"/>
              </w:rPr>
            </w:pPr>
            <w:r>
              <w:rPr>
                <w:rFonts w:ascii="Arial" w:cs="Arial" w:eastAsia="Arial" w:hAnsi="Arial"/>
                <w:sz w:val="17"/>
                <w:szCs w:val="17"/>
                <w:color w:val="373535"/>
              </w:rPr>
              <w:t>$</w:t>
            </w: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1.8</w:t>
            </w:r>
          </w:p>
        </w:tc>
        <w:tc>
          <w:tcPr>
            <w:tcW w:w="420" w:type="dxa"/>
            <w:vAlign w:val="bottom"/>
          </w:tcPr>
          <w:p>
            <w:pPr>
              <w:jc w:val="right"/>
              <w:ind w:right="134"/>
              <w:spacing w:after="0"/>
              <w:rPr>
                <w:sz w:val="20"/>
                <w:szCs w:val="20"/>
                <w:color w:val="auto"/>
              </w:rPr>
            </w:pPr>
            <w:r>
              <w:rPr>
                <w:rFonts w:ascii="Arial" w:cs="Arial" w:eastAsia="Arial" w:hAnsi="Arial"/>
                <w:sz w:val="17"/>
                <w:szCs w:val="17"/>
                <w:color w:val="373535"/>
              </w:rPr>
              <w:t>$</w:t>
            </w:r>
          </w:p>
        </w:tc>
        <w:tc>
          <w:tcPr>
            <w:tcW w:w="6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20" w:type="dxa"/>
            <w:vAlign w:val="bottom"/>
          </w:tcPr>
          <w:p>
            <w:pPr>
              <w:jc w:val="right"/>
              <w:ind w:right="234"/>
              <w:spacing w:after="0"/>
              <w:rPr>
                <w:sz w:val="20"/>
                <w:szCs w:val="20"/>
                <w:color w:val="auto"/>
              </w:rPr>
            </w:pPr>
            <w:r>
              <w:rPr>
                <w:rFonts w:ascii="Arial" w:cs="Arial" w:eastAsia="Arial" w:hAnsi="Arial"/>
                <w:sz w:val="17"/>
                <w:szCs w:val="17"/>
                <w:color w:val="373535"/>
              </w:rPr>
              <w:t>$</w:t>
            </w:r>
          </w:p>
        </w:tc>
        <w:tc>
          <w:tcPr>
            <w:tcW w:w="620" w:type="dxa"/>
            <w:vAlign w:val="bottom"/>
          </w:tcPr>
          <w:p>
            <w:pPr>
              <w:ind w:left="300"/>
              <w:spacing w:after="0"/>
              <w:rPr>
                <w:sz w:val="20"/>
                <w:szCs w:val="20"/>
                <w:color w:val="auto"/>
              </w:rPr>
            </w:pPr>
            <w:r>
              <w:rPr>
                <w:rFonts w:ascii="Arial" w:cs="Arial" w:eastAsia="Arial" w:hAnsi="Arial"/>
                <w:sz w:val="17"/>
                <w:szCs w:val="17"/>
                <w:color w:val="373535"/>
              </w:rPr>
              <w:t>—</w:t>
            </w:r>
          </w:p>
        </w:tc>
        <w:tc>
          <w:tcPr>
            <w:tcW w:w="460" w:type="dxa"/>
            <w:vAlign w:val="bottom"/>
          </w:tcPr>
          <w:p>
            <w:pPr>
              <w:jc w:val="right"/>
              <w:ind w:right="134"/>
              <w:spacing w:after="0"/>
              <w:rPr>
                <w:sz w:val="20"/>
                <w:szCs w:val="20"/>
                <w:color w:val="auto"/>
              </w:rPr>
            </w:pPr>
            <w:r>
              <w:rPr>
                <w:rFonts w:ascii="Arial" w:cs="Arial" w:eastAsia="Arial" w:hAnsi="Arial"/>
                <w:sz w:val="17"/>
                <w:szCs w:val="17"/>
                <w:color w:val="373535"/>
              </w:rPr>
              <w:t>$</w:t>
            </w:r>
          </w:p>
        </w:tc>
        <w:tc>
          <w:tcPr>
            <w:tcW w:w="740" w:type="dxa"/>
            <w:vAlign w:val="bottom"/>
          </w:tcPr>
          <w:p>
            <w:pPr>
              <w:jc w:val="right"/>
              <w:ind w:right="14"/>
              <w:spacing w:after="0"/>
              <w:rPr>
                <w:sz w:val="20"/>
                <w:szCs w:val="20"/>
                <w:color w:val="auto"/>
              </w:rPr>
            </w:pPr>
            <w:r>
              <w:rPr>
                <w:rFonts w:ascii="Arial" w:cs="Arial" w:eastAsia="Arial" w:hAnsi="Arial"/>
                <w:sz w:val="17"/>
                <w:szCs w:val="17"/>
                <w:color w:val="373535"/>
              </w:rPr>
              <w:t>2.6</w:t>
            </w:r>
          </w:p>
        </w:tc>
        <w:tc>
          <w:tcPr>
            <w:tcW w:w="380" w:type="dxa"/>
            <w:vAlign w:val="bottom"/>
          </w:tcPr>
          <w:p>
            <w:pPr>
              <w:jc w:val="right"/>
              <w:ind w:right="94"/>
              <w:spacing w:after="0"/>
              <w:rPr>
                <w:sz w:val="20"/>
                <w:szCs w:val="20"/>
                <w:color w:val="auto"/>
              </w:rPr>
            </w:pPr>
            <w:r>
              <w:rPr>
                <w:rFonts w:ascii="Arial" w:cs="Arial" w:eastAsia="Arial" w:hAnsi="Arial"/>
                <w:sz w:val="17"/>
                <w:szCs w:val="17"/>
                <w:color w:val="373535"/>
              </w:rPr>
              <w:t>$</w:t>
            </w: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2.6</w:t>
            </w:r>
          </w:p>
        </w:tc>
        <w:tc>
          <w:tcPr>
            <w:tcW w:w="360" w:type="dxa"/>
            <w:vAlign w:val="bottom"/>
          </w:tcPr>
          <w:p>
            <w:pPr>
              <w:jc w:val="right"/>
              <w:ind w:right="74"/>
              <w:spacing w:after="0"/>
              <w:rPr>
                <w:sz w:val="20"/>
                <w:szCs w:val="20"/>
                <w:color w:val="auto"/>
              </w:rPr>
            </w:pPr>
            <w:r>
              <w:rPr>
                <w:rFonts w:ascii="Arial" w:cs="Arial" w:eastAsia="Arial" w:hAnsi="Arial"/>
                <w:sz w:val="17"/>
                <w:szCs w:val="17"/>
                <w:color w:val="373535"/>
              </w:rPr>
              <w:t>$</w:t>
            </w: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00" w:type="dxa"/>
            <w:vAlign w:val="bottom"/>
          </w:tcPr>
          <w:p>
            <w:pPr>
              <w:jc w:val="right"/>
              <w:ind w:right="214"/>
              <w:spacing w:after="0"/>
              <w:rPr>
                <w:sz w:val="20"/>
                <w:szCs w:val="20"/>
                <w:color w:val="auto"/>
              </w:rPr>
            </w:pPr>
            <w:r>
              <w:rPr>
                <w:rFonts w:ascii="Arial" w:cs="Arial" w:eastAsia="Arial" w:hAnsi="Arial"/>
                <w:sz w:val="17"/>
                <w:szCs w:val="17"/>
                <w:color w:val="373535"/>
              </w:rPr>
              <w:t>$</w:t>
            </w:r>
          </w:p>
        </w:tc>
        <w:tc>
          <w:tcPr>
            <w:tcW w:w="480" w:type="dxa"/>
            <w:vAlign w:val="bottom"/>
          </w:tcPr>
          <w:p>
            <w:pPr>
              <w:ind w:left="300"/>
              <w:spacing w:after="0"/>
              <w:rPr>
                <w:sz w:val="20"/>
                <w:szCs w:val="20"/>
                <w:color w:val="auto"/>
              </w:rPr>
            </w:pPr>
            <w:r>
              <w:rPr>
                <w:rFonts w:ascii="Arial" w:cs="Arial" w:eastAsia="Arial" w:hAnsi="Arial"/>
                <w:sz w:val="17"/>
                <w:szCs w:val="17"/>
                <w:color w:val="373535"/>
                <w:w w:val="93"/>
              </w:rPr>
              <w:t>—</w:t>
            </w:r>
          </w:p>
        </w:tc>
      </w:tr>
      <w:tr>
        <w:trPr>
          <w:trHeight w:val="206"/>
        </w:trPr>
        <w:tc>
          <w:tcPr>
            <w:tcW w:w="2460" w:type="dxa"/>
            <w:vAlign w:val="bottom"/>
          </w:tcPr>
          <w:p>
            <w:pPr>
              <w:spacing w:after="0"/>
              <w:rPr>
                <w:sz w:val="20"/>
                <w:szCs w:val="20"/>
                <w:color w:val="auto"/>
              </w:rPr>
            </w:pPr>
            <w:r>
              <w:rPr>
                <w:rFonts w:ascii="Arial" w:cs="Arial" w:eastAsia="Arial" w:hAnsi="Arial"/>
                <w:sz w:val="17"/>
                <w:szCs w:val="17"/>
                <w:color w:val="373535"/>
              </w:rPr>
              <w:t>Equity securities: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6"/>
        </w:trPr>
        <w:tc>
          <w:tcPr>
            <w:tcW w:w="2460" w:type="dxa"/>
            <w:vAlign w:val="bottom"/>
          </w:tcPr>
          <w:p>
            <w:pPr>
              <w:ind w:left="160"/>
              <w:spacing w:after="0"/>
              <w:rPr>
                <w:sz w:val="20"/>
                <w:szCs w:val="20"/>
                <w:color w:val="auto"/>
              </w:rPr>
            </w:pPr>
            <w:r>
              <w:rPr>
                <w:rFonts w:ascii="Arial" w:cs="Arial" w:eastAsia="Arial" w:hAnsi="Arial"/>
                <w:sz w:val="17"/>
                <w:szCs w:val="17"/>
                <w:color w:val="373535"/>
              </w:rPr>
              <w:t>United States companies</w:t>
            </w:r>
          </w:p>
        </w:tc>
        <w:tc>
          <w:tcPr>
            <w:tcW w:w="58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16.1</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16.1</w:t>
            </w:r>
          </w:p>
        </w:tc>
        <w:tc>
          <w:tcPr>
            <w:tcW w:w="42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20" w:type="dxa"/>
            <w:vAlign w:val="bottom"/>
          </w:tcPr>
          <w:p>
            <w:pPr>
              <w:spacing w:after="0"/>
              <w:rPr>
                <w:sz w:val="17"/>
                <w:szCs w:val="17"/>
                <w:color w:val="auto"/>
              </w:rPr>
            </w:pPr>
          </w:p>
        </w:tc>
        <w:tc>
          <w:tcPr>
            <w:tcW w:w="620" w:type="dxa"/>
            <w:vAlign w:val="bottom"/>
          </w:tcPr>
          <w:p>
            <w:pPr>
              <w:ind w:left="300"/>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38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36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373535"/>
                <w:w w:val="93"/>
              </w:rPr>
              <w:t>—</w:t>
            </w:r>
          </w:p>
        </w:tc>
      </w:tr>
      <w:tr>
        <w:trPr>
          <w:trHeight w:val="206"/>
        </w:trPr>
        <w:tc>
          <w:tcPr>
            <w:tcW w:w="2460" w:type="dxa"/>
            <w:vAlign w:val="bottom"/>
          </w:tcPr>
          <w:p>
            <w:pPr>
              <w:ind w:left="160"/>
              <w:spacing w:after="0"/>
              <w:rPr>
                <w:sz w:val="20"/>
                <w:szCs w:val="20"/>
                <w:color w:val="auto"/>
              </w:rPr>
            </w:pPr>
            <w:r>
              <w:rPr>
                <w:rFonts w:ascii="Arial" w:cs="Arial" w:eastAsia="Arial" w:hAnsi="Arial"/>
                <w:sz w:val="17"/>
                <w:szCs w:val="17"/>
                <w:color w:val="373535"/>
              </w:rPr>
              <w:t>International companies</w:t>
            </w:r>
          </w:p>
        </w:tc>
        <w:tc>
          <w:tcPr>
            <w:tcW w:w="58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20" w:type="dxa"/>
            <w:vAlign w:val="bottom"/>
          </w:tcPr>
          <w:p>
            <w:pPr>
              <w:spacing w:after="0"/>
              <w:rPr>
                <w:sz w:val="17"/>
                <w:szCs w:val="17"/>
                <w:color w:val="auto"/>
              </w:rPr>
            </w:pPr>
          </w:p>
        </w:tc>
        <w:tc>
          <w:tcPr>
            <w:tcW w:w="620" w:type="dxa"/>
            <w:vAlign w:val="bottom"/>
          </w:tcPr>
          <w:p>
            <w:pPr>
              <w:ind w:left="300"/>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373535"/>
              </w:rPr>
              <w:t>72.8</w:t>
            </w:r>
          </w:p>
        </w:tc>
        <w:tc>
          <w:tcPr>
            <w:tcW w:w="38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72.8</w:t>
            </w:r>
          </w:p>
        </w:tc>
        <w:tc>
          <w:tcPr>
            <w:tcW w:w="36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373535"/>
                <w:w w:val="93"/>
              </w:rPr>
              <w:t>—</w:t>
            </w:r>
          </w:p>
        </w:tc>
      </w:tr>
      <w:tr>
        <w:trPr>
          <w:trHeight w:val="202"/>
        </w:trPr>
        <w:tc>
          <w:tcPr>
            <w:tcW w:w="2460" w:type="dxa"/>
            <w:vAlign w:val="bottom"/>
          </w:tcPr>
          <w:p>
            <w:pPr>
              <w:spacing w:after="0"/>
              <w:rPr>
                <w:sz w:val="20"/>
                <w:szCs w:val="20"/>
                <w:color w:val="auto"/>
              </w:rPr>
            </w:pPr>
            <w:r>
              <w:rPr>
                <w:rFonts w:ascii="Arial" w:cs="Arial" w:eastAsia="Arial" w:hAnsi="Arial"/>
                <w:sz w:val="17"/>
                <w:szCs w:val="17"/>
                <w:color w:val="373535"/>
              </w:rPr>
              <w:t>Fixed income securities: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8"/>
        </w:trPr>
        <w:tc>
          <w:tcPr>
            <w:tcW w:w="2460" w:type="dxa"/>
            <w:vAlign w:val="bottom"/>
          </w:tcPr>
          <w:p>
            <w:pPr>
              <w:ind w:left="160"/>
              <w:spacing w:after="0" w:line="199" w:lineRule="exact"/>
              <w:rPr>
                <w:sz w:val="20"/>
                <w:szCs w:val="20"/>
                <w:color w:val="auto"/>
              </w:rPr>
            </w:pPr>
            <w:r>
              <w:rPr>
                <w:rFonts w:ascii="Arial" w:cs="Arial" w:eastAsia="Arial" w:hAnsi="Arial"/>
                <w:sz w:val="17"/>
                <w:szCs w:val="17"/>
                <w:color w:val="373535"/>
              </w:rPr>
              <w:t>Government bonds</w:t>
            </w:r>
            <w:r>
              <w:rPr>
                <w:rFonts w:ascii="Arial" w:cs="Arial" w:eastAsia="Arial" w:hAnsi="Arial"/>
                <w:sz w:val="23"/>
                <w:szCs w:val="23"/>
                <w:color w:val="373535"/>
                <w:vertAlign w:val="superscript"/>
              </w:rPr>
              <w:t>(2)</w:t>
            </w:r>
          </w:p>
        </w:tc>
        <w:tc>
          <w:tcPr>
            <w:tcW w:w="58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18.1</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373535"/>
              </w:rPr>
              <w:t>18.1</w:t>
            </w:r>
          </w:p>
        </w:tc>
        <w:tc>
          <w:tcPr>
            <w:tcW w:w="520" w:type="dxa"/>
            <w:vAlign w:val="bottom"/>
          </w:tcPr>
          <w:p>
            <w:pPr>
              <w:spacing w:after="0"/>
              <w:rPr>
                <w:sz w:val="17"/>
                <w:szCs w:val="17"/>
                <w:color w:val="auto"/>
              </w:rPr>
            </w:pPr>
          </w:p>
        </w:tc>
        <w:tc>
          <w:tcPr>
            <w:tcW w:w="620" w:type="dxa"/>
            <w:vAlign w:val="bottom"/>
          </w:tcPr>
          <w:p>
            <w:pPr>
              <w:ind w:left="300"/>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38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36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373535"/>
                <w:w w:val="93"/>
              </w:rPr>
              <w:t>—</w:t>
            </w:r>
          </w:p>
        </w:tc>
      </w:tr>
      <w:tr>
        <w:trPr>
          <w:trHeight w:val="194"/>
        </w:trPr>
        <w:tc>
          <w:tcPr>
            <w:tcW w:w="2460" w:type="dxa"/>
            <w:vAlign w:val="bottom"/>
          </w:tcPr>
          <w:p>
            <w:pPr>
              <w:ind w:left="160"/>
              <w:spacing w:after="0" w:line="194" w:lineRule="exact"/>
              <w:rPr>
                <w:sz w:val="20"/>
                <w:szCs w:val="20"/>
                <w:color w:val="auto"/>
              </w:rPr>
            </w:pPr>
            <w:r>
              <w:rPr>
                <w:rFonts w:ascii="Arial" w:cs="Arial" w:eastAsia="Arial" w:hAnsi="Arial"/>
                <w:sz w:val="17"/>
                <w:szCs w:val="17"/>
                <w:color w:val="373535"/>
              </w:rPr>
              <w:t>Guaranteed insurance</w:t>
            </w: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6"/>
        </w:trPr>
        <w:tc>
          <w:tcPr>
            <w:tcW w:w="2460" w:type="dxa"/>
            <w:vAlign w:val="bottom"/>
          </w:tcPr>
          <w:p>
            <w:pPr>
              <w:ind w:left="300"/>
              <w:spacing w:after="0"/>
              <w:rPr>
                <w:sz w:val="20"/>
                <w:szCs w:val="20"/>
                <w:color w:val="auto"/>
              </w:rPr>
            </w:pPr>
            <w:r>
              <w:rPr>
                <w:rFonts w:ascii="Arial" w:cs="Arial" w:eastAsia="Arial" w:hAnsi="Arial"/>
                <w:sz w:val="17"/>
                <w:szCs w:val="17"/>
                <w:color w:val="373535"/>
              </w:rPr>
              <w:t>contracts</w:t>
            </w:r>
          </w:p>
        </w:tc>
        <w:tc>
          <w:tcPr>
            <w:tcW w:w="58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7"/>
                <w:szCs w:val="17"/>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7"/>
                <w:szCs w:val="17"/>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20" w:type="dxa"/>
            <w:vAlign w:val="bottom"/>
          </w:tcPr>
          <w:p>
            <w:pPr>
              <w:spacing w:after="0"/>
              <w:rPr>
                <w:sz w:val="17"/>
                <w:szCs w:val="17"/>
                <w:color w:val="auto"/>
              </w:rPr>
            </w:pPr>
          </w:p>
        </w:tc>
        <w:tc>
          <w:tcPr>
            <w:tcW w:w="620" w:type="dxa"/>
            <w:vAlign w:val="bottom"/>
          </w:tcPr>
          <w:p>
            <w:pPr>
              <w:ind w:left="300"/>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17"/>
                <w:szCs w:val="17"/>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373535"/>
              </w:rPr>
              <w:t>112.9</w:t>
            </w:r>
          </w:p>
        </w:tc>
        <w:tc>
          <w:tcPr>
            <w:tcW w:w="380" w:type="dxa"/>
            <w:vAlign w:val="bottom"/>
          </w:tcPr>
          <w:p>
            <w:pPr>
              <w:spacing w:after="0"/>
              <w:rPr>
                <w:sz w:val="17"/>
                <w:szCs w:val="17"/>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360" w:type="dxa"/>
            <w:vAlign w:val="bottom"/>
          </w:tcPr>
          <w:p>
            <w:pPr>
              <w:spacing w:after="0"/>
              <w:rPr>
                <w:sz w:val="17"/>
                <w:szCs w:val="17"/>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112.9</w:t>
            </w:r>
          </w:p>
        </w:tc>
        <w:tc>
          <w:tcPr>
            <w:tcW w:w="500" w:type="dxa"/>
            <w:vAlign w:val="bottom"/>
          </w:tcPr>
          <w:p>
            <w:pPr>
              <w:spacing w:after="0"/>
              <w:rPr>
                <w:sz w:val="17"/>
                <w:szCs w:val="17"/>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373535"/>
                <w:w w:val="93"/>
              </w:rPr>
              <w:t>—</w:t>
            </w:r>
          </w:p>
        </w:tc>
      </w:tr>
      <w:tr>
        <w:trPr>
          <w:trHeight w:val="202"/>
        </w:trPr>
        <w:tc>
          <w:tcPr>
            <w:tcW w:w="2460" w:type="dxa"/>
            <w:vAlign w:val="bottom"/>
          </w:tcPr>
          <w:p>
            <w:pPr>
              <w:spacing w:after="0"/>
              <w:rPr>
                <w:sz w:val="20"/>
                <w:szCs w:val="20"/>
                <w:color w:val="auto"/>
              </w:rPr>
            </w:pPr>
            <w:r>
              <w:rPr>
                <w:rFonts w:ascii="Arial" w:cs="Arial" w:eastAsia="Arial" w:hAnsi="Arial"/>
                <w:sz w:val="17"/>
                <w:szCs w:val="17"/>
                <w:color w:val="373535"/>
              </w:rPr>
              <w:t>Other types of investments:</w:t>
            </w: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1"/>
        </w:trPr>
        <w:tc>
          <w:tcPr>
            <w:tcW w:w="2460" w:type="dxa"/>
            <w:vAlign w:val="bottom"/>
          </w:tcPr>
          <w:p>
            <w:pPr>
              <w:ind w:left="160"/>
              <w:spacing w:after="0" w:line="211" w:lineRule="exact"/>
              <w:rPr>
                <w:sz w:val="20"/>
                <w:szCs w:val="20"/>
                <w:color w:val="auto"/>
              </w:rPr>
            </w:pPr>
            <w:r>
              <w:rPr>
                <w:rFonts w:ascii="Arial" w:cs="Arial" w:eastAsia="Arial" w:hAnsi="Arial"/>
                <w:sz w:val="17"/>
                <w:szCs w:val="17"/>
                <w:color w:val="373535"/>
              </w:rPr>
              <w:t>Unitized funds</w:t>
            </w:r>
            <w:r>
              <w:rPr>
                <w:rFonts w:ascii="Arial" w:cs="Arial" w:eastAsia="Arial" w:hAnsi="Arial"/>
                <w:sz w:val="24"/>
                <w:szCs w:val="24"/>
                <w:color w:val="373535"/>
                <w:vertAlign w:val="superscript"/>
              </w:rPr>
              <w:t>(3)</w:t>
            </w:r>
          </w:p>
        </w:tc>
        <w:tc>
          <w:tcPr>
            <w:tcW w:w="58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8"/>
                <w:szCs w:val="18"/>
                <w:color w:val="auto"/>
              </w:rPr>
            </w:pPr>
          </w:p>
        </w:tc>
        <w:tc>
          <w:tcPr>
            <w:tcW w:w="66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42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2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Arial" w:cs="Arial" w:eastAsia="Arial" w:hAnsi="Arial"/>
                <w:sz w:val="17"/>
                <w:szCs w:val="17"/>
                <w:color w:val="373535"/>
              </w:rPr>
              <w:t>—</w:t>
            </w:r>
          </w:p>
        </w:tc>
        <w:tc>
          <w:tcPr>
            <w:tcW w:w="460" w:type="dxa"/>
            <w:vAlign w:val="bottom"/>
          </w:tcPr>
          <w:p>
            <w:pPr>
              <w:spacing w:after="0"/>
              <w:rPr>
                <w:sz w:val="18"/>
                <w:szCs w:val="18"/>
                <w:color w:val="auto"/>
              </w:rPr>
            </w:pPr>
          </w:p>
        </w:tc>
        <w:tc>
          <w:tcPr>
            <w:tcW w:w="740" w:type="dxa"/>
            <w:vAlign w:val="bottom"/>
          </w:tcPr>
          <w:p>
            <w:pPr>
              <w:jc w:val="right"/>
              <w:ind w:right="14"/>
              <w:spacing w:after="0"/>
              <w:rPr>
                <w:sz w:val="20"/>
                <w:szCs w:val="20"/>
                <w:color w:val="auto"/>
              </w:rPr>
            </w:pPr>
            <w:r>
              <w:rPr>
                <w:rFonts w:ascii="Arial" w:cs="Arial" w:eastAsia="Arial" w:hAnsi="Arial"/>
                <w:sz w:val="17"/>
                <w:szCs w:val="17"/>
                <w:color w:val="373535"/>
              </w:rPr>
              <w:t>101.3</w:t>
            </w:r>
          </w:p>
        </w:tc>
        <w:tc>
          <w:tcPr>
            <w:tcW w:w="3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373535"/>
              </w:rPr>
              <w:t>101.3</w:t>
            </w:r>
          </w:p>
        </w:tc>
        <w:tc>
          <w:tcPr>
            <w:tcW w:w="36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373535"/>
              </w:rPr>
              <w:t>—</w:t>
            </w:r>
          </w:p>
        </w:tc>
        <w:tc>
          <w:tcPr>
            <w:tcW w:w="50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7"/>
                <w:szCs w:val="17"/>
                <w:color w:val="373535"/>
                <w:w w:val="93"/>
              </w:rPr>
              <w:t>—</w:t>
            </w:r>
          </w:p>
        </w:tc>
      </w:tr>
      <w:tr>
        <w:trPr>
          <w:trHeight w:val="194"/>
        </w:trPr>
        <w:tc>
          <w:tcPr>
            <w:tcW w:w="2460" w:type="dxa"/>
            <w:vAlign w:val="bottom"/>
            <w:tcBorders>
              <w:bottom w:val="single" w:sz="8" w:color="717073"/>
            </w:tcBorders>
          </w:tcPr>
          <w:p>
            <w:pPr>
              <w:ind w:left="160"/>
              <w:spacing w:after="0" w:line="194" w:lineRule="exact"/>
              <w:rPr>
                <w:sz w:val="20"/>
                <w:szCs w:val="20"/>
                <w:color w:val="auto"/>
              </w:rPr>
            </w:pPr>
            <w:r>
              <w:rPr>
                <w:rFonts w:ascii="Arial" w:cs="Arial" w:eastAsia="Arial" w:hAnsi="Arial"/>
                <w:sz w:val="17"/>
                <w:szCs w:val="17"/>
                <w:color w:val="373535"/>
              </w:rPr>
              <w:t>Real estate funds</w:t>
            </w:r>
          </w:p>
        </w:tc>
        <w:tc>
          <w:tcPr>
            <w:tcW w:w="5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2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420" w:type="dxa"/>
            <w:vAlign w:val="bottom"/>
            <w:tcBorders>
              <w:bottom w:val="single" w:sz="8" w:color="717073"/>
            </w:tcBorders>
          </w:tcPr>
          <w:p>
            <w:pPr>
              <w:spacing w:after="0"/>
              <w:rPr>
                <w:sz w:val="16"/>
                <w:szCs w:val="16"/>
                <w:color w:val="auto"/>
              </w:rPr>
            </w:pPr>
          </w:p>
        </w:tc>
        <w:tc>
          <w:tcPr>
            <w:tcW w:w="64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520" w:type="dxa"/>
            <w:vAlign w:val="bottom"/>
            <w:tcBorders>
              <w:bottom w:val="single" w:sz="8" w:color="717073"/>
            </w:tcBorders>
          </w:tcPr>
          <w:p>
            <w:pPr>
              <w:spacing w:after="0"/>
              <w:rPr>
                <w:sz w:val="16"/>
                <w:szCs w:val="16"/>
                <w:color w:val="auto"/>
              </w:rPr>
            </w:pPr>
          </w:p>
        </w:tc>
        <w:tc>
          <w:tcPr>
            <w:tcW w:w="620" w:type="dxa"/>
            <w:vAlign w:val="bottom"/>
            <w:tcBorders>
              <w:bottom w:val="single" w:sz="8" w:color="717073"/>
            </w:tcBorders>
          </w:tcPr>
          <w:p>
            <w:pPr>
              <w:ind w:left="300"/>
              <w:spacing w:after="0" w:line="194" w:lineRule="exact"/>
              <w:rPr>
                <w:sz w:val="20"/>
                <w:szCs w:val="20"/>
                <w:color w:val="auto"/>
              </w:rPr>
            </w:pPr>
            <w:r>
              <w:rPr>
                <w:rFonts w:ascii="Arial" w:cs="Arial" w:eastAsia="Arial" w:hAnsi="Arial"/>
                <w:sz w:val="17"/>
                <w:szCs w:val="17"/>
                <w:color w:val="373535"/>
              </w:rPr>
              <w:t>—</w:t>
            </w:r>
          </w:p>
        </w:tc>
        <w:tc>
          <w:tcPr>
            <w:tcW w:w="46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6.8</w:t>
            </w:r>
          </w:p>
        </w:tc>
        <w:tc>
          <w:tcPr>
            <w:tcW w:w="380" w:type="dxa"/>
            <w:vAlign w:val="bottom"/>
            <w:tcBorders>
              <w:bottom w:val="single" w:sz="8" w:color="717073"/>
            </w:tcBorders>
          </w:tcPr>
          <w:p>
            <w:pPr>
              <w:spacing w:after="0"/>
              <w:rPr>
                <w:sz w:val="16"/>
                <w:szCs w:val="16"/>
                <w:color w:val="auto"/>
              </w:rPr>
            </w:pPr>
          </w:p>
        </w:tc>
        <w:tc>
          <w:tcPr>
            <w:tcW w:w="72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w:t>
            </w:r>
          </w:p>
        </w:tc>
        <w:tc>
          <w:tcPr>
            <w:tcW w:w="360" w:type="dxa"/>
            <w:vAlign w:val="bottom"/>
            <w:tcBorders>
              <w:bottom w:val="single" w:sz="8" w:color="717073"/>
            </w:tcBorders>
          </w:tcPr>
          <w:p>
            <w:pPr>
              <w:spacing w:after="0"/>
              <w:rPr>
                <w:sz w:val="16"/>
                <w:szCs w:val="16"/>
                <w:color w:val="auto"/>
              </w:rPr>
            </w:pPr>
          </w:p>
        </w:tc>
        <w:tc>
          <w:tcPr>
            <w:tcW w:w="700" w:type="dxa"/>
            <w:vAlign w:val="bottom"/>
            <w:tcBorders>
              <w:bottom w:val="single" w:sz="8" w:color="717073"/>
            </w:tcBorders>
          </w:tcPr>
          <w:p>
            <w:pPr>
              <w:jc w:val="right"/>
              <w:ind w:right="14"/>
              <w:spacing w:after="0" w:line="194" w:lineRule="exact"/>
              <w:rPr>
                <w:sz w:val="20"/>
                <w:szCs w:val="20"/>
                <w:color w:val="auto"/>
              </w:rPr>
            </w:pPr>
            <w:r>
              <w:rPr>
                <w:rFonts w:ascii="Arial" w:cs="Arial" w:eastAsia="Arial" w:hAnsi="Arial"/>
                <w:sz w:val="17"/>
                <w:szCs w:val="17"/>
                <w:color w:val="373535"/>
              </w:rPr>
              <w:t>6.8</w:t>
            </w:r>
          </w:p>
        </w:tc>
        <w:tc>
          <w:tcPr>
            <w:tcW w:w="50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tcPr>
          <w:p>
            <w:pPr>
              <w:ind w:left="300"/>
              <w:spacing w:after="0" w:line="194" w:lineRule="exact"/>
              <w:rPr>
                <w:sz w:val="20"/>
                <w:szCs w:val="20"/>
                <w:color w:val="auto"/>
              </w:rPr>
            </w:pPr>
            <w:r>
              <w:rPr>
                <w:rFonts w:ascii="Arial" w:cs="Arial" w:eastAsia="Arial" w:hAnsi="Arial"/>
                <w:sz w:val="17"/>
                <w:szCs w:val="17"/>
                <w:color w:val="373535"/>
                <w:w w:val="93"/>
              </w:rPr>
              <w:t>—</w:t>
            </w:r>
          </w:p>
        </w:tc>
      </w:tr>
      <w:tr>
        <w:trPr>
          <w:trHeight w:val="199"/>
        </w:trPr>
        <w:tc>
          <w:tcPr>
            <w:tcW w:w="2460" w:type="dxa"/>
            <w:vAlign w:val="bottom"/>
            <w:tcBorders>
              <w:bottom w:val="single" w:sz="8" w:color="717073"/>
            </w:tcBorders>
          </w:tcPr>
          <w:p>
            <w:pPr>
              <w:spacing w:after="0"/>
              <w:rPr>
                <w:sz w:val="17"/>
                <w:szCs w:val="17"/>
                <w:color w:val="auto"/>
              </w:rPr>
            </w:pPr>
          </w:p>
        </w:tc>
        <w:tc>
          <w:tcPr>
            <w:tcW w:w="580" w:type="dxa"/>
            <w:vAlign w:val="bottom"/>
            <w:tcBorders>
              <w:bottom w:val="single" w:sz="8" w:color="717073"/>
            </w:tcBorders>
          </w:tcPr>
          <w:p>
            <w:pPr>
              <w:jc w:val="right"/>
              <w:ind w:right="134"/>
              <w:spacing w:after="0"/>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ind w:right="14"/>
              <w:spacing w:after="0"/>
              <w:rPr>
                <w:sz w:val="20"/>
                <w:szCs w:val="20"/>
                <w:color w:val="auto"/>
              </w:rPr>
            </w:pPr>
            <w:r>
              <w:rPr>
                <w:rFonts w:ascii="Arial" w:cs="Arial" w:eastAsia="Arial" w:hAnsi="Arial"/>
                <w:sz w:val="17"/>
                <w:szCs w:val="17"/>
                <w:color w:val="373535"/>
              </w:rPr>
              <w:t>36.0</w:t>
            </w:r>
          </w:p>
        </w:tc>
        <w:tc>
          <w:tcPr>
            <w:tcW w:w="420" w:type="dxa"/>
            <w:vAlign w:val="bottom"/>
            <w:tcBorders>
              <w:bottom w:val="single" w:sz="8" w:color="717073"/>
            </w:tcBorders>
          </w:tcPr>
          <w:p>
            <w:pPr>
              <w:jc w:val="right"/>
              <w:ind w:right="154"/>
              <w:spacing w:after="0"/>
              <w:rPr>
                <w:sz w:val="20"/>
                <w:szCs w:val="20"/>
                <w:color w:val="auto"/>
              </w:rPr>
            </w:pPr>
            <w:r>
              <w:rPr>
                <w:rFonts w:ascii="Arial" w:cs="Arial" w:eastAsia="Arial" w:hAnsi="Arial"/>
                <w:sz w:val="17"/>
                <w:szCs w:val="17"/>
                <w:color w:val="373535"/>
              </w:rPr>
              <w:t>$</w:t>
            </w:r>
          </w:p>
        </w:tc>
        <w:tc>
          <w:tcPr>
            <w:tcW w:w="660" w:type="dxa"/>
            <w:vAlign w:val="bottom"/>
            <w:tcBorders>
              <w:bottom w:val="single" w:sz="8" w:color="717073"/>
            </w:tcBorders>
          </w:tcPr>
          <w:p>
            <w:pPr>
              <w:jc w:val="right"/>
              <w:ind w:right="14"/>
              <w:spacing w:after="0"/>
              <w:rPr>
                <w:sz w:val="20"/>
                <w:szCs w:val="20"/>
                <w:color w:val="auto"/>
              </w:rPr>
            </w:pPr>
            <w:r>
              <w:rPr>
                <w:rFonts w:ascii="Arial" w:cs="Arial" w:eastAsia="Arial" w:hAnsi="Arial"/>
                <w:sz w:val="17"/>
                <w:szCs w:val="17"/>
                <w:color w:val="373535"/>
              </w:rPr>
              <w:t>17.9</w:t>
            </w:r>
          </w:p>
        </w:tc>
        <w:tc>
          <w:tcPr>
            <w:tcW w:w="420" w:type="dxa"/>
            <w:vAlign w:val="bottom"/>
            <w:tcBorders>
              <w:bottom w:val="single" w:sz="8" w:color="717073"/>
            </w:tcBorders>
          </w:tcPr>
          <w:p>
            <w:pPr>
              <w:jc w:val="right"/>
              <w:ind w:right="134"/>
              <w:spacing w:after="0"/>
              <w:rPr>
                <w:sz w:val="20"/>
                <w:szCs w:val="20"/>
                <w:color w:val="auto"/>
              </w:rPr>
            </w:pPr>
            <w:r>
              <w:rPr>
                <w:rFonts w:ascii="Arial" w:cs="Arial" w:eastAsia="Arial" w:hAnsi="Arial"/>
                <w:sz w:val="17"/>
                <w:szCs w:val="17"/>
                <w:color w:val="373535"/>
              </w:rPr>
              <w:t>$</w:t>
            </w:r>
          </w:p>
        </w:tc>
        <w:tc>
          <w:tcPr>
            <w:tcW w:w="640" w:type="dxa"/>
            <w:vAlign w:val="bottom"/>
            <w:tcBorders>
              <w:bottom w:val="single" w:sz="8" w:color="717073"/>
            </w:tcBorders>
          </w:tcPr>
          <w:p>
            <w:pPr>
              <w:jc w:val="right"/>
              <w:ind w:right="14"/>
              <w:spacing w:after="0"/>
              <w:rPr>
                <w:sz w:val="20"/>
                <w:szCs w:val="20"/>
                <w:color w:val="auto"/>
              </w:rPr>
            </w:pPr>
            <w:r>
              <w:rPr>
                <w:rFonts w:ascii="Arial" w:cs="Arial" w:eastAsia="Arial" w:hAnsi="Arial"/>
                <w:sz w:val="17"/>
                <w:szCs w:val="17"/>
                <w:color w:val="373535"/>
              </w:rPr>
              <w:t>18.1</w:t>
            </w:r>
          </w:p>
        </w:tc>
        <w:tc>
          <w:tcPr>
            <w:tcW w:w="520" w:type="dxa"/>
            <w:vAlign w:val="bottom"/>
            <w:tcBorders>
              <w:bottom w:val="single" w:sz="8" w:color="717073"/>
            </w:tcBorders>
          </w:tcPr>
          <w:p>
            <w:pPr>
              <w:jc w:val="right"/>
              <w:ind w:right="234"/>
              <w:spacing w:after="0"/>
              <w:rPr>
                <w:sz w:val="20"/>
                <w:szCs w:val="20"/>
                <w:color w:val="auto"/>
              </w:rPr>
            </w:pPr>
            <w:r>
              <w:rPr>
                <w:rFonts w:ascii="Arial" w:cs="Arial" w:eastAsia="Arial" w:hAnsi="Arial"/>
                <w:sz w:val="17"/>
                <w:szCs w:val="17"/>
                <w:color w:val="373535"/>
              </w:rPr>
              <w:t>$</w:t>
            </w:r>
          </w:p>
        </w:tc>
        <w:tc>
          <w:tcPr>
            <w:tcW w:w="620" w:type="dxa"/>
            <w:vAlign w:val="bottom"/>
            <w:tcBorders>
              <w:bottom w:val="single" w:sz="8" w:color="717073"/>
            </w:tcBorders>
          </w:tcPr>
          <w:p>
            <w:pPr>
              <w:ind w:left="300"/>
              <w:spacing w:after="0"/>
              <w:rPr>
                <w:sz w:val="20"/>
                <w:szCs w:val="20"/>
                <w:color w:val="auto"/>
              </w:rPr>
            </w:pPr>
            <w:r>
              <w:rPr>
                <w:rFonts w:ascii="Arial" w:cs="Arial" w:eastAsia="Arial" w:hAnsi="Arial"/>
                <w:sz w:val="17"/>
                <w:szCs w:val="17"/>
                <w:color w:val="373535"/>
              </w:rPr>
              <w:t>—</w:t>
            </w:r>
          </w:p>
        </w:tc>
        <w:tc>
          <w:tcPr>
            <w:tcW w:w="460" w:type="dxa"/>
            <w:vAlign w:val="bottom"/>
            <w:tcBorders>
              <w:bottom w:val="single" w:sz="8" w:color="717073"/>
            </w:tcBorders>
          </w:tcPr>
          <w:p>
            <w:pPr>
              <w:jc w:val="right"/>
              <w:ind w:right="134"/>
              <w:spacing w:after="0"/>
              <w:rPr>
                <w:sz w:val="20"/>
                <w:szCs w:val="20"/>
                <w:color w:val="auto"/>
              </w:rPr>
            </w:pPr>
            <w:r>
              <w:rPr>
                <w:rFonts w:ascii="Arial" w:cs="Arial" w:eastAsia="Arial" w:hAnsi="Arial"/>
                <w:sz w:val="17"/>
                <w:szCs w:val="17"/>
                <w:color w:val="373535"/>
              </w:rPr>
              <w:t>$</w:t>
            </w:r>
          </w:p>
        </w:tc>
        <w:tc>
          <w:tcPr>
            <w:tcW w:w="740" w:type="dxa"/>
            <w:vAlign w:val="bottom"/>
            <w:tcBorders>
              <w:bottom w:val="single" w:sz="8" w:color="717073"/>
            </w:tcBorders>
          </w:tcPr>
          <w:p>
            <w:pPr>
              <w:jc w:val="right"/>
              <w:ind w:right="14"/>
              <w:spacing w:after="0"/>
              <w:rPr>
                <w:sz w:val="20"/>
                <w:szCs w:val="20"/>
                <w:color w:val="auto"/>
              </w:rPr>
            </w:pPr>
            <w:r>
              <w:rPr>
                <w:rFonts w:ascii="Arial" w:cs="Arial" w:eastAsia="Arial" w:hAnsi="Arial"/>
                <w:sz w:val="17"/>
                <w:szCs w:val="17"/>
                <w:color w:val="373535"/>
              </w:rPr>
              <w:t>296.4</w:t>
            </w:r>
          </w:p>
        </w:tc>
        <w:tc>
          <w:tcPr>
            <w:tcW w:w="380" w:type="dxa"/>
            <w:vAlign w:val="bottom"/>
            <w:tcBorders>
              <w:bottom w:val="single" w:sz="8" w:color="717073"/>
            </w:tcBorders>
          </w:tcPr>
          <w:p>
            <w:pPr>
              <w:jc w:val="right"/>
              <w:ind w:right="94"/>
              <w:spacing w:after="0"/>
              <w:rPr>
                <w:sz w:val="20"/>
                <w:szCs w:val="20"/>
                <w:color w:val="auto"/>
              </w:rPr>
            </w:pPr>
            <w:r>
              <w:rPr>
                <w:rFonts w:ascii="Arial" w:cs="Arial" w:eastAsia="Arial" w:hAnsi="Arial"/>
                <w:sz w:val="17"/>
                <w:szCs w:val="17"/>
                <w:color w:val="373535"/>
              </w:rPr>
              <w:t>$</w:t>
            </w:r>
          </w:p>
        </w:tc>
        <w:tc>
          <w:tcPr>
            <w:tcW w:w="720" w:type="dxa"/>
            <w:vAlign w:val="bottom"/>
            <w:tcBorders>
              <w:bottom w:val="single" w:sz="8" w:color="717073"/>
            </w:tcBorders>
          </w:tcPr>
          <w:p>
            <w:pPr>
              <w:jc w:val="right"/>
              <w:ind w:right="14"/>
              <w:spacing w:after="0"/>
              <w:rPr>
                <w:sz w:val="20"/>
                <w:szCs w:val="20"/>
                <w:color w:val="auto"/>
              </w:rPr>
            </w:pPr>
            <w:r>
              <w:rPr>
                <w:rFonts w:ascii="Arial" w:cs="Arial" w:eastAsia="Arial" w:hAnsi="Arial"/>
                <w:sz w:val="17"/>
                <w:szCs w:val="17"/>
                <w:color w:val="373535"/>
              </w:rPr>
              <w:t>176.7</w:t>
            </w:r>
          </w:p>
        </w:tc>
        <w:tc>
          <w:tcPr>
            <w:tcW w:w="360" w:type="dxa"/>
            <w:vAlign w:val="bottom"/>
            <w:tcBorders>
              <w:bottom w:val="single" w:sz="8" w:color="717073"/>
            </w:tcBorders>
          </w:tcPr>
          <w:p>
            <w:pPr>
              <w:jc w:val="right"/>
              <w:ind w:right="74"/>
              <w:spacing w:after="0"/>
              <w:rPr>
                <w:sz w:val="20"/>
                <w:szCs w:val="20"/>
                <w:color w:val="auto"/>
              </w:rPr>
            </w:pPr>
            <w:r>
              <w:rPr>
                <w:rFonts w:ascii="Arial" w:cs="Arial" w:eastAsia="Arial" w:hAnsi="Arial"/>
                <w:sz w:val="17"/>
                <w:szCs w:val="17"/>
                <w:color w:val="373535"/>
              </w:rPr>
              <w:t>$</w:t>
            </w:r>
          </w:p>
        </w:tc>
        <w:tc>
          <w:tcPr>
            <w:tcW w:w="700" w:type="dxa"/>
            <w:vAlign w:val="bottom"/>
            <w:tcBorders>
              <w:bottom w:val="single" w:sz="8" w:color="717073"/>
            </w:tcBorders>
          </w:tcPr>
          <w:p>
            <w:pPr>
              <w:jc w:val="right"/>
              <w:ind w:right="14"/>
              <w:spacing w:after="0"/>
              <w:rPr>
                <w:sz w:val="20"/>
                <w:szCs w:val="20"/>
                <w:color w:val="auto"/>
              </w:rPr>
            </w:pPr>
            <w:r>
              <w:rPr>
                <w:rFonts w:ascii="Arial" w:cs="Arial" w:eastAsia="Arial" w:hAnsi="Arial"/>
                <w:sz w:val="17"/>
                <w:szCs w:val="17"/>
                <w:color w:val="373535"/>
              </w:rPr>
              <w:t>119.7</w:t>
            </w:r>
          </w:p>
        </w:tc>
        <w:tc>
          <w:tcPr>
            <w:tcW w:w="500" w:type="dxa"/>
            <w:vAlign w:val="bottom"/>
            <w:tcBorders>
              <w:bottom w:val="single" w:sz="8" w:color="717073"/>
            </w:tcBorders>
          </w:tcPr>
          <w:p>
            <w:pPr>
              <w:jc w:val="right"/>
              <w:ind w:right="214"/>
              <w:spacing w:after="0"/>
              <w:rPr>
                <w:sz w:val="20"/>
                <w:szCs w:val="20"/>
                <w:color w:val="auto"/>
              </w:rPr>
            </w:pPr>
            <w:r>
              <w:rPr>
                <w:rFonts w:ascii="Arial" w:cs="Arial" w:eastAsia="Arial" w:hAnsi="Arial"/>
                <w:sz w:val="17"/>
                <w:szCs w:val="17"/>
                <w:color w:val="373535"/>
              </w:rPr>
              <w:t>$</w:t>
            </w:r>
          </w:p>
        </w:tc>
        <w:tc>
          <w:tcPr>
            <w:tcW w:w="480" w:type="dxa"/>
            <w:vAlign w:val="bottom"/>
            <w:tcBorders>
              <w:bottom w:val="single" w:sz="8" w:color="717073"/>
            </w:tcBorders>
          </w:tcPr>
          <w:p>
            <w:pPr>
              <w:ind w:left="300"/>
              <w:spacing w:after="0"/>
              <w:rPr>
                <w:sz w:val="20"/>
                <w:szCs w:val="20"/>
                <w:color w:val="auto"/>
              </w:rPr>
            </w:pPr>
            <w:r>
              <w:rPr>
                <w:rFonts w:ascii="Arial" w:cs="Arial" w:eastAsia="Arial" w:hAnsi="Arial"/>
                <w:sz w:val="17"/>
                <w:szCs w:val="17"/>
                <w:color w:val="373535"/>
                <w:w w:val="93"/>
              </w:rPr>
              <w:t>—</w:t>
            </w:r>
          </w:p>
        </w:tc>
      </w:tr>
    </w:tbl>
    <w:p>
      <w:pPr>
        <w:spacing w:after="0" w:line="193" w:lineRule="exact"/>
        <w:rPr>
          <w:sz w:val="20"/>
          <w:szCs w:val="20"/>
          <w:color w:val="auto"/>
        </w:rPr>
      </w:pPr>
    </w:p>
    <w:p>
      <w:pPr>
        <w:ind w:left="360" w:hanging="357"/>
        <w:spacing w:after="0"/>
        <w:tabs>
          <w:tab w:leader="none" w:pos="360" w:val="left"/>
        </w:tabs>
        <w:numPr>
          <w:ilvl w:val="0"/>
          <w:numId w:val="110"/>
        </w:numPr>
        <w:rPr>
          <w:rFonts w:ascii="Arial" w:cs="Arial" w:eastAsia="Arial" w:hAnsi="Arial"/>
          <w:sz w:val="17"/>
          <w:szCs w:val="17"/>
          <w:color w:val="373535"/>
        </w:rPr>
      </w:pPr>
      <w:r>
        <w:rPr>
          <w:rFonts w:ascii="Arial" w:cs="Arial" w:eastAsia="Arial" w:hAnsi="Arial"/>
          <w:sz w:val="17"/>
          <w:szCs w:val="17"/>
          <w:color w:val="373535"/>
        </w:rPr>
        <w:t>This category includes a prime obligations money market portfolio.</w:t>
      </w:r>
    </w:p>
    <w:p>
      <w:pPr>
        <w:spacing w:after="0" w:line="191" w:lineRule="exact"/>
        <w:rPr>
          <w:rFonts w:ascii="Arial" w:cs="Arial" w:eastAsia="Arial" w:hAnsi="Arial"/>
          <w:sz w:val="17"/>
          <w:szCs w:val="17"/>
          <w:color w:val="373535"/>
        </w:rPr>
      </w:pPr>
    </w:p>
    <w:p>
      <w:pPr>
        <w:ind w:left="360" w:hanging="357"/>
        <w:spacing w:after="0"/>
        <w:tabs>
          <w:tab w:leader="none" w:pos="360" w:val="left"/>
        </w:tabs>
        <w:numPr>
          <w:ilvl w:val="0"/>
          <w:numId w:val="110"/>
        </w:numPr>
        <w:rPr>
          <w:rFonts w:ascii="Arial" w:cs="Arial" w:eastAsia="Arial" w:hAnsi="Arial"/>
          <w:sz w:val="17"/>
          <w:szCs w:val="17"/>
          <w:color w:val="373535"/>
        </w:rPr>
      </w:pPr>
      <w:r>
        <w:rPr>
          <w:rFonts w:ascii="Arial" w:cs="Arial" w:eastAsia="Arial" w:hAnsi="Arial"/>
          <w:sz w:val="17"/>
          <w:szCs w:val="17"/>
          <w:color w:val="373535"/>
        </w:rPr>
        <w:t>This category includes United States Treasury/Federal agency securities and foreign government securities.</w:t>
      </w:r>
    </w:p>
    <w:p>
      <w:pPr>
        <w:spacing w:after="0" w:line="191" w:lineRule="exact"/>
        <w:rPr>
          <w:rFonts w:ascii="Arial" w:cs="Arial" w:eastAsia="Arial" w:hAnsi="Arial"/>
          <w:sz w:val="17"/>
          <w:szCs w:val="17"/>
          <w:color w:val="373535"/>
        </w:rPr>
      </w:pPr>
    </w:p>
    <w:p>
      <w:pPr>
        <w:ind w:left="360" w:hanging="357"/>
        <w:spacing w:after="0"/>
        <w:tabs>
          <w:tab w:leader="none" w:pos="360" w:val="left"/>
        </w:tabs>
        <w:numPr>
          <w:ilvl w:val="0"/>
          <w:numId w:val="110"/>
        </w:numPr>
        <w:rPr>
          <w:rFonts w:ascii="Arial" w:cs="Arial" w:eastAsia="Arial" w:hAnsi="Arial"/>
          <w:sz w:val="17"/>
          <w:szCs w:val="17"/>
          <w:color w:val="373535"/>
        </w:rPr>
      </w:pPr>
      <w:r>
        <w:rPr>
          <w:rFonts w:ascii="Arial" w:cs="Arial" w:eastAsia="Arial" w:hAnsi="Arial"/>
          <w:sz w:val="17"/>
          <w:szCs w:val="17"/>
          <w:color w:val="373535"/>
        </w:rPr>
        <w:t>This category includes investments in approximately 80% fixed income securities and 20% equity.</w:t>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following table summarizes the changes in fair value of the insurance contract, which is measured using Level 3 inputs. These contracts were purchased upon amendment of our Dutch pension plan effective as of January 1, 2013. We determine that transfers between fair-value-measurement levels occur on the date of the event that caused the transfer.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Borders>
              <w:bottom w:val="single" w:sz="8" w:color="76AD9A"/>
            </w:tcBorders>
            <w:gridSpan w:val="2"/>
          </w:tcPr>
          <w:p>
            <w:pPr>
              <w:spacing w:after="0"/>
              <w:rPr>
                <w:sz w:val="20"/>
                <w:szCs w:val="20"/>
                <w:color w:val="auto"/>
              </w:rPr>
            </w:pPr>
            <w:r>
              <w:rPr>
                <w:rFonts w:ascii="Arial" w:cs="Arial" w:eastAsia="Arial" w:hAnsi="Arial"/>
                <w:sz w:val="14"/>
                <w:szCs w:val="14"/>
                <w:color w:val="76AD9A"/>
              </w:rPr>
              <w:t>Year Ended December 31</w:t>
            </w:r>
          </w:p>
        </w:tc>
        <w:tc>
          <w:tcPr>
            <w:tcW w:w="4000" w:type="dxa"/>
            <w:vAlign w:val="bottom"/>
            <w:tcBorders>
              <w:bottom w:val="single" w:sz="8" w:color="76AD9A"/>
            </w:tcBorders>
          </w:tcPr>
          <w:p>
            <w:pPr>
              <w:spacing w:after="0"/>
              <w:rPr>
                <w:sz w:val="14"/>
                <w:szCs w:val="14"/>
                <w:color w:val="auto"/>
              </w:rPr>
            </w:pPr>
          </w:p>
        </w:tc>
        <w:tc>
          <w:tcPr>
            <w:tcW w:w="640" w:type="dxa"/>
            <w:vAlign w:val="bottom"/>
            <w:tcBorders>
              <w:bottom w:val="single" w:sz="8" w:color="76AD9A"/>
            </w:tcBorders>
          </w:tcPr>
          <w:p>
            <w:pPr>
              <w:jc w:val="right"/>
              <w:spacing w:after="0"/>
              <w:rPr>
                <w:sz w:val="20"/>
                <w:szCs w:val="20"/>
                <w:color w:val="auto"/>
              </w:rPr>
            </w:pPr>
            <w:r>
              <w:rPr>
                <w:rFonts w:ascii="Arial" w:cs="Arial" w:eastAsia="Arial" w:hAnsi="Arial"/>
                <w:sz w:val="14"/>
                <w:szCs w:val="14"/>
                <w:color w:val="76AD9A"/>
              </w:rPr>
              <w:t>2013</w:t>
            </w:r>
          </w:p>
        </w:tc>
        <w:tc>
          <w:tcPr>
            <w:tcW w:w="60" w:type="dxa"/>
            <w:vAlign w:val="bottom"/>
          </w:tcPr>
          <w:p>
            <w:pPr>
              <w:spacing w:after="0"/>
              <w:rPr>
                <w:sz w:val="14"/>
                <w:szCs w:val="14"/>
                <w:color w:val="auto"/>
              </w:rPr>
            </w:pPr>
          </w:p>
        </w:tc>
      </w:tr>
      <w:tr>
        <w:trPr>
          <w:trHeight w:val="224"/>
        </w:trPr>
        <w:tc>
          <w:tcPr>
            <w:tcW w:w="6680" w:type="dxa"/>
            <w:vAlign w:val="bottom"/>
            <w:gridSpan w:val="2"/>
          </w:tcPr>
          <w:p>
            <w:pPr>
              <w:spacing w:after="0"/>
              <w:rPr>
                <w:sz w:val="20"/>
                <w:szCs w:val="20"/>
                <w:color w:val="auto"/>
              </w:rPr>
            </w:pPr>
            <w:r>
              <w:rPr>
                <w:rFonts w:ascii="Arial" w:cs="Arial" w:eastAsia="Arial" w:hAnsi="Arial"/>
                <w:sz w:val="17"/>
                <w:szCs w:val="17"/>
                <w:color w:val="373535"/>
              </w:rPr>
              <w:t>Balance, beginning of year</w:t>
            </w:r>
          </w:p>
        </w:tc>
        <w:tc>
          <w:tcPr>
            <w:tcW w:w="4000" w:type="dxa"/>
            <w:vAlign w:val="bottom"/>
          </w:tcPr>
          <w:p>
            <w:pPr>
              <w:jc w:val="right"/>
              <w:ind w:right="214"/>
              <w:spacing w:after="0"/>
              <w:rPr>
                <w:sz w:val="20"/>
                <w:szCs w:val="20"/>
                <w:color w:val="auto"/>
              </w:rPr>
            </w:pPr>
            <w:r>
              <w:rPr>
                <w:rFonts w:ascii="Arial" w:cs="Arial" w:eastAsia="Arial" w:hAnsi="Arial"/>
                <w:sz w:val="17"/>
                <w:szCs w:val="17"/>
                <w:color w:val="373535"/>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373535"/>
              </w:rPr>
              <w:t>—</w:t>
            </w:r>
          </w:p>
        </w:tc>
      </w:tr>
      <w:tr>
        <w:trPr>
          <w:trHeight w:val="219"/>
        </w:trPr>
        <w:tc>
          <w:tcPr>
            <w:tcW w:w="2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7"/>
                <w:szCs w:val="17"/>
                <w:color w:val="373535"/>
              </w:rPr>
              <w:t>Transfers into Level 3</w:t>
            </w:r>
          </w:p>
        </w:tc>
        <w:tc>
          <w:tcPr>
            <w:tcW w:w="4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373535"/>
              </w:rPr>
              <w:t>85.9</w:t>
            </w:r>
          </w:p>
        </w:tc>
        <w:tc>
          <w:tcPr>
            <w:tcW w:w="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7"/>
                <w:szCs w:val="17"/>
                <w:color w:val="373535"/>
              </w:rPr>
              <w:t>Unrealized loss</w:t>
            </w:r>
          </w:p>
        </w:tc>
        <w:tc>
          <w:tcPr>
            <w:tcW w:w="40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373535"/>
              </w:rPr>
              <w:t>(7.7)</w:t>
            </w:r>
          </w:p>
        </w:tc>
      </w:tr>
      <w:tr>
        <w:trPr>
          <w:trHeight w:val="219"/>
        </w:trPr>
        <w:tc>
          <w:tcPr>
            <w:tcW w:w="20" w:type="dxa"/>
            <w:vAlign w:val="bottom"/>
          </w:tcPr>
          <w:p>
            <w:pPr>
              <w:spacing w:after="0"/>
              <w:rPr>
                <w:sz w:val="19"/>
                <w:szCs w:val="19"/>
                <w:color w:val="auto"/>
              </w:rPr>
            </w:pPr>
          </w:p>
        </w:tc>
        <w:tc>
          <w:tcPr>
            <w:tcW w:w="6660" w:type="dxa"/>
            <w:vAlign w:val="bottom"/>
          </w:tcPr>
          <w:p>
            <w:pPr>
              <w:ind w:left="140"/>
              <w:spacing w:after="0"/>
              <w:rPr>
                <w:sz w:val="20"/>
                <w:szCs w:val="20"/>
                <w:color w:val="auto"/>
              </w:rPr>
            </w:pPr>
            <w:r>
              <w:rPr>
                <w:rFonts w:ascii="Arial" w:cs="Arial" w:eastAsia="Arial" w:hAnsi="Arial"/>
                <w:sz w:val="17"/>
                <w:szCs w:val="17"/>
                <w:color w:val="373535"/>
              </w:rPr>
              <w:t>Purchases, sales and settlements, net</w:t>
            </w:r>
          </w:p>
        </w:tc>
        <w:tc>
          <w:tcPr>
            <w:tcW w:w="40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373535"/>
              </w:rPr>
              <w:t>(0.6)</w:t>
            </w:r>
          </w:p>
        </w:tc>
      </w:tr>
      <w:tr>
        <w:trPr>
          <w:trHeight w:val="208"/>
        </w:trPr>
        <w:tc>
          <w:tcPr>
            <w:tcW w:w="20" w:type="dxa"/>
            <w:vAlign w:val="bottom"/>
          </w:tcPr>
          <w:p>
            <w:pPr>
              <w:spacing w:after="0"/>
              <w:rPr>
                <w:sz w:val="18"/>
                <w:szCs w:val="18"/>
                <w:color w:val="auto"/>
              </w:rPr>
            </w:pPr>
          </w:p>
        </w:tc>
        <w:tc>
          <w:tcPr>
            <w:tcW w:w="666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Currency exchange rate changes</w:t>
            </w:r>
          </w:p>
        </w:tc>
        <w:tc>
          <w:tcPr>
            <w:tcW w:w="4000" w:type="dxa"/>
            <w:vAlign w:val="bottom"/>
            <w:tcBorders>
              <w:bottom w:val="single" w:sz="8" w:color="717073"/>
            </w:tcBorders>
          </w:tcPr>
          <w:p>
            <w:pPr>
              <w:spacing w:after="0"/>
              <w:rPr>
                <w:sz w:val="18"/>
                <w:szCs w:val="18"/>
                <w:color w:val="auto"/>
              </w:rPr>
            </w:pPr>
          </w:p>
        </w:tc>
        <w:tc>
          <w:tcPr>
            <w:tcW w:w="6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3.3</w:t>
            </w:r>
          </w:p>
        </w:tc>
        <w:tc>
          <w:tcPr>
            <w:tcW w:w="60" w:type="dxa"/>
            <w:vAlign w:val="bottom"/>
          </w:tcPr>
          <w:p>
            <w:pPr>
              <w:spacing w:after="0"/>
              <w:rPr>
                <w:sz w:val="18"/>
                <w:szCs w:val="18"/>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666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Balance, end of year</w:t>
            </w:r>
          </w:p>
        </w:tc>
        <w:tc>
          <w:tcPr>
            <w:tcW w:w="4000" w:type="dxa"/>
            <w:vAlign w:val="bottom"/>
            <w:tcBorders>
              <w:bottom w:val="single" w:sz="8" w:color="717073"/>
            </w:tcBorders>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6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80.9</w:t>
            </w:r>
          </w:p>
        </w:tc>
        <w:tc>
          <w:tcPr>
            <w:tcW w:w="60" w:type="dxa"/>
            <w:vAlign w:val="bottom"/>
          </w:tcPr>
          <w:p>
            <w:pPr>
              <w:spacing w:after="0"/>
              <w:rPr>
                <w:sz w:val="16"/>
                <w:szCs w:val="16"/>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RETIREE HEALTH CARE PLAN</w:t>
      </w:r>
    </w:p>
    <w:p>
      <w:pPr>
        <w:spacing w:after="0" w:line="85"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We provide medical and dental benefits to certain eligible retired employees in the United States. Due to the nature of the plan, there are no plan assets. The reconciliation of the changes in the plan’s benefit obligation and the statement of the funded status of the plan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4560" w:type="dxa"/>
            <w:vAlign w:val="bottom"/>
          </w:tcPr>
          <w:p>
            <w:pPr>
              <w:spacing w:after="0"/>
              <w:rPr>
                <w:sz w:val="16"/>
                <w:szCs w:val="16"/>
                <w:color w:val="auto"/>
              </w:rPr>
            </w:pPr>
          </w:p>
        </w:tc>
        <w:tc>
          <w:tcPr>
            <w:tcW w:w="240" w:type="dxa"/>
            <w:vAlign w:val="bottom"/>
            <w:shd w:val="clear" w:color="auto" w:fill="76AD9A"/>
          </w:tcPr>
          <w:p>
            <w:pPr>
              <w:spacing w:after="0"/>
              <w:rPr>
                <w:sz w:val="16"/>
                <w:szCs w:val="16"/>
                <w:color w:val="auto"/>
              </w:rPr>
            </w:pPr>
          </w:p>
        </w:tc>
        <w:tc>
          <w:tcPr>
            <w:tcW w:w="1020" w:type="dxa"/>
            <w:vAlign w:val="bottom"/>
            <w:shd w:val="clear" w:color="auto" w:fill="76AD9A"/>
          </w:tcPr>
          <w:p>
            <w:pPr>
              <w:jc w:val="right"/>
              <w:ind w:right="35"/>
              <w:spacing w:after="0"/>
              <w:rPr>
                <w:sz w:val="20"/>
                <w:szCs w:val="20"/>
                <w:color w:val="auto"/>
              </w:rPr>
            </w:pPr>
            <w:r>
              <w:rPr>
                <w:rFonts w:ascii="Arial" w:cs="Arial" w:eastAsia="Arial" w:hAnsi="Arial"/>
                <w:sz w:val="14"/>
                <w:szCs w:val="14"/>
                <w:color w:val="FFFFFF"/>
              </w:rPr>
              <w:t>2013</w:t>
            </w: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76AD9A"/>
              </w:rPr>
              <w:t>2012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77679"/>
              </w:rPr>
              <w:t>Change in Benefit Obligation</w:t>
            </w:r>
          </w:p>
        </w:tc>
        <w:tc>
          <w:tcPr>
            <w:tcW w:w="4560" w:type="dxa"/>
            <w:vAlign w:val="bottom"/>
            <w:tcBorders>
              <w:top w:val="single" w:sz="8" w:color="76AD9A"/>
            </w:tcBorders>
          </w:tcPr>
          <w:p>
            <w:pPr>
              <w:spacing w:after="0"/>
              <w:rPr>
                <w:sz w:val="16"/>
                <w:szCs w:val="16"/>
                <w:color w:val="auto"/>
              </w:rPr>
            </w:pPr>
          </w:p>
        </w:tc>
        <w:tc>
          <w:tcPr>
            <w:tcW w:w="240" w:type="dxa"/>
            <w:vAlign w:val="bottom"/>
            <w:tcBorders>
              <w:top w:val="single" w:sz="8" w:color="76AD9A"/>
            </w:tcBorders>
            <w:shd w:val="clear" w:color="auto" w:fill="EEF5F2"/>
          </w:tcPr>
          <w:p>
            <w:pPr>
              <w:spacing w:after="0"/>
              <w:rPr>
                <w:sz w:val="16"/>
                <w:szCs w:val="16"/>
                <w:color w:val="auto"/>
              </w:rPr>
            </w:pPr>
          </w:p>
        </w:tc>
        <w:tc>
          <w:tcPr>
            <w:tcW w:w="1020" w:type="dxa"/>
            <w:vAlign w:val="bottom"/>
            <w:tcBorders>
              <w:top w:val="single" w:sz="8" w:color="76AD9A"/>
            </w:tcBorders>
            <w:shd w:val="clear" w:color="auto" w:fill="EEF5F2"/>
          </w:tcPr>
          <w:p>
            <w:pPr>
              <w:spacing w:after="0"/>
              <w:rPr>
                <w:sz w:val="16"/>
                <w:szCs w:val="16"/>
                <w:color w:val="auto"/>
              </w:rPr>
            </w:pPr>
          </w:p>
        </w:tc>
        <w:tc>
          <w:tcPr>
            <w:tcW w:w="480" w:type="dxa"/>
            <w:vAlign w:val="bottom"/>
            <w:tcBorders>
              <w:top w:val="single" w:sz="8" w:color="76AD9A"/>
            </w:tcBorders>
          </w:tcPr>
          <w:p>
            <w:pPr>
              <w:spacing w:after="0"/>
              <w:rPr>
                <w:sz w:val="16"/>
                <w:szCs w:val="16"/>
                <w:color w:val="auto"/>
              </w:rPr>
            </w:pPr>
          </w:p>
        </w:tc>
        <w:tc>
          <w:tcPr>
            <w:tcW w:w="32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gridSpan w:val="2"/>
          </w:tcPr>
          <w:p>
            <w:pPr>
              <w:spacing w:after="0" w:line="194" w:lineRule="exact"/>
              <w:rPr>
                <w:sz w:val="20"/>
                <w:szCs w:val="20"/>
                <w:color w:val="auto"/>
              </w:rPr>
            </w:pPr>
            <w:r>
              <w:rPr>
                <w:rFonts w:ascii="Arial" w:cs="Arial" w:eastAsia="Arial" w:hAnsi="Arial"/>
                <w:sz w:val="17"/>
                <w:szCs w:val="17"/>
                <w:color w:val="373535"/>
              </w:rPr>
              <w:t>Benefit obligation, beginning of year</w:t>
            </w:r>
          </w:p>
        </w:tc>
        <w:tc>
          <w:tcPr>
            <w:tcW w:w="4560" w:type="dxa"/>
            <w:vAlign w:val="bottom"/>
          </w:tcPr>
          <w:p>
            <w:pPr>
              <w:spacing w:after="0"/>
              <w:rPr>
                <w:sz w:val="16"/>
                <w:szCs w:val="16"/>
                <w:color w:val="auto"/>
              </w:rPr>
            </w:pP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2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31.5</w:t>
            </w:r>
          </w:p>
        </w:tc>
        <w:tc>
          <w:tcPr>
            <w:tcW w:w="48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320" w:type="dxa"/>
            <w:vAlign w:val="bottom"/>
          </w:tcPr>
          <w:p>
            <w:pPr>
              <w:spacing w:after="0"/>
              <w:rPr>
                <w:sz w:val="16"/>
                <w:szCs w:val="16"/>
                <w:color w:val="auto"/>
              </w:rPr>
            </w:pP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373535"/>
                <w:w w:val="96"/>
              </w:rPr>
              <w:t>28.5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Service cost</w:t>
            </w:r>
          </w:p>
        </w:tc>
        <w:tc>
          <w:tcPr>
            <w:tcW w:w="4560" w:type="dxa"/>
            <w:vAlign w:val="bottom"/>
          </w:tcPr>
          <w:p>
            <w:pPr>
              <w:spacing w:after="0"/>
              <w:rPr>
                <w:sz w:val="20"/>
                <w:szCs w:val="20"/>
                <w:color w:val="auto"/>
              </w:rPr>
            </w:pPr>
          </w:p>
        </w:tc>
        <w:tc>
          <w:tcPr>
            <w:tcW w:w="240" w:type="dxa"/>
            <w:vAlign w:val="bottom"/>
            <w:shd w:val="clear" w:color="auto" w:fill="EEF5F2"/>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76AD9A"/>
              </w:rPr>
              <w:t>—</w:t>
            </w: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373535"/>
              </w:rPr>
              <w:t>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Interest cost</w:t>
            </w:r>
          </w:p>
        </w:tc>
        <w:tc>
          <w:tcPr>
            <w:tcW w:w="4560" w:type="dxa"/>
            <w:vAlign w:val="bottom"/>
          </w:tcPr>
          <w:p>
            <w:pPr>
              <w:spacing w:after="0"/>
              <w:rPr>
                <w:sz w:val="19"/>
                <w:szCs w:val="19"/>
                <w:color w:val="auto"/>
              </w:rPr>
            </w:pPr>
          </w:p>
        </w:tc>
        <w:tc>
          <w:tcPr>
            <w:tcW w:w="240" w:type="dxa"/>
            <w:vAlign w:val="bottom"/>
            <w:shd w:val="clear" w:color="auto" w:fill="EEF5F2"/>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76AD9A"/>
              </w:rPr>
              <w:t>1.1</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373535"/>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Actuarial (gain) loss</w:t>
            </w:r>
          </w:p>
        </w:tc>
        <w:tc>
          <w:tcPr>
            <w:tcW w:w="4560" w:type="dxa"/>
            <w:vAlign w:val="bottom"/>
          </w:tcPr>
          <w:p>
            <w:pPr>
              <w:spacing w:after="0"/>
              <w:rPr>
                <w:sz w:val="19"/>
                <w:szCs w:val="19"/>
                <w:color w:val="auto"/>
              </w:rPr>
            </w:pPr>
          </w:p>
        </w:tc>
        <w:tc>
          <w:tcPr>
            <w:tcW w:w="240" w:type="dxa"/>
            <w:vAlign w:val="bottom"/>
            <w:shd w:val="clear" w:color="auto" w:fill="EEF5F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76AD9A"/>
              </w:rPr>
              <w:t>(0.9)</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373535"/>
              </w:rPr>
              <w:t>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Benefits paid</w:t>
            </w:r>
          </w:p>
        </w:tc>
        <w:tc>
          <w:tcPr>
            <w:tcW w:w="4560" w:type="dxa"/>
            <w:vAlign w:val="bottom"/>
          </w:tcPr>
          <w:p>
            <w:pPr>
              <w:spacing w:after="0"/>
              <w:rPr>
                <w:sz w:val="19"/>
                <w:szCs w:val="19"/>
                <w:color w:val="auto"/>
              </w:rPr>
            </w:pPr>
          </w:p>
        </w:tc>
        <w:tc>
          <w:tcPr>
            <w:tcW w:w="240" w:type="dxa"/>
            <w:vAlign w:val="bottom"/>
            <w:shd w:val="clear" w:color="auto" w:fill="EEF5F2"/>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76AD9A"/>
              </w:rPr>
              <w:t>(2.3)</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7"/>
                <w:szCs w:val="17"/>
                <w:color w:val="373535"/>
              </w:rPr>
              <w:t>(1.9)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Plan participant contributions</w:t>
            </w:r>
          </w:p>
        </w:tc>
        <w:tc>
          <w:tcPr>
            <w:tcW w:w="4560" w:type="dxa"/>
            <w:vAlign w:val="bottom"/>
          </w:tcPr>
          <w:p>
            <w:pPr>
              <w:spacing w:after="0"/>
              <w:rPr>
                <w:sz w:val="19"/>
                <w:szCs w:val="19"/>
                <w:color w:val="auto"/>
              </w:rPr>
            </w:pPr>
          </w:p>
        </w:tc>
        <w:tc>
          <w:tcPr>
            <w:tcW w:w="240" w:type="dxa"/>
            <w:vAlign w:val="bottom"/>
            <w:shd w:val="clear" w:color="auto" w:fill="EEF5F2"/>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76AD9A"/>
              </w:rPr>
              <w:t>0.2</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373535"/>
              </w:rPr>
              <w:t>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Retiree drug subsidy reimbursement</w:t>
            </w:r>
          </w:p>
        </w:tc>
        <w:tc>
          <w:tcPr>
            <w:tcW w:w="4560" w:type="dxa"/>
            <w:vAlign w:val="bottom"/>
          </w:tcPr>
          <w:p>
            <w:pPr>
              <w:spacing w:after="0"/>
              <w:rPr>
                <w:sz w:val="19"/>
                <w:szCs w:val="19"/>
                <w:color w:val="auto"/>
              </w:rPr>
            </w:pPr>
          </w:p>
        </w:tc>
        <w:tc>
          <w:tcPr>
            <w:tcW w:w="240" w:type="dxa"/>
            <w:vAlign w:val="bottom"/>
            <w:shd w:val="clear" w:color="auto" w:fill="EEF5F2"/>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76AD9A"/>
              </w:rPr>
              <w:t>0.1</w:t>
            </w: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373535"/>
              </w:rPr>
              <w:t>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340" w:type="dxa"/>
            <w:vAlign w:val="bottom"/>
          </w:tcPr>
          <w:p>
            <w:pPr>
              <w:ind w:left="140"/>
              <w:spacing w:after="0"/>
              <w:rPr>
                <w:sz w:val="20"/>
                <w:szCs w:val="20"/>
                <w:color w:val="auto"/>
              </w:rPr>
            </w:pPr>
            <w:r>
              <w:rPr>
                <w:rFonts w:ascii="Arial" w:cs="Arial" w:eastAsia="Arial" w:hAnsi="Arial"/>
                <w:sz w:val="17"/>
                <w:szCs w:val="17"/>
                <w:color w:val="373535"/>
              </w:rPr>
              <w:t>Plan amendment</w:t>
            </w:r>
          </w:p>
        </w:tc>
        <w:tc>
          <w:tcPr>
            <w:tcW w:w="4560" w:type="dxa"/>
            <w:vAlign w:val="bottom"/>
          </w:tcPr>
          <w:p>
            <w:pPr>
              <w:spacing w:after="0"/>
              <w:rPr>
                <w:sz w:val="18"/>
                <w:szCs w:val="18"/>
                <w:color w:val="auto"/>
              </w:rPr>
            </w:pPr>
          </w:p>
        </w:tc>
        <w:tc>
          <w:tcPr>
            <w:tcW w:w="240" w:type="dxa"/>
            <w:vAlign w:val="bottom"/>
            <w:shd w:val="clear" w:color="auto" w:fill="EEF5F2"/>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76AD9A"/>
              </w:rPr>
              <w:t>(11.2)</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gridSpan w:val="2"/>
          </w:tcPr>
          <w:p>
            <w:pPr>
              <w:jc w:val="right"/>
              <w:ind w:right="19"/>
              <w:spacing w:after="0"/>
              <w:rPr>
                <w:sz w:val="20"/>
                <w:szCs w:val="20"/>
                <w:color w:val="auto"/>
              </w:rPr>
            </w:pPr>
            <w:r>
              <w:rPr>
                <w:rFonts w:ascii="Arial" w:cs="Arial" w:eastAsia="Arial" w:hAnsi="Arial"/>
                <w:sz w:val="17"/>
                <w:szCs w:val="17"/>
                <w:color w:val="373535"/>
              </w:rPr>
              <w:t>—</w:t>
            </w:r>
          </w:p>
        </w:tc>
        <w:tc>
          <w:tcPr>
            <w:tcW w:w="0" w:type="dxa"/>
            <w:vAlign w:val="bottom"/>
          </w:tcPr>
          <w:p>
            <w:pPr>
              <w:spacing w:after="0"/>
              <w:rPr>
                <w:sz w:val="1"/>
                <w:szCs w:val="1"/>
                <w:color w:val="auto"/>
              </w:rPr>
            </w:pPr>
          </w:p>
        </w:tc>
      </w:tr>
      <w:tr>
        <w:trPr>
          <w:trHeight w:val="186"/>
        </w:trPr>
        <w:tc>
          <w:tcPr>
            <w:tcW w:w="20" w:type="dxa"/>
            <w:vAlign w:val="bottom"/>
            <w:tcBorders>
              <w:bottom w:val="single" w:sz="8" w:color="717073"/>
            </w:tcBorders>
          </w:tcPr>
          <w:p>
            <w:pPr>
              <w:spacing w:after="0"/>
              <w:rPr>
                <w:sz w:val="16"/>
                <w:szCs w:val="16"/>
                <w:color w:val="auto"/>
              </w:rPr>
            </w:pPr>
          </w:p>
        </w:tc>
        <w:tc>
          <w:tcPr>
            <w:tcW w:w="4340" w:type="dxa"/>
            <w:vAlign w:val="bottom"/>
            <w:tcBorders>
              <w:top w:val="single" w:sz="8" w:color="717073"/>
              <w:bottom w:val="single" w:sz="8" w:color="717073"/>
            </w:tcBorders>
          </w:tcPr>
          <w:p>
            <w:pPr>
              <w:spacing w:after="0" w:line="186" w:lineRule="exact"/>
              <w:rPr>
                <w:sz w:val="20"/>
                <w:szCs w:val="20"/>
                <w:color w:val="auto"/>
              </w:rPr>
            </w:pPr>
            <w:r>
              <w:rPr>
                <w:rFonts w:ascii="Arial" w:cs="Arial" w:eastAsia="Arial" w:hAnsi="Arial"/>
                <w:sz w:val="17"/>
                <w:szCs w:val="17"/>
                <w:color w:val="373535"/>
              </w:rPr>
              <w:t>Benefit obligation, end of year</w:t>
            </w:r>
          </w:p>
        </w:tc>
        <w:tc>
          <w:tcPr>
            <w:tcW w:w="4560" w:type="dxa"/>
            <w:vAlign w:val="bottom"/>
            <w:tcBorders>
              <w:top w:val="single" w:sz="8" w:color="717073"/>
              <w:bottom w:val="single" w:sz="8" w:color="717073"/>
            </w:tcBorders>
          </w:tcPr>
          <w:p>
            <w:pPr>
              <w:spacing w:after="0"/>
              <w:rPr>
                <w:sz w:val="16"/>
                <w:szCs w:val="16"/>
                <w:color w:val="auto"/>
              </w:rPr>
            </w:pPr>
          </w:p>
        </w:tc>
        <w:tc>
          <w:tcPr>
            <w:tcW w:w="24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20" w:type="dxa"/>
            <w:vAlign w:val="bottom"/>
            <w:tcBorders>
              <w:top w:val="single" w:sz="8" w:color="717073"/>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18.5</w:t>
            </w:r>
          </w:p>
        </w:tc>
        <w:tc>
          <w:tcPr>
            <w:tcW w:w="480" w:type="dxa"/>
            <w:vAlign w:val="bottom"/>
            <w:tcBorders>
              <w:top w:val="single" w:sz="8" w:color="717073"/>
              <w:bottom w:val="single" w:sz="8" w:color="717073"/>
            </w:tcBorders>
          </w:tcPr>
          <w:p>
            <w:pPr>
              <w:jc w:val="right"/>
              <w:ind w:right="174"/>
              <w:spacing w:after="0" w:line="186" w:lineRule="exact"/>
              <w:rPr>
                <w:sz w:val="20"/>
                <w:szCs w:val="20"/>
                <w:color w:val="auto"/>
              </w:rPr>
            </w:pPr>
            <w:r>
              <w:rPr>
                <w:rFonts w:ascii="Arial" w:cs="Arial" w:eastAsia="Arial" w:hAnsi="Arial"/>
                <w:sz w:val="17"/>
                <w:szCs w:val="17"/>
                <w:color w:val="373535"/>
              </w:rPr>
              <w:t>$</w:t>
            </w:r>
          </w:p>
        </w:tc>
        <w:tc>
          <w:tcPr>
            <w:tcW w:w="320" w:type="dxa"/>
            <w:vAlign w:val="bottom"/>
            <w:tcBorders>
              <w:top w:val="single" w:sz="8" w:color="717073"/>
              <w:bottom w:val="single" w:sz="8" w:color="717073"/>
            </w:tcBorders>
          </w:tcPr>
          <w:p>
            <w:pPr>
              <w:spacing w:after="0"/>
              <w:rPr>
                <w:sz w:val="16"/>
                <w:szCs w:val="16"/>
                <w:color w:val="auto"/>
              </w:rPr>
            </w:pPr>
          </w:p>
        </w:tc>
        <w:tc>
          <w:tcPr>
            <w:tcW w:w="34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w w:val="96"/>
              </w:rPr>
              <w:t>31.5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360" w:type="dxa"/>
            <w:vAlign w:val="bottom"/>
            <w:gridSpan w:val="2"/>
          </w:tcPr>
          <w:p>
            <w:pPr>
              <w:spacing w:after="0"/>
              <w:rPr>
                <w:sz w:val="20"/>
                <w:szCs w:val="20"/>
                <w:color w:val="auto"/>
              </w:rPr>
            </w:pPr>
            <w:r>
              <w:rPr>
                <w:rFonts w:ascii="Arial" w:cs="Arial" w:eastAsia="Arial" w:hAnsi="Arial"/>
                <w:sz w:val="17"/>
                <w:szCs w:val="17"/>
                <w:color w:val="777679"/>
              </w:rPr>
              <w:t>Funded Status at End of Year</w:t>
            </w:r>
          </w:p>
        </w:tc>
        <w:tc>
          <w:tcPr>
            <w:tcW w:w="4560" w:type="dxa"/>
            <w:vAlign w:val="bottom"/>
          </w:tcPr>
          <w:p>
            <w:pPr>
              <w:spacing w:after="0"/>
              <w:rPr>
                <w:sz w:val="17"/>
                <w:szCs w:val="17"/>
                <w:color w:val="auto"/>
              </w:rPr>
            </w:pPr>
          </w:p>
        </w:tc>
        <w:tc>
          <w:tcPr>
            <w:tcW w:w="240" w:type="dxa"/>
            <w:vAlign w:val="bottom"/>
            <w:shd w:val="clear" w:color="auto" w:fill="EEF5F2"/>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7"/>
                <w:szCs w:val="17"/>
                <w:color w:val="373535"/>
              </w:rPr>
              <w:t>(31.5)</w:t>
            </w:r>
          </w:p>
        </w:tc>
        <w:tc>
          <w:tcPr>
            <w:tcW w:w="0" w:type="dxa"/>
            <w:vAlign w:val="bottom"/>
          </w:tcPr>
          <w:p>
            <w:pPr>
              <w:spacing w:after="0"/>
              <w:rPr>
                <w:sz w:val="1"/>
                <w:szCs w:val="1"/>
                <w:color w:val="auto"/>
              </w:rPr>
            </w:pPr>
          </w:p>
        </w:tc>
      </w:tr>
      <w:tr>
        <w:trPr>
          <w:trHeight w:val="194"/>
        </w:trPr>
        <w:tc>
          <w:tcPr>
            <w:tcW w:w="4360" w:type="dxa"/>
            <w:vAlign w:val="bottom"/>
            <w:gridSpan w:val="2"/>
          </w:tcPr>
          <w:p>
            <w:pPr>
              <w:spacing w:after="0" w:line="194" w:lineRule="exact"/>
              <w:rPr>
                <w:sz w:val="20"/>
                <w:szCs w:val="20"/>
                <w:color w:val="auto"/>
              </w:rPr>
            </w:pPr>
            <w:r>
              <w:rPr>
                <w:rFonts w:ascii="Arial" w:cs="Arial" w:eastAsia="Arial" w:hAnsi="Arial"/>
                <w:sz w:val="17"/>
                <w:szCs w:val="17"/>
                <w:color w:val="373535"/>
              </w:rPr>
              <w:t>Funded status, end of year</w:t>
            </w:r>
          </w:p>
        </w:tc>
        <w:tc>
          <w:tcPr>
            <w:tcW w:w="4560" w:type="dxa"/>
            <w:vAlign w:val="bottom"/>
          </w:tcPr>
          <w:p>
            <w:pPr>
              <w:spacing w:after="0"/>
              <w:rPr>
                <w:sz w:val="16"/>
                <w:szCs w:val="16"/>
                <w:color w:val="auto"/>
              </w:rPr>
            </w:pP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76AD9A"/>
              </w:rPr>
              <w:t>(18.5)</w:t>
            </w:r>
          </w:p>
        </w:tc>
        <w:tc>
          <w:tcPr>
            <w:tcW w:w="48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7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tcBorders>
              <w:top w:val="single" w:sz="8" w:color="717073"/>
            </w:tcBorders>
            <w:gridSpan w:val="2"/>
          </w:tcPr>
          <w:p>
            <w:pPr>
              <w:spacing w:after="0" w:line="185" w:lineRule="exact"/>
              <w:rPr>
                <w:sz w:val="20"/>
                <w:szCs w:val="20"/>
                <w:color w:val="auto"/>
              </w:rPr>
            </w:pPr>
            <w:r>
              <w:rPr>
                <w:rFonts w:ascii="Arial" w:cs="Arial" w:eastAsia="Arial" w:hAnsi="Arial"/>
                <w:sz w:val="17"/>
                <w:szCs w:val="17"/>
                <w:color w:val="777679"/>
              </w:rPr>
              <w:t>Amounts Recognized</w:t>
            </w:r>
          </w:p>
        </w:tc>
        <w:tc>
          <w:tcPr>
            <w:tcW w:w="4560" w:type="dxa"/>
            <w:vAlign w:val="bottom"/>
            <w:tcBorders>
              <w:top w:val="single" w:sz="8" w:color="717073"/>
            </w:tcBorders>
          </w:tcPr>
          <w:p>
            <w:pPr>
              <w:spacing w:after="0"/>
              <w:rPr>
                <w:sz w:val="16"/>
                <w:szCs w:val="16"/>
                <w:color w:val="auto"/>
              </w:rPr>
            </w:pPr>
          </w:p>
        </w:tc>
        <w:tc>
          <w:tcPr>
            <w:tcW w:w="240" w:type="dxa"/>
            <w:vAlign w:val="bottom"/>
            <w:tcBorders>
              <w:top w:val="single" w:sz="8" w:color="717073"/>
            </w:tcBorders>
            <w:shd w:val="clear" w:color="auto" w:fill="EEF5F2"/>
          </w:tcPr>
          <w:p>
            <w:pPr>
              <w:spacing w:after="0"/>
              <w:rPr>
                <w:sz w:val="16"/>
                <w:szCs w:val="16"/>
                <w:color w:val="auto"/>
              </w:rPr>
            </w:pPr>
          </w:p>
        </w:tc>
        <w:tc>
          <w:tcPr>
            <w:tcW w:w="102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tcPr>
          <w:p>
            <w:pPr>
              <w:spacing w:after="0"/>
              <w:rPr>
                <w:sz w:val="16"/>
                <w:szCs w:val="16"/>
                <w:color w:val="auto"/>
              </w:rPr>
            </w:pPr>
          </w:p>
        </w:tc>
        <w:tc>
          <w:tcPr>
            <w:tcW w:w="320" w:type="dxa"/>
            <w:vAlign w:val="bottom"/>
            <w:tcBorders>
              <w:top w:val="single" w:sz="8" w:color="717073"/>
            </w:tcBorders>
          </w:tcPr>
          <w:p>
            <w:pPr>
              <w:spacing w:after="0"/>
              <w:rPr>
                <w:sz w:val="16"/>
                <w:szCs w:val="16"/>
                <w:color w:val="auto"/>
              </w:rPr>
            </w:pPr>
          </w:p>
        </w:tc>
        <w:tc>
          <w:tcPr>
            <w:tcW w:w="340" w:type="dxa"/>
            <w:vAlign w:val="bottom"/>
            <w:tcBorders>
              <w:top w:val="single" w:sz="8" w:color="717073"/>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360" w:type="dxa"/>
            <w:vAlign w:val="bottom"/>
            <w:gridSpan w:val="2"/>
          </w:tcPr>
          <w:p>
            <w:pPr>
              <w:spacing w:after="0" w:line="194" w:lineRule="exact"/>
              <w:rPr>
                <w:sz w:val="20"/>
                <w:szCs w:val="20"/>
                <w:color w:val="auto"/>
              </w:rPr>
            </w:pPr>
            <w:r>
              <w:rPr>
                <w:rFonts w:ascii="Arial" w:cs="Arial" w:eastAsia="Arial" w:hAnsi="Arial"/>
                <w:sz w:val="17"/>
                <w:szCs w:val="17"/>
                <w:color w:val="373535"/>
              </w:rPr>
              <w:t>Current liabilities</w:t>
            </w:r>
          </w:p>
        </w:tc>
        <w:tc>
          <w:tcPr>
            <w:tcW w:w="4560" w:type="dxa"/>
            <w:vAlign w:val="bottom"/>
          </w:tcPr>
          <w:p>
            <w:pPr>
              <w:spacing w:after="0"/>
              <w:rPr>
                <w:sz w:val="16"/>
                <w:szCs w:val="16"/>
                <w:color w:val="auto"/>
              </w:rPr>
            </w:pPr>
          </w:p>
        </w:tc>
        <w:tc>
          <w:tcPr>
            <w:tcW w:w="24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76AD9A"/>
              </w:rPr>
              <w:t>(2.0)</w:t>
            </w:r>
          </w:p>
        </w:tc>
        <w:tc>
          <w:tcPr>
            <w:tcW w:w="480" w:type="dxa"/>
            <w:vAlign w:val="bottom"/>
          </w:tcPr>
          <w:p>
            <w:pPr>
              <w:jc w:val="right"/>
              <w:ind w:right="174"/>
              <w:spacing w:after="0" w:line="194" w:lineRule="exact"/>
              <w:rPr>
                <w:sz w:val="20"/>
                <w:szCs w:val="20"/>
                <w:color w:val="auto"/>
              </w:rPr>
            </w:pPr>
            <w:r>
              <w:rPr>
                <w:rFonts w:ascii="Arial" w:cs="Arial" w:eastAsia="Arial" w:hAnsi="Arial"/>
                <w:sz w:val="17"/>
                <w:szCs w:val="17"/>
                <w:color w:val="373535"/>
              </w:rPr>
              <w:t>$</w:t>
            </w:r>
          </w:p>
        </w:tc>
        <w:tc>
          <w:tcPr>
            <w:tcW w:w="320" w:type="dxa"/>
            <w:vAlign w:val="bottom"/>
          </w:tcPr>
          <w:p>
            <w:pPr>
              <w:spacing w:after="0"/>
              <w:rPr>
                <w:sz w:val="16"/>
                <w:szCs w:val="16"/>
                <w:color w:val="auto"/>
              </w:rPr>
            </w:pPr>
          </w:p>
        </w:tc>
        <w:tc>
          <w:tcPr>
            <w:tcW w:w="44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(1.8)</w:t>
            </w:r>
          </w:p>
        </w:tc>
        <w:tc>
          <w:tcPr>
            <w:tcW w:w="0" w:type="dxa"/>
            <w:vAlign w:val="bottom"/>
          </w:tcPr>
          <w:p>
            <w:pPr>
              <w:spacing w:after="0"/>
              <w:rPr>
                <w:sz w:val="1"/>
                <w:szCs w:val="1"/>
                <w:color w:val="auto"/>
              </w:rPr>
            </w:pPr>
          </w:p>
        </w:tc>
      </w:tr>
      <w:tr>
        <w:trPr>
          <w:trHeight w:val="206"/>
        </w:trPr>
        <w:tc>
          <w:tcPr>
            <w:tcW w:w="4360" w:type="dxa"/>
            <w:vAlign w:val="bottom"/>
            <w:gridSpan w:val="2"/>
          </w:tcPr>
          <w:p>
            <w:pPr>
              <w:spacing w:after="0"/>
              <w:rPr>
                <w:sz w:val="20"/>
                <w:szCs w:val="20"/>
                <w:color w:val="auto"/>
              </w:rPr>
            </w:pPr>
            <w:r>
              <w:rPr>
                <w:rFonts w:ascii="Arial" w:cs="Arial" w:eastAsia="Arial" w:hAnsi="Arial"/>
                <w:sz w:val="17"/>
                <w:szCs w:val="17"/>
                <w:color w:val="373535"/>
              </w:rPr>
              <w:t>Noncurrent liabilities</w:t>
            </w:r>
          </w:p>
        </w:tc>
        <w:tc>
          <w:tcPr>
            <w:tcW w:w="4560" w:type="dxa"/>
            <w:vAlign w:val="bottom"/>
          </w:tcPr>
          <w:p>
            <w:pPr>
              <w:spacing w:after="0"/>
              <w:rPr>
                <w:sz w:val="17"/>
                <w:szCs w:val="17"/>
                <w:color w:val="auto"/>
              </w:rPr>
            </w:pPr>
          </w:p>
        </w:tc>
        <w:tc>
          <w:tcPr>
            <w:tcW w:w="240" w:type="dxa"/>
            <w:vAlign w:val="bottom"/>
            <w:shd w:val="clear" w:color="auto" w:fill="EEF5F2"/>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76AD9A"/>
              </w:rPr>
              <w:t>(16.5)</w:t>
            </w:r>
          </w:p>
        </w:tc>
        <w:tc>
          <w:tcPr>
            <w:tcW w:w="48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7"/>
                <w:szCs w:val="17"/>
                <w:color w:val="373535"/>
              </w:rPr>
              <w:t>(29.7)</w:t>
            </w:r>
          </w:p>
        </w:tc>
        <w:tc>
          <w:tcPr>
            <w:tcW w:w="0" w:type="dxa"/>
            <w:vAlign w:val="bottom"/>
          </w:tcPr>
          <w:p>
            <w:pPr>
              <w:spacing w:after="0"/>
              <w:rPr>
                <w:sz w:val="1"/>
                <w:szCs w:val="1"/>
                <w:color w:val="auto"/>
              </w:rPr>
            </w:pPr>
          </w:p>
        </w:tc>
      </w:tr>
      <w:tr>
        <w:trPr>
          <w:trHeight w:val="187"/>
        </w:trPr>
        <w:tc>
          <w:tcPr>
            <w:tcW w:w="4360" w:type="dxa"/>
            <w:vAlign w:val="bottom"/>
            <w:tcBorders>
              <w:top w:val="single" w:sz="8" w:color="717073"/>
            </w:tcBorders>
            <w:gridSpan w:val="2"/>
          </w:tcPr>
          <w:p>
            <w:pPr>
              <w:spacing w:after="0" w:line="187" w:lineRule="exact"/>
              <w:rPr>
                <w:sz w:val="20"/>
                <w:szCs w:val="20"/>
                <w:color w:val="auto"/>
              </w:rPr>
            </w:pPr>
            <w:r>
              <w:rPr>
                <w:rFonts w:ascii="Arial" w:cs="Arial" w:eastAsia="Arial" w:hAnsi="Arial"/>
                <w:sz w:val="17"/>
                <w:szCs w:val="17"/>
                <w:color w:val="373535"/>
              </w:rPr>
              <w:t>Net amount recognized</w:t>
            </w:r>
          </w:p>
        </w:tc>
        <w:tc>
          <w:tcPr>
            <w:tcW w:w="4560" w:type="dxa"/>
            <w:vAlign w:val="bottom"/>
            <w:tcBorders>
              <w:top w:val="single" w:sz="8" w:color="717073"/>
            </w:tcBorders>
          </w:tcPr>
          <w:p>
            <w:pPr>
              <w:spacing w:after="0"/>
              <w:rPr>
                <w:sz w:val="16"/>
                <w:szCs w:val="16"/>
                <w:color w:val="auto"/>
              </w:rPr>
            </w:pPr>
          </w:p>
        </w:tc>
        <w:tc>
          <w:tcPr>
            <w:tcW w:w="240" w:type="dxa"/>
            <w:vAlign w:val="bottom"/>
            <w:tcBorders>
              <w:top w:val="single" w:sz="8" w:color="717073"/>
            </w:tcBorders>
            <w:shd w:val="clear" w:color="auto" w:fill="EEF5F2"/>
          </w:tcPr>
          <w:p>
            <w:pPr>
              <w:jc w:val="right"/>
              <w:spacing w:after="0" w:line="187" w:lineRule="exact"/>
              <w:rPr>
                <w:sz w:val="20"/>
                <w:szCs w:val="20"/>
                <w:color w:val="auto"/>
              </w:rPr>
            </w:pPr>
            <w:r>
              <w:rPr>
                <w:rFonts w:ascii="Arial" w:cs="Arial" w:eastAsia="Arial" w:hAnsi="Arial"/>
                <w:sz w:val="17"/>
                <w:szCs w:val="17"/>
                <w:color w:val="76AD9A"/>
              </w:rPr>
              <w:t>$</w:t>
            </w:r>
          </w:p>
        </w:tc>
        <w:tc>
          <w:tcPr>
            <w:tcW w:w="1020" w:type="dxa"/>
            <w:vAlign w:val="bottom"/>
            <w:tcBorders>
              <w:top w:val="single" w:sz="8" w:color="717073"/>
            </w:tcBorders>
          </w:tcPr>
          <w:p>
            <w:pPr>
              <w:jc w:val="right"/>
              <w:spacing w:after="0" w:line="187" w:lineRule="exact"/>
              <w:rPr>
                <w:sz w:val="20"/>
                <w:szCs w:val="20"/>
                <w:color w:val="auto"/>
              </w:rPr>
            </w:pPr>
            <w:r>
              <w:rPr>
                <w:rFonts w:ascii="Arial" w:cs="Arial" w:eastAsia="Arial" w:hAnsi="Arial"/>
                <w:sz w:val="17"/>
                <w:szCs w:val="17"/>
                <w:color w:val="76AD9A"/>
              </w:rPr>
              <w:t>(18.5)</w:t>
            </w:r>
          </w:p>
        </w:tc>
        <w:tc>
          <w:tcPr>
            <w:tcW w:w="480" w:type="dxa"/>
            <w:vAlign w:val="bottom"/>
            <w:tcBorders>
              <w:top w:val="single" w:sz="8" w:color="717073"/>
            </w:tcBorders>
          </w:tcPr>
          <w:p>
            <w:pPr>
              <w:jc w:val="right"/>
              <w:ind w:right="174"/>
              <w:spacing w:after="0" w:line="187" w:lineRule="exact"/>
              <w:rPr>
                <w:sz w:val="20"/>
                <w:szCs w:val="20"/>
                <w:color w:val="auto"/>
              </w:rPr>
            </w:pPr>
            <w:r>
              <w:rPr>
                <w:rFonts w:ascii="Arial" w:cs="Arial" w:eastAsia="Arial" w:hAnsi="Arial"/>
                <w:sz w:val="17"/>
                <w:szCs w:val="17"/>
                <w:color w:val="373535"/>
              </w:rPr>
              <w:t>$</w:t>
            </w:r>
          </w:p>
        </w:tc>
        <w:tc>
          <w:tcPr>
            <w:tcW w:w="660" w:type="dxa"/>
            <w:vAlign w:val="bottom"/>
            <w:tcBorders>
              <w:top w:val="single" w:sz="8" w:color="717073"/>
            </w:tcBorders>
            <w:gridSpan w:val="2"/>
          </w:tcPr>
          <w:p>
            <w:pPr>
              <w:jc w:val="right"/>
              <w:spacing w:after="0" w:line="187" w:lineRule="exact"/>
              <w:rPr>
                <w:sz w:val="20"/>
                <w:szCs w:val="20"/>
                <w:color w:val="auto"/>
              </w:rPr>
            </w:pPr>
            <w:r>
              <w:rPr>
                <w:rFonts w:ascii="Arial" w:cs="Arial" w:eastAsia="Arial" w:hAnsi="Arial"/>
                <w:sz w:val="17"/>
                <w:szCs w:val="17"/>
                <w:color w:val="373535"/>
              </w:rPr>
              <w:t>(31.5</w:t>
            </w:r>
          </w:p>
        </w:tc>
        <w:tc>
          <w:tcPr>
            <w:tcW w:w="100" w:type="dxa"/>
            <w:vAlign w:val="bottom"/>
          </w:tcPr>
          <w:p>
            <w:pPr>
              <w:jc w:val="right"/>
              <w:spacing w:after="0"/>
              <w:rPr>
                <w:sz w:val="20"/>
                <w:szCs w:val="20"/>
                <w:color w:val="auto"/>
              </w:rPr>
            </w:pPr>
            <w:r>
              <w:rPr>
                <w:rFonts w:ascii="Arial" w:cs="Arial" w:eastAsia="Arial" w:hAnsi="Arial"/>
                <w:sz w:val="16"/>
                <w:szCs w:val="16"/>
                <w:color w:val="373535"/>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shd w:val="clear" w:color="auto" w:fill="717073"/>
          </w:tcPr>
          <w:p>
            <w:pPr>
              <w:spacing w:after="0" w:line="20" w:lineRule="exact"/>
              <w:rPr>
                <w:sz w:val="1"/>
                <w:szCs w:val="1"/>
                <w:color w:val="auto"/>
              </w:rPr>
            </w:pPr>
          </w:p>
        </w:tc>
        <w:tc>
          <w:tcPr>
            <w:tcW w:w="6620" w:type="dxa"/>
            <w:vAlign w:val="bottom"/>
            <w:gridSpan w:val="5"/>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20" w:type="dxa"/>
            <w:vAlign w:val="bottom"/>
            <w:gridSpan w:val="5"/>
          </w:tcPr>
          <w:p>
            <w:pPr>
              <w:ind w:left="1420"/>
              <w:spacing w:after="0"/>
              <w:rPr>
                <w:sz w:val="20"/>
                <w:szCs w:val="20"/>
                <w:color w:val="auto"/>
              </w:rPr>
            </w:pPr>
            <w:r>
              <w:rPr>
                <w:rFonts w:ascii="Arial" w:cs="Arial" w:eastAsia="Arial" w:hAnsi="Arial"/>
                <w:sz w:val="14"/>
                <w:szCs w:val="14"/>
                <w:b w:val="1"/>
                <w:bCs w:val="1"/>
                <w:color w:val="777779"/>
                <w:w w:val="97"/>
              </w:rPr>
              <w:t xml:space="preserve">Notes to Consolidated Financial Statements </w:t>
            </w:r>
            <w:r>
              <w:rPr>
                <w:rFonts w:ascii="Arial" w:cs="Arial" w:eastAsia="Arial" w:hAnsi="Arial"/>
                <w:sz w:val="14"/>
                <w:szCs w:val="14"/>
                <w:color w:val="373535"/>
                <w:w w:val="97"/>
              </w:rPr>
              <w:t>ManpowerGroup 2013 Annual Report</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373535"/>
              </w:rPr>
              <w:t>75</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4340" w:type="dxa"/>
            <w:vAlign w:val="bottom"/>
            <w:tcBorders>
              <w:bottom w:val="single" w:sz="8" w:color="DCDCDC"/>
            </w:tcBorders>
          </w:tcPr>
          <w:p>
            <w:pPr>
              <w:spacing w:after="0"/>
              <w:rPr>
                <w:sz w:val="24"/>
                <w:szCs w:val="24"/>
                <w:color w:val="auto"/>
              </w:rPr>
            </w:pPr>
          </w:p>
        </w:tc>
        <w:tc>
          <w:tcPr>
            <w:tcW w:w="45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-2523490</wp:posOffset>
            </wp:positionV>
            <wp:extent cx="655320" cy="20078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5320" cy="2007870"/>
                    </a:xfrm>
                    <a:prstGeom prst="rect">
                      <a:avLst/>
                    </a:prstGeom>
                    <a:noFill/>
                  </pic:spPr>
                </pic:pic>
              </a:graphicData>
            </a:graphic>
          </wp:anchor>
        </w:drawing>
      </w:r>
    </w:p>
    <w:p>
      <w:pPr>
        <w:sectPr>
          <w:pgSz w:w="11900" w:h="16838" w:orient="portrait"/>
          <w:cols w:equalWidth="0" w:num="1">
            <w:col w:w="11420"/>
          </w:cols>
          <w:pgMar w:left="240" w:top="725" w:right="239"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The amount recognized in accumulated other comprehensive income, net of tax, consists of a net loss of $1.9 and a prior service credit of $7.0 in 2013, and a net loss of $2.7 in 2012.</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In June 2013, the Board of Directors approved an amendment related to the post-65 healthcare benefits of the plan that will be effective as of July 1, 2014. The plan change includes the introduction of a Health Reimbursement Account for Medicare eligible retirees and dependents. The plan change was communicated to retirees in October 2013, and the plan was re-measured as of October 1, 2013 to reflect this amendment.</w:t>
      </w:r>
    </w:p>
    <w:p>
      <w:pPr>
        <w:spacing w:after="0" w:line="155"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discount rate used in the measurement of the benefit obligation was 4.7% and 3.9% in 2013 and 2012, respectively. The discount rate used in the measurement of net periodic benefit cost was 3.9% (January through September) and 4.8% (October through December), 4.8% and 5.3% in 2013, 2012 and 2011, respectively. The components of net periodic benefit cost for this plan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56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220" w:type="dxa"/>
            <w:vAlign w:val="bottom"/>
            <w:shd w:val="clear" w:color="auto" w:fill="76AD9A"/>
          </w:tcPr>
          <w:p>
            <w:pPr>
              <w:spacing w:after="0"/>
              <w:rPr>
                <w:sz w:val="16"/>
                <w:szCs w:val="16"/>
                <w:color w:val="auto"/>
              </w:rPr>
            </w:pPr>
          </w:p>
        </w:tc>
        <w:tc>
          <w:tcPr>
            <w:tcW w:w="1040" w:type="dxa"/>
            <w:vAlign w:val="bottom"/>
            <w:shd w:val="clear" w:color="auto" w:fill="76AD9A"/>
          </w:tcPr>
          <w:p>
            <w:pPr>
              <w:jc w:val="right"/>
              <w:ind w:right="35"/>
              <w:spacing w:after="0"/>
              <w:rPr>
                <w:sz w:val="20"/>
                <w:szCs w:val="20"/>
                <w:color w:val="auto"/>
              </w:rPr>
            </w:pPr>
            <w:r>
              <w:rPr>
                <w:rFonts w:ascii="Arial" w:cs="Arial" w:eastAsia="Arial" w:hAnsi="Arial"/>
                <w:sz w:val="14"/>
                <w:szCs w:val="14"/>
                <w:color w:val="FFFFFF"/>
              </w:rPr>
              <w:t>2013</w:t>
            </w:r>
          </w:p>
        </w:tc>
        <w:tc>
          <w:tcPr>
            <w:tcW w:w="520" w:type="dxa"/>
            <w:vAlign w:val="bottom"/>
          </w:tcPr>
          <w:p>
            <w:pPr>
              <w:spacing w:after="0"/>
              <w:rPr>
                <w:sz w:val="16"/>
                <w:szCs w:val="16"/>
                <w:color w:val="auto"/>
              </w:rPr>
            </w:pPr>
          </w:p>
        </w:tc>
        <w:tc>
          <w:tcPr>
            <w:tcW w:w="800" w:type="dxa"/>
            <w:vAlign w:val="bottom"/>
          </w:tcPr>
          <w:p>
            <w:pPr>
              <w:jc w:val="right"/>
              <w:ind w:right="95"/>
              <w:spacing w:after="0"/>
              <w:rPr>
                <w:sz w:val="20"/>
                <w:szCs w:val="20"/>
                <w:color w:val="auto"/>
              </w:rPr>
            </w:pPr>
            <w:r>
              <w:rPr>
                <w:rFonts w:ascii="Arial" w:cs="Arial" w:eastAsia="Arial" w:hAnsi="Arial"/>
                <w:sz w:val="14"/>
                <w:szCs w:val="14"/>
                <w:color w:val="76AD9A"/>
              </w:rPr>
              <w:t>2012</w:t>
            </w:r>
          </w:p>
        </w:tc>
        <w:tc>
          <w:tcPr>
            <w:tcW w:w="5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76AD9A"/>
              </w:rPr>
              <w:t>2011</w:t>
            </w:r>
          </w:p>
        </w:tc>
      </w:tr>
      <w:tr>
        <w:trPr>
          <w:trHeight w:val="186"/>
        </w:trPr>
        <w:tc>
          <w:tcPr>
            <w:tcW w:w="20" w:type="dxa"/>
            <w:vAlign w:val="bottom"/>
          </w:tcPr>
          <w:p>
            <w:pPr>
              <w:spacing w:after="0"/>
              <w:rPr>
                <w:sz w:val="16"/>
                <w:szCs w:val="16"/>
                <w:color w:val="auto"/>
              </w:rPr>
            </w:pPr>
          </w:p>
        </w:tc>
        <w:tc>
          <w:tcPr>
            <w:tcW w:w="75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77679"/>
              </w:rPr>
              <w:t>Net Periodic Benefit Cost</w:t>
            </w:r>
          </w:p>
        </w:tc>
        <w:tc>
          <w:tcPr>
            <w:tcW w:w="220" w:type="dxa"/>
            <w:vAlign w:val="bottom"/>
            <w:tcBorders>
              <w:top w:val="single" w:sz="8" w:color="76AD9A"/>
            </w:tcBorders>
            <w:shd w:val="clear" w:color="auto" w:fill="EEF5F2"/>
          </w:tcPr>
          <w:p>
            <w:pPr>
              <w:spacing w:after="0"/>
              <w:rPr>
                <w:sz w:val="16"/>
                <w:szCs w:val="16"/>
                <w:color w:val="auto"/>
              </w:rPr>
            </w:pPr>
          </w:p>
        </w:tc>
        <w:tc>
          <w:tcPr>
            <w:tcW w:w="1040" w:type="dxa"/>
            <w:vAlign w:val="bottom"/>
            <w:tcBorders>
              <w:top w:val="single" w:sz="8" w:color="76AD9A"/>
            </w:tcBorders>
            <w:shd w:val="clear" w:color="auto" w:fill="EEF5F2"/>
          </w:tcPr>
          <w:p>
            <w:pPr>
              <w:spacing w:after="0"/>
              <w:rPr>
                <w:sz w:val="16"/>
                <w:szCs w:val="16"/>
                <w:color w:val="auto"/>
              </w:rPr>
            </w:pPr>
          </w:p>
        </w:tc>
        <w:tc>
          <w:tcPr>
            <w:tcW w:w="520" w:type="dxa"/>
            <w:vAlign w:val="bottom"/>
            <w:tcBorders>
              <w:top w:val="single" w:sz="8" w:color="76AD9A"/>
            </w:tcBorders>
          </w:tcPr>
          <w:p>
            <w:pPr>
              <w:spacing w:after="0"/>
              <w:rPr>
                <w:sz w:val="16"/>
                <w:szCs w:val="16"/>
                <w:color w:val="auto"/>
              </w:rPr>
            </w:pPr>
          </w:p>
        </w:tc>
        <w:tc>
          <w:tcPr>
            <w:tcW w:w="800" w:type="dxa"/>
            <w:vAlign w:val="bottom"/>
            <w:tcBorders>
              <w:top w:val="single" w:sz="8" w:color="76AD9A"/>
            </w:tcBorders>
          </w:tcPr>
          <w:p>
            <w:pPr>
              <w:spacing w:after="0"/>
              <w:rPr>
                <w:sz w:val="16"/>
                <w:szCs w:val="16"/>
                <w:color w:val="auto"/>
              </w:rPr>
            </w:pPr>
          </w:p>
        </w:tc>
        <w:tc>
          <w:tcPr>
            <w:tcW w:w="580" w:type="dxa"/>
            <w:vAlign w:val="bottom"/>
            <w:tcBorders>
              <w:top w:val="single" w:sz="8" w:color="76AD9A"/>
            </w:tcBorders>
          </w:tcPr>
          <w:p>
            <w:pPr>
              <w:spacing w:after="0"/>
              <w:rPr>
                <w:sz w:val="16"/>
                <w:szCs w:val="16"/>
                <w:color w:val="auto"/>
              </w:rPr>
            </w:pPr>
          </w:p>
        </w:tc>
        <w:tc>
          <w:tcPr>
            <w:tcW w:w="600" w:type="dxa"/>
            <w:vAlign w:val="bottom"/>
            <w:tcBorders>
              <w:top w:val="single" w:sz="8" w:color="76AD9A"/>
            </w:tcBorders>
          </w:tcPr>
          <w:p>
            <w:pPr>
              <w:spacing w:after="0"/>
              <w:rPr>
                <w:sz w:val="16"/>
                <w:szCs w:val="16"/>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Service cost</w:t>
            </w:r>
          </w:p>
        </w:tc>
        <w:tc>
          <w:tcPr>
            <w:tcW w:w="2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40" w:type="dxa"/>
            <w:vAlign w:val="bottom"/>
            <w:shd w:val="clear" w:color="auto" w:fill="EEF5F2"/>
          </w:tcPr>
          <w:p>
            <w:pPr>
              <w:jc w:val="right"/>
              <w:ind w:right="35"/>
              <w:spacing w:after="0" w:line="194" w:lineRule="exact"/>
              <w:rPr>
                <w:sz w:val="20"/>
                <w:szCs w:val="20"/>
                <w:color w:val="auto"/>
              </w:rPr>
            </w:pPr>
            <w:r>
              <w:rPr>
                <w:rFonts w:ascii="Arial" w:cs="Arial" w:eastAsia="Arial" w:hAnsi="Arial"/>
                <w:sz w:val="17"/>
                <w:szCs w:val="17"/>
                <w:color w:val="76AD9A"/>
              </w:rPr>
              <w:t>—</w:t>
            </w:r>
          </w:p>
        </w:tc>
        <w:tc>
          <w:tcPr>
            <w:tcW w:w="520" w:type="dxa"/>
            <w:vAlign w:val="bottom"/>
          </w:tcPr>
          <w:p>
            <w:pPr>
              <w:jc w:val="right"/>
              <w:ind w:right="234"/>
              <w:spacing w:after="0" w:line="194" w:lineRule="exact"/>
              <w:rPr>
                <w:sz w:val="20"/>
                <w:szCs w:val="20"/>
                <w:color w:val="auto"/>
              </w:rPr>
            </w:pPr>
            <w:r>
              <w:rPr>
                <w:rFonts w:ascii="Arial" w:cs="Arial" w:eastAsia="Arial" w:hAnsi="Arial"/>
                <w:sz w:val="17"/>
                <w:szCs w:val="17"/>
                <w:color w:val="373535"/>
              </w:rPr>
              <w:t>$</w:t>
            </w:r>
          </w:p>
        </w:tc>
        <w:tc>
          <w:tcPr>
            <w:tcW w:w="800" w:type="dxa"/>
            <w:vAlign w:val="bottom"/>
          </w:tcPr>
          <w:p>
            <w:pPr>
              <w:jc w:val="right"/>
              <w:ind w:right="95"/>
              <w:spacing w:after="0" w:line="194" w:lineRule="exact"/>
              <w:rPr>
                <w:sz w:val="20"/>
                <w:szCs w:val="20"/>
                <w:color w:val="auto"/>
              </w:rPr>
            </w:pPr>
            <w:r>
              <w:rPr>
                <w:rFonts w:ascii="Arial" w:cs="Arial" w:eastAsia="Arial" w:hAnsi="Arial"/>
                <w:sz w:val="17"/>
                <w:szCs w:val="17"/>
                <w:color w:val="373535"/>
              </w:rPr>
              <w:t>0.1</w:t>
            </w:r>
          </w:p>
        </w:tc>
        <w:tc>
          <w:tcPr>
            <w:tcW w:w="580" w:type="dxa"/>
            <w:vAlign w:val="bottom"/>
          </w:tcPr>
          <w:p>
            <w:pPr>
              <w:jc w:val="right"/>
              <w:ind w:right="214"/>
              <w:spacing w:after="0" w:line="194" w:lineRule="exact"/>
              <w:rPr>
                <w:sz w:val="20"/>
                <w:szCs w:val="20"/>
                <w:color w:val="auto"/>
              </w:rPr>
            </w:pPr>
            <w:r>
              <w:rPr>
                <w:rFonts w:ascii="Arial" w:cs="Arial" w:eastAsia="Arial" w:hAnsi="Arial"/>
                <w:sz w:val="17"/>
                <w:szCs w:val="17"/>
                <w:color w:val="373535"/>
              </w:rPr>
              <w:t>$</w:t>
            </w: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0.1</w:t>
            </w:r>
          </w:p>
        </w:tc>
      </w:tr>
      <w:tr>
        <w:trPr>
          <w:trHeight w:val="193"/>
        </w:trPr>
        <w:tc>
          <w:tcPr>
            <w:tcW w:w="7560" w:type="dxa"/>
            <w:vAlign w:val="bottom"/>
            <w:gridSpan w:val="2"/>
          </w:tcPr>
          <w:p>
            <w:pPr>
              <w:spacing w:after="0" w:line="193" w:lineRule="exact"/>
              <w:rPr>
                <w:sz w:val="20"/>
                <w:szCs w:val="20"/>
                <w:color w:val="auto"/>
              </w:rPr>
            </w:pPr>
            <w:r>
              <w:rPr>
                <w:rFonts w:ascii="Arial" w:cs="Arial" w:eastAsia="Arial" w:hAnsi="Arial"/>
                <w:sz w:val="17"/>
                <w:szCs w:val="17"/>
                <w:color w:val="373535"/>
              </w:rPr>
              <w:t>Interest cost</w:t>
            </w:r>
          </w:p>
        </w:tc>
        <w:tc>
          <w:tcPr>
            <w:tcW w:w="220" w:type="dxa"/>
            <w:vAlign w:val="bottom"/>
            <w:shd w:val="clear" w:color="auto" w:fill="EEF5F2"/>
          </w:tcPr>
          <w:p>
            <w:pPr>
              <w:spacing w:after="0"/>
              <w:rPr>
                <w:sz w:val="16"/>
                <w:szCs w:val="16"/>
                <w:color w:val="auto"/>
              </w:rPr>
            </w:pPr>
          </w:p>
        </w:tc>
        <w:tc>
          <w:tcPr>
            <w:tcW w:w="1040" w:type="dxa"/>
            <w:vAlign w:val="bottom"/>
          </w:tcPr>
          <w:p>
            <w:pPr>
              <w:jc w:val="right"/>
              <w:ind w:right="35"/>
              <w:spacing w:after="0" w:line="193" w:lineRule="exact"/>
              <w:rPr>
                <w:sz w:val="20"/>
                <w:szCs w:val="20"/>
                <w:color w:val="auto"/>
              </w:rPr>
            </w:pPr>
            <w:r>
              <w:rPr>
                <w:rFonts w:ascii="Arial" w:cs="Arial" w:eastAsia="Arial" w:hAnsi="Arial"/>
                <w:sz w:val="17"/>
                <w:szCs w:val="17"/>
                <w:color w:val="76AD9A"/>
              </w:rPr>
              <w:t>1.1</w:t>
            </w:r>
          </w:p>
        </w:tc>
        <w:tc>
          <w:tcPr>
            <w:tcW w:w="520" w:type="dxa"/>
            <w:vAlign w:val="bottom"/>
          </w:tcPr>
          <w:p>
            <w:pPr>
              <w:spacing w:after="0"/>
              <w:rPr>
                <w:sz w:val="16"/>
                <w:szCs w:val="16"/>
                <w:color w:val="auto"/>
              </w:rPr>
            </w:pPr>
          </w:p>
        </w:tc>
        <w:tc>
          <w:tcPr>
            <w:tcW w:w="800" w:type="dxa"/>
            <w:vAlign w:val="bottom"/>
          </w:tcPr>
          <w:p>
            <w:pPr>
              <w:jc w:val="right"/>
              <w:ind w:right="95"/>
              <w:spacing w:after="0" w:line="193" w:lineRule="exact"/>
              <w:rPr>
                <w:sz w:val="20"/>
                <w:szCs w:val="20"/>
                <w:color w:val="auto"/>
              </w:rPr>
            </w:pPr>
            <w:r>
              <w:rPr>
                <w:rFonts w:ascii="Arial" w:cs="Arial" w:eastAsia="Arial" w:hAnsi="Arial"/>
                <w:sz w:val="17"/>
                <w:szCs w:val="17"/>
                <w:color w:val="373535"/>
              </w:rPr>
              <w:t>1.3</w:t>
            </w:r>
          </w:p>
        </w:tc>
        <w:tc>
          <w:tcPr>
            <w:tcW w:w="580" w:type="dxa"/>
            <w:vAlign w:val="bottom"/>
          </w:tcPr>
          <w:p>
            <w:pPr>
              <w:spacing w:after="0"/>
              <w:rPr>
                <w:sz w:val="16"/>
                <w:szCs w:val="16"/>
                <w:color w:val="auto"/>
              </w:rPr>
            </w:pPr>
          </w:p>
        </w:tc>
        <w:tc>
          <w:tcPr>
            <w:tcW w:w="600" w:type="dxa"/>
            <w:vAlign w:val="bottom"/>
          </w:tcPr>
          <w:p>
            <w:pPr>
              <w:jc w:val="right"/>
              <w:spacing w:after="0" w:line="193" w:lineRule="exact"/>
              <w:rPr>
                <w:sz w:val="20"/>
                <w:szCs w:val="20"/>
                <w:color w:val="auto"/>
              </w:rPr>
            </w:pPr>
            <w:r>
              <w:rPr>
                <w:rFonts w:ascii="Arial" w:cs="Arial" w:eastAsia="Arial" w:hAnsi="Arial"/>
                <w:sz w:val="17"/>
                <w:szCs w:val="17"/>
                <w:color w:val="373535"/>
              </w:rPr>
              <w:t>1.3</w:t>
            </w:r>
          </w:p>
        </w:tc>
      </w:tr>
      <w:tr>
        <w:trPr>
          <w:trHeight w:val="206"/>
        </w:trPr>
        <w:tc>
          <w:tcPr>
            <w:tcW w:w="7560" w:type="dxa"/>
            <w:vAlign w:val="bottom"/>
            <w:gridSpan w:val="2"/>
          </w:tcPr>
          <w:p>
            <w:pPr>
              <w:spacing w:after="0"/>
              <w:rPr>
                <w:sz w:val="20"/>
                <w:szCs w:val="20"/>
                <w:color w:val="auto"/>
              </w:rPr>
            </w:pPr>
            <w:r>
              <w:rPr>
                <w:rFonts w:ascii="Arial" w:cs="Arial" w:eastAsia="Arial" w:hAnsi="Arial"/>
                <w:sz w:val="17"/>
                <w:szCs w:val="17"/>
                <w:color w:val="373535"/>
              </w:rPr>
              <w:t>Net loss</w:t>
            </w:r>
          </w:p>
        </w:tc>
        <w:tc>
          <w:tcPr>
            <w:tcW w:w="220" w:type="dxa"/>
            <w:vAlign w:val="bottom"/>
            <w:shd w:val="clear" w:color="auto" w:fill="EEF5F2"/>
          </w:tcPr>
          <w:p>
            <w:pPr>
              <w:spacing w:after="0"/>
              <w:rPr>
                <w:sz w:val="17"/>
                <w:szCs w:val="17"/>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color w:val="76AD9A"/>
              </w:rPr>
              <w:t>0.3</w:t>
            </w:r>
          </w:p>
        </w:tc>
        <w:tc>
          <w:tcPr>
            <w:tcW w:w="520" w:type="dxa"/>
            <w:vAlign w:val="bottom"/>
          </w:tcPr>
          <w:p>
            <w:pPr>
              <w:spacing w:after="0"/>
              <w:rPr>
                <w:sz w:val="17"/>
                <w:szCs w:val="17"/>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373535"/>
              </w:rPr>
              <w:t>—</w:t>
            </w:r>
          </w:p>
        </w:tc>
        <w:tc>
          <w:tcPr>
            <w:tcW w:w="5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73535"/>
              </w:rPr>
              <w:t>—</w:t>
            </w:r>
          </w:p>
        </w:tc>
      </w:tr>
      <w:tr>
        <w:trPr>
          <w:trHeight w:val="195"/>
        </w:trPr>
        <w:tc>
          <w:tcPr>
            <w:tcW w:w="756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Prior service credit</w:t>
            </w:r>
          </w:p>
        </w:tc>
        <w:tc>
          <w:tcPr>
            <w:tcW w:w="22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76AD9A"/>
              </w:rPr>
              <w:t>(0.2)</w:t>
            </w:r>
          </w:p>
        </w:tc>
        <w:tc>
          <w:tcPr>
            <w:tcW w:w="5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ind w:right="95"/>
              <w:spacing w:after="0"/>
              <w:rPr>
                <w:sz w:val="20"/>
                <w:szCs w:val="20"/>
                <w:color w:val="auto"/>
              </w:rPr>
            </w:pPr>
            <w:r>
              <w:rPr>
                <w:rFonts w:ascii="Arial" w:cs="Arial" w:eastAsia="Arial" w:hAnsi="Arial"/>
                <w:sz w:val="17"/>
                <w:szCs w:val="17"/>
                <w:color w:val="373535"/>
              </w:rPr>
              <w:t>—</w:t>
            </w:r>
          </w:p>
        </w:tc>
        <w:tc>
          <w:tcPr>
            <w:tcW w:w="580" w:type="dxa"/>
            <w:vAlign w:val="bottom"/>
            <w:tcBorders>
              <w:bottom w:val="single" w:sz="8" w:color="717073"/>
            </w:tcBorders>
          </w:tcPr>
          <w:p>
            <w:pPr>
              <w:spacing w:after="0"/>
              <w:rPr>
                <w:sz w:val="16"/>
                <w:szCs w:val="16"/>
                <w:color w:val="auto"/>
              </w:rPr>
            </w:pPr>
          </w:p>
        </w:tc>
        <w:tc>
          <w:tcPr>
            <w:tcW w:w="60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r>
      <w:tr>
        <w:trPr>
          <w:trHeight w:val="186"/>
        </w:trPr>
        <w:tc>
          <w:tcPr>
            <w:tcW w:w="7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Net periodic benefit cost</w:t>
            </w:r>
          </w:p>
        </w:tc>
        <w:tc>
          <w:tcPr>
            <w:tcW w:w="22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ind w:right="35"/>
              <w:spacing w:after="0" w:line="186" w:lineRule="exact"/>
              <w:rPr>
                <w:sz w:val="20"/>
                <w:szCs w:val="20"/>
                <w:color w:val="auto"/>
              </w:rPr>
            </w:pPr>
            <w:r>
              <w:rPr>
                <w:rFonts w:ascii="Arial" w:cs="Arial" w:eastAsia="Arial" w:hAnsi="Arial"/>
                <w:sz w:val="17"/>
                <w:szCs w:val="17"/>
                <w:color w:val="76AD9A"/>
              </w:rPr>
              <w:t>1.2</w:t>
            </w:r>
          </w:p>
        </w:tc>
        <w:tc>
          <w:tcPr>
            <w:tcW w:w="5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ind w:right="95"/>
              <w:spacing w:after="0" w:line="186" w:lineRule="exact"/>
              <w:rPr>
                <w:sz w:val="20"/>
                <w:szCs w:val="20"/>
                <w:color w:val="auto"/>
              </w:rPr>
            </w:pPr>
            <w:r>
              <w:rPr>
                <w:rFonts w:ascii="Arial" w:cs="Arial" w:eastAsia="Arial" w:hAnsi="Arial"/>
                <w:sz w:val="17"/>
                <w:szCs w:val="17"/>
                <w:color w:val="373535"/>
              </w:rPr>
              <w:t>1.4</w:t>
            </w:r>
          </w:p>
        </w:tc>
        <w:tc>
          <w:tcPr>
            <w:tcW w:w="580" w:type="dxa"/>
            <w:vAlign w:val="bottom"/>
            <w:tcBorders>
              <w:bottom w:val="single" w:sz="8" w:color="717073"/>
            </w:tcBorders>
          </w:tcPr>
          <w:p>
            <w:pPr>
              <w:spacing w:after="0"/>
              <w:rPr>
                <w:sz w:val="16"/>
                <w:szCs w:val="16"/>
                <w:color w:val="auto"/>
              </w:rPr>
            </w:pPr>
          </w:p>
        </w:tc>
        <w:tc>
          <w:tcPr>
            <w:tcW w:w="6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1.4</w:t>
            </w:r>
          </w:p>
        </w:tc>
      </w:tr>
      <w:tr>
        <w:trPr>
          <w:trHeight w:val="186"/>
        </w:trPr>
        <w:tc>
          <w:tcPr>
            <w:tcW w:w="7560" w:type="dxa"/>
            <w:vAlign w:val="bottom"/>
            <w:gridSpan w:val="2"/>
          </w:tcPr>
          <w:p>
            <w:pPr>
              <w:spacing w:after="0" w:line="185" w:lineRule="exact"/>
              <w:rPr>
                <w:sz w:val="20"/>
                <w:szCs w:val="20"/>
                <w:color w:val="auto"/>
              </w:rPr>
            </w:pPr>
            <w:r>
              <w:rPr>
                <w:rFonts w:ascii="Arial" w:cs="Arial" w:eastAsia="Arial" w:hAnsi="Arial"/>
                <w:sz w:val="17"/>
                <w:szCs w:val="17"/>
                <w:color w:val="777679"/>
              </w:rPr>
              <w:t>Other Changes in Plan Assets and Benefit Obligations Recognized in Other Comprehensive</w:t>
            </w:r>
          </w:p>
        </w:tc>
        <w:tc>
          <w:tcPr>
            <w:tcW w:w="220" w:type="dxa"/>
            <w:vAlign w:val="bottom"/>
            <w:shd w:val="clear" w:color="auto" w:fill="EEF5F2"/>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540" w:type="dxa"/>
            <w:vAlign w:val="bottom"/>
          </w:tcPr>
          <w:p>
            <w:pPr>
              <w:ind w:left="140"/>
              <w:spacing w:after="0" w:line="194" w:lineRule="exact"/>
              <w:rPr>
                <w:sz w:val="20"/>
                <w:szCs w:val="20"/>
                <w:color w:val="auto"/>
              </w:rPr>
            </w:pPr>
            <w:r>
              <w:rPr>
                <w:rFonts w:ascii="Arial" w:cs="Arial" w:eastAsia="Arial" w:hAnsi="Arial"/>
                <w:sz w:val="17"/>
                <w:szCs w:val="17"/>
                <w:color w:val="777679"/>
              </w:rPr>
              <w:t>Income (Loss)</w:t>
            </w:r>
          </w:p>
        </w:tc>
        <w:tc>
          <w:tcPr>
            <w:tcW w:w="220" w:type="dxa"/>
            <w:vAlign w:val="bottom"/>
            <w:shd w:val="clear" w:color="auto" w:fill="EEF5F2"/>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Net (gain) loss</w:t>
            </w:r>
          </w:p>
        </w:tc>
        <w:tc>
          <w:tcPr>
            <w:tcW w:w="22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(0.9)</w:t>
            </w:r>
          </w:p>
        </w:tc>
        <w:tc>
          <w:tcPr>
            <w:tcW w:w="520" w:type="dxa"/>
            <w:vAlign w:val="bottom"/>
          </w:tcPr>
          <w:p>
            <w:pPr>
              <w:spacing w:after="0"/>
              <w:rPr>
                <w:sz w:val="16"/>
                <w:szCs w:val="16"/>
                <w:color w:val="auto"/>
              </w:rPr>
            </w:pPr>
          </w:p>
        </w:tc>
        <w:tc>
          <w:tcPr>
            <w:tcW w:w="800" w:type="dxa"/>
            <w:vAlign w:val="bottom"/>
          </w:tcPr>
          <w:p>
            <w:pPr>
              <w:jc w:val="right"/>
              <w:ind w:right="95"/>
              <w:spacing w:after="0" w:line="194" w:lineRule="exact"/>
              <w:rPr>
                <w:sz w:val="20"/>
                <w:szCs w:val="20"/>
                <w:color w:val="auto"/>
              </w:rPr>
            </w:pPr>
            <w:r>
              <w:rPr>
                <w:rFonts w:ascii="Arial" w:cs="Arial" w:eastAsia="Arial" w:hAnsi="Arial"/>
                <w:sz w:val="17"/>
                <w:szCs w:val="17"/>
                <w:color w:val="373535"/>
              </w:rPr>
              <w:t>3.2</w:t>
            </w:r>
          </w:p>
        </w:tc>
        <w:tc>
          <w:tcPr>
            <w:tcW w:w="58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3.3</w:t>
            </w:r>
          </w:p>
        </w:tc>
      </w:tr>
      <w:tr>
        <w:trPr>
          <w:trHeight w:val="194"/>
        </w:trPr>
        <w:tc>
          <w:tcPr>
            <w:tcW w:w="7560" w:type="dxa"/>
            <w:vAlign w:val="bottom"/>
            <w:gridSpan w:val="2"/>
          </w:tcPr>
          <w:p>
            <w:pPr>
              <w:spacing w:after="0" w:line="194" w:lineRule="exact"/>
              <w:rPr>
                <w:sz w:val="20"/>
                <w:szCs w:val="20"/>
                <w:color w:val="auto"/>
              </w:rPr>
            </w:pPr>
            <w:r>
              <w:rPr>
                <w:rFonts w:ascii="Arial" w:cs="Arial" w:eastAsia="Arial" w:hAnsi="Arial"/>
                <w:sz w:val="17"/>
                <w:szCs w:val="17"/>
                <w:color w:val="373535"/>
              </w:rPr>
              <w:t>Prior service credit</w:t>
            </w:r>
          </w:p>
        </w:tc>
        <w:tc>
          <w:tcPr>
            <w:tcW w:w="220" w:type="dxa"/>
            <w:vAlign w:val="bottom"/>
            <w:shd w:val="clear" w:color="auto" w:fill="EEF5F2"/>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Arial" w:cs="Arial" w:eastAsia="Arial" w:hAnsi="Arial"/>
                <w:sz w:val="17"/>
                <w:szCs w:val="17"/>
                <w:color w:val="76AD9A"/>
              </w:rPr>
              <w:t>(11.2)</w:t>
            </w:r>
          </w:p>
        </w:tc>
        <w:tc>
          <w:tcPr>
            <w:tcW w:w="520" w:type="dxa"/>
            <w:vAlign w:val="bottom"/>
          </w:tcPr>
          <w:p>
            <w:pPr>
              <w:spacing w:after="0"/>
              <w:rPr>
                <w:sz w:val="16"/>
                <w:szCs w:val="16"/>
                <w:color w:val="auto"/>
              </w:rPr>
            </w:pPr>
          </w:p>
        </w:tc>
        <w:tc>
          <w:tcPr>
            <w:tcW w:w="800" w:type="dxa"/>
            <w:vAlign w:val="bottom"/>
          </w:tcPr>
          <w:p>
            <w:pPr>
              <w:jc w:val="right"/>
              <w:ind w:right="9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60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206"/>
        </w:trPr>
        <w:tc>
          <w:tcPr>
            <w:tcW w:w="7560" w:type="dxa"/>
            <w:vAlign w:val="bottom"/>
            <w:gridSpan w:val="2"/>
          </w:tcPr>
          <w:p>
            <w:pPr>
              <w:spacing w:after="0"/>
              <w:rPr>
                <w:sz w:val="20"/>
                <w:szCs w:val="20"/>
                <w:color w:val="auto"/>
              </w:rPr>
            </w:pPr>
            <w:r>
              <w:rPr>
                <w:rFonts w:ascii="Arial" w:cs="Arial" w:eastAsia="Arial" w:hAnsi="Arial"/>
                <w:sz w:val="17"/>
                <w:szCs w:val="17"/>
                <w:color w:val="373535"/>
              </w:rPr>
              <w:t>Amortization of net (loss) gain</w:t>
            </w:r>
          </w:p>
        </w:tc>
        <w:tc>
          <w:tcPr>
            <w:tcW w:w="220" w:type="dxa"/>
            <w:vAlign w:val="bottom"/>
            <w:shd w:val="clear" w:color="auto" w:fill="EEF5F2"/>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76AD9A"/>
              </w:rPr>
              <w:t>(0.3)</w:t>
            </w:r>
          </w:p>
        </w:tc>
        <w:tc>
          <w:tcPr>
            <w:tcW w:w="520" w:type="dxa"/>
            <w:vAlign w:val="bottom"/>
          </w:tcPr>
          <w:p>
            <w:pPr>
              <w:spacing w:after="0"/>
              <w:rPr>
                <w:sz w:val="17"/>
                <w:szCs w:val="17"/>
                <w:color w:val="auto"/>
              </w:rPr>
            </w:pPr>
          </w:p>
        </w:tc>
        <w:tc>
          <w:tcPr>
            <w:tcW w:w="800" w:type="dxa"/>
            <w:vAlign w:val="bottom"/>
          </w:tcPr>
          <w:p>
            <w:pPr>
              <w:jc w:val="right"/>
              <w:ind w:right="95"/>
              <w:spacing w:after="0"/>
              <w:rPr>
                <w:sz w:val="20"/>
                <w:szCs w:val="20"/>
                <w:color w:val="auto"/>
              </w:rPr>
            </w:pPr>
            <w:r>
              <w:rPr>
                <w:rFonts w:ascii="Arial" w:cs="Arial" w:eastAsia="Arial" w:hAnsi="Arial"/>
                <w:sz w:val="17"/>
                <w:szCs w:val="17"/>
                <w:color w:val="373535"/>
              </w:rPr>
              <w:t>—</w:t>
            </w:r>
          </w:p>
        </w:tc>
        <w:tc>
          <w:tcPr>
            <w:tcW w:w="5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373535"/>
              </w:rPr>
              <w:t>—</w:t>
            </w:r>
          </w:p>
        </w:tc>
      </w:tr>
      <w:tr>
        <w:trPr>
          <w:trHeight w:val="195"/>
        </w:trPr>
        <w:tc>
          <w:tcPr>
            <w:tcW w:w="7560" w:type="dxa"/>
            <w:vAlign w:val="bottom"/>
            <w:tcBorders>
              <w:bottom w:val="single" w:sz="8" w:color="717073"/>
            </w:tcBorders>
            <w:gridSpan w:val="2"/>
          </w:tcPr>
          <w:p>
            <w:pPr>
              <w:spacing w:after="0"/>
              <w:rPr>
                <w:sz w:val="20"/>
                <w:szCs w:val="20"/>
                <w:color w:val="auto"/>
              </w:rPr>
            </w:pPr>
            <w:r>
              <w:rPr>
                <w:rFonts w:ascii="Arial" w:cs="Arial" w:eastAsia="Arial" w:hAnsi="Arial"/>
                <w:sz w:val="17"/>
                <w:szCs w:val="17"/>
                <w:color w:val="373535"/>
              </w:rPr>
              <w:t>Amortization of prior service credit</w:t>
            </w:r>
          </w:p>
        </w:tc>
        <w:tc>
          <w:tcPr>
            <w:tcW w:w="22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ind w:right="35"/>
              <w:spacing w:after="0"/>
              <w:rPr>
                <w:sz w:val="20"/>
                <w:szCs w:val="20"/>
                <w:color w:val="auto"/>
              </w:rPr>
            </w:pPr>
            <w:r>
              <w:rPr>
                <w:rFonts w:ascii="Arial" w:cs="Arial" w:eastAsia="Arial" w:hAnsi="Arial"/>
                <w:sz w:val="17"/>
                <w:szCs w:val="17"/>
                <w:color w:val="76AD9A"/>
              </w:rPr>
              <w:t>0.2</w:t>
            </w:r>
          </w:p>
        </w:tc>
        <w:tc>
          <w:tcPr>
            <w:tcW w:w="5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ind w:right="95"/>
              <w:spacing w:after="0"/>
              <w:rPr>
                <w:sz w:val="20"/>
                <w:szCs w:val="20"/>
                <w:color w:val="auto"/>
              </w:rPr>
            </w:pPr>
            <w:r>
              <w:rPr>
                <w:rFonts w:ascii="Arial" w:cs="Arial" w:eastAsia="Arial" w:hAnsi="Arial"/>
                <w:sz w:val="17"/>
                <w:szCs w:val="17"/>
                <w:color w:val="373535"/>
              </w:rPr>
              <w:t>—</w:t>
            </w:r>
          </w:p>
        </w:tc>
        <w:tc>
          <w:tcPr>
            <w:tcW w:w="580" w:type="dxa"/>
            <w:vAlign w:val="bottom"/>
            <w:tcBorders>
              <w:bottom w:val="single" w:sz="8" w:color="717073"/>
            </w:tcBorders>
          </w:tcPr>
          <w:p>
            <w:pPr>
              <w:spacing w:after="0"/>
              <w:rPr>
                <w:sz w:val="16"/>
                <w:szCs w:val="16"/>
                <w:color w:val="auto"/>
              </w:rPr>
            </w:pPr>
          </w:p>
        </w:tc>
        <w:tc>
          <w:tcPr>
            <w:tcW w:w="60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w:t>
            </w:r>
          </w:p>
        </w:tc>
      </w:tr>
      <w:tr>
        <w:trPr>
          <w:trHeight w:val="186"/>
        </w:trPr>
        <w:tc>
          <w:tcPr>
            <w:tcW w:w="7560" w:type="dxa"/>
            <w:vAlign w:val="bottom"/>
            <w:tcBorders>
              <w:bottom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Total recognized in other comprehensive income (loss)</w:t>
            </w:r>
          </w:p>
        </w:tc>
        <w:tc>
          <w:tcPr>
            <w:tcW w:w="220" w:type="dxa"/>
            <w:vAlign w:val="bottom"/>
            <w:tcBorders>
              <w:bottom w:val="single" w:sz="8" w:color="717073"/>
            </w:tcBorders>
            <w:shd w:val="clear" w:color="auto" w:fill="EEF5F2"/>
          </w:tcPr>
          <w:p>
            <w:pPr>
              <w:spacing w:after="0"/>
              <w:rPr>
                <w:sz w:val="16"/>
                <w:szCs w:val="16"/>
                <w:color w:val="auto"/>
              </w:rPr>
            </w:pPr>
          </w:p>
        </w:tc>
        <w:tc>
          <w:tcPr>
            <w:tcW w:w="10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76AD9A"/>
              </w:rPr>
              <w:t>(12.2)</w:t>
            </w:r>
          </w:p>
        </w:tc>
        <w:tc>
          <w:tcPr>
            <w:tcW w:w="5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tcPr>
          <w:p>
            <w:pPr>
              <w:jc w:val="right"/>
              <w:ind w:right="95"/>
              <w:spacing w:after="0" w:line="186" w:lineRule="exact"/>
              <w:rPr>
                <w:sz w:val="20"/>
                <w:szCs w:val="20"/>
                <w:color w:val="auto"/>
              </w:rPr>
            </w:pPr>
            <w:r>
              <w:rPr>
                <w:rFonts w:ascii="Arial" w:cs="Arial" w:eastAsia="Arial" w:hAnsi="Arial"/>
                <w:sz w:val="17"/>
                <w:szCs w:val="17"/>
                <w:color w:val="373535"/>
              </w:rPr>
              <w:t>3.2</w:t>
            </w:r>
          </w:p>
        </w:tc>
        <w:tc>
          <w:tcPr>
            <w:tcW w:w="580" w:type="dxa"/>
            <w:vAlign w:val="bottom"/>
            <w:tcBorders>
              <w:bottom w:val="single" w:sz="8" w:color="717073"/>
            </w:tcBorders>
          </w:tcPr>
          <w:p>
            <w:pPr>
              <w:spacing w:after="0"/>
              <w:rPr>
                <w:sz w:val="16"/>
                <w:szCs w:val="16"/>
                <w:color w:val="auto"/>
              </w:rPr>
            </w:pPr>
          </w:p>
        </w:tc>
        <w:tc>
          <w:tcPr>
            <w:tcW w:w="6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3.3</w:t>
            </w:r>
          </w:p>
        </w:tc>
      </w:tr>
      <w:tr>
        <w:trPr>
          <w:trHeight w:val="186"/>
        </w:trPr>
        <w:tc>
          <w:tcPr>
            <w:tcW w:w="7560" w:type="dxa"/>
            <w:vAlign w:val="bottom"/>
            <w:gridSpan w:val="2"/>
          </w:tcPr>
          <w:p>
            <w:pPr>
              <w:spacing w:after="0" w:line="186" w:lineRule="exact"/>
              <w:rPr>
                <w:sz w:val="20"/>
                <w:szCs w:val="20"/>
                <w:color w:val="auto"/>
              </w:rPr>
            </w:pPr>
            <w:r>
              <w:rPr>
                <w:rFonts w:ascii="Arial" w:cs="Arial" w:eastAsia="Arial" w:hAnsi="Arial"/>
                <w:sz w:val="17"/>
                <w:szCs w:val="17"/>
                <w:color w:val="373535"/>
              </w:rPr>
              <w:t>Total recognized in net periodic benefit cost and other comprehensive income (loss)</w:t>
            </w: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40" w:type="dxa"/>
            <w:vAlign w:val="bottom"/>
          </w:tcPr>
          <w:p>
            <w:pPr>
              <w:jc w:val="right"/>
              <w:spacing w:after="0" w:line="186" w:lineRule="exact"/>
              <w:rPr>
                <w:sz w:val="20"/>
                <w:szCs w:val="20"/>
                <w:color w:val="auto"/>
              </w:rPr>
            </w:pPr>
            <w:r>
              <w:rPr>
                <w:rFonts w:ascii="Arial" w:cs="Arial" w:eastAsia="Arial" w:hAnsi="Arial"/>
                <w:sz w:val="17"/>
                <w:szCs w:val="17"/>
                <w:color w:val="76AD9A"/>
              </w:rPr>
              <w:t>(11.0)</w:t>
            </w:r>
          </w:p>
        </w:tc>
        <w:tc>
          <w:tcPr>
            <w:tcW w:w="520" w:type="dxa"/>
            <w:vAlign w:val="bottom"/>
          </w:tcPr>
          <w:p>
            <w:pPr>
              <w:jc w:val="right"/>
              <w:ind w:right="234"/>
              <w:spacing w:after="0" w:line="186" w:lineRule="exact"/>
              <w:rPr>
                <w:sz w:val="20"/>
                <w:szCs w:val="20"/>
                <w:color w:val="auto"/>
              </w:rPr>
            </w:pPr>
            <w:r>
              <w:rPr>
                <w:rFonts w:ascii="Arial" w:cs="Arial" w:eastAsia="Arial" w:hAnsi="Arial"/>
                <w:sz w:val="17"/>
                <w:szCs w:val="17"/>
                <w:color w:val="373535"/>
              </w:rPr>
              <w:t>$</w:t>
            </w:r>
          </w:p>
        </w:tc>
        <w:tc>
          <w:tcPr>
            <w:tcW w:w="800" w:type="dxa"/>
            <w:vAlign w:val="bottom"/>
          </w:tcPr>
          <w:p>
            <w:pPr>
              <w:jc w:val="right"/>
              <w:ind w:right="95"/>
              <w:spacing w:after="0" w:line="186" w:lineRule="exact"/>
              <w:rPr>
                <w:sz w:val="20"/>
                <w:szCs w:val="20"/>
                <w:color w:val="auto"/>
              </w:rPr>
            </w:pPr>
            <w:r>
              <w:rPr>
                <w:rFonts w:ascii="Arial" w:cs="Arial" w:eastAsia="Arial" w:hAnsi="Arial"/>
                <w:sz w:val="17"/>
                <w:szCs w:val="17"/>
                <w:color w:val="373535"/>
              </w:rPr>
              <w:t>4.6</w:t>
            </w:r>
          </w:p>
        </w:tc>
        <w:tc>
          <w:tcPr>
            <w:tcW w:w="580" w:type="dxa"/>
            <w:vAlign w:val="bottom"/>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600" w:type="dxa"/>
            <w:vAlign w:val="bottom"/>
          </w:tcPr>
          <w:p>
            <w:pPr>
              <w:jc w:val="right"/>
              <w:spacing w:after="0" w:line="186" w:lineRule="exact"/>
              <w:rPr>
                <w:sz w:val="20"/>
                <w:szCs w:val="20"/>
                <w:color w:val="auto"/>
              </w:rPr>
            </w:pPr>
            <w:r>
              <w:rPr>
                <w:rFonts w:ascii="Arial" w:cs="Arial" w:eastAsia="Arial" w:hAnsi="Arial"/>
                <w:sz w:val="17"/>
                <w:szCs w:val="17"/>
                <w:color w:val="373535"/>
              </w:rPr>
              <w:t>4.7</w:t>
            </w:r>
          </w:p>
        </w:tc>
      </w:tr>
      <w:tr>
        <w:trPr>
          <w:trHeight w:val="20"/>
        </w:trPr>
        <w:tc>
          <w:tcPr>
            <w:tcW w:w="20" w:type="dxa"/>
            <w:vAlign w:val="bottom"/>
          </w:tcPr>
          <w:p>
            <w:pPr>
              <w:spacing w:after="0" w:line="20" w:lineRule="exact"/>
              <w:rPr>
                <w:sz w:val="1"/>
                <w:szCs w:val="1"/>
                <w:color w:val="auto"/>
              </w:rPr>
            </w:pPr>
          </w:p>
        </w:tc>
        <w:tc>
          <w:tcPr>
            <w:tcW w:w="754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1040" w:type="dxa"/>
            <w:vAlign w:val="bottom"/>
            <w:shd w:val="clear" w:color="auto" w:fill="717073"/>
          </w:tcPr>
          <w:p>
            <w:pPr>
              <w:spacing w:after="0" w:line="20" w:lineRule="exact"/>
              <w:rPr>
                <w:sz w:val="1"/>
                <w:szCs w:val="1"/>
                <w:color w:val="auto"/>
              </w:rPr>
            </w:pPr>
          </w:p>
        </w:tc>
        <w:tc>
          <w:tcPr>
            <w:tcW w:w="520" w:type="dxa"/>
            <w:vAlign w:val="bottom"/>
            <w:shd w:val="clear" w:color="auto" w:fill="717073"/>
          </w:tcPr>
          <w:p>
            <w:pPr>
              <w:spacing w:after="0" w:line="20" w:lineRule="exact"/>
              <w:rPr>
                <w:sz w:val="1"/>
                <w:szCs w:val="1"/>
                <w:color w:val="auto"/>
              </w:rPr>
            </w:pPr>
          </w:p>
        </w:tc>
        <w:tc>
          <w:tcPr>
            <w:tcW w:w="800" w:type="dxa"/>
            <w:vAlign w:val="bottom"/>
            <w:shd w:val="clear" w:color="auto" w:fill="717073"/>
          </w:tcPr>
          <w:p>
            <w:pPr>
              <w:spacing w:after="0" w:line="20" w:lineRule="exact"/>
              <w:rPr>
                <w:sz w:val="1"/>
                <w:szCs w:val="1"/>
                <w:color w:val="auto"/>
              </w:rPr>
            </w:pPr>
          </w:p>
        </w:tc>
        <w:tc>
          <w:tcPr>
            <w:tcW w:w="580" w:type="dxa"/>
            <w:vAlign w:val="bottom"/>
            <w:shd w:val="clear" w:color="auto" w:fill="717073"/>
          </w:tcPr>
          <w:p>
            <w:pPr>
              <w:spacing w:after="0" w:line="20" w:lineRule="exact"/>
              <w:rPr>
                <w:sz w:val="1"/>
                <w:szCs w:val="1"/>
                <w:color w:val="auto"/>
              </w:rPr>
            </w:pPr>
          </w:p>
        </w:tc>
        <w:tc>
          <w:tcPr>
            <w:tcW w:w="600" w:type="dxa"/>
            <w:vAlign w:val="bottom"/>
            <w:shd w:val="clear" w:color="auto" w:fill="7170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-1654810</wp:posOffset>
            </wp:positionV>
            <wp:extent cx="655320" cy="16471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5320" cy="1647190"/>
                    </a:xfrm>
                    <a:prstGeom prst="rect">
                      <a:avLst/>
                    </a:prstGeom>
                    <a:noFill/>
                  </pic:spPr>
                </pic:pic>
              </a:graphicData>
            </a:graphic>
          </wp:anchor>
        </w:drawing>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The estimated net loss and prior service credit for the retiree health care plan that will be amortized from accumulated other comprehensive income into net periodic benefit cost during 2014 is $0.1 and $0.8, respectively.</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373535"/>
        </w:rPr>
        <w:t>The health care cost trend rate was assumed to be 7.5% for 2013, decreasing gradually to an ultimate rate of 5.0% in 2020. Assumed health care cost trend rates have a significant effect on the amounts reported. A one-percentage point change in the assumed health care cost trend rate would have the following effects: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Borders>
              <w:bottom w:val="single" w:sz="8" w:color="76AD9A"/>
            </w:tcBorders>
          </w:tcPr>
          <w:p>
            <w:pPr>
              <w:spacing w:after="0"/>
              <w:rPr>
                <w:sz w:val="14"/>
                <w:szCs w:val="14"/>
                <w:color w:val="auto"/>
              </w:rPr>
            </w:pPr>
          </w:p>
        </w:tc>
        <w:tc>
          <w:tcPr>
            <w:tcW w:w="2580" w:type="dxa"/>
            <w:vAlign w:val="bottom"/>
            <w:tcBorders>
              <w:bottom w:val="single" w:sz="8" w:color="76AD9A"/>
            </w:tcBorders>
          </w:tcPr>
          <w:p>
            <w:pPr>
              <w:spacing w:after="0"/>
              <w:rPr>
                <w:sz w:val="14"/>
                <w:szCs w:val="14"/>
                <w:color w:val="auto"/>
              </w:rPr>
            </w:pPr>
          </w:p>
        </w:tc>
        <w:tc>
          <w:tcPr>
            <w:tcW w:w="1020" w:type="dxa"/>
            <w:vAlign w:val="bottom"/>
            <w:tcBorders>
              <w:bottom w:val="single" w:sz="8" w:color="76AD9A"/>
            </w:tcBorders>
          </w:tcPr>
          <w:p>
            <w:pPr>
              <w:jc w:val="right"/>
              <w:ind w:right="160"/>
              <w:spacing w:after="0"/>
              <w:rPr>
                <w:sz w:val="20"/>
                <w:szCs w:val="20"/>
                <w:color w:val="auto"/>
              </w:rPr>
            </w:pPr>
            <w:r>
              <w:rPr>
                <w:rFonts w:ascii="Arial" w:cs="Arial" w:eastAsia="Arial" w:hAnsi="Arial"/>
                <w:sz w:val="14"/>
                <w:szCs w:val="14"/>
                <w:color w:val="76AD9A"/>
                <w:w w:val="97"/>
              </w:rPr>
              <w:t>1% Increase</w:t>
            </w:r>
          </w:p>
        </w:tc>
        <w:tc>
          <w:tcPr>
            <w:tcW w:w="220" w:type="dxa"/>
            <w:vAlign w:val="bottom"/>
            <w:tcBorders>
              <w:bottom w:val="single" w:sz="8" w:color="76AD9A"/>
            </w:tcBorders>
          </w:tcPr>
          <w:p>
            <w:pPr>
              <w:spacing w:after="0"/>
              <w:rPr>
                <w:sz w:val="14"/>
                <w:szCs w:val="14"/>
                <w:color w:val="auto"/>
              </w:rPr>
            </w:pPr>
          </w:p>
        </w:tc>
        <w:tc>
          <w:tcPr>
            <w:tcW w:w="940" w:type="dxa"/>
            <w:vAlign w:val="bottom"/>
            <w:tcBorders>
              <w:bottom w:val="single" w:sz="8" w:color="76AD9A"/>
            </w:tcBorders>
          </w:tcPr>
          <w:p>
            <w:pPr>
              <w:spacing w:after="0"/>
              <w:rPr>
                <w:sz w:val="20"/>
                <w:szCs w:val="20"/>
                <w:color w:val="auto"/>
              </w:rPr>
            </w:pPr>
            <w:r>
              <w:rPr>
                <w:rFonts w:ascii="Arial" w:cs="Arial" w:eastAsia="Arial" w:hAnsi="Arial"/>
                <w:sz w:val="14"/>
                <w:szCs w:val="14"/>
                <w:color w:val="76AD9A"/>
              </w:rPr>
              <w:t>1% Decrease</w:t>
            </w:r>
          </w:p>
        </w:tc>
        <w:tc>
          <w:tcPr>
            <w:tcW w:w="40" w:type="dxa"/>
            <w:vAlign w:val="bottom"/>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6560" w:type="dxa"/>
            <w:vAlign w:val="bottom"/>
          </w:tcPr>
          <w:p>
            <w:pPr>
              <w:spacing w:after="0" w:line="185" w:lineRule="exact"/>
              <w:rPr>
                <w:sz w:val="20"/>
                <w:szCs w:val="20"/>
                <w:color w:val="auto"/>
              </w:rPr>
            </w:pPr>
            <w:r>
              <w:rPr>
                <w:rFonts w:ascii="Arial" w:cs="Arial" w:eastAsia="Arial" w:hAnsi="Arial"/>
                <w:sz w:val="17"/>
                <w:szCs w:val="17"/>
                <w:color w:val="373535"/>
              </w:rPr>
              <w:t>Effect on total of service and interest cost components</w:t>
            </w:r>
          </w:p>
        </w:tc>
        <w:tc>
          <w:tcPr>
            <w:tcW w:w="258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020" w:type="dxa"/>
            <w:vAlign w:val="bottom"/>
          </w:tcPr>
          <w:p>
            <w:pPr>
              <w:jc w:val="right"/>
              <w:ind w:right="40"/>
              <w:spacing w:after="0" w:line="185" w:lineRule="exact"/>
              <w:rPr>
                <w:sz w:val="20"/>
                <w:szCs w:val="20"/>
                <w:color w:val="auto"/>
              </w:rPr>
            </w:pPr>
            <w:r>
              <w:rPr>
                <w:rFonts w:ascii="Arial" w:cs="Arial" w:eastAsia="Arial" w:hAnsi="Arial"/>
                <w:sz w:val="17"/>
                <w:szCs w:val="17"/>
                <w:color w:val="373535"/>
              </w:rPr>
              <w:t>0.1</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980" w:type="dxa"/>
            <w:vAlign w:val="bottom"/>
            <w:gridSpan w:val="2"/>
          </w:tcPr>
          <w:p>
            <w:pPr>
              <w:jc w:val="right"/>
              <w:spacing w:after="0" w:line="185" w:lineRule="exact"/>
              <w:rPr>
                <w:sz w:val="20"/>
                <w:szCs w:val="20"/>
                <w:color w:val="auto"/>
              </w:rPr>
            </w:pPr>
            <w:r>
              <w:rPr>
                <w:rFonts w:ascii="Arial" w:cs="Arial" w:eastAsia="Arial" w:hAnsi="Arial"/>
                <w:sz w:val="17"/>
                <w:szCs w:val="17"/>
                <w:color w:val="373535"/>
              </w:rPr>
              <w:t>(0.1)</w:t>
            </w:r>
          </w:p>
        </w:tc>
      </w:tr>
      <w:tr>
        <w:trPr>
          <w:trHeight w:val="207"/>
        </w:trPr>
        <w:tc>
          <w:tcPr>
            <w:tcW w:w="6580" w:type="dxa"/>
            <w:vAlign w:val="bottom"/>
            <w:gridSpan w:val="2"/>
          </w:tcPr>
          <w:p>
            <w:pPr>
              <w:spacing w:after="0"/>
              <w:rPr>
                <w:sz w:val="20"/>
                <w:szCs w:val="20"/>
                <w:color w:val="auto"/>
              </w:rPr>
            </w:pPr>
            <w:r>
              <w:rPr>
                <w:rFonts w:ascii="Arial" w:cs="Arial" w:eastAsia="Arial" w:hAnsi="Arial"/>
                <w:sz w:val="17"/>
                <w:szCs w:val="17"/>
                <w:color w:val="373535"/>
              </w:rPr>
              <w:t>Effect on benefit obligation</w:t>
            </w:r>
          </w:p>
        </w:tc>
        <w:tc>
          <w:tcPr>
            <w:tcW w:w="2580" w:type="dxa"/>
            <w:vAlign w:val="bottom"/>
          </w:tcPr>
          <w:p>
            <w:pPr>
              <w:spacing w:after="0"/>
              <w:rPr>
                <w:sz w:val="18"/>
                <w:szCs w:val="18"/>
                <w:color w:val="auto"/>
              </w:rPr>
            </w:pPr>
          </w:p>
        </w:tc>
        <w:tc>
          <w:tcPr>
            <w:tcW w:w="1020" w:type="dxa"/>
            <w:vAlign w:val="bottom"/>
          </w:tcPr>
          <w:p>
            <w:pPr>
              <w:jc w:val="right"/>
              <w:ind w:right="40"/>
              <w:spacing w:after="0"/>
              <w:rPr>
                <w:sz w:val="20"/>
                <w:szCs w:val="20"/>
                <w:color w:val="auto"/>
              </w:rPr>
            </w:pPr>
            <w:r>
              <w:rPr>
                <w:rFonts w:ascii="Arial" w:cs="Arial" w:eastAsia="Arial" w:hAnsi="Arial"/>
                <w:sz w:val="17"/>
                <w:szCs w:val="17"/>
                <w:color w:val="373535"/>
              </w:rPr>
              <w:t>0.2</w:t>
            </w:r>
          </w:p>
        </w:tc>
        <w:tc>
          <w:tcPr>
            <w:tcW w:w="2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373535"/>
              </w:rPr>
              <w:t>(0.2)</w:t>
            </w:r>
          </w:p>
        </w:tc>
      </w:tr>
      <w:tr>
        <w:trPr>
          <w:trHeight w:val="20"/>
        </w:trPr>
        <w:tc>
          <w:tcPr>
            <w:tcW w:w="20" w:type="dxa"/>
            <w:vAlign w:val="bottom"/>
            <w:shd w:val="clear" w:color="auto" w:fill="717073"/>
          </w:tcPr>
          <w:p>
            <w:pPr>
              <w:spacing w:after="0" w:line="20" w:lineRule="exact"/>
              <w:rPr>
                <w:sz w:val="1"/>
                <w:szCs w:val="1"/>
                <w:color w:val="auto"/>
              </w:rPr>
            </w:pPr>
          </w:p>
        </w:tc>
        <w:tc>
          <w:tcPr>
            <w:tcW w:w="6560" w:type="dxa"/>
            <w:vAlign w:val="bottom"/>
            <w:shd w:val="clear" w:color="auto" w:fill="717073"/>
          </w:tcPr>
          <w:p>
            <w:pPr>
              <w:spacing w:after="0" w:line="20" w:lineRule="exact"/>
              <w:rPr>
                <w:sz w:val="1"/>
                <w:szCs w:val="1"/>
                <w:color w:val="auto"/>
              </w:rPr>
            </w:pPr>
          </w:p>
        </w:tc>
        <w:tc>
          <w:tcPr>
            <w:tcW w:w="2580" w:type="dxa"/>
            <w:vAlign w:val="bottom"/>
            <w:shd w:val="clear" w:color="auto" w:fill="717073"/>
          </w:tcPr>
          <w:p>
            <w:pPr>
              <w:spacing w:after="0" w:line="20" w:lineRule="exact"/>
              <w:rPr>
                <w:sz w:val="1"/>
                <w:szCs w:val="1"/>
                <w:color w:val="auto"/>
              </w:rPr>
            </w:pPr>
          </w:p>
        </w:tc>
        <w:tc>
          <w:tcPr>
            <w:tcW w:w="1020" w:type="dxa"/>
            <w:vAlign w:val="bottom"/>
            <w:shd w:val="clear" w:color="auto" w:fill="717073"/>
          </w:tcPr>
          <w:p>
            <w:pPr>
              <w:spacing w:after="0" w:line="20" w:lineRule="exact"/>
              <w:rPr>
                <w:sz w:val="1"/>
                <w:szCs w:val="1"/>
                <w:color w:val="auto"/>
              </w:rPr>
            </w:pPr>
          </w:p>
        </w:tc>
        <w:tc>
          <w:tcPr>
            <w:tcW w:w="220" w:type="dxa"/>
            <w:vAlign w:val="bottom"/>
            <w:shd w:val="clear" w:color="auto" w:fill="717073"/>
          </w:tcPr>
          <w:p>
            <w:pPr>
              <w:spacing w:after="0" w:line="20" w:lineRule="exact"/>
              <w:rPr>
                <w:sz w:val="1"/>
                <w:szCs w:val="1"/>
                <w:color w:val="auto"/>
              </w:rPr>
            </w:pPr>
          </w:p>
        </w:tc>
        <w:tc>
          <w:tcPr>
            <w:tcW w:w="940" w:type="dxa"/>
            <w:vAlign w:val="bottom"/>
            <w:tcBorders>
              <w:right w:val="single" w:sz="8" w:color="717073"/>
            </w:tcBorders>
            <w:shd w:val="clear" w:color="auto" w:fill="71707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FUTURE CONTRIBUTIONS AND PAYMENTS</w:t>
      </w:r>
    </w:p>
    <w:p>
      <w:pPr>
        <w:spacing w:after="0" w:line="188"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During 2014, we plan to contribute $13.3 to our pension plans and to fund our retiree health care payments as incurred. Projected benefit payments from the plans as of December 31, 2013 were estimated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76AD9A"/>
                <w:w w:val="96"/>
              </w:rPr>
              <w:t>Retiree Health</w:t>
            </w:r>
          </w:p>
        </w:tc>
      </w:tr>
      <w:tr>
        <w:trPr>
          <w:trHeight w:val="150"/>
        </w:trPr>
        <w:tc>
          <w:tcPr>
            <w:tcW w:w="5760" w:type="dxa"/>
            <w:vAlign w:val="bottom"/>
            <w:tcBorders>
              <w:bottom w:val="single" w:sz="8" w:color="76AD9A"/>
            </w:tcBorders>
          </w:tcPr>
          <w:p>
            <w:pPr>
              <w:spacing w:after="0" w:line="151" w:lineRule="exact"/>
              <w:rPr>
                <w:sz w:val="20"/>
                <w:szCs w:val="20"/>
                <w:color w:val="auto"/>
              </w:rPr>
            </w:pPr>
            <w:r>
              <w:rPr>
                <w:rFonts w:ascii="Arial" w:cs="Arial" w:eastAsia="Arial" w:hAnsi="Arial"/>
                <w:sz w:val="14"/>
                <w:szCs w:val="14"/>
                <w:color w:val="76AD9A"/>
              </w:rPr>
              <w:t>Year</w:t>
            </w:r>
          </w:p>
        </w:tc>
        <w:tc>
          <w:tcPr>
            <w:tcW w:w="3400" w:type="dxa"/>
            <w:vAlign w:val="bottom"/>
            <w:tcBorders>
              <w:bottom w:val="single" w:sz="8" w:color="76AD9A"/>
            </w:tcBorders>
          </w:tcPr>
          <w:p>
            <w:pPr>
              <w:spacing w:after="0"/>
              <w:rPr>
                <w:sz w:val="13"/>
                <w:szCs w:val="13"/>
                <w:color w:val="auto"/>
              </w:rPr>
            </w:pPr>
          </w:p>
        </w:tc>
        <w:tc>
          <w:tcPr>
            <w:tcW w:w="1020" w:type="dxa"/>
            <w:vAlign w:val="bottom"/>
            <w:tcBorders>
              <w:bottom w:val="single" w:sz="8" w:color="76AD9A"/>
            </w:tcBorders>
          </w:tcPr>
          <w:p>
            <w:pPr>
              <w:jc w:val="right"/>
              <w:ind w:right="36"/>
              <w:spacing w:after="0" w:line="151" w:lineRule="exact"/>
              <w:rPr>
                <w:sz w:val="20"/>
                <w:szCs w:val="20"/>
                <w:color w:val="auto"/>
              </w:rPr>
            </w:pPr>
            <w:r>
              <w:rPr>
                <w:rFonts w:ascii="Arial" w:cs="Arial" w:eastAsia="Arial" w:hAnsi="Arial"/>
                <w:sz w:val="14"/>
                <w:szCs w:val="14"/>
                <w:color w:val="76AD9A"/>
                <w:w w:val="98"/>
              </w:rPr>
              <w:t>Pension Plans</w:t>
            </w:r>
          </w:p>
        </w:tc>
        <w:tc>
          <w:tcPr>
            <w:tcW w:w="220" w:type="dxa"/>
            <w:vAlign w:val="bottom"/>
            <w:tcBorders>
              <w:bottom w:val="single" w:sz="8" w:color="76AD9A"/>
            </w:tcBorders>
          </w:tcPr>
          <w:p>
            <w:pPr>
              <w:spacing w:after="0"/>
              <w:rPr>
                <w:sz w:val="13"/>
                <w:szCs w:val="13"/>
                <w:color w:val="auto"/>
              </w:rPr>
            </w:pPr>
          </w:p>
        </w:tc>
        <w:tc>
          <w:tcPr>
            <w:tcW w:w="920" w:type="dxa"/>
            <w:vAlign w:val="bottom"/>
            <w:tcBorders>
              <w:bottom w:val="single" w:sz="8" w:color="76AD9A"/>
            </w:tcBorders>
          </w:tcPr>
          <w:p>
            <w:pPr>
              <w:jc w:val="right"/>
              <w:spacing w:after="0" w:line="151" w:lineRule="exact"/>
              <w:rPr>
                <w:sz w:val="20"/>
                <w:szCs w:val="20"/>
                <w:color w:val="auto"/>
              </w:rPr>
            </w:pPr>
            <w:r>
              <w:rPr>
                <w:rFonts w:ascii="Arial" w:cs="Arial" w:eastAsia="Arial" w:hAnsi="Arial"/>
                <w:sz w:val="14"/>
                <w:szCs w:val="14"/>
                <w:color w:val="76AD9A"/>
              </w:rPr>
              <w:t>Care Plan</w:t>
            </w:r>
          </w:p>
        </w:tc>
      </w:tr>
      <w:tr>
        <w:trPr>
          <w:trHeight w:val="186"/>
        </w:trPr>
        <w:tc>
          <w:tcPr>
            <w:tcW w:w="5760" w:type="dxa"/>
            <w:vAlign w:val="bottom"/>
          </w:tcPr>
          <w:p>
            <w:pPr>
              <w:spacing w:after="0" w:line="185" w:lineRule="exact"/>
              <w:rPr>
                <w:sz w:val="20"/>
                <w:szCs w:val="20"/>
                <w:color w:val="auto"/>
              </w:rPr>
            </w:pPr>
            <w:r>
              <w:rPr>
                <w:rFonts w:ascii="Arial" w:cs="Arial" w:eastAsia="Arial" w:hAnsi="Arial"/>
                <w:sz w:val="17"/>
                <w:szCs w:val="17"/>
                <w:color w:val="373535"/>
              </w:rPr>
              <w:t>2014</w:t>
            </w:r>
          </w:p>
        </w:tc>
        <w:tc>
          <w:tcPr>
            <w:tcW w:w="340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1020" w:type="dxa"/>
            <w:vAlign w:val="bottom"/>
          </w:tcPr>
          <w:p>
            <w:pPr>
              <w:jc w:val="right"/>
              <w:ind w:right="36"/>
              <w:spacing w:after="0" w:line="185" w:lineRule="exact"/>
              <w:rPr>
                <w:sz w:val="20"/>
                <w:szCs w:val="20"/>
                <w:color w:val="auto"/>
              </w:rPr>
            </w:pPr>
            <w:r>
              <w:rPr>
                <w:rFonts w:ascii="Arial" w:cs="Arial" w:eastAsia="Arial" w:hAnsi="Arial"/>
                <w:sz w:val="17"/>
                <w:szCs w:val="17"/>
                <w:color w:val="373535"/>
              </w:rPr>
              <w:t>11.6</w:t>
            </w:r>
          </w:p>
        </w:tc>
        <w:tc>
          <w:tcPr>
            <w:tcW w:w="220" w:type="dxa"/>
            <w:vAlign w:val="bottom"/>
          </w:tcPr>
          <w:p>
            <w:pPr>
              <w:jc w:val="right"/>
              <w:spacing w:after="0" w:line="185" w:lineRule="exact"/>
              <w:rPr>
                <w:sz w:val="20"/>
                <w:szCs w:val="20"/>
                <w:color w:val="auto"/>
              </w:rPr>
            </w:pPr>
            <w:r>
              <w:rPr>
                <w:rFonts w:ascii="Arial" w:cs="Arial" w:eastAsia="Arial" w:hAnsi="Arial"/>
                <w:sz w:val="17"/>
                <w:szCs w:val="17"/>
                <w:color w:val="373535"/>
              </w:rPr>
              <w:t>$</w:t>
            </w:r>
          </w:p>
        </w:tc>
        <w:tc>
          <w:tcPr>
            <w:tcW w:w="920" w:type="dxa"/>
            <w:vAlign w:val="bottom"/>
          </w:tcPr>
          <w:p>
            <w:pPr>
              <w:jc w:val="right"/>
              <w:spacing w:after="0" w:line="185" w:lineRule="exact"/>
              <w:rPr>
                <w:sz w:val="20"/>
                <w:szCs w:val="20"/>
                <w:color w:val="auto"/>
              </w:rPr>
            </w:pPr>
            <w:r>
              <w:rPr>
                <w:rFonts w:ascii="Arial" w:cs="Arial" w:eastAsia="Arial" w:hAnsi="Arial"/>
                <w:sz w:val="17"/>
                <w:szCs w:val="17"/>
                <w:color w:val="373535"/>
              </w:rPr>
              <w:t>1.9</w:t>
            </w:r>
          </w:p>
        </w:tc>
      </w:tr>
      <w:tr>
        <w:trPr>
          <w:trHeight w:val="194"/>
        </w:trPr>
        <w:tc>
          <w:tcPr>
            <w:tcW w:w="5760" w:type="dxa"/>
            <w:vAlign w:val="bottom"/>
          </w:tcPr>
          <w:p>
            <w:pPr>
              <w:spacing w:after="0" w:line="194" w:lineRule="exact"/>
              <w:rPr>
                <w:sz w:val="20"/>
                <w:szCs w:val="20"/>
                <w:color w:val="auto"/>
              </w:rPr>
            </w:pPr>
            <w:r>
              <w:rPr>
                <w:rFonts w:ascii="Arial" w:cs="Arial" w:eastAsia="Arial" w:hAnsi="Arial"/>
                <w:sz w:val="17"/>
                <w:szCs w:val="17"/>
                <w:color w:val="373535"/>
              </w:rPr>
              <w:t>2015</w:t>
            </w:r>
          </w:p>
        </w:tc>
        <w:tc>
          <w:tcPr>
            <w:tcW w:w="340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12.2</w:t>
            </w:r>
          </w:p>
        </w:tc>
        <w:tc>
          <w:tcPr>
            <w:tcW w:w="22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373535"/>
              </w:rPr>
              <w:t>1.6</w:t>
            </w:r>
          </w:p>
        </w:tc>
      </w:tr>
      <w:tr>
        <w:trPr>
          <w:trHeight w:val="194"/>
        </w:trPr>
        <w:tc>
          <w:tcPr>
            <w:tcW w:w="5760" w:type="dxa"/>
            <w:vAlign w:val="bottom"/>
          </w:tcPr>
          <w:p>
            <w:pPr>
              <w:spacing w:after="0" w:line="194" w:lineRule="exact"/>
              <w:rPr>
                <w:sz w:val="20"/>
                <w:szCs w:val="20"/>
                <w:color w:val="auto"/>
              </w:rPr>
            </w:pPr>
            <w:r>
              <w:rPr>
                <w:rFonts w:ascii="Arial" w:cs="Arial" w:eastAsia="Arial" w:hAnsi="Arial"/>
                <w:sz w:val="17"/>
                <w:szCs w:val="17"/>
                <w:color w:val="373535"/>
              </w:rPr>
              <w:t>2016</w:t>
            </w:r>
          </w:p>
        </w:tc>
        <w:tc>
          <w:tcPr>
            <w:tcW w:w="340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12.6</w:t>
            </w:r>
          </w:p>
        </w:tc>
        <w:tc>
          <w:tcPr>
            <w:tcW w:w="22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373535"/>
              </w:rPr>
              <w:t>1.6</w:t>
            </w:r>
          </w:p>
        </w:tc>
      </w:tr>
      <w:tr>
        <w:trPr>
          <w:trHeight w:val="194"/>
        </w:trPr>
        <w:tc>
          <w:tcPr>
            <w:tcW w:w="5760" w:type="dxa"/>
            <w:vAlign w:val="bottom"/>
          </w:tcPr>
          <w:p>
            <w:pPr>
              <w:spacing w:after="0" w:line="194" w:lineRule="exact"/>
              <w:rPr>
                <w:sz w:val="20"/>
                <w:szCs w:val="20"/>
                <w:color w:val="auto"/>
              </w:rPr>
            </w:pPr>
            <w:r>
              <w:rPr>
                <w:rFonts w:ascii="Arial" w:cs="Arial" w:eastAsia="Arial" w:hAnsi="Arial"/>
                <w:sz w:val="17"/>
                <w:szCs w:val="17"/>
                <w:color w:val="373535"/>
              </w:rPr>
              <w:t>2017</w:t>
            </w:r>
          </w:p>
        </w:tc>
        <w:tc>
          <w:tcPr>
            <w:tcW w:w="3400" w:type="dxa"/>
            <w:vAlign w:val="bottom"/>
          </w:tcPr>
          <w:p>
            <w:pPr>
              <w:spacing w:after="0"/>
              <w:rPr>
                <w:sz w:val="16"/>
                <w:szCs w:val="16"/>
                <w:color w:val="auto"/>
              </w:rPr>
            </w:pPr>
          </w:p>
        </w:tc>
        <w:tc>
          <w:tcPr>
            <w:tcW w:w="10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13.9</w:t>
            </w:r>
          </w:p>
        </w:tc>
        <w:tc>
          <w:tcPr>
            <w:tcW w:w="220" w:type="dxa"/>
            <w:vAlign w:val="bottom"/>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Arial" w:cs="Arial" w:eastAsia="Arial" w:hAnsi="Arial"/>
                <w:sz w:val="17"/>
                <w:szCs w:val="17"/>
                <w:color w:val="373535"/>
              </w:rPr>
              <w:t>1.5</w:t>
            </w:r>
          </w:p>
        </w:tc>
      </w:tr>
      <w:tr>
        <w:trPr>
          <w:trHeight w:val="206"/>
        </w:trPr>
        <w:tc>
          <w:tcPr>
            <w:tcW w:w="5760" w:type="dxa"/>
            <w:vAlign w:val="bottom"/>
          </w:tcPr>
          <w:p>
            <w:pPr>
              <w:spacing w:after="0"/>
              <w:rPr>
                <w:sz w:val="20"/>
                <w:szCs w:val="20"/>
                <w:color w:val="auto"/>
              </w:rPr>
            </w:pPr>
            <w:r>
              <w:rPr>
                <w:rFonts w:ascii="Arial" w:cs="Arial" w:eastAsia="Arial" w:hAnsi="Arial"/>
                <w:sz w:val="17"/>
                <w:szCs w:val="17"/>
                <w:color w:val="373535"/>
              </w:rPr>
              <w:t>2018</w:t>
            </w:r>
          </w:p>
        </w:tc>
        <w:tc>
          <w:tcPr>
            <w:tcW w:w="3400" w:type="dxa"/>
            <w:vAlign w:val="bottom"/>
          </w:tcPr>
          <w:p>
            <w:pPr>
              <w:spacing w:after="0"/>
              <w:rPr>
                <w:sz w:val="17"/>
                <w:szCs w:val="17"/>
                <w:color w:val="auto"/>
              </w:rPr>
            </w:pPr>
          </w:p>
        </w:tc>
        <w:tc>
          <w:tcPr>
            <w:tcW w:w="1020" w:type="dxa"/>
            <w:vAlign w:val="bottom"/>
          </w:tcPr>
          <w:p>
            <w:pPr>
              <w:jc w:val="right"/>
              <w:ind w:right="36"/>
              <w:spacing w:after="0"/>
              <w:rPr>
                <w:sz w:val="20"/>
                <w:szCs w:val="20"/>
                <w:color w:val="auto"/>
              </w:rPr>
            </w:pPr>
            <w:r>
              <w:rPr>
                <w:rFonts w:ascii="Arial" w:cs="Arial" w:eastAsia="Arial" w:hAnsi="Arial"/>
                <w:sz w:val="17"/>
                <w:szCs w:val="17"/>
                <w:color w:val="373535"/>
              </w:rPr>
              <w:t>14.2</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373535"/>
              </w:rPr>
              <w:t>1.5</w:t>
            </w:r>
          </w:p>
        </w:tc>
      </w:tr>
      <w:tr>
        <w:trPr>
          <w:trHeight w:val="195"/>
        </w:trPr>
        <w:tc>
          <w:tcPr>
            <w:tcW w:w="5760" w:type="dxa"/>
            <w:vAlign w:val="bottom"/>
            <w:tcBorders>
              <w:bottom w:val="single" w:sz="8" w:color="717073"/>
            </w:tcBorders>
          </w:tcPr>
          <w:p>
            <w:pPr>
              <w:spacing w:after="0"/>
              <w:rPr>
                <w:sz w:val="20"/>
                <w:szCs w:val="20"/>
                <w:color w:val="auto"/>
              </w:rPr>
            </w:pPr>
            <w:r>
              <w:rPr>
                <w:rFonts w:ascii="Arial" w:cs="Arial" w:eastAsia="Arial" w:hAnsi="Arial"/>
                <w:sz w:val="17"/>
                <w:szCs w:val="17"/>
                <w:color w:val="373535"/>
              </w:rPr>
              <w:t>2019 – 2023</w:t>
            </w:r>
          </w:p>
        </w:tc>
        <w:tc>
          <w:tcPr>
            <w:tcW w:w="3400" w:type="dxa"/>
            <w:vAlign w:val="bottom"/>
            <w:tcBorders>
              <w:bottom w:val="single" w:sz="8" w:color="717073"/>
            </w:tcBorders>
          </w:tcPr>
          <w:p>
            <w:pPr>
              <w:spacing w:after="0"/>
              <w:rPr>
                <w:sz w:val="16"/>
                <w:szCs w:val="16"/>
                <w:color w:val="auto"/>
              </w:rPr>
            </w:pPr>
          </w:p>
        </w:tc>
        <w:tc>
          <w:tcPr>
            <w:tcW w:w="1020" w:type="dxa"/>
            <w:vAlign w:val="bottom"/>
            <w:tcBorders>
              <w:bottom w:val="single" w:sz="8" w:color="717073"/>
            </w:tcBorders>
          </w:tcPr>
          <w:p>
            <w:pPr>
              <w:jc w:val="right"/>
              <w:ind w:right="36"/>
              <w:spacing w:after="0"/>
              <w:rPr>
                <w:sz w:val="20"/>
                <w:szCs w:val="20"/>
                <w:color w:val="auto"/>
              </w:rPr>
            </w:pPr>
            <w:r>
              <w:rPr>
                <w:rFonts w:ascii="Arial" w:cs="Arial" w:eastAsia="Arial" w:hAnsi="Arial"/>
                <w:sz w:val="17"/>
                <w:szCs w:val="17"/>
                <w:color w:val="373535"/>
              </w:rPr>
              <w:t>83.5</w:t>
            </w:r>
          </w:p>
        </w:tc>
        <w:tc>
          <w:tcPr>
            <w:tcW w:w="22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6.5</w:t>
            </w:r>
          </w:p>
        </w:tc>
      </w:tr>
      <w:tr>
        <w:trPr>
          <w:trHeight w:val="186"/>
        </w:trPr>
        <w:tc>
          <w:tcPr>
            <w:tcW w:w="576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Total projected benefit payments</w:t>
            </w:r>
          </w:p>
        </w:tc>
        <w:tc>
          <w:tcPr>
            <w:tcW w:w="340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1020" w:type="dxa"/>
            <w:vAlign w:val="bottom"/>
            <w:tcBorders>
              <w:bottom w:val="single" w:sz="8" w:color="717073"/>
            </w:tcBorders>
          </w:tcPr>
          <w:p>
            <w:pPr>
              <w:jc w:val="right"/>
              <w:ind w:right="36"/>
              <w:spacing w:after="0" w:line="186" w:lineRule="exact"/>
              <w:rPr>
                <w:sz w:val="20"/>
                <w:szCs w:val="20"/>
                <w:color w:val="auto"/>
              </w:rPr>
            </w:pPr>
            <w:r>
              <w:rPr>
                <w:rFonts w:ascii="Arial" w:cs="Arial" w:eastAsia="Arial" w:hAnsi="Arial"/>
                <w:sz w:val="17"/>
                <w:szCs w:val="17"/>
                <w:color w:val="373535"/>
              </w:rPr>
              <w:t>148.0</w:t>
            </w:r>
          </w:p>
        </w:tc>
        <w:tc>
          <w:tcPr>
            <w:tcW w:w="2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92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14.6</w:t>
            </w:r>
          </w:p>
        </w:tc>
      </w:tr>
    </w:tbl>
    <w:p>
      <w:pPr>
        <w:spacing w:after="0" w:line="182" w:lineRule="exact"/>
        <w:rPr>
          <w:sz w:val="20"/>
          <w:szCs w:val="20"/>
          <w:color w:val="auto"/>
        </w:rPr>
      </w:pPr>
    </w:p>
    <w:p>
      <w:pPr>
        <w:ind w:left="460" w:hanging="457"/>
        <w:spacing w:after="0"/>
        <w:tabs>
          <w:tab w:leader="none" w:pos="460" w:val="left"/>
        </w:tabs>
        <w:numPr>
          <w:ilvl w:val="0"/>
          <w:numId w:val="111"/>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7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4C8ABF"/>
        </w:rPr>
        <w:t>DEFINED CONTRIBUTION PLANS AND DEFERRED COMPENSATION PLANS</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We have defined contribution plans covering substantially all permanent United States employees and various other employees throughout the world. Employees may elect to contribute a portion of their salary to the plans and we match a portion of their contributions up to a maximum percentage of the employee’s salary. In addition, profit sharing contributions are made if a targeted earnings level is reached. The total expense for our match and any profit sharing contributions was $22.4, $21.5 and $24.6 for the years ended December 31, 2013, 2012 and 2011, respectively.</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We also have deferred compensation plans in the United States. One of the plans had an asset and liability of $69.4 and $55.5 as of December 31, 2013 and 2012,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76AD9A"/>
        </w:rPr>
        <w:t>09.</w:t>
      </w:r>
    </w:p>
    <w:p>
      <w:pPr>
        <w:spacing w:after="0"/>
        <w:rPr>
          <w:sz w:val="20"/>
          <w:szCs w:val="20"/>
          <w:color w:val="auto"/>
        </w:rPr>
      </w:pPr>
      <w:r>
        <w:rPr>
          <w:rFonts w:ascii="Arial" w:cs="Arial" w:eastAsia="Arial" w:hAnsi="Arial"/>
          <w:sz w:val="17"/>
          <w:szCs w:val="17"/>
          <w:color w:val="76AD9A"/>
        </w:rPr>
        <w:t>Accumulated Other Comprehensive Income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373535"/>
        </w:rPr>
        <w:t>The components of accumulated other comprehensive income, net of tax,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80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240" w:type="dxa"/>
            <w:vAlign w:val="bottom"/>
            <w:shd w:val="clear" w:color="auto" w:fill="76AD9A"/>
          </w:tcPr>
          <w:p>
            <w:pPr>
              <w:spacing w:after="0"/>
              <w:rPr>
                <w:sz w:val="16"/>
                <w:szCs w:val="16"/>
                <w:color w:val="auto"/>
              </w:rPr>
            </w:pPr>
          </w:p>
        </w:tc>
        <w:tc>
          <w:tcPr>
            <w:tcW w:w="1020" w:type="dxa"/>
            <w:vAlign w:val="bottom"/>
            <w:shd w:val="clear" w:color="auto" w:fill="76AD9A"/>
          </w:tcPr>
          <w:p>
            <w:pPr>
              <w:jc w:val="right"/>
              <w:ind w:right="16"/>
              <w:spacing w:after="0"/>
              <w:rPr>
                <w:sz w:val="20"/>
                <w:szCs w:val="20"/>
                <w:color w:val="auto"/>
              </w:rPr>
            </w:pPr>
            <w:r>
              <w:rPr>
                <w:rFonts w:ascii="Arial" w:cs="Arial" w:eastAsia="Arial" w:hAnsi="Arial"/>
                <w:sz w:val="14"/>
                <w:szCs w:val="14"/>
                <w:color w:val="FFFFFF"/>
              </w:rPr>
              <w:t>2013</w:t>
            </w:r>
          </w:p>
        </w:tc>
        <w:tc>
          <w:tcPr>
            <w:tcW w:w="58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color w:val="76AD9A"/>
              </w:rPr>
              <w:t>2012</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87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Foreign currency translation</w:t>
            </w:r>
          </w:p>
        </w:tc>
        <w:tc>
          <w:tcPr>
            <w:tcW w:w="24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020" w:type="dxa"/>
            <w:vAlign w:val="bottom"/>
            <w:tcBorders>
              <w:top w:val="single" w:sz="8" w:color="76AD9A"/>
            </w:tcBorders>
            <w:shd w:val="clear" w:color="auto" w:fill="EEF5F2"/>
          </w:tcPr>
          <w:p>
            <w:pPr>
              <w:jc w:val="right"/>
              <w:ind w:right="16"/>
              <w:spacing w:after="0" w:line="185" w:lineRule="exact"/>
              <w:rPr>
                <w:sz w:val="20"/>
                <w:szCs w:val="20"/>
                <w:color w:val="auto"/>
              </w:rPr>
            </w:pPr>
            <w:r>
              <w:rPr>
                <w:rFonts w:ascii="Arial" w:cs="Arial" w:eastAsia="Arial" w:hAnsi="Arial"/>
                <w:sz w:val="17"/>
                <w:szCs w:val="17"/>
                <w:color w:val="76AD9A"/>
              </w:rPr>
              <w:t>239.5</w:t>
            </w:r>
          </w:p>
        </w:tc>
        <w:tc>
          <w:tcPr>
            <w:tcW w:w="58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186.8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Translation loss on net investment hedge, net of income taxes of $(36.7) and $(31.3), respectively</w:t>
            </w:r>
          </w:p>
        </w:tc>
        <w:tc>
          <w:tcPr>
            <w:tcW w:w="240" w:type="dxa"/>
            <w:vAlign w:val="bottom"/>
            <w:shd w:val="clear" w:color="auto" w:fill="EEF5F2"/>
          </w:tcPr>
          <w:p>
            <w:pPr>
              <w:spacing w:after="0"/>
              <w:rPr>
                <w:sz w:val="16"/>
                <w:szCs w:val="16"/>
                <w:color w:val="auto"/>
              </w:rPr>
            </w:pPr>
          </w:p>
        </w:tc>
        <w:tc>
          <w:tcPr>
            <w:tcW w:w="10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(60.6)</w:t>
            </w:r>
          </w:p>
        </w:tc>
        <w:tc>
          <w:tcPr>
            <w:tcW w:w="580" w:type="dxa"/>
            <w:vAlign w:val="bottom"/>
          </w:tcPr>
          <w:p>
            <w:pPr>
              <w:spacing w:after="0"/>
              <w:rPr>
                <w:sz w:val="16"/>
                <w:szCs w:val="16"/>
                <w:color w:val="auto"/>
              </w:rPr>
            </w:pPr>
          </w:p>
        </w:tc>
        <w:tc>
          <w:tcPr>
            <w:tcW w:w="740" w:type="dxa"/>
            <w:vAlign w:val="bottom"/>
            <w:gridSpan w:val="3"/>
          </w:tcPr>
          <w:p>
            <w:pPr>
              <w:jc w:val="right"/>
              <w:spacing w:after="0" w:line="194" w:lineRule="exact"/>
              <w:rPr>
                <w:sz w:val="20"/>
                <w:szCs w:val="20"/>
                <w:color w:val="auto"/>
              </w:rPr>
            </w:pPr>
            <w:r>
              <w:rPr>
                <w:rFonts w:ascii="Arial" w:cs="Arial" w:eastAsia="Arial" w:hAnsi="Arial"/>
                <w:sz w:val="17"/>
                <w:szCs w:val="17"/>
                <w:color w:val="373535"/>
              </w:rPr>
              <w:t>(51.1)</w:t>
            </w:r>
          </w:p>
        </w:tc>
      </w:tr>
      <w:tr>
        <w:trPr>
          <w:trHeight w:val="193"/>
        </w:trPr>
        <w:tc>
          <w:tcPr>
            <w:tcW w:w="8800" w:type="dxa"/>
            <w:vAlign w:val="bottom"/>
            <w:gridSpan w:val="2"/>
          </w:tcPr>
          <w:p>
            <w:pPr>
              <w:spacing w:after="0" w:line="193" w:lineRule="exact"/>
              <w:rPr>
                <w:sz w:val="20"/>
                <w:szCs w:val="20"/>
                <w:color w:val="auto"/>
              </w:rPr>
            </w:pPr>
            <w:r>
              <w:rPr>
                <w:rFonts w:ascii="Arial" w:cs="Arial" w:eastAsia="Arial" w:hAnsi="Arial"/>
                <w:sz w:val="17"/>
                <w:szCs w:val="17"/>
                <w:color w:val="373535"/>
              </w:rPr>
              <w:t>Translation loss on long-term intercompany loans</w:t>
            </w:r>
          </w:p>
        </w:tc>
        <w:tc>
          <w:tcPr>
            <w:tcW w:w="240" w:type="dxa"/>
            <w:vAlign w:val="bottom"/>
            <w:shd w:val="clear" w:color="auto" w:fill="EEF5F2"/>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Arial" w:cs="Arial" w:eastAsia="Arial" w:hAnsi="Arial"/>
                <w:sz w:val="17"/>
                <w:szCs w:val="17"/>
                <w:color w:val="76AD9A"/>
              </w:rPr>
              <w:t>(73.6)</w:t>
            </w:r>
          </w:p>
        </w:tc>
        <w:tc>
          <w:tcPr>
            <w:tcW w:w="580" w:type="dxa"/>
            <w:vAlign w:val="bottom"/>
          </w:tcPr>
          <w:p>
            <w:pPr>
              <w:spacing w:after="0"/>
              <w:rPr>
                <w:sz w:val="16"/>
                <w:szCs w:val="16"/>
                <w:color w:val="auto"/>
              </w:rPr>
            </w:pPr>
          </w:p>
        </w:tc>
        <w:tc>
          <w:tcPr>
            <w:tcW w:w="740" w:type="dxa"/>
            <w:vAlign w:val="bottom"/>
            <w:gridSpan w:val="3"/>
          </w:tcPr>
          <w:p>
            <w:pPr>
              <w:jc w:val="right"/>
              <w:spacing w:after="0" w:line="193" w:lineRule="exact"/>
              <w:rPr>
                <w:sz w:val="20"/>
                <w:szCs w:val="20"/>
                <w:color w:val="auto"/>
              </w:rPr>
            </w:pPr>
            <w:r>
              <w:rPr>
                <w:rFonts w:ascii="Arial" w:cs="Arial" w:eastAsia="Arial" w:hAnsi="Arial"/>
                <w:sz w:val="17"/>
                <w:szCs w:val="17"/>
                <w:color w:val="373535"/>
              </w:rPr>
              <w:t>(73.4)</w:t>
            </w: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Unrealized gain on investments, net of income taxes of $1.6 and $3.9, respectively</w:t>
            </w:r>
          </w:p>
        </w:tc>
        <w:tc>
          <w:tcPr>
            <w:tcW w:w="240" w:type="dxa"/>
            <w:vAlign w:val="bottom"/>
            <w:shd w:val="clear" w:color="auto" w:fill="EEF5F2"/>
          </w:tcPr>
          <w:p>
            <w:pPr>
              <w:spacing w:after="0"/>
              <w:rPr>
                <w:sz w:val="16"/>
                <w:szCs w:val="16"/>
                <w:color w:val="auto"/>
              </w:rPr>
            </w:pPr>
          </w:p>
        </w:tc>
        <w:tc>
          <w:tcPr>
            <w:tcW w:w="1020" w:type="dxa"/>
            <w:vAlign w:val="bottom"/>
          </w:tcPr>
          <w:p>
            <w:pPr>
              <w:jc w:val="right"/>
              <w:ind w:right="16"/>
              <w:spacing w:after="0" w:line="194" w:lineRule="exact"/>
              <w:rPr>
                <w:sz w:val="20"/>
                <w:szCs w:val="20"/>
                <w:color w:val="auto"/>
              </w:rPr>
            </w:pPr>
            <w:r>
              <w:rPr>
                <w:rFonts w:ascii="Arial" w:cs="Arial" w:eastAsia="Arial" w:hAnsi="Arial"/>
                <w:sz w:val="17"/>
                <w:szCs w:val="17"/>
                <w:color w:val="76AD9A"/>
              </w:rPr>
              <w:t>11.5</w:t>
            </w:r>
          </w:p>
        </w:tc>
        <w:tc>
          <w:tcPr>
            <w:tcW w:w="580" w:type="dxa"/>
            <w:vAlign w:val="bottom"/>
          </w:tcPr>
          <w:p>
            <w:pPr>
              <w:spacing w:after="0"/>
              <w:rPr>
                <w:sz w:val="16"/>
                <w:szCs w:val="16"/>
                <w:color w:val="auto"/>
              </w:rPr>
            </w:pPr>
          </w:p>
        </w:tc>
        <w:tc>
          <w:tcPr>
            <w:tcW w:w="7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11.8</w:t>
            </w:r>
          </w:p>
        </w:tc>
        <w:tc>
          <w:tcPr>
            <w:tcW w:w="40" w:type="dxa"/>
            <w:vAlign w:val="bottom"/>
          </w:tcPr>
          <w:p>
            <w:pPr>
              <w:spacing w:after="0"/>
              <w:rPr>
                <w:sz w:val="16"/>
                <w:szCs w:val="16"/>
                <w:color w:val="auto"/>
              </w:rPr>
            </w:pPr>
          </w:p>
        </w:tc>
      </w:tr>
      <w:tr>
        <w:trPr>
          <w:trHeight w:val="194"/>
        </w:trPr>
        <w:tc>
          <w:tcPr>
            <w:tcW w:w="8800" w:type="dxa"/>
            <w:vAlign w:val="bottom"/>
            <w:gridSpan w:val="2"/>
          </w:tcPr>
          <w:p>
            <w:pPr>
              <w:spacing w:after="0" w:line="194" w:lineRule="exact"/>
              <w:rPr>
                <w:sz w:val="20"/>
                <w:szCs w:val="20"/>
                <w:color w:val="auto"/>
              </w:rPr>
            </w:pPr>
            <w:r>
              <w:rPr>
                <w:rFonts w:ascii="Arial" w:cs="Arial" w:eastAsia="Arial" w:hAnsi="Arial"/>
                <w:sz w:val="17"/>
                <w:szCs w:val="17"/>
                <w:color w:val="373535"/>
              </w:rPr>
              <w:t>Defined benefit pension plans, net of income taxes of $(21.8) and $(22.6), respectively</w:t>
            </w:r>
          </w:p>
        </w:tc>
        <w:tc>
          <w:tcPr>
            <w:tcW w:w="240" w:type="dxa"/>
            <w:vAlign w:val="bottom"/>
            <w:shd w:val="clear" w:color="auto" w:fill="EEF5F2"/>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Arial" w:cs="Arial" w:eastAsia="Arial" w:hAnsi="Arial"/>
                <w:sz w:val="17"/>
                <w:szCs w:val="17"/>
                <w:color w:val="76AD9A"/>
              </w:rPr>
              <w:t>(39.7)</w:t>
            </w:r>
          </w:p>
        </w:tc>
        <w:tc>
          <w:tcPr>
            <w:tcW w:w="580" w:type="dxa"/>
            <w:vAlign w:val="bottom"/>
          </w:tcPr>
          <w:p>
            <w:pPr>
              <w:spacing w:after="0"/>
              <w:rPr>
                <w:sz w:val="16"/>
                <w:szCs w:val="16"/>
                <w:color w:val="auto"/>
              </w:rPr>
            </w:pPr>
          </w:p>
        </w:tc>
        <w:tc>
          <w:tcPr>
            <w:tcW w:w="740" w:type="dxa"/>
            <w:vAlign w:val="bottom"/>
            <w:gridSpan w:val="3"/>
          </w:tcPr>
          <w:p>
            <w:pPr>
              <w:jc w:val="right"/>
              <w:spacing w:after="0" w:line="194" w:lineRule="exact"/>
              <w:rPr>
                <w:sz w:val="20"/>
                <w:szCs w:val="20"/>
                <w:color w:val="auto"/>
              </w:rPr>
            </w:pPr>
            <w:r>
              <w:rPr>
                <w:rFonts w:ascii="Arial" w:cs="Arial" w:eastAsia="Arial" w:hAnsi="Arial"/>
                <w:sz w:val="17"/>
                <w:szCs w:val="17"/>
                <w:color w:val="373535"/>
              </w:rPr>
              <w:t>(37.0)</w:t>
            </w:r>
          </w:p>
        </w:tc>
      </w:tr>
      <w:tr>
        <w:trPr>
          <w:trHeight w:val="207"/>
        </w:trPr>
        <w:tc>
          <w:tcPr>
            <w:tcW w:w="8800" w:type="dxa"/>
            <w:vAlign w:val="bottom"/>
            <w:gridSpan w:val="2"/>
          </w:tcPr>
          <w:p>
            <w:pPr>
              <w:spacing w:after="0"/>
              <w:rPr>
                <w:sz w:val="20"/>
                <w:szCs w:val="20"/>
                <w:color w:val="auto"/>
              </w:rPr>
            </w:pPr>
            <w:r>
              <w:rPr>
                <w:rFonts w:ascii="Arial" w:cs="Arial" w:eastAsia="Arial" w:hAnsi="Arial"/>
                <w:sz w:val="17"/>
                <w:szCs w:val="17"/>
                <w:color w:val="373535"/>
              </w:rPr>
              <w:t>Retiree health care plan, net of income taxes of $2.7 and $(1.7), respectively</w:t>
            </w:r>
          </w:p>
        </w:tc>
        <w:tc>
          <w:tcPr>
            <w:tcW w:w="240" w:type="dxa"/>
            <w:vAlign w:val="bottom"/>
            <w:shd w:val="clear" w:color="auto" w:fill="EEF5F2"/>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7"/>
                <w:szCs w:val="17"/>
                <w:color w:val="76AD9A"/>
              </w:rPr>
              <w:t>5.1</w:t>
            </w:r>
          </w:p>
        </w:tc>
        <w:tc>
          <w:tcPr>
            <w:tcW w:w="58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7"/>
                <w:szCs w:val="17"/>
                <w:color w:val="373535"/>
              </w:rPr>
              <w:t>(2.7)</w:t>
            </w:r>
          </w:p>
        </w:tc>
      </w:tr>
      <w:tr>
        <w:trPr>
          <w:trHeight w:val="186"/>
        </w:trPr>
        <w:tc>
          <w:tcPr>
            <w:tcW w:w="8800" w:type="dxa"/>
            <w:vAlign w:val="bottom"/>
            <w:tcBorders>
              <w:top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Accumulated other comprehensive income</w:t>
            </w:r>
          </w:p>
        </w:tc>
        <w:tc>
          <w:tcPr>
            <w:tcW w:w="240" w:type="dxa"/>
            <w:vAlign w:val="bottom"/>
            <w:tcBorders>
              <w:top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20" w:type="dxa"/>
            <w:vAlign w:val="bottom"/>
            <w:tcBorders>
              <w:top w:val="single" w:sz="8" w:color="717073"/>
            </w:tcBorders>
          </w:tcPr>
          <w:p>
            <w:pPr>
              <w:jc w:val="right"/>
              <w:ind w:right="16"/>
              <w:spacing w:after="0" w:line="186" w:lineRule="exact"/>
              <w:rPr>
                <w:sz w:val="20"/>
                <w:szCs w:val="20"/>
                <w:color w:val="auto"/>
              </w:rPr>
            </w:pPr>
            <w:r>
              <w:rPr>
                <w:rFonts w:ascii="Arial" w:cs="Arial" w:eastAsia="Arial" w:hAnsi="Arial"/>
                <w:sz w:val="17"/>
                <w:szCs w:val="17"/>
                <w:color w:val="76AD9A"/>
              </w:rPr>
              <w:t>82.2</w:t>
            </w:r>
          </w:p>
        </w:tc>
        <w:tc>
          <w:tcPr>
            <w:tcW w:w="580" w:type="dxa"/>
            <w:vAlign w:val="bottom"/>
            <w:tcBorders>
              <w:top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700" w:type="dxa"/>
            <w:vAlign w:val="bottom"/>
            <w:tcBorders>
              <w:top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34.4</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020" w:type="dxa"/>
            <w:vAlign w:val="bottom"/>
            <w:shd w:val="clear" w:color="auto" w:fill="717073"/>
          </w:tcPr>
          <w:p>
            <w:pPr>
              <w:spacing w:after="0" w:line="20" w:lineRule="exact"/>
              <w:rPr>
                <w:sz w:val="1"/>
                <w:szCs w:val="1"/>
                <w:color w:val="auto"/>
              </w:rPr>
            </w:pPr>
          </w:p>
        </w:tc>
        <w:tc>
          <w:tcPr>
            <w:tcW w:w="580" w:type="dxa"/>
            <w:vAlign w:val="bottom"/>
            <w:shd w:val="clear" w:color="auto" w:fill="717073"/>
          </w:tcPr>
          <w:p>
            <w:pPr>
              <w:spacing w:after="0" w:line="20" w:lineRule="exact"/>
              <w:rPr>
                <w:sz w:val="1"/>
                <w:szCs w:val="1"/>
                <w:color w:val="auto"/>
              </w:rPr>
            </w:pPr>
          </w:p>
        </w:tc>
        <w:tc>
          <w:tcPr>
            <w:tcW w:w="68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5738495</wp:posOffset>
            </wp:positionH>
            <wp:positionV relativeFrom="paragraph">
              <wp:posOffset>-761365</wp:posOffset>
            </wp:positionV>
            <wp:extent cx="655320" cy="7537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5320" cy="75374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76AD9A"/>
        </w:rPr>
        <w:t>10.</w:t>
      </w:r>
    </w:p>
    <w:p>
      <w:pPr>
        <w:spacing w:after="0"/>
        <w:rPr>
          <w:sz w:val="20"/>
          <w:szCs w:val="20"/>
          <w:color w:val="auto"/>
        </w:rPr>
      </w:pPr>
      <w:r>
        <w:rPr>
          <w:rFonts w:ascii="Arial" w:cs="Arial" w:eastAsia="Arial" w:hAnsi="Arial"/>
          <w:sz w:val="17"/>
          <w:szCs w:val="17"/>
          <w:color w:val="76AD9A"/>
        </w:rPr>
        <w:t>Leases</w:t>
      </w:r>
    </w:p>
    <w:p>
      <w:pPr>
        <w:spacing w:after="0" w:line="63" w:lineRule="exact"/>
        <w:rPr>
          <w:sz w:val="20"/>
          <w:szCs w:val="20"/>
          <w:color w:val="auto"/>
        </w:rPr>
      </w:pPr>
    </w:p>
    <w:p>
      <w:pPr>
        <w:spacing w:after="0" w:line="250" w:lineRule="auto"/>
        <w:rPr>
          <w:sz w:val="20"/>
          <w:szCs w:val="20"/>
          <w:color w:val="auto"/>
        </w:rPr>
      </w:pPr>
      <w:r>
        <w:rPr>
          <w:rFonts w:ascii="Arial" w:cs="Arial" w:eastAsia="Arial" w:hAnsi="Arial"/>
          <w:sz w:val="17"/>
          <w:szCs w:val="17"/>
          <w:color w:val="373535"/>
        </w:rPr>
        <w:t>We lease property and equipment primarily under operating leases. Renewal options exist for substantially all leases. Future minimum payments, by year and in the aggregate, under noncancelable operating leases with any remaining terms consist of the following as of December 31, 2013:</w:t>
      </w: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76AD9A"/>
        </w:rPr>
        <w:t>Year</w:t>
      </w:r>
    </w:p>
    <w:tbl>
      <w:tblPr>
        <w:tblLayout w:type="fixed"/>
        <w:tblInd w:w="0" w:type="dxa"/>
        <w:tblCellMar>
          <w:top w:w="0" w:type="dxa"/>
          <w:left w:w="0" w:type="dxa"/>
          <w:bottom w:w="0" w:type="dxa"/>
          <w:right w:w="0" w:type="dxa"/>
        </w:tblCellMar>
      </w:tblPr>
      <w:tr>
        <w:trPr>
          <w:trHeight w:val="186"/>
        </w:trPr>
        <w:tc>
          <w:tcPr>
            <w:tcW w:w="632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2014</w:t>
            </w:r>
          </w:p>
        </w:tc>
        <w:tc>
          <w:tcPr>
            <w:tcW w:w="4320" w:type="dxa"/>
            <w:vAlign w:val="bottom"/>
            <w:tcBorders>
              <w:top w:val="single" w:sz="8" w:color="76AD9A"/>
            </w:tcBorders>
          </w:tcPr>
          <w:p>
            <w:pPr>
              <w:jc w:val="right"/>
              <w:ind w:right="174"/>
              <w:spacing w:after="0" w:line="185"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186.2</w:t>
            </w: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373535"/>
              </w:rPr>
              <w:t>2015</w:t>
            </w:r>
          </w:p>
        </w:tc>
        <w:tc>
          <w:tcPr>
            <w:tcW w:w="43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373535"/>
              </w:rPr>
              <w:t>139.0</w:t>
            </w: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373535"/>
              </w:rPr>
              <w:t>2016</w:t>
            </w:r>
          </w:p>
        </w:tc>
        <w:tc>
          <w:tcPr>
            <w:tcW w:w="43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373535"/>
              </w:rPr>
              <w:t>106.7</w:t>
            </w:r>
          </w:p>
        </w:tc>
      </w:tr>
      <w:tr>
        <w:trPr>
          <w:trHeight w:val="194"/>
        </w:trPr>
        <w:tc>
          <w:tcPr>
            <w:tcW w:w="6320" w:type="dxa"/>
            <w:vAlign w:val="bottom"/>
          </w:tcPr>
          <w:p>
            <w:pPr>
              <w:spacing w:after="0" w:line="194" w:lineRule="exact"/>
              <w:rPr>
                <w:sz w:val="20"/>
                <w:szCs w:val="20"/>
                <w:color w:val="auto"/>
              </w:rPr>
            </w:pPr>
            <w:r>
              <w:rPr>
                <w:rFonts w:ascii="Arial" w:cs="Arial" w:eastAsia="Arial" w:hAnsi="Arial"/>
                <w:sz w:val="17"/>
                <w:szCs w:val="17"/>
                <w:color w:val="373535"/>
              </w:rPr>
              <w:t>2017</w:t>
            </w:r>
          </w:p>
        </w:tc>
        <w:tc>
          <w:tcPr>
            <w:tcW w:w="4320" w:type="dxa"/>
            <w:vAlign w:val="bottom"/>
          </w:tcPr>
          <w:p>
            <w:pPr>
              <w:spacing w:after="0"/>
              <w:rPr>
                <w:sz w:val="16"/>
                <w:szCs w:val="16"/>
                <w:color w:val="auto"/>
              </w:rPr>
            </w:pPr>
          </w:p>
        </w:tc>
        <w:tc>
          <w:tcPr>
            <w:tcW w:w="680" w:type="dxa"/>
            <w:vAlign w:val="bottom"/>
          </w:tcPr>
          <w:p>
            <w:pPr>
              <w:jc w:val="right"/>
              <w:spacing w:after="0" w:line="194" w:lineRule="exact"/>
              <w:rPr>
                <w:sz w:val="20"/>
                <w:szCs w:val="20"/>
                <w:color w:val="auto"/>
              </w:rPr>
            </w:pPr>
            <w:r>
              <w:rPr>
                <w:rFonts w:ascii="Arial" w:cs="Arial" w:eastAsia="Arial" w:hAnsi="Arial"/>
                <w:sz w:val="17"/>
                <w:szCs w:val="17"/>
                <w:color w:val="373535"/>
              </w:rPr>
              <w:t>77.4</w:t>
            </w:r>
          </w:p>
        </w:tc>
      </w:tr>
      <w:tr>
        <w:trPr>
          <w:trHeight w:val="206"/>
        </w:trPr>
        <w:tc>
          <w:tcPr>
            <w:tcW w:w="6320" w:type="dxa"/>
            <w:vAlign w:val="bottom"/>
          </w:tcPr>
          <w:p>
            <w:pPr>
              <w:spacing w:after="0"/>
              <w:rPr>
                <w:sz w:val="20"/>
                <w:szCs w:val="20"/>
                <w:color w:val="auto"/>
              </w:rPr>
            </w:pPr>
            <w:r>
              <w:rPr>
                <w:rFonts w:ascii="Arial" w:cs="Arial" w:eastAsia="Arial" w:hAnsi="Arial"/>
                <w:sz w:val="17"/>
                <w:szCs w:val="17"/>
                <w:color w:val="373535"/>
              </w:rPr>
              <w:t>2018</w:t>
            </w:r>
          </w:p>
        </w:tc>
        <w:tc>
          <w:tcPr>
            <w:tcW w:w="4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373535"/>
              </w:rPr>
              <w:t>59.4</w:t>
            </w:r>
          </w:p>
        </w:tc>
      </w:tr>
      <w:tr>
        <w:trPr>
          <w:trHeight w:val="195"/>
        </w:trPr>
        <w:tc>
          <w:tcPr>
            <w:tcW w:w="6320" w:type="dxa"/>
            <w:vAlign w:val="bottom"/>
            <w:tcBorders>
              <w:bottom w:val="single" w:sz="8" w:color="717073"/>
            </w:tcBorders>
          </w:tcPr>
          <w:p>
            <w:pPr>
              <w:spacing w:after="0"/>
              <w:rPr>
                <w:sz w:val="20"/>
                <w:szCs w:val="20"/>
                <w:color w:val="auto"/>
              </w:rPr>
            </w:pPr>
            <w:r>
              <w:rPr>
                <w:rFonts w:ascii="Arial" w:cs="Arial" w:eastAsia="Arial" w:hAnsi="Arial"/>
                <w:sz w:val="17"/>
                <w:szCs w:val="17"/>
                <w:color w:val="373535"/>
              </w:rPr>
              <w:t>Thereafter</w:t>
            </w:r>
          </w:p>
        </w:tc>
        <w:tc>
          <w:tcPr>
            <w:tcW w:w="4320" w:type="dxa"/>
            <w:vAlign w:val="bottom"/>
            <w:tcBorders>
              <w:bottom w:val="single" w:sz="8" w:color="717073"/>
            </w:tcBorders>
          </w:tcPr>
          <w:p>
            <w:pPr>
              <w:spacing w:after="0"/>
              <w:rPr>
                <w:sz w:val="16"/>
                <w:szCs w:val="16"/>
                <w:color w:val="auto"/>
              </w:rPr>
            </w:pPr>
          </w:p>
        </w:tc>
        <w:tc>
          <w:tcPr>
            <w:tcW w:w="680" w:type="dxa"/>
            <w:vAlign w:val="bottom"/>
            <w:tcBorders>
              <w:bottom w:val="single" w:sz="8" w:color="717073"/>
            </w:tcBorders>
          </w:tcPr>
          <w:p>
            <w:pPr>
              <w:jc w:val="right"/>
              <w:spacing w:after="0"/>
              <w:rPr>
                <w:sz w:val="20"/>
                <w:szCs w:val="20"/>
                <w:color w:val="auto"/>
              </w:rPr>
            </w:pPr>
            <w:r>
              <w:rPr>
                <w:rFonts w:ascii="Arial" w:cs="Arial" w:eastAsia="Arial" w:hAnsi="Arial"/>
                <w:sz w:val="17"/>
                <w:szCs w:val="17"/>
                <w:color w:val="373535"/>
              </w:rPr>
              <w:t>119.7</w:t>
            </w:r>
          </w:p>
        </w:tc>
      </w:tr>
      <w:tr>
        <w:trPr>
          <w:trHeight w:val="186"/>
        </w:trPr>
        <w:tc>
          <w:tcPr>
            <w:tcW w:w="6320" w:type="dxa"/>
            <w:vAlign w:val="bottom"/>
            <w:tcBorders>
              <w:bottom w:val="single" w:sz="8" w:color="717073"/>
            </w:tcBorders>
          </w:tcPr>
          <w:p>
            <w:pPr>
              <w:spacing w:after="0" w:line="186" w:lineRule="exact"/>
              <w:rPr>
                <w:sz w:val="20"/>
                <w:szCs w:val="20"/>
                <w:color w:val="auto"/>
              </w:rPr>
            </w:pPr>
            <w:r>
              <w:rPr>
                <w:rFonts w:ascii="Arial" w:cs="Arial" w:eastAsia="Arial" w:hAnsi="Arial"/>
                <w:sz w:val="17"/>
                <w:szCs w:val="17"/>
                <w:color w:val="373535"/>
              </w:rPr>
              <w:t>Total minimum lease payments</w:t>
            </w:r>
          </w:p>
        </w:tc>
        <w:tc>
          <w:tcPr>
            <w:tcW w:w="4320" w:type="dxa"/>
            <w:vAlign w:val="bottom"/>
            <w:tcBorders>
              <w:bottom w:val="single" w:sz="8" w:color="717073"/>
            </w:tcBorders>
          </w:tcPr>
          <w:p>
            <w:pPr>
              <w:jc w:val="right"/>
              <w:ind w:right="174"/>
              <w:spacing w:after="0" w:line="186" w:lineRule="exact"/>
              <w:rPr>
                <w:sz w:val="20"/>
                <w:szCs w:val="20"/>
                <w:color w:val="auto"/>
              </w:rPr>
            </w:pPr>
            <w:r>
              <w:rPr>
                <w:rFonts w:ascii="Arial" w:cs="Arial" w:eastAsia="Arial" w:hAnsi="Arial"/>
                <w:sz w:val="17"/>
                <w:szCs w:val="17"/>
                <w:color w:val="373535"/>
              </w:rPr>
              <w:t>$</w:t>
            </w:r>
          </w:p>
        </w:tc>
        <w:tc>
          <w:tcPr>
            <w:tcW w:w="68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688.4</w:t>
            </w: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373535"/>
        </w:rPr>
        <w:t>Rental expense for all operating leases was $232.9, $245.1 and $254.3 for the years ended December 31, 2013, 2012 and 2011,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76AD9A"/>
        </w:rPr>
        <w:t>11.</w:t>
      </w:r>
    </w:p>
    <w:p>
      <w:pPr>
        <w:spacing w:after="0"/>
        <w:rPr>
          <w:sz w:val="20"/>
          <w:szCs w:val="20"/>
          <w:color w:val="auto"/>
        </w:rPr>
      </w:pPr>
      <w:r>
        <w:rPr>
          <w:rFonts w:ascii="Arial" w:cs="Arial" w:eastAsia="Arial" w:hAnsi="Arial"/>
          <w:sz w:val="17"/>
          <w:szCs w:val="17"/>
          <w:color w:val="76AD9A"/>
        </w:rPr>
        <w:t>Interest and Other Expenses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373535"/>
        </w:rPr>
        <w:t>Interest and other expenses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980" w:type="dxa"/>
            <w:vAlign w:val="bottom"/>
            <w:shd w:val="clear" w:color="auto" w:fill="76AD9A"/>
          </w:tcPr>
          <w:p>
            <w:pPr>
              <w:spacing w:after="0" w:line="20" w:lineRule="exact"/>
              <w:rPr>
                <w:sz w:val="1"/>
                <w:szCs w:val="1"/>
                <w:color w:val="auto"/>
              </w:rPr>
            </w:pPr>
          </w:p>
        </w:tc>
        <w:tc>
          <w:tcPr>
            <w:tcW w:w="3560" w:type="dxa"/>
            <w:vAlign w:val="bottom"/>
            <w:shd w:val="clear" w:color="auto" w:fill="76AD9A"/>
          </w:tcPr>
          <w:p>
            <w:pPr>
              <w:spacing w:after="0" w:line="20" w:lineRule="exact"/>
              <w:rPr>
                <w:sz w:val="1"/>
                <w:szCs w:val="1"/>
                <w:color w:val="auto"/>
              </w:rPr>
            </w:pPr>
          </w:p>
        </w:tc>
        <w:tc>
          <w:tcPr>
            <w:tcW w:w="220" w:type="dxa"/>
            <w:vAlign w:val="bottom"/>
            <w:shd w:val="clear" w:color="auto" w:fill="76AD9A"/>
          </w:tcPr>
          <w:p>
            <w:pPr>
              <w:spacing w:after="0" w:line="20" w:lineRule="exact"/>
              <w:rPr>
                <w:sz w:val="1"/>
                <w:szCs w:val="1"/>
                <w:color w:val="auto"/>
              </w:rPr>
            </w:pPr>
          </w:p>
        </w:tc>
        <w:tc>
          <w:tcPr>
            <w:tcW w:w="920" w:type="dxa"/>
            <w:vAlign w:val="bottom"/>
            <w:shd w:val="clear" w:color="auto" w:fill="76AD9A"/>
          </w:tcPr>
          <w:p>
            <w:pPr>
              <w:spacing w:after="0" w:line="20" w:lineRule="exact"/>
              <w:rPr>
                <w:sz w:val="1"/>
                <w:szCs w:val="1"/>
                <w:color w:val="auto"/>
              </w:rPr>
            </w:pPr>
          </w:p>
        </w:tc>
        <w:tc>
          <w:tcPr>
            <w:tcW w:w="120" w:type="dxa"/>
            <w:vAlign w:val="bottom"/>
            <w:shd w:val="clear" w:color="auto" w:fill="76AD9A"/>
          </w:tcPr>
          <w:p>
            <w:pPr>
              <w:spacing w:after="0" w:line="20" w:lineRule="exact"/>
              <w:rPr>
                <w:sz w:val="1"/>
                <w:szCs w:val="1"/>
                <w:color w:val="auto"/>
              </w:rPr>
            </w:pPr>
          </w:p>
        </w:tc>
        <w:tc>
          <w:tcPr>
            <w:tcW w:w="620" w:type="dxa"/>
            <w:vAlign w:val="bottom"/>
            <w:shd w:val="clear" w:color="auto" w:fill="76AD9A"/>
          </w:tcPr>
          <w:p>
            <w:pPr>
              <w:spacing w:after="0" w:line="20" w:lineRule="exact"/>
              <w:rPr>
                <w:sz w:val="1"/>
                <w:szCs w:val="1"/>
                <w:color w:val="auto"/>
              </w:rPr>
            </w:pPr>
          </w:p>
        </w:tc>
        <w:tc>
          <w:tcPr>
            <w:tcW w:w="780" w:type="dxa"/>
            <w:vAlign w:val="bottom"/>
            <w:shd w:val="clear" w:color="auto" w:fill="76AD9A"/>
          </w:tcPr>
          <w:p>
            <w:pPr>
              <w:spacing w:after="0" w:line="20" w:lineRule="exact"/>
              <w:rPr>
                <w:sz w:val="1"/>
                <w:szCs w:val="1"/>
                <w:color w:val="auto"/>
              </w:rPr>
            </w:pPr>
          </w:p>
        </w:tc>
        <w:tc>
          <w:tcPr>
            <w:tcW w:w="760" w:type="dxa"/>
            <w:vAlign w:val="bottom"/>
            <w:shd w:val="clear" w:color="auto" w:fill="76AD9A"/>
          </w:tcPr>
          <w:p>
            <w:pPr>
              <w:spacing w:after="0" w:line="20" w:lineRule="exact"/>
              <w:rPr>
                <w:sz w:val="1"/>
                <w:szCs w:val="1"/>
                <w:color w:val="auto"/>
              </w:rPr>
            </w:pPr>
          </w:p>
        </w:tc>
        <w:tc>
          <w:tcPr>
            <w:tcW w:w="340" w:type="dxa"/>
            <w:vAlign w:val="bottom"/>
            <w:shd w:val="clear" w:color="auto" w:fill="76AD9A"/>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6"/>
        </w:trPr>
        <w:tc>
          <w:tcPr>
            <w:tcW w:w="4000" w:type="dxa"/>
            <w:vAlign w:val="bottom"/>
            <w:gridSpan w:val="2"/>
          </w:tcPr>
          <w:p>
            <w:pPr>
              <w:spacing w:after="0"/>
              <w:rPr>
                <w:sz w:val="20"/>
                <w:szCs w:val="20"/>
                <w:color w:val="auto"/>
              </w:rPr>
            </w:pPr>
            <w:r>
              <w:rPr>
                <w:rFonts w:ascii="Arial" w:cs="Arial" w:eastAsia="Arial" w:hAnsi="Arial"/>
                <w:sz w:val="14"/>
                <w:szCs w:val="14"/>
                <w:color w:val="76AD9A"/>
              </w:rPr>
              <w:t>Year Ended December 31</w:t>
            </w:r>
          </w:p>
        </w:tc>
        <w:tc>
          <w:tcPr>
            <w:tcW w:w="3560" w:type="dxa"/>
            <w:vAlign w:val="bottom"/>
          </w:tcPr>
          <w:p>
            <w:pPr>
              <w:spacing w:after="0"/>
              <w:rPr>
                <w:sz w:val="16"/>
                <w:szCs w:val="16"/>
                <w:color w:val="auto"/>
              </w:rPr>
            </w:pPr>
          </w:p>
        </w:tc>
        <w:tc>
          <w:tcPr>
            <w:tcW w:w="220" w:type="dxa"/>
            <w:vAlign w:val="bottom"/>
            <w:shd w:val="clear" w:color="auto" w:fill="76AD9A"/>
          </w:tcPr>
          <w:p>
            <w:pPr>
              <w:spacing w:after="0"/>
              <w:rPr>
                <w:sz w:val="16"/>
                <w:szCs w:val="16"/>
                <w:color w:val="auto"/>
              </w:rPr>
            </w:pPr>
          </w:p>
        </w:tc>
        <w:tc>
          <w:tcPr>
            <w:tcW w:w="920" w:type="dxa"/>
            <w:vAlign w:val="bottom"/>
            <w:shd w:val="clear" w:color="auto" w:fill="76AD9A"/>
          </w:tcPr>
          <w:p>
            <w:pPr>
              <w:jc w:val="right"/>
              <w:spacing w:after="0"/>
              <w:rPr>
                <w:sz w:val="20"/>
                <w:szCs w:val="20"/>
                <w:color w:val="auto"/>
              </w:rPr>
            </w:pPr>
            <w:r>
              <w:rPr>
                <w:rFonts w:ascii="Arial" w:cs="Arial" w:eastAsia="Arial" w:hAnsi="Arial"/>
                <w:sz w:val="14"/>
                <w:szCs w:val="14"/>
                <w:color w:val="FFFFFF"/>
              </w:rPr>
              <w:t>2013</w:t>
            </w:r>
          </w:p>
        </w:tc>
        <w:tc>
          <w:tcPr>
            <w:tcW w:w="120" w:type="dxa"/>
            <w:vAlign w:val="bottom"/>
            <w:shd w:val="clear" w:color="auto" w:fill="76AD9A"/>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tcPr>
          <w:p>
            <w:pPr>
              <w:jc w:val="right"/>
              <w:ind w:right="57"/>
              <w:spacing w:after="0"/>
              <w:rPr>
                <w:sz w:val="20"/>
                <w:szCs w:val="20"/>
                <w:color w:val="auto"/>
              </w:rPr>
            </w:pPr>
            <w:r>
              <w:rPr>
                <w:rFonts w:ascii="Arial" w:cs="Arial" w:eastAsia="Arial" w:hAnsi="Arial"/>
                <w:sz w:val="14"/>
                <w:szCs w:val="14"/>
                <w:color w:val="76AD9A"/>
              </w:rPr>
              <w:t>2012</w:t>
            </w:r>
          </w:p>
        </w:tc>
        <w:tc>
          <w:tcPr>
            <w:tcW w:w="76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color w:val="76AD9A"/>
              </w:rPr>
              <w:t>2011</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9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Interest expense</w:t>
            </w:r>
          </w:p>
        </w:tc>
        <w:tc>
          <w:tcPr>
            <w:tcW w:w="3560" w:type="dxa"/>
            <w:vAlign w:val="bottom"/>
            <w:tcBorders>
              <w:top w:val="single" w:sz="8" w:color="76AD9A"/>
            </w:tcBorders>
          </w:tcPr>
          <w:p>
            <w:pPr>
              <w:spacing w:after="0"/>
              <w:rPr>
                <w:sz w:val="16"/>
                <w:szCs w:val="16"/>
                <w:color w:val="auto"/>
              </w:rPr>
            </w:pPr>
          </w:p>
        </w:tc>
        <w:tc>
          <w:tcPr>
            <w:tcW w:w="22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92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37.1</w:t>
            </w:r>
          </w:p>
        </w:tc>
        <w:tc>
          <w:tcPr>
            <w:tcW w:w="120" w:type="dxa"/>
            <w:vAlign w:val="bottom"/>
            <w:tcBorders>
              <w:top w:val="single" w:sz="8" w:color="76AD9A"/>
            </w:tcBorders>
            <w:shd w:val="clear" w:color="auto" w:fill="EEF5F2"/>
          </w:tcPr>
          <w:p>
            <w:pPr>
              <w:spacing w:after="0"/>
              <w:rPr>
                <w:sz w:val="16"/>
                <w:szCs w:val="16"/>
                <w:color w:val="auto"/>
              </w:rPr>
            </w:pPr>
          </w:p>
        </w:tc>
        <w:tc>
          <w:tcPr>
            <w:tcW w:w="620" w:type="dxa"/>
            <w:vAlign w:val="bottom"/>
            <w:tcBorders>
              <w:top w:val="single" w:sz="8" w:color="76AD9A"/>
            </w:tcBorders>
          </w:tcPr>
          <w:p>
            <w:pPr>
              <w:jc w:val="right"/>
              <w:ind w:right="214"/>
              <w:spacing w:after="0" w:line="185" w:lineRule="exact"/>
              <w:rPr>
                <w:sz w:val="20"/>
                <w:szCs w:val="20"/>
                <w:color w:val="auto"/>
              </w:rPr>
            </w:pPr>
            <w:r>
              <w:rPr>
                <w:rFonts w:ascii="Arial" w:cs="Arial" w:eastAsia="Arial" w:hAnsi="Arial"/>
                <w:sz w:val="17"/>
                <w:szCs w:val="17"/>
                <w:color w:val="373535"/>
              </w:rPr>
              <w:t>$</w:t>
            </w:r>
          </w:p>
        </w:tc>
        <w:tc>
          <w:tcPr>
            <w:tcW w:w="780" w:type="dxa"/>
            <w:vAlign w:val="bottom"/>
            <w:tcBorders>
              <w:top w:val="single" w:sz="8" w:color="76AD9A"/>
            </w:tcBorders>
          </w:tcPr>
          <w:p>
            <w:pPr>
              <w:jc w:val="right"/>
              <w:ind w:right="57"/>
              <w:spacing w:after="0" w:line="185" w:lineRule="exact"/>
              <w:rPr>
                <w:sz w:val="20"/>
                <w:szCs w:val="20"/>
                <w:color w:val="auto"/>
              </w:rPr>
            </w:pPr>
            <w:r>
              <w:rPr>
                <w:rFonts w:ascii="Arial" w:cs="Arial" w:eastAsia="Arial" w:hAnsi="Arial"/>
                <w:sz w:val="17"/>
                <w:szCs w:val="17"/>
                <w:color w:val="373535"/>
              </w:rPr>
              <w:t>41.8</w:t>
            </w:r>
          </w:p>
        </w:tc>
        <w:tc>
          <w:tcPr>
            <w:tcW w:w="760" w:type="dxa"/>
            <w:vAlign w:val="bottom"/>
            <w:tcBorders>
              <w:top w:val="single" w:sz="8" w:color="76AD9A"/>
            </w:tcBorders>
          </w:tcPr>
          <w:p>
            <w:pPr>
              <w:jc w:val="right"/>
              <w:ind w:right="474"/>
              <w:spacing w:after="0" w:line="185" w:lineRule="exact"/>
              <w:rPr>
                <w:sz w:val="20"/>
                <w:szCs w:val="20"/>
                <w:color w:val="auto"/>
              </w:rPr>
            </w:pPr>
            <w:r>
              <w:rPr>
                <w:rFonts w:ascii="Arial" w:cs="Arial" w:eastAsia="Arial" w:hAnsi="Arial"/>
                <w:sz w:val="17"/>
                <w:szCs w:val="17"/>
                <w:color w:val="373535"/>
              </w:rPr>
              <w:t>$</w:t>
            </w:r>
          </w:p>
        </w:tc>
        <w:tc>
          <w:tcPr>
            <w:tcW w:w="34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w w:val="96"/>
              </w:rPr>
              <w:t>42.8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000" w:type="dxa"/>
            <w:vAlign w:val="bottom"/>
            <w:gridSpan w:val="2"/>
          </w:tcPr>
          <w:p>
            <w:pPr>
              <w:spacing w:after="0" w:line="194" w:lineRule="exact"/>
              <w:rPr>
                <w:sz w:val="20"/>
                <w:szCs w:val="20"/>
                <w:color w:val="auto"/>
              </w:rPr>
            </w:pPr>
            <w:r>
              <w:rPr>
                <w:rFonts w:ascii="Arial" w:cs="Arial" w:eastAsia="Arial" w:hAnsi="Arial"/>
                <w:sz w:val="17"/>
                <w:szCs w:val="17"/>
                <w:color w:val="373535"/>
              </w:rPr>
              <w:t>Interest income</w:t>
            </w:r>
          </w:p>
        </w:tc>
        <w:tc>
          <w:tcPr>
            <w:tcW w:w="3560" w:type="dxa"/>
            <w:vAlign w:val="bottom"/>
          </w:tcPr>
          <w:p>
            <w:pPr>
              <w:spacing w:after="0"/>
              <w:rPr>
                <w:sz w:val="16"/>
                <w:szCs w:val="16"/>
                <w:color w:val="auto"/>
              </w:rPr>
            </w:pPr>
          </w:p>
        </w:tc>
        <w:tc>
          <w:tcPr>
            <w:tcW w:w="220" w:type="dxa"/>
            <w:vAlign w:val="bottom"/>
            <w:shd w:val="clear" w:color="auto" w:fill="EEF5F2"/>
          </w:tcPr>
          <w:p>
            <w:pPr>
              <w:spacing w:after="0"/>
              <w:rPr>
                <w:sz w:val="16"/>
                <w:szCs w:val="16"/>
                <w:color w:val="auto"/>
              </w:rPr>
            </w:pPr>
          </w:p>
        </w:tc>
        <w:tc>
          <w:tcPr>
            <w:tcW w:w="1040" w:type="dxa"/>
            <w:vAlign w:val="bottom"/>
            <w:gridSpan w:val="2"/>
            <w:shd w:val="clear" w:color="auto" w:fill="EEF5F2"/>
          </w:tcPr>
          <w:p>
            <w:pPr>
              <w:jc w:val="right"/>
              <w:ind w:right="60"/>
              <w:spacing w:after="0" w:line="194" w:lineRule="exact"/>
              <w:rPr>
                <w:sz w:val="20"/>
                <w:szCs w:val="20"/>
                <w:color w:val="auto"/>
              </w:rPr>
            </w:pPr>
            <w:r>
              <w:rPr>
                <w:rFonts w:ascii="Arial" w:cs="Arial" w:eastAsia="Arial" w:hAnsi="Arial"/>
                <w:sz w:val="17"/>
                <w:szCs w:val="17"/>
                <w:color w:val="76AD9A"/>
              </w:rPr>
              <w:t>(3.7)</w:t>
            </w:r>
          </w:p>
        </w:tc>
        <w:tc>
          <w:tcPr>
            <w:tcW w:w="62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(6.6)</w:t>
            </w:r>
          </w:p>
        </w:tc>
        <w:tc>
          <w:tcPr>
            <w:tcW w:w="760" w:type="dxa"/>
            <w:vAlign w:val="bottom"/>
          </w:tcPr>
          <w:p>
            <w:pPr>
              <w:spacing w:after="0"/>
              <w:rPr>
                <w:sz w:val="16"/>
                <w:szCs w:val="16"/>
                <w:color w:val="auto"/>
              </w:rPr>
            </w:pPr>
          </w:p>
        </w:tc>
        <w:tc>
          <w:tcPr>
            <w:tcW w:w="44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373535"/>
              </w:rPr>
              <w:t>(7.3)</w:t>
            </w:r>
          </w:p>
        </w:tc>
      </w:tr>
      <w:tr>
        <w:trPr>
          <w:trHeight w:val="206"/>
        </w:trPr>
        <w:tc>
          <w:tcPr>
            <w:tcW w:w="4000" w:type="dxa"/>
            <w:vAlign w:val="bottom"/>
            <w:gridSpan w:val="2"/>
          </w:tcPr>
          <w:p>
            <w:pPr>
              <w:spacing w:after="0"/>
              <w:rPr>
                <w:sz w:val="20"/>
                <w:szCs w:val="20"/>
                <w:color w:val="auto"/>
              </w:rPr>
            </w:pPr>
            <w:r>
              <w:rPr>
                <w:rFonts w:ascii="Arial" w:cs="Arial" w:eastAsia="Arial" w:hAnsi="Arial"/>
                <w:sz w:val="17"/>
                <w:szCs w:val="17"/>
                <w:color w:val="373535"/>
              </w:rPr>
              <w:t>Foreign exchange losses</w:t>
            </w:r>
          </w:p>
        </w:tc>
        <w:tc>
          <w:tcPr>
            <w:tcW w:w="3560" w:type="dxa"/>
            <w:vAlign w:val="bottom"/>
          </w:tcPr>
          <w:p>
            <w:pPr>
              <w:spacing w:after="0"/>
              <w:rPr>
                <w:sz w:val="17"/>
                <w:szCs w:val="17"/>
                <w:color w:val="auto"/>
              </w:rPr>
            </w:pPr>
          </w:p>
        </w:tc>
        <w:tc>
          <w:tcPr>
            <w:tcW w:w="220" w:type="dxa"/>
            <w:vAlign w:val="bottom"/>
            <w:shd w:val="clear" w:color="auto" w:fill="EEF5F2"/>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76AD9A"/>
              </w:rPr>
              <w:t>2.3</w:t>
            </w:r>
          </w:p>
        </w:tc>
        <w:tc>
          <w:tcPr>
            <w:tcW w:w="120" w:type="dxa"/>
            <w:vAlign w:val="bottom"/>
            <w:shd w:val="clear" w:color="auto" w:fill="EEF5F2"/>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jc w:val="right"/>
              <w:ind w:right="57"/>
              <w:spacing w:after="0"/>
              <w:rPr>
                <w:sz w:val="20"/>
                <w:szCs w:val="20"/>
                <w:color w:val="auto"/>
              </w:rPr>
            </w:pPr>
            <w:r>
              <w:rPr>
                <w:rFonts w:ascii="Arial" w:cs="Arial" w:eastAsia="Arial" w:hAnsi="Arial"/>
                <w:sz w:val="17"/>
                <w:szCs w:val="17"/>
                <w:color w:val="373535"/>
              </w:rPr>
              <w:t>0.9</w:t>
            </w:r>
          </w:p>
        </w:tc>
        <w:tc>
          <w:tcPr>
            <w:tcW w:w="760" w:type="dxa"/>
            <w:vAlign w:val="bottom"/>
          </w:tcPr>
          <w:p>
            <w:pPr>
              <w:spacing w:after="0"/>
              <w:rPr>
                <w:sz w:val="17"/>
                <w:szCs w:val="17"/>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373535"/>
              </w:rPr>
              <w:t>2.8</w:t>
            </w:r>
          </w:p>
        </w:tc>
        <w:tc>
          <w:tcPr>
            <w:tcW w:w="80" w:type="dxa"/>
            <w:vAlign w:val="bottom"/>
          </w:tcPr>
          <w:p>
            <w:pPr>
              <w:spacing w:after="0"/>
              <w:rPr>
                <w:sz w:val="17"/>
                <w:szCs w:val="17"/>
                <w:color w:val="auto"/>
              </w:rPr>
            </w:pPr>
          </w:p>
        </w:tc>
      </w:tr>
      <w:tr>
        <w:trPr>
          <w:trHeight w:val="194"/>
        </w:trPr>
        <w:tc>
          <w:tcPr>
            <w:tcW w:w="400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Miscellaneous expenses, net</w:t>
            </w:r>
          </w:p>
        </w:tc>
        <w:tc>
          <w:tcPr>
            <w:tcW w:w="3560" w:type="dxa"/>
            <w:vAlign w:val="bottom"/>
            <w:tcBorders>
              <w:bottom w:val="single" w:sz="8" w:color="717073"/>
            </w:tcBorders>
          </w:tcPr>
          <w:p>
            <w:pPr>
              <w:spacing w:after="0"/>
              <w:rPr>
                <w:sz w:val="16"/>
                <w:szCs w:val="16"/>
                <w:color w:val="auto"/>
              </w:rPr>
            </w:pPr>
          </w:p>
        </w:tc>
        <w:tc>
          <w:tcPr>
            <w:tcW w:w="220" w:type="dxa"/>
            <w:vAlign w:val="bottom"/>
            <w:tcBorders>
              <w:bottom w:val="single" w:sz="8" w:color="717073"/>
            </w:tcBorders>
            <w:shd w:val="clear" w:color="auto" w:fill="EEF5F2"/>
          </w:tcPr>
          <w:p>
            <w:pPr>
              <w:spacing w:after="0"/>
              <w:rPr>
                <w:sz w:val="16"/>
                <w:szCs w:val="16"/>
                <w:color w:val="auto"/>
              </w:rPr>
            </w:pPr>
          </w:p>
        </w:tc>
        <w:tc>
          <w:tcPr>
            <w:tcW w:w="92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76AD9A"/>
              </w:rPr>
              <w:t>0.7</w:t>
            </w:r>
          </w:p>
        </w:tc>
        <w:tc>
          <w:tcPr>
            <w:tcW w:w="120" w:type="dxa"/>
            <w:vAlign w:val="bottom"/>
            <w:tcBorders>
              <w:bottom w:val="single" w:sz="8" w:color="717073"/>
            </w:tcBorders>
            <w:shd w:val="clear" w:color="auto" w:fill="EEF5F2"/>
          </w:tcPr>
          <w:p>
            <w:pPr>
              <w:spacing w:after="0"/>
              <w:rPr>
                <w:sz w:val="16"/>
                <w:szCs w:val="16"/>
                <w:color w:val="auto"/>
              </w:rPr>
            </w:pPr>
          </w:p>
        </w:tc>
        <w:tc>
          <w:tcPr>
            <w:tcW w:w="620" w:type="dxa"/>
            <w:vAlign w:val="bottom"/>
            <w:tcBorders>
              <w:bottom w:val="single" w:sz="8" w:color="717073"/>
            </w:tcBorders>
          </w:tcPr>
          <w:p>
            <w:pPr>
              <w:spacing w:after="0"/>
              <w:rPr>
                <w:sz w:val="16"/>
                <w:szCs w:val="16"/>
                <w:color w:val="auto"/>
              </w:rPr>
            </w:pPr>
          </w:p>
        </w:tc>
        <w:tc>
          <w:tcPr>
            <w:tcW w:w="780" w:type="dxa"/>
            <w:vAlign w:val="bottom"/>
            <w:tcBorders>
              <w:bottom w:val="single" w:sz="8" w:color="717073"/>
            </w:tcBorders>
          </w:tcPr>
          <w:p>
            <w:pPr>
              <w:jc w:val="right"/>
              <w:ind w:right="57"/>
              <w:spacing w:after="0" w:line="194" w:lineRule="exact"/>
              <w:rPr>
                <w:sz w:val="20"/>
                <w:szCs w:val="20"/>
                <w:color w:val="auto"/>
              </w:rPr>
            </w:pPr>
            <w:r>
              <w:rPr>
                <w:rFonts w:ascii="Arial" w:cs="Arial" w:eastAsia="Arial" w:hAnsi="Arial"/>
                <w:sz w:val="17"/>
                <w:szCs w:val="17"/>
                <w:color w:val="373535"/>
              </w:rPr>
              <w:t>7.2</w:t>
            </w:r>
          </w:p>
        </w:tc>
        <w:tc>
          <w:tcPr>
            <w:tcW w:w="76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6.0</w:t>
            </w:r>
          </w:p>
        </w:tc>
        <w:tc>
          <w:tcPr>
            <w:tcW w:w="80" w:type="dxa"/>
            <w:vAlign w:val="bottom"/>
          </w:tcPr>
          <w:p>
            <w:pPr>
              <w:spacing w:after="0"/>
              <w:rPr>
                <w:sz w:val="16"/>
                <w:szCs w:val="16"/>
                <w:color w:val="auto"/>
              </w:rPr>
            </w:pPr>
          </w:p>
        </w:tc>
      </w:tr>
      <w:tr>
        <w:trPr>
          <w:trHeight w:val="186"/>
        </w:trPr>
        <w:tc>
          <w:tcPr>
            <w:tcW w:w="4000" w:type="dxa"/>
            <w:vAlign w:val="bottom"/>
            <w:gridSpan w:val="2"/>
          </w:tcPr>
          <w:p>
            <w:pPr>
              <w:spacing w:after="0" w:line="186" w:lineRule="exact"/>
              <w:rPr>
                <w:sz w:val="20"/>
                <w:szCs w:val="20"/>
                <w:color w:val="auto"/>
              </w:rPr>
            </w:pPr>
            <w:r>
              <w:rPr>
                <w:rFonts w:ascii="Arial" w:cs="Arial" w:eastAsia="Arial" w:hAnsi="Arial"/>
                <w:sz w:val="17"/>
                <w:szCs w:val="17"/>
                <w:color w:val="373535"/>
              </w:rPr>
              <w:t>Interest and other expenses</w:t>
            </w:r>
          </w:p>
        </w:tc>
        <w:tc>
          <w:tcPr>
            <w:tcW w:w="3560" w:type="dxa"/>
            <w:vAlign w:val="bottom"/>
          </w:tcPr>
          <w:p>
            <w:pPr>
              <w:spacing w:after="0"/>
              <w:rPr>
                <w:sz w:val="16"/>
                <w:szCs w:val="16"/>
                <w:color w:val="auto"/>
              </w:rPr>
            </w:pPr>
          </w:p>
        </w:tc>
        <w:tc>
          <w:tcPr>
            <w:tcW w:w="220" w:type="dxa"/>
            <w:vAlign w:val="bottom"/>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76AD9A"/>
              </w:rPr>
              <w:t>36.4</w:t>
            </w:r>
          </w:p>
        </w:tc>
        <w:tc>
          <w:tcPr>
            <w:tcW w:w="120" w:type="dxa"/>
            <w:vAlign w:val="bottom"/>
            <w:shd w:val="clear" w:color="auto" w:fill="EEF5F2"/>
          </w:tcPr>
          <w:p>
            <w:pPr>
              <w:spacing w:after="0"/>
              <w:rPr>
                <w:sz w:val="16"/>
                <w:szCs w:val="16"/>
                <w:color w:val="auto"/>
              </w:rPr>
            </w:pPr>
          </w:p>
        </w:tc>
        <w:tc>
          <w:tcPr>
            <w:tcW w:w="620" w:type="dxa"/>
            <w:vAlign w:val="bottom"/>
          </w:tcPr>
          <w:p>
            <w:pPr>
              <w:jc w:val="right"/>
              <w:ind w:right="214"/>
              <w:spacing w:after="0" w:line="186" w:lineRule="exact"/>
              <w:rPr>
                <w:sz w:val="20"/>
                <w:szCs w:val="20"/>
                <w:color w:val="auto"/>
              </w:rPr>
            </w:pPr>
            <w:r>
              <w:rPr>
                <w:rFonts w:ascii="Arial" w:cs="Arial" w:eastAsia="Arial" w:hAnsi="Arial"/>
                <w:sz w:val="17"/>
                <w:szCs w:val="17"/>
                <w:color w:val="373535"/>
              </w:rPr>
              <w:t>$</w:t>
            </w:r>
          </w:p>
        </w:tc>
        <w:tc>
          <w:tcPr>
            <w:tcW w:w="780" w:type="dxa"/>
            <w:vAlign w:val="bottom"/>
          </w:tcPr>
          <w:p>
            <w:pPr>
              <w:jc w:val="right"/>
              <w:ind w:right="57"/>
              <w:spacing w:after="0" w:line="186" w:lineRule="exact"/>
              <w:rPr>
                <w:sz w:val="20"/>
                <w:szCs w:val="20"/>
                <w:color w:val="auto"/>
              </w:rPr>
            </w:pPr>
            <w:r>
              <w:rPr>
                <w:rFonts w:ascii="Arial" w:cs="Arial" w:eastAsia="Arial" w:hAnsi="Arial"/>
                <w:sz w:val="17"/>
                <w:szCs w:val="17"/>
                <w:color w:val="373535"/>
              </w:rPr>
              <w:t>43.3</w:t>
            </w:r>
          </w:p>
        </w:tc>
        <w:tc>
          <w:tcPr>
            <w:tcW w:w="760" w:type="dxa"/>
            <w:vAlign w:val="bottom"/>
          </w:tcPr>
          <w:p>
            <w:pPr>
              <w:jc w:val="right"/>
              <w:ind w:right="474"/>
              <w:spacing w:after="0" w:line="186" w:lineRule="exact"/>
              <w:rPr>
                <w:sz w:val="20"/>
                <w:szCs w:val="20"/>
                <w:color w:val="auto"/>
              </w:rPr>
            </w:pPr>
            <w:r>
              <w:rPr>
                <w:rFonts w:ascii="Arial" w:cs="Arial" w:eastAsia="Arial" w:hAnsi="Arial"/>
                <w:sz w:val="17"/>
                <w:szCs w:val="17"/>
                <w:color w:val="373535"/>
              </w:rPr>
              <w:t>$</w:t>
            </w:r>
          </w:p>
        </w:tc>
        <w:tc>
          <w:tcPr>
            <w:tcW w:w="3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w w:val="96"/>
              </w:rPr>
              <w:t>44.3</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717073"/>
          </w:tcPr>
          <w:p>
            <w:pPr>
              <w:spacing w:after="0" w:line="20" w:lineRule="exact"/>
              <w:rPr>
                <w:sz w:val="1"/>
                <w:szCs w:val="1"/>
                <w:color w:val="auto"/>
              </w:rPr>
            </w:pPr>
          </w:p>
        </w:tc>
        <w:tc>
          <w:tcPr>
            <w:tcW w:w="6980" w:type="dxa"/>
            <w:vAlign w:val="bottom"/>
            <w:gridSpan w:val="7"/>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6980" w:type="dxa"/>
            <w:vAlign w:val="bottom"/>
            <w:gridSpan w:val="7"/>
          </w:tcPr>
          <w:p>
            <w:pPr>
              <w:jc w:val="right"/>
              <w:spacing w:after="0"/>
              <w:rPr>
                <w:sz w:val="20"/>
                <w:szCs w:val="20"/>
                <w:color w:val="auto"/>
              </w:rPr>
            </w:pPr>
            <w:r>
              <w:rPr>
                <w:rFonts w:ascii="Arial" w:cs="Arial" w:eastAsia="Arial" w:hAnsi="Arial"/>
                <w:sz w:val="14"/>
                <w:szCs w:val="14"/>
                <w:b w:val="1"/>
                <w:bCs w:val="1"/>
                <w:color w:val="777779"/>
              </w:rPr>
              <w:t xml:space="preserve">Notes to Consolidated Financial Statements </w:t>
            </w:r>
            <w:r>
              <w:rPr>
                <w:rFonts w:ascii="Arial" w:cs="Arial" w:eastAsia="Arial" w:hAnsi="Arial"/>
                <w:sz w:val="14"/>
                <w:szCs w:val="14"/>
                <w:color w:val="373535"/>
              </w:rPr>
              <w:t>ManpowerGroup 2013 Annual Report</w:t>
            </w: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373535"/>
              </w:rPr>
              <w:t>77</w:t>
            </w:r>
          </w:p>
        </w:tc>
      </w:tr>
      <w:tr>
        <w:trPr>
          <w:trHeight w:val="418"/>
        </w:trPr>
        <w:tc>
          <w:tcPr>
            <w:tcW w:w="20" w:type="dxa"/>
            <w:vAlign w:val="bottom"/>
          </w:tcPr>
          <w:p>
            <w:pPr>
              <w:spacing w:after="0"/>
              <w:rPr>
                <w:sz w:val="24"/>
                <w:szCs w:val="24"/>
                <w:color w:val="auto"/>
              </w:rPr>
            </w:pPr>
          </w:p>
        </w:tc>
        <w:tc>
          <w:tcPr>
            <w:tcW w:w="3980" w:type="dxa"/>
            <w:vAlign w:val="bottom"/>
            <w:tcBorders>
              <w:bottom w:val="single" w:sz="8" w:color="DCDCDC"/>
            </w:tcBorders>
          </w:tcPr>
          <w:p>
            <w:pPr>
              <w:spacing w:after="0"/>
              <w:rPr>
                <w:sz w:val="24"/>
                <w:szCs w:val="24"/>
                <w:color w:val="auto"/>
              </w:rPr>
            </w:pPr>
          </w:p>
        </w:tc>
        <w:tc>
          <w:tcPr>
            <w:tcW w:w="35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2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76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-1007110</wp:posOffset>
            </wp:positionV>
            <wp:extent cx="581660" cy="5080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1660" cy="508000"/>
                    </a:xfrm>
                    <a:prstGeom prst="rect">
                      <a:avLst/>
                    </a:prstGeom>
                    <a:noFill/>
                  </pic:spPr>
                </pic:pic>
              </a:graphicData>
            </a:graphic>
          </wp:anchor>
        </w:drawing>
      </w:r>
    </w:p>
    <w:p>
      <w:pPr>
        <w:sectPr>
          <w:pgSz w:w="11900" w:h="16838" w:orient="portrait"/>
          <w:cols w:equalWidth="0" w:num="1">
            <w:col w:w="11420"/>
          </w:cols>
          <w:pgMar w:left="240" w:top="633" w:right="2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76AD9A"/>
        </w:rPr>
        <w:t>12.</w:t>
      </w:r>
    </w:p>
    <w:p>
      <w:pPr>
        <w:spacing w:after="0"/>
        <w:rPr>
          <w:sz w:val="20"/>
          <w:szCs w:val="20"/>
          <w:color w:val="auto"/>
        </w:rPr>
      </w:pPr>
      <w:r>
        <w:rPr>
          <w:rFonts w:ascii="Arial" w:cs="Arial" w:eastAsia="Arial" w:hAnsi="Arial"/>
          <w:sz w:val="17"/>
          <w:szCs w:val="17"/>
          <w:color w:val="76AD9A"/>
        </w:rPr>
        <w:t>Derivative Financial Instruments</w:t>
      </w:r>
    </w:p>
    <w:p>
      <w:pPr>
        <w:spacing w:after="0" w:line="76"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are exposed to various risks relating to our ongoing business operations. The primary risks, which are managed through the use of derivative instruments, are foreign currency exchange rate risk and interest rate risk. In certain circumstances, we enter into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manage interest rate risk through the use of a combination of fixed and variable rate borrowings. In the past, we have also used interest rate swap agreements, however, we have not had any such agreements in 2013, 2012 or 2011. In accordance with the current accounting guidance for derivative instruments and hedging activities, we record all of our derivative instruments as either an asset or liability measured at their fair values.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FOREIGN CURRENCY EXCHANGE RATE RISK MANAGEMENT</w:t>
      </w:r>
    </w:p>
    <w:p>
      <w:pPr>
        <w:spacing w:after="0" w:line="85"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The €350.0 ($480.9) Notes were designated as economic hedges of our net investment in our foreign subsidiaries with a euro-functional currency as of December 31, 2013.</w:t>
      </w:r>
    </w:p>
    <w:p>
      <w:pPr>
        <w:spacing w:after="0" w:line="16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For derivatives designated as an economic hedge of the foreign currency exposure of a net investment in a foreign subsidiary, the gain or loss associated with foreign currency translation is recorded as a component of accumulated other comprehensive income, net of taxes. As of December 31, 2013, we had a $60.6 unrealized loss included in accumulated other comprehensive income, net of taxes, as the net investment hedge was deemed effective.</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Our forward contracts are not designated as hedges. Consequently, any gain or loss resulting from the change in fair value is recognized in the current period earnings. These gains or losses are offset by the exposure related to receivables and payables with our foreign subsidiaries and to interest due on our euro-denominated notes, which is paid annually in June. We recorded a gain of $0.8 associated with our forward contracts in interest and other expenses for the year ended December 31, 2013, partially offsetting the losses recorded for the items noted above.</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373535"/>
        </w:rPr>
        <w:t>The fair value measurements of these items recorded in our Consolidated Balance Sheets as of December 31, 2013 and 2012 are disclosed in Note 1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76AD9A"/>
        </w:rPr>
        <w:t>13.</w:t>
      </w:r>
    </w:p>
    <w:p>
      <w:pPr>
        <w:spacing w:after="0"/>
        <w:rPr>
          <w:sz w:val="20"/>
          <w:szCs w:val="20"/>
          <w:color w:val="auto"/>
        </w:rPr>
      </w:pPr>
      <w:r>
        <w:rPr>
          <w:rFonts w:ascii="Arial" w:cs="Arial" w:eastAsia="Arial" w:hAnsi="Arial"/>
          <w:sz w:val="17"/>
          <w:szCs w:val="17"/>
          <w:color w:val="76AD9A"/>
        </w:rPr>
        <w:t>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LITIGATION</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In the normal course of business, the Company is named as defendant in various legal proceedings in which claims are asserted against the Company. We record accruals for loss contingencies based on the circumstances of each claim, when it is probable that a loss has been incurred as of the balance sheet date and can be reasonably estimated. Although the outcome of litigation cannot be predicted with certainty, we believe the ultimate resolution of these legal proceedings will not have a material effect on our business or financial condition.</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In France, during the second quarter of 2013, a number of clients asserted claims against us, requesting refunds for various payroll tax subsidies that we have received dating back to 2003 related to our French temporary associates. While we receive claims in the normal course of business, there was a significant increase in claims made during the second quarter due to an impending change in the French statute of limitations that reduced the claims period from 10 to 5 years for claims filed after June 2013. We did not receive any claims in the remainder of 2013. We believe the claims against us are without merit as a matter of French law. Payroll tax subsidies have historically been for the benefit of the direct employer of the temporary associates. As such, our pricing practices implicitly consider all direct costs of employing our temporary associates, and factor in the benefit provided by these payroll tax subsidies. The French Supreme Court has been asked to confirm that, as a matter of law, the benefit of the payroll tax subsidies belongs to the direct employer, with a ruling expected during 2014. We believe the likelihood of any loss to be remote and do not expect the resolution of these claims to have a material impact on our consolidated financial statements or the results of our France and Southern Europe segments.</w:t>
      </w:r>
    </w:p>
    <w:p>
      <w:pPr>
        <w:spacing w:after="0" w:line="360" w:lineRule="exact"/>
        <w:rPr>
          <w:sz w:val="20"/>
          <w:szCs w:val="20"/>
          <w:color w:val="auto"/>
        </w:rPr>
      </w:pPr>
    </w:p>
    <w:p>
      <w:pPr>
        <w:ind w:left="700" w:hanging="697"/>
        <w:spacing w:after="0"/>
        <w:tabs>
          <w:tab w:leader="none" w:pos="700" w:val="left"/>
        </w:tabs>
        <w:numPr>
          <w:ilvl w:val="0"/>
          <w:numId w:val="112"/>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7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257175</wp:posOffset>
            </wp:positionV>
            <wp:extent cx="7252970"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16" w:name="page117"/>
    <w:bookmarkEnd w:id="116"/>
    <w:p>
      <w:pPr>
        <w:jc w:val="both"/>
        <w:spacing w:after="0"/>
        <w:rPr>
          <w:sz w:val="20"/>
          <w:szCs w:val="20"/>
          <w:color w:val="auto"/>
        </w:rPr>
      </w:pPr>
      <w:r>
        <w:rPr>
          <w:rFonts w:ascii="Arial" w:cs="Arial" w:eastAsia="Arial" w:hAnsi="Arial"/>
          <w:sz w:val="17"/>
          <w:szCs w:val="17"/>
          <w:color w:val="373535"/>
        </w:rPr>
        <w:t>In June 2012, we recorded legal costs of $10.0 in the United States for various legal matters, the majority of which was related to our entry into a settlement agreement in connection with a purported class action lawsuit involving allegations regarding our vacation pay policies in Illinois. Under the settlement agreement, we agreed to pay $8.0 plus certain related taxes and administrative fees. We maintain that our vacation pay policies were appropriate and we admit no liability or wrongdoing, but we believe that settlement is in our best interest to avoid the costs and disruption of ongoing litigation.</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GUARANTEES</w:t>
      </w:r>
    </w:p>
    <w:p>
      <w:pPr>
        <w:spacing w:after="0" w:line="9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We have entered into certain guarantee contracts and stand-by letters of credit that total $156.5 ($118.2 for guarantees and $38.3 for stand-by letters of credit) as of December 31, 2013. The guarantees primarily relate to operating leases and indebtedness. The stand-by letters of credit relate to insurance requirements and debt facilities. If certain conditions were met under these arrangements, we would be required to satisfy our obligation in cash. Due to the nature of these arrangements and our historical experience, we do not expect to make any significant payments under these arrangements.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75AD9A"/>
        </w:rPr>
        <w:t>14.</w:t>
      </w:r>
    </w:p>
    <w:p>
      <w:pPr>
        <w:spacing w:after="0"/>
        <w:rPr>
          <w:sz w:val="20"/>
          <w:szCs w:val="20"/>
          <w:color w:val="auto"/>
        </w:rPr>
      </w:pPr>
      <w:r>
        <w:rPr>
          <w:rFonts w:ascii="Arial" w:cs="Arial" w:eastAsia="Arial" w:hAnsi="Arial"/>
          <w:sz w:val="17"/>
          <w:szCs w:val="17"/>
          <w:color w:val="75AD9A"/>
        </w:rPr>
        <w:t>Segment Data</w:t>
      </w:r>
    </w:p>
    <w:p>
      <w:pPr>
        <w:spacing w:after="0" w:line="63"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On a consolidated basis, the French business tax is reported in provision for income taxes, in accordance with the current accounting guidance on income taxes. Prior to the second quarter of 2013, we internally reviewed the financial results of our French operations including the French business tax within OUP given the operational nature of these taxes. While we continue to view this tax as operational, during the second quarter of 2013 we changed our internal reporting to exclude the French business tax from the OUP of our France reportable segment. Therefore, we are no longer required to show the business tax amount separately to reconcile to the consolidated results. All previously reported segment results have been restated to conform to the current year presentation. This change in segment reporting has no impact on our reporting of consolidated results.</w:t>
      </w:r>
    </w:p>
    <w:p>
      <w:pPr>
        <w:spacing w:after="0" w:line="169"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We are organized and managed primarily on a geographic basis, with Right Management currently operating as a separate global business unit. Each country and business unit generally have their own distinct operations and management team, providing services under our global brands, and maintains its own financial reports. We have an executive sponsor for each global brand who is responsible for ensuring the integrity and consistency of delivery locally. We develop and implement global workforce solutions for our clients that deliver the outcomes that help them achieve their business strategy. Each operation reports directly or indirectly through a regional manager to a member of executive management. Given this reporting structure, all of our operations have been segregated into the following reporting segments: Americas, which includes United States and Other Americas; Southern Europe, which includes France, Italy and Other Southern Europe; Northern Europe; APME; and Right Management.</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373535"/>
        </w:rPr>
        <w:t>The Americas, Southern Europe, Northern Europe and APME segments derive a significant majority of their revenues from the placement of contingent workers. The remaining revenues within these segments are derived from other workforce solutions and services, including recruitment and assessment, training and development, and ManpowerGroup Solutions. ManpowerGroup Solutions includes Talent Based Outsourcing (TBO), TAPFIN — Managed Service Provider (MSP), Recruitment Process Outsourcing (RPO), Borderless Talent Solutions (BTS), Strategic Workforce Consulting (SWC) and Language Services. The Right Management segment revenues are derived from career management and workforce consulting services. Segment revenues represent sales to external clients. Due to the nature of our business, we generally do not have export sales. We provide services to a wide variety of clients, none of which individually comprise a significant portion of revenues for us as a whole.</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The accounting policies of the segments are the same as those described in the summary of significant accounting policies. We evaluate performance based on operating unit profit, which is equal to segment revenues less direct costs and branch and national headquarters operating costs. This profit measure does not include goodwill and intangible asset impairment charges or amortization of intangible assets related to acquisitions, interest and other income and expense amounts or income taxes.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373535"/>
        </w:rPr>
        <w:t>Total assets for the segments are reported after the elimination of investments in subsidiaries and intercompany accounts.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120" w:type="dxa"/>
            <w:vAlign w:val="bottom"/>
          </w:tcPr>
          <w:p>
            <w:pPr>
              <w:ind w:left="5820"/>
              <w:spacing w:after="0"/>
              <w:rPr>
                <w:sz w:val="20"/>
                <w:szCs w:val="20"/>
                <w:color w:val="auto"/>
              </w:rPr>
            </w:pPr>
            <w:r>
              <w:rPr>
                <w:rFonts w:ascii="Arial" w:cs="Arial" w:eastAsia="Arial" w:hAnsi="Arial"/>
                <w:sz w:val="14"/>
                <w:szCs w:val="14"/>
                <w:b w:val="1"/>
                <w:bCs w:val="1"/>
                <w:color w:val="777679"/>
              </w:rPr>
              <w:t>Notes to Consolidated Financial Statements</w:t>
            </w:r>
            <w:r>
              <w:rPr>
                <w:rFonts w:ascii="Arial" w:cs="Arial" w:eastAsia="Arial" w:hAnsi="Arial"/>
                <w:sz w:val="14"/>
                <w:szCs w:val="14"/>
                <w:color w:val="373535"/>
              </w:rPr>
              <w:t>ManpowerGroup 2013 Annual Report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73535"/>
              </w:rPr>
              <w:t>79</w:t>
            </w:r>
          </w:p>
        </w:tc>
      </w:tr>
      <w:tr>
        <w:trPr>
          <w:trHeight w:val="405"/>
        </w:trPr>
        <w:tc>
          <w:tcPr>
            <w:tcW w:w="11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5"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gridSpan w:val="2"/>
          </w:tcPr>
          <w:p>
            <w:pPr>
              <w:spacing w:after="0"/>
              <w:rPr>
                <w:sz w:val="20"/>
                <w:szCs w:val="20"/>
                <w:color w:val="auto"/>
              </w:rPr>
            </w:pPr>
            <w:r>
              <w:rPr>
                <w:rFonts w:ascii="Arial" w:cs="Arial" w:eastAsia="Arial" w:hAnsi="Arial"/>
                <w:sz w:val="14"/>
                <w:szCs w:val="14"/>
                <w:b w:val="1"/>
                <w:bCs w:val="1"/>
                <w:color w:val="76AD9A"/>
              </w:rPr>
              <w:t>Year Ended December 31</w:t>
            </w:r>
          </w:p>
        </w:tc>
        <w:tc>
          <w:tcPr>
            <w:tcW w:w="240" w:type="dxa"/>
            <w:vAlign w:val="bottom"/>
            <w:shd w:val="clear" w:color="auto" w:fill="76AD9A"/>
          </w:tcPr>
          <w:p>
            <w:pPr>
              <w:spacing w:after="0"/>
              <w:rPr>
                <w:sz w:val="16"/>
                <w:szCs w:val="16"/>
                <w:color w:val="auto"/>
              </w:rPr>
            </w:pPr>
          </w:p>
        </w:tc>
        <w:tc>
          <w:tcPr>
            <w:tcW w:w="114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480" w:type="dxa"/>
            <w:vAlign w:val="bottom"/>
          </w:tcPr>
          <w:p>
            <w:pPr>
              <w:spacing w:after="0"/>
              <w:rPr>
                <w:sz w:val="16"/>
                <w:szCs w:val="16"/>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76AD9A"/>
              </w:rPr>
              <w:t>2012</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76AD9A"/>
              </w:rPr>
              <w:t>2011</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6AD9A"/>
            </w:tcBorders>
          </w:tcPr>
          <w:p>
            <w:pPr>
              <w:spacing w:after="0" w:line="186" w:lineRule="exact"/>
              <w:rPr>
                <w:sz w:val="20"/>
                <w:szCs w:val="20"/>
                <w:color w:val="auto"/>
              </w:rPr>
            </w:pPr>
            <w:r>
              <w:rPr>
                <w:rFonts w:ascii="Arial" w:cs="Arial" w:eastAsia="Arial" w:hAnsi="Arial"/>
                <w:sz w:val="15"/>
                <w:szCs w:val="15"/>
                <w:b w:val="1"/>
                <w:bCs w:val="1"/>
                <w:color w:val="777679"/>
              </w:rPr>
              <w:t>Revenues from Services</w:t>
            </w:r>
            <w:r>
              <w:rPr>
                <w:rFonts w:ascii="Arial" w:cs="Arial" w:eastAsia="Arial" w:hAnsi="Arial"/>
                <w:sz w:val="21"/>
                <w:szCs w:val="21"/>
                <w:b w:val="1"/>
                <w:bCs w:val="1"/>
                <w:color w:val="777679"/>
                <w:vertAlign w:val="superscript"/>
              </w:rPr>
              <w:t>(a)</w:t>
            </w:r>
          </w:p>
        </w:tc>
        <w:tc>
          <w:tcPr>
            <w:tcW w:w="240" w:type="dxa"/>
            <w:vAlign w:val="bottom"/>
            <w:tcBorders>
              <w:top w:val="single" w:sz="8" w:color="76AD9A"/>
            </w:tcBorders>
            <w:shd w:val="clear" w:color="auto" w:fill="EEF5F2"/>
          </w:tcPr>
          <w:p>
            <w:pPr>
              <w:spacing w:after="0"/>
              <w:rPr>
                <w:sz w:val="16"/>
                <w:szCs w:val="16"/>
                <w:color w:val="auto"/>
              </w:rPr>
            </w:pPr>
          </w:p>
        </w:tc>
        <w:tc>
          <w:tcPr>
            <w:tcW w:w="1140" w:type="dxa"/>
            <w:vAlign w:val="bottom"/>
            <w:tcBorders>
              <w:top w:val="single" w:sz="8" w:color="76AD9A"/>
            </w:tcBorders>
            <w:shd w:val="clear" w:color="auto" w:fill="EEF5F2"/>
          </w:tcPr>
          <w:p>
            <w:pPr>
              <w:spacing w:after="0"/>
              <w:rPr>
                <w:sz w:val="16"/>
                <w:szCs w:val="16"/>
                <w:color w:val="auto"/>
              </w:rPr>
            </w:pPr>
          </w:p>
        </w:tc>
        <w:tc>
          <w:tcPr>
            <w:tcW w:w="480" w:type="dxa"/>
            <w:vAlign w:val="bottom"/>
            <w:tcBorders>
              <w:top w:val="single" w:sz="8" w:color="76AD9A"/>
            </w:tcBorders>
          </w:tcPr>
          <w:p>
            <w:pPr>
              <w:spacing w:after="0"/>
              <w:rPr>
                <w:sz w:val="16"/>
                <w:szCs w:val="16"/>
                <w:color w:val="auto"/>
              </w:rPr>
            </w:pPr>
          </w:p>
        </w:tc>
        <w:tc>
          <w:tcPr>
            <w:tcW w:w="1060" w:type="dxa"/>
            <w:vAlign w:val="bottom"/>
            <w:tcBorders>
              <w:top w:val="single" w:sz="8" w:color="76AD9A"/>
            </w:tcBorders>
          </w:tcPr>
          <w:p>
            <w:pPr>
              <w:spacing w:after="0"/>
              <w:rPr>
                <w:sz w:val="16"/>
                <w:szCs w:val="16"/>
                <w:color w:val="auto"/>
              </w:rPr>
            </w:pPr>
          </w:p>
        </w:tc>
        <w:tc>
          <w:tcPr>
            <w:tcW w:w="420" w:type="dxa"/>
            <w:vAlign w:val="bottom"/>
            <w:tcBorders>
              <w:top w:val="single" w:sz="8" w:color="76AD9A"/>
            </w:tcBorders>
          </w:tcPr>
          <w:p>
            <w:pPr>
              <w:spacing w:after="0"/>
              <w:rPr>
                <w:sz w:val="16"/>
                <w:szCs w:val="16"/>
                <w:color w:val="auto"/>
              </w:rPr>
            </w:pPr>
          </w:p>
        </w:tc>
        <w:tc>
          <w:tcPr>
            <w:tcW w:w="78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89" w:lineRule="exact"/>
              <w:rPr>
                <w:sz w:val="20"/>
                <w:szCs w:val="20"/>
                <w:color w:val="auto"/>
              </w:rPr>
            </w:pPr>
            <w:r>
              <w:rPr>
                <w:rFonts w:ascii="Arial" w:cs="Arial" w:eastAsia="Arial" w:hAnsi="Arial"/>
                <w:sz w:val="17"/>
                <w:szCs w:val="17"/>
                <w:color w:val="373535"/>
              </w:rPr>
              <w:t>Americas:</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140"/>
              <w:spacing w:after="0" w:line="205" w:lineRule="exact"/>
              <w:rPr>
                <w:sz w:val="20"/>
                <w:szCs w:val="20"/>
                <w:color w:val="auto"/>
              </w:rPr>
            </w:pPr>
            <w:r>
              <w:rPr>
                <w:rFonts w:ascii="Arial" w:cs="Arial" w:eastAsia="Arial" w:hAnsi="Arial"/>
                <w:sz w:val="17"/>
                <w:szCs w:val="17"/>
                <w:color w:val="373535"/>
              </w:rPr>
              <w:t>United States</w:t>
            </w:r>
            <w:r>
              <w:rPr>
                <w:rFonts w:ascii="Arial" w:cs="Arial" w:eastAsia="Arial" w:hAnsi="Arial"/>
                <w:sz w:val="23"/>
                <w:szCs w:val="23"/>
                <w:color w:val="373535"/>
                <w:vertAlign w:val="superscript"/>
              </w:rPr>
              <w:t>(b)</w:t>
            </w:r>
          </w:p>
        </w:tc>
        <w:tc>
          <w:tcPr>
            <w:tcW w:w="24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2,967.0</w:t>
            </w:r>
          </w:p>
        </w:tc>
        <w:tc>
          <w:tcPr>
            <w:tcW w:w="48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3,010.5</w:t>
            </w:r>
          </w:p>
        </w:tc>
        <w:tc>
          <w:tcPr>
            <w:tcW w:w="42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3,137.3</w:t>
            </w:r>
          </w:p>
        </w:tc>
        <w:tc>
          <w:tcPr>
            <w:tcW w:w="4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76AD9A"/>
              </w:rPr>
              <w:t>1,543.2</w:t>
            </w:r>
          </w:p>
        </w:tc>
        <w:tc>
          <w:tcPr>
            <w:tcW w:w="480" w:type="dxa"/>
            <w:vAlign w:val="bottom"/>
            <w:tcBorders>
              <w:bottom w:val="single" w:sz="8" w:color="717073"/>
            </w:tcBorders>
          </w:tcPr>
          <w:p>
            <w:pPr>
              <w:spacing w:after="0"/>
              <w:rPr>
                <w:sz w:val="16"/>
                <w:szCs w:val="16"/>
                <w:color w:val="auto"/>
              </w:rPr>
            </w:pPr>
          </w:p>
        </w:tc>
        <w:tc>
          <w:tcPr>
            <w:tcW w:w="1060" w:type="dxa"/>
            <w:vAlign w:val="bottom"/>
            <w:tcBorders>
              <w:bottom w:val="single" w:sz="8" w:color="717073"/>
            </w:tcBorders>
          </w:tcPr>
          <w:p>
            <w:pPr>
              <w:jc w:val="right"/>
              <w:ind w:right="175"/>
              <w:spacing w:after="0" w:line="194" w:lineRule="exact"/>
              <w:rPr>
                <w:sz w:val="20"/>
                <w:szCs w:val="20"/>
                <w:color w:val="auto"/>
              </w:rPr>
            </w:pPr>
            <w:r>
              <w:rPr>
                <w:rFonts w:ascii="Arial" w:cs="Arial" w:eastAsia="Arial" w:hAnsi="Arial"/>
                <w:sz w:val="17"/>
                <w:szCs w:val="17"/>
                <w:color w:val="373535"/>
              </w:rPr>
              <w:t>1,585.4</w:t>
            </w:r>
          </w:p>
        </w:tc>
        <w:tc>
          <w:tcPr>
            <w:tcW w:w="4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1,512.1</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86" w:lineRule="exact"/>
              <w:rPr>
                <w:sz w:val="20"/>
                <w:szCs w:val="20"/>
                <w:color w:val="auto"/>
              </w:rPr>
            </w:pPr>
            <w:r>
              <w:rPr>
                <w:rFonts w:ascii="Arial" w:cs="Arial" w:eastAsia="Arial" w:hAnsi="Arial"/>
                <w:sz w:val="17"/>
                <w:szCs w:val="17"/>
                <w:color w:val="76AD9A"/>
              </w:rPr>
              <w:t>4,510.2</w:t>
            </w:r>
          </w:p>
        </w:tc>
        <w:tc>
          <w:tcPr>
            <w:tcW w:w="480" w:type="dxa"/>
            <w:vAlign w:val="bottom"/>
          </w:tcPr>
          <w:p>
            <w:pPr>
              <w:spacing w:after="0"/>
              <w:rPr>
                <w:sz w:val="16"/>
                <w:szCs w:val="16"/>
                <w:color w:val="auto"/>
              </w:rPr>
            </w:pPr>
          </w:p>
        </w:tc>
        <w:tc>
          <w:tcPr>
            <w:tcW w:w="1060" w:type="dxa"/>
            <w:vAlign w:val="bottom"/>
          </w:tcPr>
          <w:p>
            <w:pPr>
              <w:jc w:val="right"/>
              <w:ind w:right="175"/>
              <w:spacing w:after="0" w:line="186" w:lineRule="exact"/>
              <w:rPr>
                <w:sz w:val="20"/>
                <w:szCs w:val="20"/>
                <w:color w:val="auto"/>
              </w:rPr>
            </w:pPr>
            <w:r>
              <w:rPr>
                <w:rFonts w:ascii="Arial" w:cs="Arial" w:eastAsia="Arial" w:hAnsi="Arial"/>
                <w:sz w:val="17"/>
                <w:szCs w:val="17"/>
                <w:color w:val="373535"/>
              </w:rPr>
              <w:t>4,595.9</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4,649.4</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240" w:type="dxa"/>
            <w:vAlign w:val="bottom"/>
            <w:tcBorders>
              <w:top w:val="single" w:sz="8" w:color="717073"/>
            </w:tcBorders>
            <w:shd w:val="clear" w:color="auto" w:fill="EEF5F2"/>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tcPr>
          <w:p>
            <w:pPr>
              <w:spacing w:after="0"/>
              <w:rPr>
                <w:sz w:val="16"/>
                <w:szCs w:val="16"/>
                <w:color w:val="auto"/>
              </w:rPr>
            </w:pPr>
          </w:p>
        </w:tc>
        <w:tc>
          <w:tcPr>
            <w:tcW w:w="1060" w:type="dxa"/>
            <w:vAlign w:val="bottom"/>
            <w:tcBorders>
              <w:top w:val="single" w:sz="8" w:color="717073"/>
            </w:tcBorders>
          </w:tcPr>
          <w:p>
            <w:pPr>
              <w:spacing w:after="0"/>
              <w:rPr>
                <w:sz w:val="16"/>
                <w:szCs w:val="16"/>
                <w:color w:val="auto"/>
              </w:rPr>
            </w:pPr>
          </w:p>
        </w:tc>
        <w:tc>
          <w:tcPr>
            <w:tcW w:w="420" w:type="dxa"/>
            <w:vAlign w:val="bottom"/>
            <w:tcBorders>
              <w:top w:val="single" w:sz="8" w:color="717073"/>
            </w:tcBorders>
          </w:tcPr>
          <w:p>
            <w:pPr>
              <w:spacing w:after="0"/>
              <w:rPr>
                <w:sz w:val="16"/>
                <w:szCs w:val="16"/>
                <w:color w:val="auto"/>
              </w:rPr>
            </w:pPr>
          </w:p>
        </w:tc>
        <w:tc>
          <w:tcPr>
            <w:tcW w:w="78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94" w:lineRule="exact"/>
              <w:rPr>
                <w:sz w:val="20"/>
                <w:szCs w:val="20"/>
                <w:color w:val="auto"/>
              </w:rPr>
            </w:pPr>
            <w:r>
              <w:rPr>
                <w:rFonts w:ascii="Arial" w:cs="Arial" w:eastAsia="Arial" w:hAnsi="Arial"/>
                <w:sz w:val="17"/>
                <w:szCs w:val="17"/>
                <w:color w:val="76AD9A"/>
              </w:rPr>
              <w:t>5,284.9</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5,425.6</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6,179.1</w:t>
            </w:r>
          </w:p>
        </w:tc>
        <w:tc>
          <w:tcPr>
            <w:tcW w:w="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140"/>
              <w:spacing w:after="0"/>
              <w:rPr>
                <w:sz w:val="20"/>
                <w:szCs w:val="20"/>
                <w:color w:val="auto"/>
              </w:rPr>
            </w:pPr>
            <w:r>
              <w:rPr>
                <w:rFonts w:ascii="Arial" w:cs="Arial" w:eastAsia="Arial" w:hAnsi="Arial"/>
                <w:sz w:val="17"/>
                <w:szCs w:val="17"/>
                <w:color w:val="373535"/>
              </w:rPr>
              <w:t>Italy</w:t>
            </w:r>
          </w:p>
        </w:tc>
        <w:tc>
          <w:tcPr>
            <w:tcW w:w="240" w:type="dxa"/>
            <w:vAlign w:val="bottom"/>
            <w:shd w:val="clear" w:color="auto" w:fill="EEF5F2"/>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1,087.6</w:t>
            </w:r>
          </w:p>
        </w:tc>
        <w:tc>
          <w:tcPr>
            <w:tcW w:w="480" w:type="dxa"/>
            <w:vAlign w:val="bottom"/>
          </w:tcPr>
          <w:p>
            <w:pPr>
              <w:spacing w:after="0"/>
              <w:rPr>
                <w:sz w:val="17"/>
                <w:szCs w:val="17"/>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1,056.8</w:t>
            </w:r>
          </w:p>
        </w:tc>
        <w:tc>
          <w:tcPr>
            <w:tcW w:w="4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1,255.8</w:t>
            </w: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Other Southern Europe</w:t>
            </w: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rPr>
                <w:sz w:val="20"/>
                <w:szCs w:val="20"/>
                <w:color w:val="auto"/>
              </w:rPr>
            </w:pPr>
            <w:r>
              <w:rPr>
                <w:rFonts w:ascii="Arial" w:cs="Arial" w:eastAsia="Arial" w:hAnsi="Arial"/>
                <w:sz w:val="17"/>
                <w:szCs w:val="17"/>
                <w:color w:val="76AD9A"/>
              </w:rPr>
              <w:t>864.5</w:t>
            </w:r>
          </w:p>
        </w:tc>
        <w:tc>
          <w:tcPr>
            <w:tcW w:w="480" w:type="dxa"/>
            <w:vAlign w:val="bottom"/>
            <w:tcBorders>
              <w:bottom w:val="single" w:sz="8" w:color="717073"/>
            </w:tcBorders>
          </w:tcPr>
          <w:p>
            <w:pPr>
              <w:spacing w:after="0"/>
              <w:rPr>
                <w:sz w:val="16"/>
                <w:szCs w:val="16"/>
                <w:color w:val="auto"/>
              </w:rPr>
            </w:pPr>
          </w:p>
        </w:tc>
        <w:tc>
          <w:tcPr>
            <w:tcW w:w="1060" w:type="dxa"/>
            <w:vAlign w:val="bottom"/>
            <w:tcBorders>
              <w:bottom w:val="single" w:sz="8" w:color="717073"/>
            </w:tcBorders>
          </w:tcPr>
          <w:p>
            <w:pPr>
              <w:jc w:val="right"/>
              <w:ind w:right="175"/>
              <w:spacing w:after="0"/>
              <w:rPr>
                <w:sz w:val="20"/>
                <w:szCs w:val="20"/>
                <w:color w:val="auto"/>
              </w:rPr>
            </w:pPr>
            <w:r>
              <w:rPr>
                <w:rFonts w:ascii="Arial" w:cs="Arial" w:eastAsia="Arial" w:hAnsi="Arial"/>
                <w:sz w:val="17"/>
                <w:szCs w:val="17"/>
                <w:color w:val="373535"/>
              </w:rPr>
              <w:t>768.5</w:t>
            </w:r>
          </w:p>
        </w:tc>
        <w:tc>
          <w:tcPr>
            <w:tcW w:w="4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776.9</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76AD9A"/>
              </w:rPr>
              <w:t>7,237.0</w:t>
            </w:r>
          </w:p>
        </w:tc>
        <w:tc>
          <w:tcPr>
            <w:tcW w:w="480" w:type="dxa"/>
            <w:vAlign w:val="bottom"/>
            <w:tcBorders>
              <w:bottom w:val="single" w:sz="8" w:color="717073"/>
            </w:tcBorders>
          </w:tcPr>
          <w:p>
            <w:pPr>
              <w:spacing w:after="0"/>
              <w:rPr>
                <w:sz w:val="16"/>
                <w:szCs w:val="16"/>
                <w:color w:val="auto"/>
              </w:rPr>
            </w:pPr>
          </w:p>
        </w:tc>
        <w:tc>
          <w:tcPr>
            <w:tcW w:w="1060" w:type="dxa"/>
            <w:vAlign w:val="bottom"/>
            <w:tcBorders>
              <w:bottom w:val="single" w:sz="8" w:color="717073"/>
            </w:tcBorders>
          </w:tcPr>
          <w:p>
            <w:pPr>
              <w:jc w:val="right"/>
              <w:ind w:right="175"/>
              <w:spacing w:after="0" w:line="186" w:lineRule="exact"/>
              <w:rPr>
                <w:sz w:val="20"/>
                <w:szCs w:val="20"/>
                <w:color w:val="auto"/>
              </w:rPr>
            </w:pPr>
            <w:r>
              <w:rPr>
                <w:rFonts w:ascii="Arial" w:cs="Arial" w:eastAsia="Arial" w:hAnsi="Arial"/>
                <w:sz w:val="17"/>
                <w:szCs w:val="17"/>
                <w:color w:val="373535"/>
              </w:rPr>
              <w:t>7,250.9</w:t>
            </w:r>
          </w:p>
        </w:tc>
        <w:tc>
          <w:tcPr>
            <w:tcW w:w="4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8,211.8</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85" w:lineRule="exact"/>
              <w:rPr>
                <w:sz w:val="20"/>
                <w:szCs w:val="20"/>
                <w:color w:val="auto"/>
              </w:rPr>
            </w:pPr>
            <w:r>
              <w:rPr>
                <w:rFonts w:ascii="Arial" w:cs="Arial" w:eastAsia="Arial" w:hAnsi="Arial"/>
                <w:sz w:val="17"/>
                <w:szCs w:val="17"/>
                <w:color w:val="76AD9A"/>
              </w:rPr>
              <w:t>5,738.8</w:t>
            </w:r>
          </w:p>
        </w:tc>
        <w:tc>
          <w:tcPr>
            <w:tcW w:w="480" w:type="dxa"/>
            <w:vAlign w:val="bottom"/>
          </w:tcPr>
          <w:p>
            <w:pPr>
              <w:spacing w:after="0"/>
              <w:rPr>
                <w:sz w:val="16"/>
                <w:szCs w:val="16"/>
                <w:color w:val="auto"/>
              </w:rPr>
            </w:pPr>
          </w:p>
        </w:tc>
        <w:tc>
          <w:tcPr>
            <w:tcW w:w="1060" w:type="dxa"/>
            <w:vAlign w:val="bottom"/>
          </w:tcPr>
          <w:p>
            <w:pPr>
              <w:jc w:val="right"/>
              <w:ind w:right="175"/>
              <w:spacing w:after="0" w:line="185" w:lineRule="exact"/>
              <w:rPr>
                <w:sz w:val="20"/>
                <w:szCs w:val="20"/>
                <w:color w:val="auto"/>
              </w:rPr>
            </w:pPr>
            <w:r>
              <w:rPr>
                <w:rFonts w:ascii="Arial" w:cs="Arial" w:eastAsia="Arial" w:hAnsi="Arial"/>
                <w:sz w:val="17"/>
                <w:szCs w:val="17"/>
                <w:color w:val="373535"/>
              </w:rPr>
              <w:t>5,773.9</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373535"/>
              </w:rPr>
              <w:t>6,159.4</w:t>
            </w:r>
          </w:p>
        </w:tc>
        <w:tc>
          <w:tcPr>
            <w:tcW w:w="40" w:type="dxa"/>
            <w:vAlign w:val="bottom"/>
          </w:tcPr>
          <w:p>
            <w:pPr>
              <w:spacing w:after="0"/>
              <w:rPr>
                <w:sz w:val="16"/>
                <w:szCs w:val="16"/>
                <w:color w:val="auto"/>
              </w:rPr>
            </w:pPr>
          </w:p>
        </w:tc>
      </w:tr>
      <w:tr>
        <w:trPr>
          <w:trHeight w:val="206"/>
        </w:trPr>
        <w:tc>
          <w:tcPr>
            <w:tcW w:w="7200" w:type="dxa"/>
            <w:vAlign w:val="bottom"/>
            <w:gridSpan w:val="2"/>
          </w:tcPr>
          <w:p>
            <w:pPr>
              <w:spacing w:after="0"/>
              <w:rPr>
                <w:sz w:val="20"/>
                <w:szCs w:val="20"/>
                <w:color w:val="auto"/>
              </w:rPr>
            </w:pPr>
            <w:r>
              <w:rPr>
                <w:rFonts w:ascii="Arial" w:cs="Arial" w:eastAsia="Arial" w:hAnsi="Arial"/>
                <w:sz w:val="17"/>
                <w:szCs w:val="17"/>
                <w:color w:val="373535"/>
              </w:rPr>
              <w:t>APME</w:t>
            </w:r>
          </w:p>
        </w:tc>
        <w:tc>
          <w:tcPr>
            <w:tcW w:w="240" w:type="dxa"/>
            <w:vAlign w:val="bottom"/>
            <w:shd w:val="clear" w:color="auto" w:fill="EEF5F2"/>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2,447.7</w:t>
            </w:r>
          </w:p>
        </w:tc>
        <w:tc>
          <w:tcPr>
            <w:tcW w:w="480" w:type="dxa"/>
            <w:vAlign w:val="bottom"/>
          </w:tcPr>
          <w:p>
            <w:pPr>
              <w:spacing w:after="0"/>
              <w:rPr>
                <w:sz w:val="17"/>
                <w:szCs w:val="17"/>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2,728.8</w:t>
            </w:r>
          </w:p>
        </w:tc>
        <w:tc>
          <w:tcPr>
            <w:tcW w:w="4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2,661.7</w:t>
            </w:r>
          </w:p>
        </w:tc>
        <w:tc>
          <w:tcPr>
            <w:tcW w:w="40" w:type="dxa"/>
            <w:vAlign w:val="bottom"/>
          </w:tcPr>
          <w:p>
            <w:pPr>
              <w:spacing w:after="0"/>
              <w:rPr>
                <w:sz w:val="17"/>
                <w:szCs w:val="17"/>
                <w:color w:val="auto"/>
              </w:rPr>
            </w:pPr>
          </w:p>
        </w:tc>
      </w:tr>
      <w:tr>
        <w:trPr>
          <w:trHeight w:val="195"/>
        </w:trPr>
        <w:tc>
          <w:tcPr>
            <w:tcW w:w="7200" w:type="dxa"/>
            <w:vAlign w:val="bottom"/>
            <w:gridSpan w:val="2"/>
          </w:tcPr>
          <w:p>
            <w:pPr>
              <w:spacing w:after="0"/>
              <w:rPr>
                <w:sz w:val="20"/>
                <w:szCs w:val="20"/>
                <w:color w:val="auto"/>
              </w:rPr>
            </w:pPr>
            <w:r>
              <w:rPr>
                <w:rFonts w:ascii="Arial" w:cs="Arial" w:eastAsia="Arial" w:hAnsi="Arial"/>
                <w:sz w:val="17"/>
                <w:szCs w:val="17"/>
                <w:color w:val="373535"/>
              </w:rPr>
              <w:t>Right Management</w:t>
            </w: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316.8</w:t>
            </w:r>
          </w:p>
        </w:tc>
        <w:tc>
          <w:tcPr>
            <w:tcW w:w="480" w:type="dxa"/>
            <w:vAlign w:val="bottom"/>
          </w:tcPr>
          <w:p>
            <w:pPr>
              <w:spacing w:after="0"/>
              <w:rPr>
                <w:sz w:val="16"/>
                <w:szCs w:val="16"/>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328.5</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323.7</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tcBorders>
          </w:tcPr>
          <w:p>
            <w:pPr>
              <w:spacing w:after="0"/>
              <w:rPr>
                <w:sz w:val="16"/>
                <w:szCs w:val="16"/>
                <w:color w:val="auto"/>
              </w:rPr>
            </w:pPr>
          </w:p>
        </w:tc>
        <w:tc>
          <w:tcPr>
            <w:tcW w:w="240" w:type="dxa"/>
            <w:vAlign w:val="bottom"/>
            <w:tcBorders>
              <w:top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40" w:type="dxa"/>
            <w:vAlign w:val="bottom"/>
            <w:tcBorders>
              <w:top w:val="single" w:sz="8" w:color="717073"/>
            </w:tcBorders>
          </w:tcPr>
          <w:p>
            <w:pPr>
              <w:jc w:val="right"/>
              <w:ind w:right="135"/>
              <w:spacing w:after="0" w:line="186" w:lineRule="exact"/>
              <w:rPr>
                <w:sz w:val="20"/>
                <w:szCs w:val="20"/>
                <w:color w:val="auto"/>
              </w:rPr>
            </w:pPr>
            <w:r>
              <w:rPr>
                <w:rFonts w:ascii="Arial" w:cs="Arial" w:eastAsia="Arial" w:hAnsi="Arial"/>
                <w:sz w:val="17"/>
                <w:szCs w:val="17"/>
                <w:color w:val="76AD9A"/>
              </w:rPr>
              <w:t>20,250.5</w:t>
            </w:r>
          </w:p>
        </w:tc>
        <w:tc>
          <w:tcPr>
            <w:tcW w:w="480" w:type="dxa"/>
            <w:vAlign w:val="bottom"/>
            <w:tcBorders>
              <w:top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060" w:type="dxa"/>
            <w:vAlign w:val="bottom"/>
            <w:tcBorders>
              <w:top w:val="single" w:sz="8" w:color="717073"/>
            </w:tcBorders>
          </w:tcPr>
          <w:p>
            <w:pPr>
              <w:jc w:val="right"/>
              <w:ind w:right="175"/>
              <w:spacing w:after="0" w:line="186" w:lineRule="exact"/>
              <w:rPr>
                <w:sz w:val="20"/>
                <w:szCs w:val="20"/>
                <w:color w:val="auto"/>
              </w:rPr>
            </w:pPr>
            <w:r>
              <w:rPr>
                <w:rFonts w:ascii="Arial" w:cs="Arial" w:eastAsia="Arial" w:hAnsi="Arial"/>
                <w:sz w:val="17"/>
                <w:szCs w:val="17"/>
                <w:color w:val="373535"/>
              </w:rPr>
              <w:t>20,678.0</w:t>
            </w:r>
          </w:p>
        </w:tc>
        <w:tc>
          <w:tcPr>
            <w:tcW w:w="420" w:type="dxa"/>
            <w:vAlign w:val="bottom"/>
            <w:tcBorders>
              <w:top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22,006.0</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b w:val="1"/>
                <w:bCs w:val="1"/>
                <w:color w:val="777679"/>
              </w:rPr>
              <w:t>Operating Unit Profit</w:t>
            </w:r>
          </w:p>
        </w:tc>
        <w:tc>
          <w:tcPr>
            <w:tcW w:w="240" w:type="dxa"/>
            <w:vAlign w:val="bottom"/>
            <w:tcBorders>
              <w:top w:val="single" w:sz="8" w:color="717073"/>
            </w:tcBorders>
            <w:shd w:val="clear" w:color="auto" w:fill="EEF5F2"/>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tcPr>
          <w:p>
            <w:pPr>
              <w:spacing w:after="0"/>
              <w:rPr>
                <w:sz w:val="16"/>
                <w:szCs w:val="16"/>
                <w:color w:val="auto"/>
              </w:rPr>
            </w:pPr>
          </w:p>
        </w:tc>
        <w:tc>
          <w:tcPr>
            <w:tcW w:w="1060" w:type="dxa"/>
            <w:vAlign w:val="bottom"/>
            <w:tcBorders>
              <w:top w:val="single" w:sz="8" w:color="717073"/>
            </w:tcBorders>
          </w:tcPr>
          <w:p>
            <w:pPr>
              <w:spacing w:after="0"/>
              <w:rPr>
                <w:sz w:val="16"/>
                <w:szCs w:val="16"/>
                <w:color w:val="auto"/>
              </w:rPr>
            </w:pPr>
          </w:p>
        </w:tc>
        <w:tc>
          <w:tcPr>
            <w:tcW w:w="420" w:type="dxa"/>
            <w:vAlign w:val="bottom"/>
            <w:tcBorders>
              <w:top w:val="single" w:sz="8" w:color="717073"/>
            </w:tcBorders>
          </w:tcPr>
          <w:p>
            <w:pPr>
              <w:spacing w:after="0"/>
              <w:rPr>
                <w:sz w:val="16"/>
                <w:szCs w:val="16"/>
                <w:color w:val="auto"/>
              </w:rPr>
            </w:pPr>
          </w:p>
        </w:tc>
        <w:tc>
          <w:tcPr>
            <w:tcW w:w="78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240" w:type="dxa"/>
            <w:vAlign w:val="bottom"/>
            <w:shd w:val="clear" w:color="auto" w:fill="EEF5F2"/>
          </w:tcPr>
          <w:p>
            <w:pPr>
              <w:spacing w:after="0"/>
              <w:rPr>
                <w:sz w:val="16"/>
                <w:szCs w:val="16"/>
                <w:color w:val="auto"/>
              </w:rPr>
            </w:pPr>
          </w:p>
        </w:tc>
        <w:tc>
          <w:tcPr>
            <w:tcW w:w="1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140"/>
              <w:spacing w:after="0"/>
              <w:rPr>
                <w:sz w:val="20"/>
                <w:szCs w:val="20"/>
                <w:color w:val="auto"/>
              </w:rPr>
            </w:pPr>
            <w:r>
              <w:rPr>
                <w:rFonts w:ascii="Arial" w:cs="Arial" w:eastAsia="Arial" w:hAnsi="Arial"/>
                <w:sz w:val="17"/>
                <w:szCs w:val="17"/>
                <w:color w:val="373535"/>
              </w:rPr>
              <w:t>United States</w:t>
            </w:r>
          </w:p>
        </w:tc>
        <w:tc>
          <w:tcPr>
            <w:tcW w:w="24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99.8</w:t>
            </w:r>
          </w:p>
        </w:tc>
        <w:tc>
          <w:tcPr>
            <w:tcW w:w="48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60.8</w:t>
            </w:r>
          </w:p>
        </w:tc>
        <w:tc>
          <w:tcPr>
            <w:tcW w:w="42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94.1</w:t>
            </w: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Other Americas</w:t>
            </w: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rPr>
                <w:sz w:val="20"/>
                <w:szCs w:val="20"/>
                <w:color w:val="auto"/>
              </w:rPr>
            </w:pPr>
            <w:r>
              <w:rPr>
                <w:rFonts w:ascii="Arial" w:cs="Arial" w:eastAsia="Arial" w:hAnsi="Arial"/>
                <w:sz w:val="17"/>
                <w:szCs w:val="17"/>
                <w:color w:val="76AD9A"/>
              </w:rPr>
              <w:t>43.9</w:t>
            </w:r>
          </w:p>
        </w:tc>
        <w:tc>
          <w:tcPr>
            <w:tcW w:w="480" w:type="dxa"/>
            <w:vAlign w:val="bottom"/>
            <w:tcBorders>
              <w:bottom w:val="single" w:sz="8" w:color="717073"/>
            </w:tcBorders>
          </w:tcPr>
          <w:p>
            <w:pPr>
              <w:spacing w:after="0"/>
              <w:rPr>
                <w:sz w:val="16"/>
                <w:szCs w:val="16"/>
                <w:color w:val="auto"/>
              </w:rPr>
            </w:pPr>
          </w:p>
        </w:tc>
        <w:tc>
          <w:tcPr>
            <w:tcW w:w="1060" w:type="dxa"/>
            <w:vAlign w:val="bottom"/>
            <w:tcBorders>
              <w:bottom w:val="single" w:sz="8" w:color="717073"/>
            </w:tcBorders>
          </w:tcPr>
          <w:p>
            <w:pPr>
              <w:jc w:val="right"/>
              <w:ind w:right="175"/>
              <w:spacing w:after="0"/>
              <w:rPr>
                <w:sz w:val="20"/>
                <w:szCs w:val="20"/>
                <w:color w:val="auto"/>
              </w:rPr>
            </w:pPr>
            <w:r>
              <w:rPr>
                <w:rFonts w:ascii="Arial" w:cs="Arial" w:eastAsia="Arial" w:hAnsi="Arial"/>
                <w:sz w:val="17"/>
                <w:szCs w:val="17"/>
                <w:color w:val="373535"/>
              </w:rPr>
              <w:t>50.6</w:t>
            </w:r>
          </w:p>
        </w:tc>
        <w:tc>
          <w:tcPr>
            <w:tcW w:w="4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47.8</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86" w:lineRule="exact"/>
              <w:rPr>
                <w:sz w:val="20"/>
                <w:szCs w:val="20"/>
                <w:color w:val="auto"/>
              </w:rPr>
            </w:pPr>
            <w:r>
              <w:rPr>
                <w:rFonts w:ascii="Arial" w:cs="Arial" w:eastAsia="Arial" w:hAnsi="Arial"/>
                <w:sz w:val="17"/>
                <w:szCs w:val="17"/>
                <w:color w:val="76AD9A"/>
              </w:rPr>
              <w:t>143.7</w:t>
            </w:r>
          </w:p>
        </w:tc>
        <w:tc>
          <w:tcPr>
            <w:tcW w:w="480" w:type="dxa"/>
            <w:vAlign w:val="bottom"/>
          </w:tcPr>
          <w:p>
            <w:pPr>
              <w:spacing w:after="0"/>
              <w:rPr>
                <w:sz w:val="16"/>
                <w:szCs w:val="16"/>
                <w:color w:val="auto"/>
              </w:rPr>
            </w:pPr>
          </w:p>
        </w:tc>
        <w:tc>
          <w:tcPr>
            <w:tcW w:w="1060" w:type="dxa"/>
            <w:vAlign w:val="bottom"/>
          </w:tcPr>
          <w:p>
            <w:pPr>
              <w:jc w:val="right"/>
              <w:ind w:right="175"/>
              <w:spacing w:after="0" w:line="186" w:lineRule="exact"/>
              <w:rPr>
                <w:sz w:val="20"/>
                <w:szCs w:val="20"/>
                <w:color w:val="auto"/>
              </w:rPr>
            </w:pPr>
            <w:r>
              <w:rPr>
                <w:rFonts w:ascii="Arial" w:cs="Arial" w:eastAsia="Arial" w:hAnsi="Arial"/>
                <w:sz w:val="17"/>
                <w:szCs w:val="17"/>
                <w:color w:val="373535"/>
              </w:rPr>
              <w:t>111.4</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rPr>
              <w:t>141.9</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240" w:type="dxa"/>
            <w:vAlign w:val="bottom"/>
            <w:tcBorders>
              <w:top w:val="single" w:sz="8" w:color="717073"/>
            </w:tcBorders>
            <w:shd w:val="clear" w:color="auto" w:fill="EEF5F2"/>
          </w:tcPr>
          <w:p>
            <w:pPr>
              <w:spacing w:after="0"/>
              <w:rPr>
                <w:sz w:val="16"/>
                <w:szCs w:val="16"/>
                <w:color w:val="auto"/>
              </w:rPr>
            </w:pPr>
          </w:p>
        </w:tc>
        <w:tc>
          <w:tcPr>
            <w:tcW w:w="114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tcPr>
          <w:p>
            <w:pPr>
              <w:spacing w:after="0"/>
              <w:rPr>
                <w:sz w:val="16"/>
                <w:szCs w:val="16"/>
                <w:color w:val="auto"/>
              </w:rPr>
            </w:pPr>
          </w:p>
        </w:tc>
        <w:tc>
          <w:tcPr>
            <w:tcW w:w="1060" w:type="dxa"/>
            <w:vAlign w:val="bottom"/>
            <w:tcBorders>
              <w:top w:val="single" w:sz="8" w:color="717073"/>
            </w:tcBorders>
          </w:tcPr>
          <w:p>
            <w:pPr>
              <w:spacing w:after="0"/>
              <w:rPr>
                <w:sz w:val="16"/>
                <w:szCs w:val="16"/>
                <w:color w:val="auto"/>
              </w:rPr>
            </w:pPr>
          </w:p>
        </w:tc>
        <w:tc>
          <w:tcPr>
            <w:tcW w:w="420" w:type="dxa"/>
            <w:vAlign w:val="bottom"/>
            <w:tcBorders>
              <w:top w:val="single" w:sz="8" w:color="717073"/>
            </w:tcBorders>
          </w:tcPr>
          <w:p>
            <w:pPr>
              <w:spacing w:after="0"/>
              <w:rPr>
                <w:sz w:val="16"/>
                <w:szCs w:val="16"/>
                <w:color w:val="auto"/>
              </w:rPr>
            </w:pPr>
          </w:p>
        </w:tc>
        <w:tc>
          <w:tcPr>
            <w:tcW w:w="78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94" w:lineRule="exact"/>
              <w:rPr>
                <w:sz w:val="20"/>
                <w:szCs w:val="20"/>
                <w:color w:val="auto"/>
              </w:rPr>
            </w:pPr>
            <w:r>
              <w:rPr>
                <w:rFonts w:ascii="Arial" w:cs="Arial" w:eastAsia="Arial" w:hAnsi="Arial"/>
                <w:sz w:val="17"/>
                <w:szCs w:val="17"/>
                <w:color w:val="76AD9A"/>
              </w:rPr>
              <w:t>198.9</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129.6</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169.4</w:t>
            </w:r>
          </w:p>
        </w:tc>
        <w:tc>
          <w:tcPr>
            <w:tcW w:w="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140"/>
              <w:spacing w:after="0"/>
              <w:rPr>
                <w:sz w:val="20"/>
                <w:szCs w:val="20"/>
                <w:color w:val="auto"/>
              </w:rPr>
            </w:pPr>
            <w:r>
              <w:rPr>
                <w:rFonts w:ascii="Arial" w:cs="Arial" w:eastAsia="Arial" w:hAnsi="Arial"/>
                <w:sz w:val="17"/>
                <w:szCs w:val="17"/>
                <w:color w:val="373535"/>
              </w:rPr>
              <w:t>Italy</w:t>
            </w:r>
          </w:p>
        </w:tc>
        <w:tc>
          <w:tcPr>
            <w:tcW w:w="240" w:type="dxa"/>
            <w:vAlign w:val="bottom"/>
            <w:shd w:val="clear" w:color="auto" w:fill="EEF5F2"/>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53.8</w:t>
            </w:r>
          </w:p>
        </w:tc>
        <w:tc>
          <w:tcPr>
            <w:tcW w:w="480" w:type="dxa"/>
            <w:vAlign w:val="bottom"/>
          </w:tcPr>
          <w:p>
            <w:pPr>
              <w:spacing w:after="0"/>
              <w:rPr>
                <w:sz w:val="17"/>
                <w:szCs w:val="17"/>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45.4</w:t>
            </w:r>
          </w:p>
        </w:tc>
        <w:tc>
          <w:tcPr>
            <w:tcW w:w="420" w:type="dxa"/>
            <w:vAlign w:val="bottom"/>
          </w:tcPr>
          <w:p>
            <w:pPr>
              <w:spacing w:after="0"/>
              <w:rPr>
                <w:sz w:val="17"/>
                <w:szCs w:val="17"/>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373535"/>
              </w:rPr>
              <w:t>74.1</w:t>
            </w: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rPr>
                <w:sz w:val="20"/>
                <w:szCs w:val="20"/>
                <w:color w:val="auto"/>
              </w:rPr>
            </w:pPr>
            <w:r>
              <w:rPr>
                <w:rFonts w:ascii="Arial" w:cs="Arial" w:eastAsia="Arial" w:hAnsi="Arial"/>
                <w:sz w:val="17"/>
                <w:szCs w:val="17"/>
                <w:color w:val="373535"/>
              </w:rPr>
              <w:t>Other Southern Europe</w:t>
            </w: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rPr>
                <w:sz w:val="20"/>
                <w:szCs w:val="20"/>
                <w:color w:val="auto"/>
              </w:rPr>
            </w:pPr>
            <w:r>
              <w:rPr>
                <w:rFonts w:ascii="Arial" w:cs="Arial" w:eastAsia="Arial" w:hAnsi="Arial"/>
                <w:sz w:val="17"/>
                <w:szCs w:val="17"/>
                <w:color w:val="76AD9A"/>
              </w:rPr>
              <w:t>11.9</w:t>
            </w:r>
          </w:p>
        </w:tc>
        <w:tc>
          <w:tcPr>
            <w:tcW w:w="480" w:type="dxa"/>
            <w:vAlign w:val="bottom"/>
            <w:tcBorders>
              <w:bottom w:val="single" w:sz="8" w:color="717073"/>
            </w:tcBorders>
          </w:tcPr>
          <w:p>
            <w:pPr>
              <w:spacing w:after="0"/>
              <w:rPr>
                <w:sz w:val="16"/>
                <w:szCs w:val="16"/>
                <w:color w:val="auto"/>
              </w:rPr>
            </w:pPr>
          </w:p>
        </w:tc>
        <w:tc>
          <w:tcPr>
            <w:tcW w:w="1060" w:type="dxa"/>
            <w:vAlign w:val="bottom"/>
            <w:tcBorders>
              <w:bottom w:val="single" w:sz="8" w:color="717073"/>
            </w:tcBorders>
          </w:tcPr>
          <w:p>
            <w:pPr>
              <w:jc w:val="right"/>
              <w:ind w:right="175"/>
              <w:spacing w:after="0"/>
              <w:rPr>
                <w:sz w:val="20"/>
                <w:szCs w:val="20"/>
                <w:color w:val="auto"/>
              </w:rPr>
            </w:pPr>
            <w:r>
              <w:rPr>
                <w:rFonts w:ascii="Arial" w:cs="Arial" w:eastAsia="Arial" w:hAnsi="Arial"/>
                <w:sz w:val="17"/>
                <w:szCs w:val="17"/>
                <w:color w:val="373535"/>
              </w:rPr>
              <w:t>10.1</w:t>
            </w:r>
          </w:p>
        </w:tc>
        <w:tc>
          <w:tcPr>
            <w:tcW w:w="4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rPr>
                <w:sz w:val="20"/>
                <w:szCs w:val="20"/>
                <w:color w:val="auto"/>
              </w:rPr>
            </w:pPr>
            <w:r>
              <w:rPr>
                <w:rFonts w:ascii="Arial" w:cs="Arial" w:eastAsia="Arial" w:hAnsi="Arial"/>
                <w:sz w:val="17"/>
                <w:szCs w:val="17"/>
                <w:color w:val="373535"/>
              </w:rPr>
              <w:t>10.8</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240" w:type="dxa"/>
            <w:vAlign w:val="bottom"/>
            <w:tcBorders>
              <w:bottom w:val="single" w:sz="8" w:color="717073"/>
            </w:tcBorders>
            <w:shd w:val="clear" w:color="auto" w:fill="EEF5F2"/>
          </w:tcPr>
          <w:p>
            <w:pPr>
              <w:spacing w:after="0"/>
              <w:rPr>
                <w:sz w:val="16"/>
                <w:szCs w:val="16"/>
                <w:color w:val="auto"/>
              </w:rPr>
            </w:pPr>
          </w:p>
        </w:tc>
        <w:tc>
          <w:tcPr>
            <w:tcW w:w="114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76AD9A"/>
              </w:rPr>
              <w:t>264.6</w:t>
            </w:r>
          </w:p>
        </w:tc>
        <w:tc>
          <w:tcPr>
            <w:tcW w:w="480" w:type="dxa"/>
            <w:vAlign w:val="bottom"/>
            <w:tcBorders>
              <w:bottom w:val="single" w:sz="8" w:color="717073"/>
            </w:tcBorders>
          </w:tcPr>
          <w:p>
            <w:pPr>
              <w:spacing w:after="0"/>
              <w:rPr>
                <w:sz w:val="16"/>
                <w:szCs w:val="16"/>
                <w:color w:val="auto"/>
              </w:rPr>
            </w:pPr>
          </w:p>
        </w:tc>
        <w:tc>
          <w:tcPr>
            <w:tcW w:w="1060" w:type="dxa"/>
            <w:vAlign w:val="bottom"/>
            <w:tcBorders>
              <w:bottom w:val="single" w:sz="8" w:color="717073"/>
            </w:tcBorders>
          </w:tcPr>
          <w:p>
            <w:pPr>
              <w:jc w:val="right"/>
              <w:ind w:right="175"/>
              <w:spacing w:after="0" w:line="186" w:lineRule="exact"/>
              <w:rPr>
                <w:sz w:val="20"/>
                <w:szCs w:val="20"/>
                <w:color w:val="auto"/>
              </w:rPr>
            </w:pPr>
            <w:r>
              <w:rPr>
                <w:rFonts w:ascii="Arial" w:cs="Arial" w:eastAsia="Arial" w:hAnsi="Arial"/>
                <w:sz w:val="17"/>
                <w:szCs w:val="17"/>
                <w:color w:val="373535"/>
              </w:rPr>
              <w:t>185.1</w:t>
            </w:r>
          </w:p>
        </w:tc>
        <w:tc>
          <w:tcPr>
            <w:tcW w:w="420" w:type="dxa"/>
            <w:vAlign w:val="bottom"/>
            <w:tcBorders>
              <w:bottom w:val="single" w:sz="8" w:color="717073"/>
            </w:tcBorders>
          </w:tcPr>
          <w:p>
            <w:pPr>
              <w:spacing w:after="0"/>
              <w:rPr>
                <w:sz w:val="16"/>
                <w:szCs w:val="16"/>
                <w:color w:val="auto"/>
              </w:rPr>
            </w:pPr>
          </w:p>
        </w:tc>
        <w:tc>
          <w:tcPr>
            <w:tcW w:w="80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254.3</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85" w:lineRule="exact"/>
              <w:rPr>
                <w:sz w:val="20"/>
                <w:szCs w:val="20"/>
                <w:color w:val="auto"/>
              </w:rPr>
            </w:pPr>
            <w:r>
              <w:rPr>
                <w:rFonts w:ascii="Arial" w:cs="Arial" w:eastAsia="Arial" w:hAnsi="Arial"/>
                <w:sz w:val="17"/>
                <w:szCs w:val="17"/>
                <w:color w:val="76AD9A"/>
              </w:rPr>
              <w:t>139.7</w:t>
            </w:r>
          </w:p>
        </w:tc>
        <w:tc>
          <w:tcPr>
            <w:tcW w:w="480" w:type="dxa"/>
            <w:vAlign w:val="bottom"/>
          </w:tcPr>
          <w:p>
            <w:pPr>
              <w:spacing w:after="0"/>
              <w:rPr>
                <w:sz w:val="16"/>
                <w:szCs w:val="16"/>
                <w:color w:val="auto"/>
              </w:rPr>
            </w:pPr>
          </w:p>
        </w:tc>
        <w:tc>
          <w:tcPr>
            <w:tcW w:w="1060" w:type="dxa"/>
            <w:vAlign w:val="bottom"/>
          </w:tcPr>
          <w:p>
            <w:pPr>
              <w:jc w:val="right"/>
              <w:ind w:right="175"/>
              <w:spacing w:after="0" w:line="185" w:lineRule="exact"/>
              <w:rPr>
                <w:sz w:val="20"/>
                <w:szCs w:val="20"/>
                <w:color w:val="auto"/>
              </w:rPr>
            </w:pPr>
            <w:r>
              <w:rPr>
                <w:rFonts w:ascii="Arial" w:cs="Arial" w:eastAsia="Arial" w:hAnsi="Arial"/>
                <w:sz w:val="17"/>
                <w:szCs w:val="17"/>
                <w:color w:val="373535"/>
              </w:rPr>
              <w:t>159.8</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373535"/>
              </w:rPr>
              <w:t>212.6</w:t>
            </w: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240" w:type="dxa"/>
            <w:vAlign w:val="bottom"/>
            <w:shd w:val="clear" w:color="auto" w:fill="EEF5F2"/>
          </w:tcPr>
          <w:p>
            <w:pPr>
              <w:spacing w:after="0"/>
              <w:rPr>
                <w:sz w:val="16"/>
                <w:szCs w:val="16"/>
                <w:color w:val="auto"/>
              </w:rPr>
            </w:pPr>
          </w:p>
        </w:tc>
        <w:tc>
          <w:tcPr>
            <w:tcW w:w="1140" w:type="dxa"/>
            <w:vAlign w:val="bottom"/>
          </w:tcPr>
          <w:p>
            <w:pPr>
              <w:jc w:val="right"/>
              <w:ind w:right="135"/>
              <w:spacing w:after="0" w:line="194" w:lineRule="exact"/>
              <w:rPr>
                <w:sz w:val="20"/>
                <w:szCs w:val="20"/>
                <w:color w:val="auto"/>
              </w:rPr>
            </w:pPr>
            <w:r>
              <w:rPr>
                <w:rFonts w:ascii="Arial" w:cs="Arial" w:eastAsia="Arial" w:hAnsi="Arial"/>
                <w:sz w:val="17"/>
                <w:szCs w:val="17"/>
                <w:color w:val="76AD9A"/>
              </w:rPr>
              <w:t>70.8</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90.7</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78.8</w:t>
            </w:r>
          </w:p>
        </w:tc>
        <w:tc>
          <w:tcPr>
            <w:tcW w:w="40" w:type="dxa"/>
            <w:vAlign w:val="bottom"/>
          </w:tcPr>
          <w:p>
            <w:pPr>
              <w:spacing w:after="0"/>
              <w:rPr>
                <w:sz w:val="16"/>
                <w:szCs w:val="16"/>
                <w:color w:val="auto"/>
              </w:rPr>
            </w:pPr>
          </w:p>
        </w:tc>
      </w:tr>
      <w:tr>
        <w:trPr>
          <w:trHeight w:val="207"/>
        </w:trPr>
        <w:tc>
          <w:tcPr>
            <w:tcW w:w="7200" w:type="dxa"/>
            <w:vAlign w:val="bottom"/>
            <w:gridSpan w:val="2"/>
          </w:tcPr>
          <w:p>
            <w:pPr>
              <w:spacing w:after="0"/>
              <w:rPr>
                <w:sz w:val="20"/>
                <w:szCs w:val="20"/>
                <w:color w:val="auto"/>
              </w:rPr>
            </w:pPr>
            <w:r>
              <w:rPr>
                <w:rFonts w:ascii="Arial" w:cs="Arial" w:eastAsia="Arial" w:hAnsi="Arial"/>
                <w:sz w:val="17"/>
                <w:szCs w:val="17"/>
                <w:color w:val="373535"/>
              </w:rPr>
              <w:t>Right Management</w:t>
            </w:r>
          </w:p>
        </w:tc>
        <w:tc>
          <w:tcPr>
            <w:tcW w:w="240" w:type="dxa"/>
            <w:vAlign w:val="bottom"/>
            <w:shd w:val="clear" w:color="auto" w:fill="EEF5F2"/>
          </w:tcPr>
          <w:p>
            <w:pPr>
              <w:spacing w:after="0"/>
              <w:rPr>
                <w:sz w:val="18"/>
                <w:szCs w:val="18"/>
                <w:color w:val="auto"/>
              </w:rPr>
            </w:pPr>
          </w:p>
        </w:tc>
        <w:tc>
          <w:tcPr>
            <w:tcW w:w="1140" w:type="dxa"/>
            <w:vAlign w:val="bottom"/>
          </w:tcPr>
          <w:p>
            <w:pPr>
              <w:jc w:val="right"/>
              <w:ind w:right="135"/>
              <w:spacing w:after="0"/>
              <w:rPr>
                <w:sz w:val="20"/>
                <w:szCs w:val="20"/>
                <w:color w:val="auto"/>
              </w:rPr>
            </w:pPr>
            <w:r>
              <w:rPr>
                <w:rFonts w:ascii="Arial" w:cs="Arial" w:eastAsia="Arial" w:hAnsi="Arial"/>
                <w:sz w:val="17"/>
                <w:szCs w:val="17"/>
                <w:color w:val="76AD9A"/>
              </w:rPr>
              <w:t>20.4</w:t>
            </w:r>
          </w:p>
        </w:tc>
        <w:tc>
          <w:tcPr>
            <w:tcW w:w="480" w:type="dxa"/>
            <w:vAlign w:val="bottom"/>
          </w:tcPr>
          <w:p>
            <w:pPr>
              <w:spacing w:after="0"/>
              <w:rPr>
                <w:sz w:val="18"/>
                <w:szCs w:val="18"/>
                <w:color w:val="auto"/>
              </w:rPr>
            </w:pPr>
          </w:p>
        </w:tc>
        <w:tc>
          <w:tcPr>
            <w:tcW w:w="1060" w:type="dxa"/>
            <w:vAlign w:val="bottom"/>
          </w:tcPr>
          <w:p>
            <w:pPr>
              <w:jc w:val="right"/>
              <w:ind w:right="175"/>
              <w:spacing w:after="0"/>
              <w:rPr>
                <w:sz w:val="20"/>
                <w:szCs w:val="20"/>
                <w:color w:val="auto"/>
              </w:rPr>
            </w:pPr>
            <w:r>
              <w:rPr>
                <w:rFonts w:ascii="Arial" w:cs="Arial" w:eastAsia="Arial" w:hAnsi="Arial"/>
                <w:sz w:val="17"/>
                <w:szCs w:val="17"/>
                <w:color w:val="373535"/>
              </w:rPr>
              <w:t>13.4</w:t>
            </w:r>
          </w:p>
        </w:tc>
        <w:tc>
          <w:tcPr>
            <w:tcW w:w="4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373535"/>
              </w:rPr>
              <w:t>(1.4)</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bottom w:val="single" w:sz="8" w:color="717073"/>
            </w:tcBorders>
          </w:tcPr>
          <w:p>
            <w:pPr>
              <w:spacing w:after="0"/>
              <w:rPr>
                <w:sz w:val="16"/>
                <w:szCs w:val="16"/>
                <w:color w:val="auto"/>
              </w:rPr>
            </w:pPr>
          </w:p>
        </w:tc>
        <w:tc>
          <w:tcPr>
            <w:tcW w:w="240" w:type="dxa"/>
            <w:vAlign w:val="bottom"/>
            <w:tcBorders>
              <w:top w:val="single" w:sz="8" w:color="717073"/>
              <w:bottom w:val="single" w:sz="8" w:color="717073"/>
            </w:tcBorders>
            <w:shd w:val="clear" w:color="auto" w:fill="EEF5F2"/>
          </w:tcPr>
          <w:p>
            <w:pPr>
              <w:spacing w:after="0"/>
              <w:rPr>
                <w:sz w:val="16"/>
                <w:szCs w:val="16"/>
                <w:color w:val="auto"/>
              </w:rPr>
            </w:pPr>
          </w:p>
        </w:tc>
        <w:tc>
          <w:tcPr>
            <w:tcW w:w="114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76AD9A"/>
              </w:rPr>
              <w:t>639.2</w:t>
            </w:r>
          </w:p>
        </w:tc>
        <w:tc>
          <w:tcPr>
            <w:tcW w:w="480" w:type="dxa"/>
            <w:vAlign w:val="bottom"/>
            <w:tcBorders>
              <w:top w:val="single" w:sz="8" w:color="717073"/>
              <w:bottom w:val="single" w:sz="8" w:color="717073"/>
            </w:tcBorders>
          </w:tcPr>
          <w:p>
            <w:pPr>
              <w:spacing w:after="0"/>
              <w:rPr>
                <w:sz w:val="16"/>
                <w:szCs w:val="16"/>
                <w:color w:val="auto"/>
              </w:rPr>
            </w:pPr>
          </w:p>
        </w:tc>
        <w:tc>
          <w:tcPr>
            <w:tcW w:w="1060" w:type="dxa"/>
            <w:vAlign w:val="bottom"/>
            <w:tcBorders>
              <w:top w:val="single" w:sz="8" w:color="717073"/>
              <w:bottom w:val="single" w:sz="8" w:color="717073"/>
            </w:tcBorders>
          </w:tcPr>
          <w:p>
            <w:pPr>
              <w:jc w:val="right"/>
              <w:ind w:right="175"/>
              <w:spacing w:after="0" w:line="186" w:lineRule="exact"/>
              <w:rPr>
                <w:sz w:val="20"/>
                <w:szCs w:val="20"/>
                <w:color w:val="auto"/>
              </w:rPr>
            </w:pPr>
            <w:r>
              <w:rPr>
                <w:rFonts w:ascii="Arial" w:cs="Arial" w:eastAsia="Arial" w:hAnsi="Arial"/>
                <w:sz w:val="17"/>
                <w:szCs w:val="17"/>
                <w:color w:val="373535"/>
              </w:rPr>
              <w:t>560.4</w:t>
            </w:r>
          </w:p>
        </w:tc>
        <w:tc>
          <w:tcPr>
            <w:tcW w:w="420" w:type="dxa"/>
            <w:vAlign w:val="bottom"/>
            <w:tcBorders>
              <w:top w:val="single" w:sz="8" w:color="717073"/>
              <w:bottom w:val="single" w:sz="8" w:color="717073"/>
            </w:tcBorders>
          </w:tcPr>
          <w:p>
            <w:pPr>
              <w:spacing w:after="0"/>
              <w:rPr>
                <w:sz w:val="16"/>
                <w:szCs w:val="16"/>
                <w:color w:val="auto"/>
              </w:rPr>
            </w:pPr>
          </w:p>
        </w:tc>
        <w:tc>
          <w:tcPr>
            <w:tcW w:w="800" w:type="dxa"/>
            <w:vAlign w:val="bottom"/>
            <w:tcBorders>
              <w:top w:val="single" w:sz="8" w:color="717073"/>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686.2</w:t>
            </w:r>
          </w:p>
        </w:tc>
        <w:tc>
          <w:tcPr>
            <w:tcW w:w="4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7180" w:type="dxa"/>
            <w:vAlign w:val="bottom"/>
          </w:tcPr>
          <w:p>
            <w:pPr>
              <w:spacing w:after="0" w:line="180" w:lineRule="exact"/>
              <w:rPr>
                <w:sz w:val="20"/>
                <w:szCs w:val="20"/>
                <w:color w:val="auto"/>
              </w:rPr>
            </w:pPr>
            <w:r>
              <w:rPr>
                <w:rFonts w:ascii="Arial" w:cs="Arial" w:eastAsia="Arial" w:hAnsi="Arial"/>
                <w:sz w:val="17"/>
                <w:szCs w:val="17"/>
                <w:color w:val="373535"/>
              </w:rPr>
              <w:t>Corporate expenses</w:t>
            </w:r>
          </w:p>
        </w:tc>
        <w:tc>
          <w:tcPr>
            <w:tcW w:w="240" w:type="dxa"/>
            <w:vAlign w:val="bottom"/>
            <w:shd w:val="clear" w:color="auto" w:fill="EEF5F2"/>
          </w:tcPr>
          <w:p>
            <w:pPr>
              <w:spacing w:after="0"/>
              <w:rPr>
                <w:sz w:val="15"/>
                <w:szCs w:val="15"/>
                <w:color w:val="auto"/>
              </w:rPr>
            </w:pPr>
          </w:p>
        </w:tc>
        <w:tc>
          <w:tcPr>
            <w:tcW w:w="1140" w:type="dxa"/>
            <w:vAlign w:val="bottom"/>
          </w:tcPr>
          <w:p>
            <w:pPr>
              <w:jc w:val="right"/>
              <w:ind w:right="75"/>
              <w:spacing w:after="0" w:line="180" w:lineRule="exact"/>
              <w:rPr>
                <w:sz w:val="20"/>
                <w:szCs w:val="20"/>
                <w:color w:val="auto"/>
              </w:rPr>
            </w:pPr>
            <w:r>
              <w:rPr>
                <w:rFonts w:ascii="Arial" w:cs="Arial" w:eastAsia="Arial" w:hAnsi="Arial"/>
                <w:sz w:val="17"/>
                <w:szCs w:val="17"/>
                <w:color w:val="76AD9A"/>
              </w:rPr>
              <w:t>(93.2)</w:t>
            </w:r>
          </w:p>
        </w:tc>
        <w:tc>
          <w:tcPr>
            <w:tcW w:w="480" w:type="dxa"/>
            <w:vAlign w:val="bottom"/>
          </w:tcPr>
          <w:p>
            <w:pPr>
              <w:spacing w:after="0"/>
              <w:rPr>
                <w:sz w:val="15"/>
                <w:szCs w:val="15"/>
                <w:color w:val="auto"/>
              </w:rPr>
            </w:pPr>
          </w:p>
        </w:tc>
        <w:tc>
          <w:tcPr>
            <w:tcW w:w="1060" w:type="dxa"/>
            <w:vAlign w:val="bottom"/>
          </w:tcPr>
          <w:p>
            <w:pPr>
              <w:jc w:val="right"/>
              <w:ind w:right="135"/>
              <w:spacing w:after="0" w:line="180" w:lineRule="exact"/>
              <w:rPr>
                <w:sz w:val="20"/>
                <w:szCs w:val="20"/>
                <w:color w:val="auto"/>
              </w:rPr>
            </w:pPr>
            <w:r>
              <w:rPr>
                <w:rFonts w:ascii="Arial" w:cs="Arial" w:eastAsia="Arial" w:hAnsi="Arial"/>
                <w:sz w:val="17"/>
                <w:szCs w:val="17"/>
                <w:color w:val="373535"/>
              </w:rPr>
              <w:t>(112.0)</w:t>
            </w:r>
          </w:p>
        </w:tc>
        <w:tc>
          <w:tcPr>
            <w:tcW w:w="420" w:type="dxa"/>
            <w:vAlign w:val="bottom"/>
          </w:tcPr>
          <w:p>
            <w:pPr>
              <w:spacing w:after="0"/>
              <w:rPr>
                <w:sz w:val="15"/>
                <w:szCs w:val="15"/>
                <w:color w:val="auto"/>
              </w:rPr>
            </w:pPr>
          </w:p>
        </w:tc>
        <w:tc>
          <w:tcPr>
            <w:tcW w:w="840" w:type="dxa"/>
            <w:vAlign w:val="bottom"/>
            <w:gridSpan w:val="3"/>
          </w:tcPr>
          <w:p>
            <w:pPr>
              <w:jc w:val="right"/>
              <w:spacing w:after="0" w:line="180" w:lineRule="exact"/>
              <w:rPr>
                <w:sz w:val="20"/>
                <w:szCs w:val="20"/>
                <w:color w:val="auto"/>
              </w:rPr>
            </w:pPr>
            <w:r>
              <w:rPr>
                <w:rFonts w:ascii="Arial" w:cs="Arial" w:eastAsia="Arial" w:hAnsi="Arial"/>
                <w:sz w:val="17"/>
                <w:szCs w:val="17"/>
                <w:color w:val="373535"/>
              </w:rPr>
              <w:t>(123.1)</w:t>
            </w:r>
          </w:p>
        </w:tc>
      </w:tr>
      <w:tr>
        <w:trPr>
          <w:trHeight w:val="198"/>
        </w:trPr>
        <w:tc>
          <w:tcPr>
            <w:tcW w:w="7200" w:type="dxa"/>
            <w:vAlign w:val="bottom"/>
            <w:gridSpan w:val="2"/>
          </w:tcPr>
          <w:p>
            <w:pPr>
              <w:spacing w:after="0" w:line="199" w:lineRule="exact"/>
              <w:rPr>
                <w:sz w:val="20"/>
                <w:szCs w:val="20"/>
                <w:color w:val="auto"/>
              </w:rPr>
            </w:pPr>
            <w:r>
              <w:rPr>
                <w:rFonts w:ascii="Arial" w:cs="Arial" w:eastAsia="Arial" w:hAnsi="Arial"/>
                <w:sz w:val="17"/>
                <w:szCs w:val="17"/>
                <w:color w:val="373535"/>
              </w:rPr>
              <w:t>Intangible asset amortization expense</w:t>
            </w:r>
            <w:r>
              <w:rPr>
                <w:rFonts w:ascii="Arial" w:cs="Arial" w:eastAsia="Arial" w:hAnsi="Arial"/>
                <w:sz w:val="23"/>
                <w:szCs w:val="23"/>
                <w:color w:val="373535"/>
                <w:vertAlign w:val="superscript"/>
              </w:rPr>
              <w:t>(c)</w:t>
            </w:r>
          </w:p>
        </w:tc>
        <w:tc>
          <w:tcPr>
            <w:tcW w:w="240" w:type="dxa"/>
            <w:vAlign w:val="bottom"/>
            <w:shd w:val="clear" w:color="auto" w:fill="EEF5F2"/>
          </w:tcPr>
          <w:p>
            <w:pPr>
              <w:spacing w:after="0"/>
              <w:rPr>
                <w:sz w:val="17"/>
                <w:szCs w:val="17"/>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76AD9A"/>
              </w:rPr>
              <w:t>(34.1)</w:t>
            </w:r>
          </w:p>
        </w:tc>
        <w:tc>
          <w:tcPr>
            <w:tcW w:w="480" w:type="dxa"/>
            <w:vAlign w:val="bottom"/>
          </w:tcPr>
          <w:p>
            <w:pPr>
              <w:spacing w:after="0"/>
              <w:rPr>
                <w:sz w:val="17"/>
                <w:szCs w:val="17"/>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373535"/>
              </w:rPr>
              <w:t>(36.7)</w:t>
            </w:r>
          </w:p>
        </w:tc>
        <w:tc>
          <w:tcPr>
            <w:tcW w:w="4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373535"/>
              </w:rPr>
              <w:t>(38.9)</w:t>
            </w:r>
          </w:p>
        </w:tc>
      </w:tr>
      <w:tr>
        <w:trPr>
          <w:trHeight w:val="207"/>
        </w:trPr>
        <w:tc>
          <w:tcPr>
            <w:tcW w:w="7200" w:type="dxa"/>
            <w:vAlign w:val="bottom"/>
            <w:gridSpan w:val="2"/>
          </w:tcPr>
          <w:p>
            <w:pPr>
              <w:spacing w:after="0"/>
              <w:rPr>
                <w:sz w:val="20"/>
                <w:szCs w:val="20"/>
                <w:color w:val="auto"/>
              </w:rPr>
            </w:pPr>
            <w:r>
              <w:rPr>
                <w:rFonts w:ascii="Arial" w:cs="Arial" w:eastAsia="Arial" w:hAnsi="Arial"/>
                <w:sz w:val="17"/>
                <w:szCs w:val="17"/>
                <w:color w:val="373535"/>
              </w:rPr>
              <w:t>Interest and other expenses</w:t>
            </w:r>
          </w:p>
        </w:tc>
        <w:tc>
          <w:tcPr>
            <w:tcW w:w="240" w:type="dxa"/>
            <w:vAlign w:val="bottom"/>
            <w:shd w:val="clear" w:color="auto" w:fill="EEF5F2"/>
          </w:tcPr>
          <w:p>
            <w:pPr>
              <w:spacing w:after="0"/>
              <w:rPr>
                <w:sz w:val="18"/>
                <w:szCs w:val="18"/>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76AD9A"/>
              </w:rPr>
              <w:t>(36.4)</w:t>
            </w:r>
          </w:p>
        </w:tc>
        <w:tc>
          <w:tcPr>
            <w:tcW w:w="480" w:type="dxa"/>
            <w:vAlign w:val="bottom"/>
          </w:tcPr>
          <w:p>
            <w:pPr>
              <w:spacing w:after="0"/>
              <w:rPr>
                <w:sz w:val="18"/>
                <w:szCs w:val="18"/>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373535"/>
              </w:rPr>
              <w:t>(43.3)</w:t>
            </w:r>
          </w:p>
        </w:tc>
        <w:tc>
          <w:tcPr>
            <w:tcW w:w="4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7"/>
                <w:szCs w:val="17"/>
                <w:color w:val="373535"/>
              </w:rPr>
              <w:t>(44.3)</w:t>
            </w:r>
          </w:p>
        </w:tc>
      </w:tr>
      <w:tr>
        <w:trPr>
          <w:trHeight w:val="186"/>
        </w:trPr>
        <w:tc>
          <w:tcPr>
            <w:tcW w:w="7200" w:type="dxa"/>
            <w:vAlign w:val="bottom"/>
            <w:tcBorders>
              <w:top w:val="single" w:sz="8" w:color="717073"/>
            </w:tcBorders>
            <w:gridSpan w:val="2"/>
          </w:tcPr>
          <w:p>
            <w:pPr>
              <w:spacing w:after="0" w:line="186" w:lineRule="exact"/>
              <w:rPr>
                <w:sz w:val="20"/>
                <w:szCs w:val="20"/>
                <w:color w:val="auto"/>
              </w:rPr>
            </w:pPr>
            <w:r>
              <w:rPr>
                <w:rFonts w:ascii="Arial" w:cs="Arial" w:eastAsia="Arial" w:hAnsi="Arial"/>
                <w:sz w:val="17"/>
                <w:szCs w:val="17"/>
                <w:color w:val="373535"/>
              </w:rPr>
              <w:t>Earnings before income taxes</w:t>
            </w:r>
          </w:p>
        </w:tc>
        <w:tc>
          <w:tcPr>
            <w:tcW w:w="240" w:type="dxa"/>
            <w:vAlign w:val="bottom"/>
            <w:tcBorders>
              <w:top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140" w:type="dxa"/>
            <w:vAlign w:val="bottom"/>
            <w:tcBorders>
              <w:top w:val="single" w:sz="8" w:color="717073"/>
            </w:tcBorders>
          </w:tcPr>
          <w:p>
            <w:pPr>
              <w:jc w:val="right"/>
              <w:ind w:right="135"/>
              <w:spacing w:after="0" w:line="186" w:lineRule="exact"/>
              <w:rPr>
                <w:sz w:val="20"/>
                <w:szCs w:val="20"/>
                <w:color w:val="auto"/>
              </w:rPr>
            </w:pPr>
            <w:r>
              <w:rPr>
                <w:rFonts w:ascii="Arial" w:cs="Arial" w:eastAsia="Arial" w:hAnsi="Arial"/>
                <w:sz w:val="17"/>
                <w:szCs w:val="17"/>
                <w:color w:val="76AD9A"/>
              </w:rPr>
              <w:t>475.5</w:t>
            </w:r>
          </w:p>
        </w:tc>
        <w:tc>
          <w:tcPr>
            <w:tcW w:w="480" w:type="dxa"/>
            <w:vAlign w:val="bottom"/>
            <w:tcBorders>
              <w:top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1060" w:type="dxa"/>
            <w:vAlign w:val="bottom"/>
            <w:tcBorders>
              <w:top w:val="single" w:sz="8" w:color="717073"/>
            </w:tcBorders>
          </w:tcPr>
          <w:p>
            <w:pPr>
              <w:jc w:val="right"/>
              <w:ind w:right="175"/>
              <w:spacing w:after="0" w:line="186" w:lineRule="exact"/>
              <w:rPr>
                <w:sz w:val="20"/>
                <w:szCs w:val="20"/>
                <w:color w:val="auto"/>
              </w:rPr>
            </w:pPr>
            <w:r>
              <w:rPr>
                <w:rFonts w:ascii="Arial" w:cs="Arial" w:eastAsia="Arial" w:hAnsi="Arial"/>
                <w:sz w:val="17"/>
                <w:szCs w:val="17"/>
                <w:color w:val="373535"/>
              </w:rPr>
              <w:t>368.4</w:t>
            </w:r>
          </w:p>
        </w:tc>
        <w:tc>
          <w:tcPr>
            <w:tcW w:w="420" w:type="dxa"/>
            <w:vAlign w:val="bottom"/>
            <w:tcBorders>
              <w:top w:val="single" w:sz="8" w:color="717073"/>
            </w:tcBorders>
          </w:tcPr>
          <w:p>
            <w:pPr>
              <w:jc w:val="right"/>
              <w:ind w:right="34"/>
              <w:spacing w:after="0" w:line="186" w:lineRule="exact"/>
              <w:rPr>
                <w:sz w:val="20"/>
                <w:szCs w:val="20"/>
                <w:color w:val="auto"/>
              </w:rPr>
            </w:pPr>
            <w:r>
              <w:rPr>
                <w:rFonts w:ascii="Arial" w:cs="Arial" w:eastAsia="Arial" w:hAnsi="Arial"/>
                <w:sz w:val="17"/>
                <w:szCs w:val="17"/>
                <w:color w:val="373535"/>
              </w:rPr>
              <w:t>$</w:t>
            </w:r>
          </w:p>
        </w:tc>
        <w:tc>
          <w:tcPr>
            <w:tcW w:w="800" w:type="dxa"/>
            <w:vAlign w:val="bottom"/>
            <w:tcBorders>
              <w:top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rPr>
              <w:t>479.9</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480" w:type="dxa"/>
            <w:vAlign w:val="bottom"/>
            <w:shd w:val="clear" w:color="auto" w:fill="717073"/>
          </w:tcPr>
          <w:p>
            <w:pPr>
              <w:spacing w:after="0" w:line="20" w:lineRule="exact"/>
              <w:rPr>
                <w:sz w:val="1"/>
                <w:szCs w:val="1"/>
                <w:color w:val="auto"/>
              </w:rPr>
            </w:pPr>
          </w:p>
        </w:tc>
        <w:tc>
          <w:tcPr>
            <w:tcW w:w="1060" w:type="dxa"/>
            <w:vAlign w:val="bottom"/>
            <w:shd w:val="clear" w:color="auto" w:fill="717073"/>
          </w:tcPr>
          <w:p>
            <w:pPr>
              <w:spacing w:after="0" w:line="20" w:lineRule="exact"/>
              <w:rPr>
                <w:sz w:val="1"/>
                <w:szCs w:val="1"/>
                <w:color w:val="auto"/>
              </w:rPr>
            </w:pPr>
          </w:p>
        </w:tc>
        <w:tc>
          <w:tcPr>
            <w:tcW w:w="420" w:type="dxa"/>
            <w:vAlign w:val="bottom"/>
            <w:shd w:val="clear" w:color="auto" w:fill="717073"/>
          </w:tcPr>
          <w:p>
            <w:pPr>
              <w:spacing w:after="0" w:line="20" w:lineRule="exact"/>
              <w:rPr>
                <w:sz w:val="1"/>
                <w:szCs w:val="1"/>
                <w:color w:val="auto"/>
              </w:rPr>
            </w:pPr>
          </w:p>
        </w:tc>
        <w:tc>
          <w:tcPr>
            <w:tcW w:w="78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1"/>
        </w:trPr>
        <w:tc>
          <w:tcPr>
            <w:tcW w:w="7200" w:type="dxa"/>
            <w:vAlign w:val="bottom"/>
            <w:gridSpan w:val="2"/>
          </w:tcPr>
          <w:p>
            <w:pPr>
              <w:spacing w:after="0"/>
              <w:rPr>
                <w:sz w:val="20"/>
                <w:szCs w:val="20"/>
                <w:color w:val="auto"/>
              </w:rPr>
            </w:pPr>
            <w:r>
              <w:rPr>
                <w:rFonts w:ascii="Arial" w:cs="Arial" w:eastAsia="Arial" w:hAnsi="Arial"/>
                <w:sz w:val="17"/>
                <w:szCs w:val="17"/>
                <w:color w:val="373535"/>
              </w:rPr>
              <w:t>(a)  Further breakdown of revenues from services by geographical region is as follows:</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2"/>
        </w:trPr>
        <w:tc>
          <w:tcPr>
            <w:tcW w:w="7200" w:type="dxa"/>
            <w:vAlign w:val="bottom"/>
            <w:gridSpan w:val="2"/>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r>
      <w:tr>
        <w:trPr>
          <w:trHeight w:val="194"/>
        </w:trPr>
        <w:tc>
          <w:tcPr>
            <w:tcW w:w="7200" w:type="dxa"/>
            <w:vAlign w:val="bottom"/>
            <w:gridSpan w:val="2"/>
          </w:tcPr>
          <w:p>
            <w:pPr>
              <w:spacing w:after="0"/>
              <w:rPr>
                <w:sz w:val="20"/>
                <w:szCs w:val="20"/>
                <w:color w:val="auto"/>
              </w:rPr>
            </w:pPr>
            <w:r>
              <w:rPr>
                <w:rFonts w:ascii="Arial" w:cs="Arial" w:eastAsia="Arial" w:hAnsi="Arial"/>
                <w:sz w:val="14"/>
                <w:szCs w:val="14"/>
                <w:b w:val="1"/>
                <w:bCs w:val="1"/>
                <w:color w:val="76AD9A"/>
              </w:rPr>
              <w:t>Revenues from Services</w:t>
            </w:r>
          </w:p>
        </w:tc>
        <w:tc>
          <w:tcPr>
            <w:tcW w:w="240" w:type="dxa"/>
            <w:vAlign w:val="bottom"/>
            <w:shd w:val="clear" w:color="auto" w:fill="76AD9A"/>
          </w:tcPr>
          <w:p>
            <w:pPr>
              <w:spacing w:after="0"/>
              <w:rPr>
                <w:sz w:val="16"/>
                <w:szCs w:val="16"/>
                <w:color w:val="auto"/>
              </w:rPr>
            </w:pPr>
          </w:p>
        </w:tc>
        <w:tc>
          <w:tcPr>
            <w:tcW w:w="114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480" w:type="dxa"/>
            <w:vAlign w:val="bottom"/>
          </w:tcPr>
          <w:p>
            <w:pPr>
              <w:spacing w:after="0"/>
              <w:rPr>
                <w:sz w:val="16"/>
                <w:szCs w:val="16"/>
                <w:color w:val="auto"/>
              </w:rPr>
            </w:pPr>
          </w:p>
        </w:tc>
        <w:tc>
          <w:tcPr>
            <w:tcW w:w="1060" w:type="dxa"/>
            <w:vAlign w:val="bottom"/>
          </w:tcPr>
          <w:p>
            <w:pPr>
              <w:jc w:val="right"/>
              <w:ind w:right="175"/>
              <w:spacing w:after="0"/>
              <w:rPr>
                <w:sz w:val="20"/>
                <w:szCs w:val="20"/>
                <w:color w:val="auto"/>
              </w:rPr>
            </w:pPr>
            <w:r>
              <w:rPr>
                <w:rFonts w:ascii="Arial" w:cs="Arial" w:eastAsia="Arial" w:hAnsi="Arial"/>
                <w:sz w:val="14"/>
                <w:szCs w:val="14"/>
                <w:b w:val="1"/>
                <w:bCs w:val="1"/>
                <w:color w:val="76AD9A"/>
              </w:rPr>
              <w:t>2012</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76AD9A"/>
              </w:rPr>
              <w:t>2011</w:t>
            </w:r>
          </w:p>
        </w:tc>
        <w:tc>
          <w:tcPr>
            <w:tcW w:w="4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United States</w:t>
            </w:r>
          </w:p>
        </w:tc>
        <w:tc>
          <w:tcPr>
            <w:tcW w:w="240" w:type="dxa"/>
            <w:vAlign w:val="bottom"/>
            <w:tcBorders>
              <w:top w:val="single" w:sz="8" w:color="76AD9A"/>
            </w:tcBorders>
            <w:shd w:val="clear" w:color="auto" w:fill="EEF5F2"/>
          </w:tcPr>
          <w:p>
            <w:pPr>
              <w:jc w:val="right"/>
              <w:spacing w:after="0" w:line="185" w:lineRule="exact"/>
              <w:rPr>
                <w:sz w:val="20"/>
                <w:szCs w:val="20"/>
                <w:color w:val="auto"/>
              </w:rPr>
            </w:pPr>
            <w:r>
              <w:rPr>
                <w:rFonts w:ascii="Arial" w:cs="Arial" w:eastAsia="Arial" w:hAnsi="Arial"/>
                <w:sz w:val="17"/>
                <w:szCs w:val="17"/>
                <w:color w:val="76AD9A"/>
              </w:rPr>
              <w:t>$</w:t>
            </w:r>
          </w:p>
        </w:tc>
        <w:tc>
          <w:tcPr>
            <w:tcW w:w="1140" w:type="dxa"/>
            <w:vAlign w:val="bottom"/>
            <w:tcBorders>
              <w:top w:val="single" w:sz="8" w:color="76AD9A"/>
            </w:tcBorders>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3,080.8</w:t>
            </w:r>
          </w:p>
        </w:tc>
        <w:tc>
          <w:tcPr>
            <w:tcW w:w="48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1060" w:type="dxa"/>
            <w:vAlign w:val="bottom"/>
            <w:tcBorders>
              <w:top w:val="single" w:sz="8" w:color="76AD9A"/>
            </w:tcBorders>
          </w:tcPr>
          <w:p>
            <w:pPr>
              <w:jc w:val="right"/>
              <w:ind w:right="175"/>
              <w:spacing w:after="0" w:line="185" w:lineRule="exact"/>
              <w:rPr>
                <w:sz w:val="20"/>
                <w:szCs w:val="20"/>
                <w:color w:val="auto"/>
              </w:rPr>
            </w:pPr>
            <w:r>
              <w:rPr>
                <w:rFonts w:ascii="Arial" w:cs="Arial" w:eastAsia="Arial" w:hAnsi="Arial"/>
                <w:sz w:val="17"/>
                <w:szCs w:val="17"/>
                <w:color w:val="373535"/>
              </w:rPr>
              <w:t>3,132.0</w:t>
            </w:r>
          </w:p>
        </w:tc>
        <w:tc>
          <w:tcPr>
            <w:tcW w:w="420" w:type="dxa"/>
            <w:vAlign w:val="bottom"/>
            <w:tcBorders>
              <w:top w:val="single" w:sz="8" w:color="76AD9A"/>
            </w:tcBorders>
          </w:tcPr>
          <w:p>
            <w:pPr>
              <w:jc w:val="right"/>
              <w:ind w:right="34"/>
              <w:spacing w:after="0" w:line="185" w:lineRule="exact"/>
              <w:rPr>
                <w:sz w:val="20"/>
                <w:szCs w:val="20"/>
                <w:color w:val="auto"/>
              </w:rPr>
            </w:pPr>
            <w:r>
              <w:rPr>
                <w:rFonts w:ascii="Arial" w:cs="Arial" w:eastAsia="Arial" w:hAnsi="Arial"/>
                <w:sz w:val="17"/>
                <w:szCs w:val="17"/>
                <w:color w:val="373535"/>
              </w:rPr>
              <w:t>$</w:t>
            </w:r>
          </w:p>
        </w:tc>
        <w:tc>
          <w:tcPr>
            <w:tcW w:w="78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rPr>
              <w:t>3,254.6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5,313.6</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5,448.3</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6,201.9</w:t>
            </w: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Italy</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1,093.0</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1,061.6</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1,277.1</w:t>
            </w: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United Kingdom</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1,884.5</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1,898.1</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1,880.4</w:t>
            </w:r>
          </w:p>
        </w:tc>
        <w:tc>
          <w:tcPr>
            <w:tcW w:w="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Total Foreign</w:t>
            </w:r>
          </w:p>
        </w:tc>
        <w:tc>
          <w:tcPr>
            <w:tcW w:w="240" w:type="dxa"/>
            <w:vAlign w:val="bottom"/>
            <w:shd w:val="clear" w:color="auto" w:fill="EEF5F2"/>
          </w:tcPr>
          <w:p>
            <w:pPr>
              <w:spacing w:after="0"/>
              <w:rPr>
                <w:sz w:val="16"/>
                <w:szCs w:val="16"/>
                <w:color w:val="auto"/>
              </w:rPr>
            </w:pPr>
          </w:p>
        </w:tc>
        <w:tc>
          <w:tcPr>
            <w:tcW w:w="114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17,169.7</w:t>
            </w:r>
          </w:p>
        </w:tc>
        <w:tc>
          <w:tcPr>
            <w:tcW w:w="480" w:type="dxa"/>
            <w:vAlign w:val="bottom"/>
          </w:tcPr>
          <w:p>
            <w:pPr>
              <w:spacing w:after="0"/>
              <w:rPr>
                <w:sz w:val="16"/>
                <w:szCs w:val="16"/>
                <w:color w:val="auto"/>
              </w:rPr>
            </w:pPr>
          </w:p>
        </w:tc>
        <w:tc>
          <w:tcPr>
            <w:tcW w:w="1060" w:type="dxa"/>
            <w:vAlign w:val="bottom"/>
          </w:tcPr>
          <w:p>
            <w:pPr>
              <w:jc w:val="right"/>
              <w:ind w:right="175"/>
              <w:spacing w:after="0" w:line="194" w:lineRule="exact"/>
              <w:rPr>
                <w:sz w:val="20"/>
                <w:szCs w:val="20"/>
                <w:color w:val="auto"/>
              </w:rPr>
            </w:pPr>
            <w:r>
              <w:rPr>
                <w:rFonts w:ascii="Arial" w:cs="Arial" w:eastAsia="Arial" w:hAnsi="Arial"/>
                <w:sz w:val="17"/>
                <w:szCs w:val="17"/>
                <w:color w:val="373535"/>
              </w:rPr>
              <w:t>17,546.0</w:t>
            </w:r>
          </w:p>
        </w:tc>
        <w:tc>
          <w:tcPr>
            <w:tcW w:w="420" w:type="dxa"/>
            <w:vAlign w:val="bottom"/>
          </w:tcPr>
          <w:p>
            <w:pPr>
              <w:spacing w:after="0"/>
              <w:rPr>
                <w:sz w:val="16"/>
                <w:szCs w:val="16"/>
                <w:color w:val="auto"/>
              </w:rPr>
            </w:pPr>
          </w:p>
        </w:tc>
        <w:tc>
          <w:tcPr>
            <w:tcW w:w="80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18,751.4</w:t>
            </w:r>
          </w:p>
        </w:tc>
        <w:tc>
          <w:tcPr>
            <w:tcW w:w="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717073"/>
          </w:tcPr>
          <w:p>
            <w:pPr>
              <w:spacing w:after="0" w:line="20" w:lineRule="exact"/>
              <w:rPr>
                <w:sz w:val="1"/>
                <w:szCs w:val="1"/>
                <w:color w:val="auto"/>
              </w:rPr>
            </w:pPr>
          </w:p>
        </w:tc>
        <w:tc>
          <w:tcPr>
            <w:tcW w:w="240" w:type="dxa"/>
            <w:vAlign w:val="bottom"/>
            <w:shd w:val="clear" w:color="auto" w:fill="717073"/>
          </w:tcPr>
          <w:p>
            <w:pPr>
              <w:spacing w:after="0" w:line="20" w:lineRule="exact"/>
              <w:rPr>
                <w:sz w:val="1"/>
                <w:szCs w:val="1"/>
                <w:color w:val="auto"/>
              </w:rPr>
            </w:pPr>
          </w:p>
        </w:tc>
        <w:tc>
          <w:tcPr>
            <w:tcW w:w="1140" w:type="dxa"/>
            <w:vAlign w:val="bottom"/>
            <w:shd w:val="clear" w:color="auto" w:fill="717073"/>
          </w:tcPr>
          <w:p>
            <w:pPr>
              <w:spacing w:after="0" w:line="20" w:lineRule="exact"/>
              <w:rPr>
                <w:sz w:val="1"/>
                <w:szCs w:val="1"/>
                <w:color w:val="auto"/>
              </w:rPr>
            </w:pPr>
          </w:p>
        </w:tc>
        <w:tc>
          <w:tcPr>
            <w:tcW w:w="480" w:type="dxa"/>
            <w:vAlign w:val="bottom"/>
            <w:shd w:val="clear" w:color="auto" w:fill="717073"/>
          </w:tcPr>
          <w:p>
            <w:pPr>
              <w:spacing w:after="0" w:line="20" w:lineRule="exact"/>
              <w:rPr>
                <w:sz w:val="1"/>
                <w:szCs w:val="1"/>
                <w:color w:val="auto"/>
              </w:rPr>
            </w:pPr>
          </w:p>
        </w:tc>
        <w:tc>
          <w:tcPr>
            <w:tcW w:w="1060" w:type="dxa"/>
            <w:vAlign w:val="bottom"/>
            <w:shd w:val="clear" w:color="auto" w:fill="717073"/>
          </w:tcPr>
          <w:p>
            <w:pPr>
              <w:spacing w:after="0" w:line="20" w:lineRule="exact"/>
              <w:rPr>
                <w:sz w:val="1"/>
                <w:szCs w:val="1"/>
                <w:color w:val="auto"/>
              </w:rPr>
            </w:pPr>
          </w:p>
        </w:tc>
        <w:tc>
          <w:tcPr>
            <w:tcW w:w="420" w:type="dxa"/>
            <w:vAlign w:val="bottom"/>
            <w:shd w:val="clear" w:color="auto" w:fill="717073"/>
          </w:tcPr>
          <w:p>
            <w:pPr>
              <w:spacing w:after="0" w:line="20" w:lineRule="exact"/>
              <w:rPr>
                <w:sz w:val="1"/>
                <w:szCs w:val="1"/>
                <w:color w:val="auto"/>
              </w:rPr>
            </w:pPr>
          </w:p>
        </w:tc>
        <w:tc>
          <w:tcPr>
            <w:tcW w:w="780" w:type="dxa"/>
            <w:vAlign w:val="bottom"/>
            <w:shd w:val="clear" w:color="auto" w:fill="7170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4722495</wp:posOffset>
            </wp:positionH>
            <wp:positionV relativeFrom="paragraph">
              <wp:posOffset>-5104765</wp:posOffset>
            </wp:positionV>
            <wp:extent cx="729615" cy="3974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15" cy="3974465"/>
                    </a:xfrm>
                    <a:prstGeom prst="rect">
                      <a:avLst/>
                    </a:prstGeom>
                    <a:noFill/>
                  </pic:spPr>
                </pic:pic>
              </a:graphicData>
            </a:graphic>
          </wp:anchor>
        </w:drawing>
      </w:r>
    </w:p>
    <w:p>
      <w:pPr>
        <w:spacing w:after="0" w:line="173" w:lineRule="exact"/>
        <w:rPr>
          <w:sz w:val="20"/>
          <w:szCs w:val="20"/>
          <w:color w:val="auto"/>
        </w:rPr>
      </w:pPr>
    </w:p>
    <w:p>
      <w:pPr>
        <w:ind w:left="360" w:hanging="357"/>
        <w:spacing w:after="0" w:line="250" w:lineRule="auto"/>
        <w:tabs>
          <w:tab w:leader="none" w:pos="360" w:val="left"/>
        </w:tabs>
        <w:numPr>
          <w:ilvl w:val="0"/>
          <w:numId w:val="113"/>
        </w:numPr>
        <w:rPr>
          <w:rFonts w:ascii="Arial" w:cs="Arial" w:eastAsia="Arial" w:hAnsi="Arial"/>
          <w:sz w:val="17"/>
          <w:szCs w:val="17"/>
          <w:color w:val="373535"/>
        </w:rPr>
      </w:pPr>
      <w:r>
        <w:rPr>
          <w:rFonts w:ascii="Arial" w:cs="Arial" w:eastAsia="Arial" w:hAnsi="Arial"/>
          <w:sz w:val="17"/>
          <w:szCs w:val="17"/>
          <w:color w:val="373535"/>
        </w:rPr>
        <w:t>The United States revenues above represent revenues from our company-owned branches and franchise fees received from our franchise operations, which were $15.2, $14.6 and $13.6 for 2013, 2012 and 2011, respectively.</w:t>
      </w:r>
    </w:p>
    <w:p>
      <w:pPr>
        <w:spacing w:after="0" w:line="173" w:lineRule="exact"/>
        <w:rPr>
          <w:rFonts w:ascii="Arial" w:cs="Arial" w:eastAsia="Arial" w:hAnsi="Arial"/>
          <w:sz w:val="17"/>
          <w:szCs w:val="17"/>
          <w:color w:val="373535"/>
        </w:rPr>
      </w:pPr>
    </w:p>
    <w:p>
      <w:pPr>
        <w:ind w:left="360" w:hanging="357"/>
        <w:spacing w:after="0" w:line="250" w:lineRule="auto"/>
        <w:tabs>
          <w:tab w:leader="none" w:pos="360" w:val="left"/>
        </w:tabs>
        <w:numPr>
          <w:ilvl w:val="0"/>
          <w:numId w:val="113"/>
        </w:numPr>
        <w:rPr>
          <w:rFonts w:ascii="Arial" w:cs="Arial" w:eastAsia="Arial" w:hAnsi="Arial"/>
          <w:sz w:val="17"/>
          <w:szCs w:val="17"/>
          <w:color w:val="373535"/>
        </w:rPr>
      </w:pPr>
      <w:r>
        <w:rPr>
          <w:rFonts w:ascii="Arial" w:cs="Arial" w:eastAsia="Arial" w:hAnsi="Arial"/>
          <w:sz w:val="17"/>
          <w:szCs w:val="17"/>
          <w:color w:val="373535"/>
        </w:rPr>
        <w:t>Intangible asset amortization related to acquisitions is excluded from operating costs within the reportable segments and corporate expenses, and shown separately.</w:t>
      </w:r>
    </w:p>
    <w:p>
      <w:pPr>
        <w:spacing w:after="0" w:line="163" w:lineRule="exact"/>
        <w:rPr>
          <w:sz w:val="20"/>
          <w:szCs w:val="20"/>
          <w:color w:val="auto"/>
        </w:rPr>
      </w:pPr>
    </w:p>
    <w:p>
      <w:pPr>
        <w:ind w:left="460" w:hanging="457"/>
        <w:spacing w:after="0"/>
        <w:tabs>
          <w:tab w:leader="none" w:pos="460" w:val="left"/>
        </w:tabs>
        <w:numPr>
          <w:ilvl w:val="0"/>
          <w:numId w:val="114"/>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94"/>
        </w:trPr>
        <w:tc>
          <w:tcPr>
            <w:tcW w:w="7200" w:type="dxa"/>
            <w:vAlign w:val="bottom"/>
            <w:gridSpan w:val="2"/>
          </w:tcPr>
          <w:p>
            <w:pPr>
              <w:spacing w:after="0"/>
              <w:rPr>
                <w:sz w:val="20"/>
                <w:szCs w:val="20"/>
                <w:color w:val="auto"/>
              </w:rPr>
            </w:pPr>
            <w:r>
              <w:rPr>
                <w:rFonts w:ascii="Arial" w:cs="Arial" w:eastAsia="Arial" w:hAnsi="Arial"/>
                <w:sz w:val="14"/>
                <w:szCs w:val="14"/>
                <w:b w:val="1"/>
                <w:bCs w:val="1"/>
                <w:color w:val="76AD9A"/>
              </w:rPr>
              <w:t>Year Ended December 31</w:t>
            </w:r>
          </w:p>
        </w:tc>
        <w:tc>
          <w:tcPr>
            <w:tcW w:w="380" w:type="dxa"/>
            <w:vAlign w:val="bottom"/>
            <w:shd w:val="clear" w:color="auto" w:fill="76AD9A"/>
          </w:tcPr>
          <w:p>
            <w:pPr>
              <w:spacing w:after="0"/>
              <w:rPr>
                <w:sz w:val="16"/>
                <w:szCs w:val="16"/>
                <w:color w:val="auto"/>
              </w:rPr>
            </w:pPr>
          </w:p>
        </w:tc>
        <w:tc>
          <w:tcPr>
            <w:tcW w:w="100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60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76AD9A"/>
              </w:rPr>
              <w:t>2012</w:t>
            </w:r>
          </w:p>
        </w:tc>
        <w:tc>
          <w:tcPr>
            <w:tcW w:w="5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76AD9A"/>
              </w:rPr>
              <w:t>2011</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b w:val="1"/>
                <w:bCs w:val="1"/>
                <w:color w:val="777679"/>
              </w:rPr>
              <w:t>Depreciation and Amortization Expense</w:t>
            </w:r>
          </w:p>
        </w:tc>
        <w:tc>
          <w:tcPr>
            <w:tcW w:w="380" w:type="dxa"/>
            <w:vAlign w:val="bottom"/>
            <w:tcBorders>
              <w:top w:val="single" w:sz="8" w:color="76AD9A"/>
            </w:tcBorders>
            <w:shd w:val="clear" w:color="auto" w:fill="EEF5F2"/>
          </w:tcPr>
          <w:p>
            <w:pPr>
              <w:spacing w:after="0"/>
              <w:rPr>
                <w:sz w:val="16"/>
                <w:szCs w:val="16"/>
                <w:color w:val="auto"/>
              </w:rPr>
            </w:pPr>
          </w:p>
        </w:tc>
        <w:tc>
          <w:tcPr>
            <w:tcW w:w="1000" w:type="dxa"/>
            <w:vAlign w:val="bottom"/>
            <w:tcBorders>
              <w:top w:val="single" w:sz="8" w:color="76AD9A"/>
            </w:tcBorders>
            <w:shd w:val="clear" w:color="auto" w:fill="EEF5F2"/>
          </w:tcPr>
          <w:p>
            <w:pPr>
              <w:spacing w:after="0"/>
              <w:rPr>
                <w:sz w:val="16"/>
                <w:szCs w:val="16"/>
                <w:color w:val="auto"/>
              </w:rPr>
            </w:pPr>
          </w:p>
        </w:tc>
        <w:tc>
          <w:tcPr>
            <w:tcW w:w="600" w:type="dxa"/>
            <w:vAlign w:val="bottom"/>
            <w:tcBorders>
              <w:top w:val="single" w:sz="8" w:color="76AD9A"/>
            </w:tcBorders>
          </w:tcPr>
          <w:p>
            <w:pPr>
              <w:spacing w:after="0"/>
              <w:rPr>
                <w:sz w:val="16"/>
                <w:szCs w:val="16"/>
                <w:color w:val="auto"/>
              </w:rPr>
            </w:pPr>
          </w:p>
        </w:tc>
        <w:tc>
          <w:tcPr>
            <w:tcW w:w="900" w:type="dxa"/>
            <w:vAlign w:val="bottom"/>
            <w:tcBorders>
              <w:top w:val="single" w:sz="8" w:color="76AD9A"/>
            </w:tcBorders>
          </w:tcPr>
          <w:p>
            <w:pPr>
              <w:spacing w:after="0"/>
              <w:rPr>
                <w:sz w:val="16"/>
                <w:szCs w:val="16"/>
                <w:color w:val="auto"/>
              </w:rPr>
            </w:pPr>
          </w:p>
        </w:tc>
        <w:tc>
          <w:tcPr>
            <w:tcW w:w="580" w:type="dxa"/>
            <w:vAlign w:val="bottom"/>
            <w:tcBorders>
              <w:top w:val="single" w:sz="8" w:color="76AD9A"/>
            </w:tcBorders>
          </w:tcPr>
          <w:p>
            <w:pPr>
              <w:spacing w:after="0"/>
              <w:rPr>
                <w:sz w:val="16"/>
                <w:szCs w:val="16"/>
                <w:color w:val="auto"/>
              </w:rPr>
            </w:pPr>
          </w:p>
        </w:tc>
        <w:tc>
          <w:tcPr>
            <w:tcW w:w="660" w:type="dxa"/>
            <w:vAlign w:val="bottom"/>
            <w:tcBorders>
              <w:top w:val="single" w:sz="8" w:color="76AD9A"/>
            </w:tcBorders>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United States</w:t>
            </w:r>
          </w:p>
        </w:tc>
        <w:tc>
          <w:tcPr>
            <w:tcW w:w="380" w:type="dxa"/>
            <w:vAlign w:val="bottom"/>
            <w:shd w:val="clear" w:color="auto" w:fill="EEF5F2"/>
          </w:tcPr>
          <w:p>
            <w:pPr>
              <w:jc w:val="right"/>
              <w:ind w:right="54"/>
              <w:spacing w:after="0" w:line="194" w:lineRule="exact"/>
              <w:rPr>
                <w:sz w:val="20"/>
                <w:szCs w:val="20"/>
                <w:color w:val="auto"/>
              </w:rPr>
            </w:pPr>
            <w:r>
              <w:rPr>
                <w:rFonts w:ascii="Arial" w:cs="Arial" w:eastAsia="Arial" w:hAnsi="Arial"/>
                <w:sz w:val="17"/>
                <w:szCs w:val="17"/>
                <w:color w:val="76AD9A"/>
              </w:rPr>
              <w:t>$</w:t>
            </w: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12.3</w:t>
            </w:r>
          </w:p>
        </w:tc>
        <w:tc>
          <w:tcPr>
            <w:tcW w:w="60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13.4</w:t>
            </w:r>
          </w:p>
        </w:tc>
        <w:tc>
          <w:tcPr>
            <w:tcW w:w="5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13.5</w:t>
            </w: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380" w:type="dxa"/>
            <w:vAlign w:val="bottom"/>
            <w:tcBorders>
              <w:bottom w:val="single" w:sz="8" w:color="717073"/>
            </w:tcBorders>
            <w:shd w:val="clear" w:color="auto" w:fill="EEF5F2"/>
          </w:tcPr>
          <w:p>
            <w:pPr>
              <w:spacing w:after="0"/>
              <w:rPr>
                <w:sz w:val="16"/>
                <w:szCs w:val="16"/>
                <w:color w:val="auto"/>
              </w:rPr>
            </w:pPr>
          </w:p>
        </w:tc>
        <w:tc>
          <w:tcPr>
            <w:tcW w:w="100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4.5</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4.2</w:t>
            </w:r>
          </w:p>
        </w:tc>
        <w:tc>
          <w:tcPr>
            <w:tcW w:w="5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4.0</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380" w:type="dxa"/>
            <w:vAlign w:val="bottom"/>
            <w:tcBorders>
              <w:bottom w:val="single" w:sz="8" w:color="717073"/>
            </w:tcBorders>
            <w:shd w:val="clear" w:color="auto" w:fill="EEF5F2"/>
          </w:tcPr>
          <w:p>
            <w:pPr>
              <w:spacing w:after="0"/>
              <w:rPr>
                <w:sz w:val="16"/>
                <w:szCs w:val="16"/>
                <w:color w:val="auto"/>
              </w:rPr>
            </w:pPr>
          </w:p>
        </w:tc>
        <w:tc>
          <w:tcPr>
            <w:tcW w:w="100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16.8</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17.6</w:t>
            </w:r>
          </w:p>
        </w:tc>
        <w:tc>
          <w:tcPr>
            <w:tcW w:w="5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17.5</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Southern Europe: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14.1</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13.1</w:t>
            </w:r>
          </w:p>
        </w:tc>
        <w:tc>
          <w:tcPr>
            <w:tcW w:w="5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12.4</w:t>
            </w: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Italy</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2.6</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2.7</w:t>
            </w:r>
          </w:p>
        </w:tc>
        <w:tc>
          <w:tcPr>
            <w:tcW w:w="5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3.3</w:t>
            </w: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Southern Europe</w:t>
            </w:r>
          </w:p>
        </w:tc>
        <w:tc>
          <w:tcPr>
            <w:tcW w:w="380" w:type="dxa"/>
            <w:vAlign w:val="bottom"/>
            <w:tcBorders>
              <w:bottom w:val="single" w:sz="8" w:color="717073"/>
            </w:tcBorders>
            <w:shd w:val="clear" w:color="auto" w:fill="EEF5F2"/>
          </w:tcPr>
          <w:p>
            <w:pPr>
              <w:spacing w:after="0"/>
              <w:rPr>
                <w:sz w:val="16"/>
                <w:szCs w:val="16"/>
                <w:color w:val="auto"/>
              </w:rPr>
            </w:pPr>
          </w:p>
        </w:tc>
        <w:tc>
          <w:tcPr>
            <w:tcW w:w="100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2.2</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2.4</w:t>
            </w:r>
          </w:p>
        </w:tc>
        <w:tc>
          <w:tcPr>
            <w:tcW w:w="5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2.7</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380" w:type="dxa"/>
            <w:vAlign w:val="bottom"/>
            <w:tcBorders>
              <w:bottom w:val="single" w:sz="8" w:color="717073"/>
            </w:tcBorders>
            <w:shd w:val="clear" w:color="auto" w:fill="EEF5F2"/>
          </w:tcPr>
          <w:p>
            <w:pPr>
              <w:spacing w:after="0"/>
              <w:rPr>
                <w:sz w:val="16"/>
                <w:szCs w:val="16"/>
                <w:color w:val="auto"/>
              </w:rPr>
            </w:pPr>
          </w:p>
        </w:tc>
        <w:tc>
          <w:tcPr>
            <w:tcW w:w="100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18.9</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18.2</w:t>
            </w:r>
          </w:p>
        </w:tc>
        <w:tc>
          <w:tcPr>
            <w:tcW w:w="580" w:type="dxa"/>
            <w:vAlign w:val="bottom"/>
            <w:tcBorders>
              <w:bottom w:val="single" w:sz="8" w:color="717073"/>
            </w:tcBorders>
          </w:tcPr>
          <w:p>
            <w:pPr>
              <w:spacing w:after="0"/>
              <w:rPr>
                <w:sz w:val="16"/>
                <w:szCs w:val="16"/>
                <w:color w:val="auto"/>
              </w:rPr>
            </w:pPr>
          </w:p>
        </w:tc>
        <w:tc>
          <w:tcPr>
            <w:tcW w:w="66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18.4</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14.0</w:t>
            </w:r>
          </w:p>
        </w:tc>
        <w:tc>
          <w:tcPr>
            <w:tcW w:w="600" w:type="dxa"/>
            <w:vAlign w:val="bottom"/>
          </w:tcPr>
          <w:p>
            <w:pPr>
              <w:spacing w:after="0"/>
              <w:rPr>
                <w:sz w:val="16"/>
                <w:szCs w:val="16"/>
                <w:color w:val="auto"/>
              </w:rPr>
            </w:pPr>
          </w:p>
        </w:tc>
        <w:tc>
          <w:tcPr>
            <w:tcW w:w="900" w:type="dxa"/>
            <w:vAlign w:val="bottom"/>
          </w:tcPr>
          <w:p>
            <w:pPr>
              <w:jc w:val="right"/>
              <w:ind w:right="135"/>
              <w:spacing w:after="0" w:line="185" w:lineRule="exact"/>
              <w:rPr>
                <w:sz w:val="20"/>
                <w:szCs w:val="20"/>
                <w:color w:val="auto"/>
              </w:rPr>
            </w:pPr>
            <w:r>
              <w:rPr>
                <w:rFonts w:ascii="Arial" w:cs="Arial" w:eastAsia="Arial" w:hAnsi="Arial"/>
                <w:sz w:val="17"/>
                <w:szCs w:val="17"/>
                <w:color w:val="373535"/>
              </w:rPr>
              <w:t>15.8</w:t>
            </w:r>
          </w:p>
        </w:tc>
        <w:tc>
          <w:tcPr>
            <w:tcW w:w="580" w:type="dxa"/>
            <w:vAlign w:val="bottom"/>
          </w:tcPr>
          <w:p>
            <w:pPr>
              <w:spacing w:after="0"/>
              <w:rPr>
                <w:sz w:val="16"/>
                <w:szCs w:val="16"/>
                <w:color w:val="auto"/>
              </w:rPr>
            </w:pPr>
          </w:p>
        </w:tc>
        <w:tc>
          <w:tcPr>
            <w:tcW w:w="660" w:type="dxa"/>
            <w:vAlign w:val="bottom"/>
          </w:tcPr>
          <w:p>
            <w:pPr>
              <w:jc w:val="right"/>
              <w:spacing w:after="0" w:line="185" w:lineRule="exact"/>
              <w:rPr>
                <w:sz w:val="20"/>
                <w:szCs w:val="20"/>
                <w:color w:val="auto"/>
              </w:rPr>
            </w:pPr>
            <w:r>
              <w:rPr>
                <w:rFonts w:ascii="Arial" w:cs="Arial" w:eastAsia="Arial" w:hAnsi="Arial"/>
                <w:sz w:val="17"/>
                <w:szCs w:val="17"/>
                <w:color w:val="373535"/>
              </w:rPr>
              <w:t>17.0</w:t>
            </w:r>
          </w:p>
        </w:tc>
        <w:tc>
          <w:tcPr>
            <w:tcW w:w="6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4.8</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4.9</w:t>
            </w:r>
          </w:p>
        </w:tc>
        <w:tc>
          <w:tcPr>
            <w:tcW w:w="5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5.1</w:t>
            </w:r>
          </w:p>
        </w:tc>
        <w:tc>
          <w:tcPr>
            <w:tcW w:w="6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4.3</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5.1</w:t>
            </w:r>
          </w:p>
        </w:tc>
        <w:tc>
          <w:tcPr>
            <w:tcW w:w="580" w:type="dxa"/>
            <w:vAlign w:val="bottom"/>
          </w:tcPr>
          <w:p>
            <w:pPr>
              <w:spacing w:after="0"/>
              <w:rPr>
                <w:sz w:val="16"/>
                <w:szCs w:val="16"/>
                <w:color w:val="auto"/>
              </w:rPr>
            </w:pPr>
          </w:p>
        </w:tc>
        <w:tc>
          <w:tcPr>
            <w:tcW w:w="660" w:type="dxa"/>
            <w:vAlign w:val="bottom"/>
          </w:tcPr>
          <w:p>
            <w:pPr>
              <w:jc w:val="right"/>
              <w:spacing w:after="0" w:line="194" w:lineRule="exact"/>
              <w:rPr>
                <w:sz w:val="20"/>
                <w:szCs w:val="20"/>
                <w:color w:val="auto"/>
              </w:rPr>
            </w:pPr>
            <w:r>
              <w:rPr>
                <w:rFonts w:ascii="Arial" w:cs="Arial" w:eastAsia="Arial" w:hAnsi="Arial"/>
                <w:sz w:val="17"/>
                <w:szCs w:val="17"/>
                <w:color w:val="373535"/>
              </w:rPr>
              <w:t>5.9</w:t>
            </w:r>
          </w:p>
        </w:tc>
        <w:tc>
          <w:tcPr>
            <w:tcW w:w="60" w:type="dxa"/>
            <w:vAlign w:val="bottom"/>
          </w:tcPr>
          <w:p>
            <w:pPr>
              <w:spacing w:after="0"/>
              <w:rPr>
                <w:sz w:val="16"/>
                <w:szCs w:val="16"/>
                <w:color w:val="auto"/>
              </w:rPr>
            </w:pPr>
          </w:p>
        </w:tc>
      </w:tr>
      <w:tr>
        <w:trPr>
          <w:trHeight w:val="189"/>
        </w:trPr>
        <w:tc>
          <w:tcPr>
            <w:tcW w:w="7200" w:type="dxa"/>
            <w:vAlign w:val="bottom"/>
            <w:gridSpan w:val="2"/>
          </w:tcPr>
          <w:p>
            <w:pPr>
              <w:spacing w:after="0" w:line="189" w:lineRule="exact"/>
              <w:rPr>
                <w:sz w:val="20"/>
                <w:szCs w:val="20"/>
                <w:color w:val="auto"/>
              </w:rPr>
            </w:pPr>
            <w:r>
              <w:rPr>
                <w:rFonts w:ascii="Arial" w:cs="Arial" w:eastAsia="Arial" w:hAnsi="Arial"/>
                <w:sz w:val="17"/>
                <w:szCs w:val="17"/>
                <w:color w:val="373535"/>
              </w:rPr>
              <w:t>Corporate expenses</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89" w:lineRule="exact"/>
              <w:rPr>
                <w:sz w:val="20"/>
                <w:szCs w:val="20"/>
                <w:color w:val="auto"/>
              </w:rPr>
            </w:pPr>
            <w:r>
              <w:rPr>
                <w:rFonts w:ascii="Arial" w:cs="Arial" w:eastAsia="Arial" w:hAnsi="Arial"/>
                <w:sz w:val="17"/>
                <w:szCs w:val="17"/>
                <w:color w:val="76AD9A"/>
              </w:rPr>
              <w:t>1.4</w:t>
            </w:r>
          </w:p>
        </w:tc>
        <w:tc>
          <w:tcPr>
            <w:tcW w:w="600" w:type="dxa"/>
            <w:vAlign w:val="bottom"/>
          </w:tcPr>
          <w:p>
            <w:pPr>
              <w:spacing w:after="0"/>
              <w:rPr>
                <w:sz w:val="16"/>
                <w:szCs w:val="16"/>
                <w:color w:val="auto"/>
              </w:rPr>
            </w:pPr>
          </w:p>
        </w:tc>
        <w:tc>
          <w:tcPr>
            <w:tcW w:w="900" w:type="dxa"/>
            <w:vAlign w:val="bottom"/>
          </w:tcPr>
          <w:p>
            <w:pPr>
              <w:jc w:val="right"/>
              <w:ind w:right="135"/>
              <w:spacing w:after="0" w:line="189" w:lineRule="exact"/>
              <w:rPr>
                <w:sz w:val="20"/>
                <w:szCs w:val="20"/>
                <w:color w:val="auto"/>
              </w:rPr>
            </w:pPr>
            <w:r>
              <w:rPr>
                <w:rFonts w:ascii="Arial" w:cs="Arial" w:eastAsia="Arial" w:hAnsi="Arial"/>
                <w:sz w:val="17"/>
                <w:szCs w:val="17"/>
                <w:color w:val="373535"/>
              </w:rPr>
              <w:t>2.2</w:t>
            </w:r>
          </w:p>
        </w:tc>
        <w:tc>
          <w:tcPr>
            <w:tcW w:w="5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7"/>
                <w:szCs w:val="17"/>
                <w:color w:val="373535"/>
              </w:rPr>
              <w:t>1.6</w:t>
            </w:r>
          </w:p>
        </w:tc>
        <w:tc>
          <w:tcPr>
            <w:tcW w:w="60" w:type="dxa"/>
            <w:vAlign w:val="bottom"/>
          </w:tcPr>
          <w:p>
            <w:pPr>
              <w:spacing w:after="0"/>
              <w:rPr>
                <w:sz w:val="16"/>
                <w:szCs w:val="16"/>
                <w:color w:val="auto"/>
              </w:rPr>
            </w:pPr>
          </w:p>
        </w:tc>
      </w:tr>
      <w:tr>
        <w:trPr>
          <w:trHeight w:val="199"/>
        </w:trPr>
        <w:tc>
          <w:tcPr>
            <w:tcW w:w="7200" w:type="dxa"/>
            <w:vAlign w:val="bottom"/>
            <w:gridSpan w:val="2"/>
          </w:tcPr>
          <w:p>
            <w:pPr>
              <w:spacing w:after="0" w:line="199" w:lineRule="exact"/>
              <w:rPr>
                <w:sz w:val="20"/>
                <w:szCs w:val="20"/>
                <w:color w:val="auto"/>
              </w:rPr>
            </w:pPr>
            <w:r>
              <w:rPr>
                <w:rFonts w:ascii="Arial" w:cs="Arial" w:eastAsia="Arial" w:hAnsi="Arial"/>
                <w:sz w:val="17"/>
                <w:szCs w:val="17"/>
                <w:color w:val="373535"/>
              </w:rPr>
              <w:t>Amortization of intangible assets</w:t>
            </w:r>
            <w:r>
              <w:rPr>
                <w:rFonts w:ascii="Arial" w:cs="Arial" w:eastAsia="Arial" w:hAnsi="Arial"/>
                <w:sz w:val="23"/>
                <w:szCs w:val="23"/>
                <w:color w:val="373535"/>
                <w:vertAlign w:val="superscript"/>
              </w:rPr>
              <w:t>(a)</w:t>
            </w:r>
          </w:p>
        </w:tc>
        <w:tc>
          <w:tcPr>
            <w:tcW w:w="380" w:type="dxa"/>
            <w:vAlign w:val="bottom"/>
            <w:shd w:val="clear" w:color="auto" w:fill="EEF5F2"/>
          </w:tcPr>
          <w:p>
            <w:pPr>
              <w:spacing w:after="0"/>
              <w:rPr>
                <w:sz w:val="17"/>
                <w:szCs w:val="17"/>
                <w:color w:val="auto"/>
              </w:rPr>
            </w:pPr>
          </w:p>
        </w:tc>
        <w:tc>
          <w:tcPr>
            <w:tcW w:w="1000" w:type="dxa"/>
            <w:vAlign w:val="bottom"/>
            <w:shd w:val="clear" w:color="auto" w:fill="EEF5F2"/>
          </w:tcPr>
          <w:p>
            <w:pPr>
              <w:jc w:val="right"/>
              <w:ind w:right="135"/>
              <w:spacing w:after="0"/>
              <w:rPr>
                <w:sz w:val="20"/>
                <w:szCs w:val="20"/>
                <w:color w:val="auto"/>
              </w:rPr>
            </w:pPr>
            <w:r>
              <w:rPr>
                <w:rFonts w:ascii="Arial" w:cs="Arial" w:eastAsia="Arial" w:hAnsi="Arial"/>
                <w:sz w:val="17"/>
                <w:szCs w:val="17"/>
                <w:color w:val="76AD9A"/>
              </w:rPr>
              <w:t>34.1</w:t>
            </w:r>
          </w:p>
        </w:tc>
        <w:tc>
          <w:tcPr>
            <w:tcW w:w="600" w:type="dxa"/>
            <w:vAlign w:val="bottom"/>
          </w:tcPr>
          <w:p>
            <w:pPr>
              <w:spacing w:after="0"/>
              <w:rPr>
                <w:sz w:val="17"/>
                <w:szCs w:val="17"/>
                <w:color w:val="auto"/>
              </w:rPr>
            </w:pPr>
          </w:p>
        </w:tc>
        <w:tc>
          <w:tcPr>
            <w:tcW w:w="900" w:type="dxa"/>
            <w:vAlign w:val="bottom"/>
          </w:tcPr>
          <w:p>
            <w:pPr>
              <w:jc w:val="right"/>
              <w:ind w:right="135"/>
              <w:spacing w:after="0"/>
              <w:rPr>
                <w:sz w:val="20"/>
                <w:szCs w:val="20"/>
                <w:color w:val="auto"/>
              </w:rPr>
            </w:pPr>
            <w:r>
              <w:rPr>
                <w:rFonts w:ascii="Arial" w:cs="Arial" w:eastAsia="Arial" w:hAnsi="Arial"/>
                <w:sz w:val="17"/>
                <w:szCs w:val="17"/>
                <w:color w:val="373535"/>
              </w:rPr>
              <w:t>36.7</w:t>
            </w:r>
          </w:p>
        </w:tc>
        <w:tc>
          <w:tcPr>
            <w:tcW w:w="5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373535"/>
              </w:rPr>
              <w:t>38.9</w:t>
            </w:r>
          </w:p>
        </w:tc>
        <w:tc>
          <w:tcPr>
            <w:tcW w:w="6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bottom w:val="single" w:sz="8" w:color="717073"/>
            </w:tcBorders>
          </w:tcPr>
          <w:p>
            <w:pPr>
              <w:spacing w:after="0"/>
              <w:rPr>
                <w:sz w:val="16"/>
                <w:szCs w:val="16"/>
                <w:color w:val="auto"/>
              </w:rPr>
            </w:pPr>
          </w:p>
        </w:tc>
        <w:tc>
          <w:tcPr>
            <w:tcW w:w="380" w:type="dxa"/>
            <w:vAlign w:val="bottom"/>
            <w:tcBorders>
              <w:top w:val="single" w:sz="8" w:color="717073"/>
              <w:bottom w:val="single" w:sz="8" w:color="717073"/>
            </w:tcBorders>
            <w:shd w:val="clear" w:color="auto" w:fill="EEF5F2"/>
          </w:tcPr>
          <w:p>
            <w:pPr>
              <w:jc w:val="right"/>
              <w:ind w:right="54"/>
              <w:spacing w:after="0" w:line="186" w:lineRule="exact"/>
              <w:rPr>
                <w:sz w:val="20"/>
                <w:szCs w:val="20"/>
                <w:color w:val="auto"/>
              </w:rPr>
            </w:pPr>
            <w:r>
              <w:rPr>
                <w:rFonts w:ascii="Arial" w:cs="Arial" w:eastAsia="Arial" w:hAnsi="Arial"/>
                <w:sz w:val="17"/>
                <w:szCs w:val="17"/>
                <w:color w:val="76AD9A"/>
              </w:rPr>
              <w:t>$</w:t>
            </w:r>
          </w:p>
        </w:tc>
        <w:tc>
          <w:tcPr>
            <w:tcW w:w="1000" w:type="dxa"/>
            <w:vAlign w:val="bottom"/>
            <w:tcBorders>
              <w:top w:val="single" w:sz="8" w:color="717073"/>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94.3</w:t>
            </w:r>
          </w:p>
        </w:tc>
        <w:tc>
          <w:tcPr>
            <w:tcW w:w="600" w:type="dxa"/>
            <w:vAlign w:val="bottom"/>
            <w:tcBorders>
              <w:top w:val="single" w:sz="8" w:color="717073"/>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90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100.5</w:t>
            </w:r>
          </w:p>
        </w:tc>
        <w:tc>
          <w:tcPr>
            <w:tcW w:w="580" w:type="dxa"/>
            <w:vAlign w:val="bottom"/>
            <w:tcBorders>
              <w:top w:val="single" w:sz="8" w:color="717073"/>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104.4</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b w:val="1"/>
                <w:bCs w:val="1"/>
                <w:color w:val="777679"/>
              </w:rPr>
              <w:t>Earnings from Equity Investments</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United States</w:t>
            </w:r>
          </w:p>
        </w:tc>
        <w:tc>
          <w:tcPr>
            <w:tcW w:w="380" w:type="dxa"/>
            <w:vAlign w:val="bottom"/>
            <w:shd w:val="clear" w:color="auto" w:fill="EEF5F2"/>
          </w:tcPr>
          <w:p>
            <w:pPr>
              <w:jc w:val="right"/>
              <w:ind w:right="54"/>
              <w:spacing w:after="0" w:line="194" w:lineRule="exact"/>
              <w:rPr>
                <w:sz w:val="20"/>
                <w:szCs w:val="20"/>
                <w:color w:val="auto"/>
              </w:rPr>
            </w:pPr>
            <w:r>
              <w:rPr>
                <w:rFonts w:ascii="Arial" w:cs="Arial" w:eastAsia="Arial" w:hAnsi="Arial"/>
                <w:sz w:val="17"/>
                <w:szCs w:val="17"/>
                <w:color w:val="76AD9A"/>
              </w:rPr>
              <w:t>$</w:t>
            </w: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60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7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bottom w:val="single" w:sz="8" w:color="717073"/>
            </w:tcBorders>
          </w:tcPr>
          <w:p>
            <w:pPr>
              <w:spacing w:after="0"/>
              <w:rPr>
                <w:sz w:val="16"/>
                <w:szCs w:val="16"/>
                <w:color w:val="auto"/>
              </w:rPr>
            </w:pPr>
          </w:p>
        </w:tc>
        <w:tc>
          <w:tcPr>
            <w:tcW w:w="380" w:type="dxa"/>
            <w:vAlign w:val="bottom"/>
            <w:tcBorders>
              <w:top w:val="single" w:sz="8" w:color="717073"/>
              <w:bottom w:val="single" w:sz="8" w:color="717073"/>
            </w:tcBorders>
            <w:shd w:val="clear" w:color="auto" w:fill="EEF5F2"/>
          </w:tcPr>
          <w:p>
            <w:pPr>
              <w:spacing w:after="0"/>
              <w:rPr>
                <w:sz w:val="16"/>
                <w:szCs w:val="16"/>
                <w:color w:val="auto"/>
              </w:rPr>
            </w:pPr>
          </w:p>
        </w:tc>
        <w:tc>
          <w:tcPr>
            <w:tcW w:w="1000" w:type="dxa"/>
            <w:vAlign w:val="bottom"/>
            <w:tcBorders>
              <w:top w:val="single" w:sz="8" w:color="717073"/>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w:t>
            </w:r>
          </w:p>
        </w:tc>
        <w:tc>
          <w:tcPr>
            <w:tcW w:w="600" w:type="dxa"/>
            <w:vAlign w:val="bottom"/>
            <w:tcBorders>
              <w:top w:val="single" w:sz="8" w:color="717073"/>
              <w:bottom w:val="single" w:sz="8" w:color="717073"/>
            </w:tcBorders>
          </w:tcPr>
          <w:p>
            <w:pPr>
              <w:spacing w:after="0"/>
              <w:rPr>
                <w:sz w:val="16"/>
                <w:szCs w:val="16"/>
                <w:color w:val="auto"/>
              </w:rPr>
            </w:pPr>
          </w:p>
        </w:tc>
        <w:tc>
          <w:tcPr>
            <w:tcW w:w="90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w:t>
            </w:r>
          </w:p>
        </w:tc>
        <w:tc>
          <w:tcPr>
            <w:tcW w:w="580" w:type="dxa"/>
            <w:vAlign w:val="bottom"/>
            <w:tcBorders>
              <w:top w:val="single" w:sz="8" w:color="717073"/>
              <w:bottom w:val="single" w:sz="8" w:color="717073"/>
            </w:tcBorders>
          </w:tcPr>
          <w:p>
            <w:pPr>
              <w:spacing w:after="0"/>
              <w:rPr>
                <w:sz w:val="16"/>
                <w:szCs w:val="16"/>
                <w:color w:val="auto"/>
              </w:rPr>
            </w:pPr>
          </w:p>
        </w:tc>
        <w:tc>
          <w:tcPr>
            <w:tcW w:w="66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c>
          <w:tcPr>
            <w:tcW w:w="6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Southern Europe: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0.3</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(0.4)</w:t>
            </w: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Italy</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Other Southern Europe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20"/>
        </w:trPr>
        <w:tc>
          <w:tcPr>
            <w:tcW w:w="20" w:type="dxa"/>
            <w:vAlign w:val="bottom"/>
          </w:tcPr>
          <w:p>
            <w:pPr>
              <w:spacing w:after="0" w:line="20" w:lineRule="exact"/>
              <w:rPr>
                <w:sz w:val="1"/>
                <w:szCs w:val="1"/>
                <w:color w:val="auto"/>
              </w:rPr>
            </w:pPr>
          </w:p>
        </w:tc>
        <w:tc>
          <w:tcPr>
            <w:tcW w:w="7180" w:type="dxa"/>
            <w:vAlign w:val="bottom"/>
            <w:shd w:val="clear" w:color="auto" w:fill="717073"/>
          </w:tcPr>
          <w:p>
            <w:pPr>
              <w:spacing w:after="0" w:line="20" w:lineRule="exact"/>
              <w:rPr>
                <w:sz w:val="1"/>
                <w:szCs w:val="1"/>
                <w:color w:val="auto"/>
              </w:rPr>
            </w:pPr>
          </w:p>
        </w:tc>
        <w:tc>
          <w:tcPr>
            <w:tcW w:w="380" w:type="dxa"/>
            <w:vAlign w:val="bottom"/>
            <w:shd w:val="clear" w:color="auto" w:fill="717073"/>
          </w:tcPr>
          <w:p>
            <w:pPr>
              <w:spacing w:after="0" w:line="20" w:lineRule="exact"/>
              <w:rPr>
                <w:sz w:val="1"/>
                <w:szCs w:val="1"/>
                <w:color w:val="auto"/>
              </w:rPr>
            </w:pPr>
          </w:p>
        </w:tc>
        <w:tc>
          <w:tcPr>
            <w:tcW w:w="1000" w:type="dxa"/>
            <w:vAlign w:val="bottom"/>
            <w:shd w:val="clear" w:color="auto" w:fill="717073"/>
          </w:tcPr>
          <w:p>
            <w:pPr>
              <w:spacing w:after="0" w:line="20" w:lineRule="exact"/>
              <w:rPr>
                <w:sz w:val="1"/>
                <w:szCs w:val="1"/>
                <w:color w:val="auto"/>
              </w:rPr>
            </w:pPr>
          </w:p>
        </w:tc>
        <w:tc>
          <w:tcPr>
            <w:tcW w:w="600" w:type="dxa"/>
            <w:vAlign w:val="bottom"/>
            <w:shd w:val="clear" w:color="auto" w:fill="717073"/>
          </w:tcPr>
          <w:p>
            <w:pPr>
              <w:spacing w:after="0" w:line="20" w:lineRule="exact"/>
              <w:rPr>
                <w:sz w:val="1"/>
                <w:szCs w:val="1"/>
                <w:color w:val="auto"/>
              </w:rPr>
            </w:pPr>
          </w:p>
        </w:tc>
        <w:tc>
          <w:tcPr>
            <w:tcW w:w="900" w:type="dxa"/>
            <w:vAlign w:val="bottom"/>
            <w:shd w:val="clear" w:color="auto" w:fill="717073"/>
          </w:tcPr>
          <w:p>
            <w:pPr>
              <w:spacing w:after="0" w:line="20" w:lineRule="exact"/>
              <w:rPr>
                <w:sz w:val="1"/>
                <w:szCs w:val="1"/>
                <w:color w:val="auto"/>
              </w:rPr>
            </w:pPr>
          </w:p>
        </w:tc>
        <w:tc>
          <w:tcPr>
            <w:tcW w:w="580" w:type="dxa"/>
            <w:vAlign w:val="bottom"/>
            <w:shd w:val="clear" w:color="auto" w:fill="717073"/>
          </w:tcPr>
          <w:p>
            <w:pPr>
              <w:spacing w:after="0" w:line="20" w:lineRule="exact"/>
              <w:rPr>
                <w:sz w:val="1"/>
                <w:szCs w:val="1"/>
                <w:color w:val="auto"/>
              </w:rPr>
            </w:pPr>
          </w:p>
        </w:tc>
        <w:tc>
          <w:tcPr>
            <w:tcW w:w="660" w:type="dxa"/>
            <w:vAlign w:val="bottom"/>
            <w:shd w:val="clear" w:color="auto" w:fill="71707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180" w:type="dxa"/>
            <w:vAlign w:val="bottom"/>
          </w:tcPr>
          <w:p>
            <w:pPr>
              <w:spacing w:after="0"/>
              <w:rPr>
                <w:sz w:val="16"/>
                <w:szCs w:val="16"/>
                <w:color w:val="auto"/>
              </w:rPr>
            </w:pP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0.3</w:t>
            </w:r>
          </w:p>
        </w:tc>
        <w:tc>
          <w:tcPr>
            <w:tcW w:w="600" w:type="dxa"/>
            <w:vAlign w:val="bottom"/>
          </w:tcPr>
          <w:p>
            <w:pPr>
              <w:spacing w:after="0"/>
              <w:rPr>
                <w:sz w:val="16"/>
                <w:szCs w:val="16"/>
                <w:color w:val="auto"/>
              </w:rPr>
            </w:pPr>
          </w:p>
        </w:tc>
        <w:tc>
          <w:tcPr>
            <w:tcW w:w="900" w:type="dxa"/>
            <w:vAlign w:val="bottom"/>
          </w:tcPr>
          <w:p>
            <w:pPr>
              <w:jc w:val="right"/>
              <w:ind w:right="135"/>
              <w:spacing w:after="0" w:line="186"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spacing w:after="0" w:line="186" w:lineRule="exact"/>
              <w:rPr>
                <w:sz w:val="20"/>
                <w:szCs w:val="20"/>
                <w:color w:val="auto"/>
              </w:rPr>
            </w:pPr>
            <w:r>
              <w:rPr>
                <w:rFonts w:ascii="Arial" w:cs="Arial" w:eastAsia="Arial" w:hAnsi="Arial"/>
                <w:sz w:val="17"/>
                <w:szCs w:val="17"/>
                <w:color w:val="373535"/>
              </w:rPr>
              <w:t>(0.4)</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Northern Europe</w:t>
            </w:r>
          </w:p>
        </w:tc>
        <w:tc>
          <w:tcPr>
            <w:tcW w:w="380" w:type="dxa"/>
            <w:vAlign w:val="bottom"/>
            <w:tcBorders>
              <w:top w:val="single" w:sz="8" w:color="717073"/>
            </w:tcBorders>
            <w:shd w:val="clear" w:color="auto" w:fill="EEF5F2"/>
          </w:tcPr>
          <w:p>
            <w:pPr>
              <w:spacing w:after="0"/>
              <w:rPr>
                <w:sz w:val="16"/>
                <w:szCs w:val="16"/>
                <w:color w:val="auto"/>
              </w:rPr>
            </w:pPr>
          </w:p>
        </w:tc>
        <w:tc>
          <w:tcPr>
            <w:tcW w:w="1000" w:type="dxa"/>
            <w:vAlign w:val="bottom"/>
            <w:tcBorders>
              <w:top w:val="single" w:sz="8" w:color="717073"/>
            </w:tcBorders>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6.9</w:t>
            </w:r>
          </w:p>
        </w:tc>
        <w:tc>
          <w:tcPr>
            <w:tcW w:w="600" w:type="dxa"/>
            <w:vAlign w:val="bottom"/>
            <w:tcBorders>
              <w:top w:val="single" w:sz="8" w:color="717073"/>
            </w:tcBorders>
          </w:tcPr>
          <w:p>
            <w:pPr>
              <w:spacing w:after="0"/>
              <w:rPr>
                <w:sz w:val="16"/>
                <w:szCs w:val="16"/>
                <w:color w:val="auto"/>
              </w:rPr>
            </w:pPr>
          </w:p>
        </w:tc>
        <w:tc>
          <w:tcPr>
            <w:tcW w:w="900" w:type="dxa"/>
            <w:vAlign w:val="bottom"/>
            <w:tcBorders>
              <w:top w:val="single" w:sz="8" w:color="717073"/>
            </w:tcBorders>
          </w:tcPr>
          <w:p>
            <w:pPr>
              <w:jc w:val="right"/>
              <w:ind w:right="135"/>
              <w:spacing w:after="0" w:line="185" w:lineRule="exact"/>
              <w:rPr>
                <w:sz w:val="20"/>
                <w:szCs w:val="20"/>
                <w:color w:val="auto"/>
              </w:rPr>
            </w:pPr>
            <w:r>
              <w:rPr>
                <w:rFonts w:ascii="Arial" w:cs="Arial" w:eastAsia="Arial" w:hAnsi="Arial"/>
                <w:sz w:val="17"/>
                <w:szCs w:val="17"/>
                <w:color w:val="373535"/>
              </w:rPr>
              <w:t>2.5</w:t>
            </w:r>
          </w:p>
        </w:tc>
        <w:tc>
          <w:tcPr>
            <w:tcW w:w="580" w:type="dxa"/>
            <w:vAlign w:val="bottom"/>
            <w:tcBorders>
              <w:top w:val="single" w:sz="8" w:color="717073"/>
            </w:tcBorders>
          </w:tcPr>
          <w:p>
            <w:pPr>
              <w:spacing w:after="0"/>
              <w:rPr>
                <w:sz w:val="16"/>
                <w:szCs w:val="16"/>
                <w:color w:val="auto"/>
              </w:rPr>
            </w:pPr>
          </w:p>
        </w:tc>
        <w:tc>
          <w:tcPr>
            <w:tcW w:w="660" w:type="dxa"/>
            <w:vAlign w:val="bottom"/>
            <w:tcBorders>
              <w:top w:val="single" w:sz="8" w:color="717073"/>
            </w:tcBorders>
          </w:tcPr>
          <w:p>
            <w:pPr>
              <w:jc w:val="right"/>
              <w:spacing w:after="0" w:line="185" w:lineRule="exact"/>
              <w:rPr>
                <w:sz w:val="20"/>
                <w:szCs w:val="20"/>
                <w:color w:val="auto"/>
              </w:rPr>
            </w:pPr>
            <w:r>
              <w:rPr>
                <w:rFonts w:ascii="Arial" w:cs="Arial" w:eastAsia="Arial" w:hAnsi="Arial"/>
                <w:sz w:val="17"/>
                <w:szCs w:val="17"/>
                <w:color w:val="373535"/>
              </w:rPr>
              <w:t>4.3</w:t>
            </w:r>
          </w:p>
        </w:tc>
        <w:tc>
          <w:tcPr>
            <w:tcW w:w="6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380" w:type="dxa"/>
            <w:vAlign w:val="bottom"/>
            <w:shd w:val="clear" w:color="auto" w:fill="EEF5F2"/>
          </w:tcPr>
          <w:p>
            <w:pPr>
              <w:spacing w:after="0"/>
              <w:rPr>
                <w:sz w:val="16"/>
                <w:szCs w:val="16"/>
                <w:color w:val="auto"/>
              </w:rPr>
            </w:pPr>
          </w:p>
        </w:tc>
        <w:tc>
          <w:tcPr>
            <w:tcW w:w="10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80" w:type="dxa"/>
            <w:vAlign w:val="bottom"/>
          </w:tcPr>
          <w:p>
            <w:pPr>
              <w:spacing w:after="0"/>
              <w:rPr>
                <w:sz w:val="16"/>
                <w:szCs w:val="16"/>
                <w:color w:val="auto"/>
              </w:rPr>
            </w:pPr>
          </w:p>
        </w:tc>
        <w:tc>
          <w:tcPr>
            <w:tcW w:w="72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bottom w:val="single" w:sz="8" w:color="717073"/>
            </w:tcBorders>
          </w:tcPr>
          <w:p>
            <w:pPr>
              <w:spacing w:after="0"/>
              <w:rPr>
                <w:sz w:val="16"/>
                <w:szCs w:val="16"/>
                <w:color w:val="auto"/>
              </w:rPr>
            </w:pPr>
          </w:p>
        </w:tc>
        <w:tc>
          <w:tcPr>
            <w:tcW w:w="380" w:type="dxa"/>
            <w:vAlign w:val="bottom"/>
            <w:tcBorders>
              <w:top w:val="single" w:sz="8" w:color="717073"/>
              <w:bottom w:val="single" w:sz="8" w:color="717073"/>
            </w:tcBorders>
            <w:shd w:val="clear" w:color="auto" w:fill="EEF5F2"/>
          </w:tcPr>
          <w:p>
            <w:pPr>
              <w:jc w:val="right"/>
              <w:ind w:right="54"/>
              <w:spacing w:after="0" w:line="186" w:lineRule="exact"/>
              <w:rPr>
                <w:sz w:val="20"/>
                <w:szCs w:val="20"/>
                <w:color w:val="auto"/>
              </w:rPr>
            </w:pPr>
            <w:r>
              <w:rPr>
                <w:rFonts w:ascii="Arial" w:cs="Arial" w:eastAsia="Arial" w:hAnsi="Arial"/>
                <w:sz w:val="17"/>
                <w:szCs w:val="17"/>
                <w:color w:val="76AD9A"/>
              </w:rPr>
              <w:t>$</w:t>
            </w:r>
          </w:p>
        </w:tc>
        <w:tc>
          <w:tcPr>
            <w:tcW w:w="1000" w:type="dxa"/>
            <w:vAlign w:val="bottom"/>
            <w:tcBorders>
              <w:top w:val="single" w:sz="8" w:color="717073"/>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7.2</w:t>
            </w:r>
          </w:p>
        </w:tc>
        <w:tc>
          <w:tcPr>
            <w:tcW w:w="600" w:type="dxa"/>
            <w:vAlign w:val="bottom"/>
            <w:tcBorders>
              <w:top w:val="single" w:sz="8" w:color="717073"/>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90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2.5</w:t>
            </w:r>
          </w:p>
        </w:tc>
        <w:tc>
          <w:tcPr>
            <w:tcW w:w="580" w:type="dxa"/>
            <w:vAlign w:val="bottom"/>
            <w:tcBorders>
              <w:top w:val="single" w:sz="8" w:color="717073"/>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6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3.9</w:t>
            </w:r>
          </w:p>
        </w:tc>
        <w:tc>
          <w:tcPr>
            <w:tcW w:w="60" w:type="dxa"/>
            <w:vAlign w:val="bottom"/>
          </w:tcPr>
          <w:p>
            <w:pPr>
              <w:spacing w:after="0"/>
              <w:rPr>
                <w:sz w:val="16"/>
                <w:szCs w:val="16"/>
                <w:color w:val="auto"/>
              </w:rPr>
            </w:pPr>
          </w:p>
        </w:tc>
      </w:tr>
    </w:tbl>
    <w:p>
      <w:pPr>
        <w:spacing w:after="0" w:line="193" w:lineRule="exact"/>
        <w:rPr>
          <w:sz w:val="20"/>
          <w:szCs w:val="20"/>
          <w:color w:val="auto"/>
        </w:rPr>
      </w:pPr>
    </w:p>
    <w:p>
      <w:pPr>
        <w:ind w:left="360" w:hanging="357"/>
        <w:spacing w:after="0" w:line="250" w:lineRule="auto"/>
        <w:tabs>
          <w:tab w:leader="none" w:pos="360" w:val="left"/>
        </w:tabs>
        <w:numPr>
          <w:ilvl w:val="0"/>
          <w:numId w:val="115"/>
        </w:numPr>
        <w:rPr>
          <w:rFonts w:ascii="Arial" w:cs="Arial" w:eastAsia="Arial" w:hAnsi="Arial"/>
          <w:sz w:val="17"/>
          <w:szCs w:val="17"/>
          <w:color w:val="373535"/>
        </w:rPr>
      </w:pPr>
      <w:r>
        <w:rPr>
          <w:rFonts w:ascii="Arial" w:cs="Arial" w:eastAsia="Arial" w:hAnsi="Arial"/>
          <w:sz w:val="17"/>
          <w:szCs w:val="17"/>
          <w:color w:val="373535"/>
        </w:rPr>
        <w:t>Intangible asset amortization related to acquisitions is excluded from operating costs within the reportable segments and corporate expenses, and shown separately.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120" w:type="dxa"/>
            <w:vAlign w:val="bottom"/>
          </w:tcPr>
          <w:p>
            <w:pPr>
              <w:ind w:left="5820"/>
              <w:spacing w:after="0"/>
              <w:rPr>
                <w:sz w:val="20"/>
                <w:szCs w:val="20"/>
                <w:color w:val="auto"/>
              </w:rPr>
            </w:pPr>
            <w:r>
              <w:rPr>
                <w:rFonts w:ascii="Arial" w:cs="Arial" w:eastAsia="Arial" w:hAnsi="Arial"/>
                <w:sz w:val="14"/>
                <w:szCs w:val="14"/>
                <w:b w:val="1"/>
                <w:bCs w:val="1"/>
                <w:color w:val="777679"/>
              </w:rPr>
              <w:t>Notes to Consolidated Financial Statements</w:t>
            </w:r>
            <w:r>
              <w:rPr>
                <w:rFonts w:ascii="Arial" w:cs="Arial" w:eastAsia="Arial" w:hAnsi="Arial"/>
                <w:sz w:val="14"/>
                <w:szCs w:val="14"/>
                <w:color w:val="373535"/>
              </w:rPr>
              <w:t>ManpowerGroup 2013 Annual Report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373535"/>
              </w:rPr>
              <w:t>81</w:t>
            </w:r>
          </w:p>
        </w:tc>
      </w:tr>
      <w:tr>
        <w:trPr>
          <w:trHeight w:val="418"/>
        </w:trPr>
        <w:tc>
          <w:tcPr>
            <w:tcW w:w="11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6"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200" w:type="dxa"/>
            <w:vAlign w:val="bottom"/>
            <w:gridSpan w:val="2"/>
          </w:tcPr>
          <w:p>
            <w:pPr>
              <w:spacing w:after="0"/>
              <w:rPr>
                <w:sz w:val="20"/>
                <w:szCs w:val="20"/>
                <w:color w:val="auto"/>
              </w:rPr>
            </w:pPr>
            <w:r>
              <w:rPr>
                <w:rFonts w:ascii="Arial" w:cs="Arial" w:eastAsia="Arial" w:hAnsi="Arial"/>
                <w:sz w:val="14"/>
                <w:szCs w:val="14"/>
                <w:b w:val="1"/>
                <w:bCs w:val="1"/>
                <w:color w:val="76AD9A"/>
              </w:rPr>
              <w:t>Year Ended December 31</w:t>
            </w:r>
          </w:p>
        </w:tc>
        <w:tc>
          <w:tcPr>
            <w:tcW w:w="320" w:type="dxa"/>
            <w:vAlign w:val="bottom"/>
            <w:shd w:val="clear" w:color="auto" w:fill="76AD9A"/>
          </w:tcPr>
          <w:p>
            <w:pPr>
              <w:spacing w:after="0"/>
              <w:rPr>
                <w:sz w:val="16"/>
                <w:szCs w:val="16"/>
                <w:color w:val="auto"/>
              </w:rPr>
            </w:pPr>
          </w:p>
        </w:tc>
        <w:tc>
          <w:tcPr>
            <w:tcW w:w="106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520" w:type="dxa"/>
            <w:vAlign w:val="bottom"/>
          </w:tcPr>
          <w:p>
            <w:pPr>
              <w:spacing w:after="0"/>
              <w:rPr>
                <w:sz w:val="16"/>
                <w:szCs w:val="16"/>
                <w:color w:val="auto"/>
              </w:rPr>
            </w:pPr>
          </w:p>
        </w:tc>
        <w:tc>
          <w:tcPr>
            <w:tcW w:w="980" w:type="dxa"/>
            <w:vAlign w:val="bottom"/>
          </w:tcPr>
          <w:p>
            <w:pPr>
              <w:jc w:val="right"/>
              <w:ind w:right="135"/>
              <w:spacing w:after="0"/>
              <w:rPr>
                <w:sz w:val="20"/>
                <w:szCs w:val="20"/>
                <w:color w:val="auto"/>
              </w:rPr>
            </w:pPr>
            <w:r>
              <w:rPr>
                <w:rFonts w:ascii="Arial" w:cs="Arial" w:eastAsia="Arial" w:hAnsi="Arial"/>
                <w:sz w:val="14"/>
                <w:szCs w:val="14"/>
                <w:b w:val="1"/>
                <w:bCs w:val="1"/>
                <w:color w:val="76AD9A"/>
              </w:rPr>
              <w:t>2012</w:t>
            </w:r>
          </w:p>
        </w:tc>
        <w:tc>
          <w:tcPr>
            <w:tcW w:w="5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76AD9A"/>
              </w:rPr>
              <w:t>2011</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b w:val="1"/>
                <w:bCs w:val="1"/>
                <w:color w:val="777679"/>
              </w:rPr>
              <w:t>Total Assets</w:t>
            </w:r>
          </w:p>
        </w:tc>
        <w:tc>
          <w:tcPr>
            <w:tcW w:w="320" w:type="dxa"/>
            <w:vAlign w:val="bottom"/>
            <w:tcBorders>
              <w:top w:val="single" w:sz="8" w:color="76AD9A"/>
            </w:tcBorders>
            <w:shd w:val="clear" w:color="auto" w:fill="EEF5F2"/>
          </w:tcPr>
          <w:p>
            <w:pPr>
              <w:spacing w:after="0"/>
              <w:rPr>
                <w:sz w:val="16"/>
                <w:szCs w:val="16"/>
                <w:color w:val="auto"/>
              </w:rPr>
            </w:pPr>
          </w:p>
        </w:tc>
        <w:tc>
          <w:tcPr>
            <w:tcW w:w="1060" w:type="dxa"/>
            <w:vAlign w:val="bottom"/>
            <w:tcBorders>
              <w:top w:val="single" w:sz="8" w:color="76AD9A"/>
            </w:tcBorders>
            <w:shd w:val="clear" w:color="auto" w:fill="EEF5F2"/>
          </w:tcPr>
          <w:p>
            <w:pPr>
              <w:spacing w:after="0"/>
              <w:rPr>
                <w:sz w:val="16"/>
                <w:szCs w:val="16"/>
                <w:color w:val="auto"/>
              </w:rPr>
            </w:pPr>
          </w:p>
        </w:tc>
        <w:tc>
          <w:tcPr>
            <w:tcW w:w="520" w:type="dxa"/>
            <w:vAlign w:val="bottom"/>
            <w:tcBorders>
              <w:top w:val="single" w:sz="8" w:color="76AD9A"/>
            </w:tcBorders>
          </w:tcPr>
          <w:p>
            <w:pPr>
              <w:spacing w:after="0"/>
              <w:rPr>
                <w:sz w:val="16"/>
                <w:szCs w:val="16"/>
                <w:color w:val="auto"/>
              </w:rPr>
            </w:pPr>
          </w:p>
        </w:tc>
        <w:tc>
          <w:tcPr>
            <w:tcW w:w="980" w:type="dxa"/>
            <w:vAlign w:val="bottom"/>
            <w:tcBorders>
              <w:top w:val="single" w:sz="8" w:color="76AD9A"/>
            </w:tcBorders>
          </w:tcPr>
          <w:p>
            <w:pPr>
              <w:spacing w:after="0"/>
              <w:rPr>
                <w:sz w:val="16"/>
                <w:szCs w:val="16"/>
                <w:color w:val="auto"/>
              </w:rPr>
            </w:pPr>
          </w:p>
        </w:tc>
        <w:tc>
          <w:tcPr>
            <w:tcW w:w="500" w:type="dxa"/>
            <w:vAlign w:val="bottom"/>
            <w:tcBorders>
              <w:top w:val="single" w:sz="8" w:color="76AD9A"/>
            </w:tcBorders>
          </w:tcPr>
          <w:p>
            <w:pPr>
              <w:spacing w:after="0"/>
              <w:rPr>
                <w:sz w:val="16"/>
                <w:szCs w:val="16"/>
                <w:color w:val="auto"/>
              </w:rPr>
            </w:pPr>
          </w:p>
        </w:tc>
        <w:tc>
          <w:tcPr>
            <w:tcW w:w="740" w:type="dxa"/>
            <w:vAlign w:val="bottom"/>
            <w:tcBorders>
              <w:top w:val="single" w:sz="8" w:color="76AD9A"/>
            </w:tcBorders>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United States</w:t>
            </w:r>
          </w:p>
        </w:tc>
        <w:tc>
          <w:tcPr>
            <w:tcW w:w="3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1,476.3</w:t>
            </w:r>
          </w:p>
        </w:tc>
        <w:tc>
          <w:tcPr>
            <w:tcW w:w="520" w:type="dxa"/>
            <w:vAlign w:val="bottom"/>
          </w:tcPr>
          <w:p>
            <w:pPr>
              <w:jc w:val="right"/>
              <w:ind w:right="74"/>
              <w:spacing w:after="0" w:line="194" w:lineRule="exact"/>
              <w:rPr>
                <w:sz w:val="20"/>
                <w:szCs w:val="20"/>
                <w:color w:val="auto"/>
              </w:rPr>
            </w:pPr>
            <w:r>
              <w:rPr>
                <w:rFonts w:ascii="Arial" w:cs="Arial" w:eastAsia="Arial" w:hAnsi="Arial"/>
                <w:sz w:val="17"/>
                <w:szCs w:val="17"/>
                <w:color w:val="373535"/>
              </w:rPr>
              <w:t>$</w:t>
            </w: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1,511.0</w:t>
            </w:r>
          </w:p>
        </w:tc>
        <w:tc>
          <w:tcPr>
            <w:tcW w:w="500" w:type="dxa"/>
            <w:vAlign w:val="bottom"/>
          </w:tcPr>
          <w:p>
            <w:pPr>
              <w:jc w:val="right"/>
              <w:ind w:right="74"/>
              <w:spacing w:after="0" w:line="194" w:lineRule="exact"/>
              <w:rPr>
                <w:sz w:val="20"/>
                <w:szCs w:val="20"/>
                <w:color w:val="auto"/>
              </w:rPr>
            </w:pPr>
            <w:r>
              <w:rPr>
                <w:rFonts w:ascii="Arial" w:cs="Arial" w:eastAsia="Arial" w:hAnsi="Arial"/>
                <w:sz w:val="17"/>
                <w:szCs w:val="17"/>
                <w:color w:val="373535"/>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1,429.9</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266.9</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317.5</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291.8</w:t>
            </w: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1,743.2</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1,828.5</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1,721.7</w:t>
            </w: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Southern Europe: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1,950.3</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1,756.2</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1,822.7</w:t>
            </w: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Italy</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218.3</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301.2</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301.3</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Southern Europe</w:t>
            </w: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209.1</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187.8</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170.3</w:t>
            </w: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2,377.7</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2,245.2</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2,294.3</w:t>
            </w: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1,951.8</w:t>
            </w:r>
          </w:p>
        </w:tc>
        <w:tc>
          <w:tcPr>
            <w:tcW w:w="520" w:type="dxa"/>
            <w:vAlign w:val="bottom"/>
          </w:tcPr>
          <w:p>
            <w:pPr>
              <w:spacing w:after="0"/>
              <w:rPr>
                <w:sz w:val="16"/>
                <w:szCs w:val="16"/>
                <w:color w:val="auto"/>
              </w:rPr>
            </w:pPr>
          </w:p>
        </w:tc>
        <w:tc>
          <w:tcPr>
            <w:tcW w:w="980" w:type="dxa"/>
            <w:vAlign w:val="bottom"/>
          </w:tcPr>
          <w:p>
            <w:pPr>
              <w:jc w:val="right"/>
              <w:ind w:right="135"/>
              <w:spacing w:after="0" w:line="185" w:lineRule="exact"/>
              <w:rPr>
                <w:sz w:val="20"/>
                <w:szCs w:val="20"/>
                <w:color w:val="auto"/>
              </w:rPr>
            </w:pPr>
            <w:r>
              <w:rPr>
                <w:rFonts w:ascii="Arial" w:cs="Arial" w:eastAsia="Arial" w:hAnsi="Arial"/>
                <w:sz w:val="17"/>
                <w:szCs w:val="17"/>
                <w:color w:val="373535"/>
              </w:rPr>
              <w:t>1,732.5</w:t>
            </w:r>
          </w:p>
        </w:tc>
        <w:tc>
          <w:tcPr>
            <w:tcW w:w="500" w:type="dxa"/>
            <w:vAlign w:val="bottom"/>
          </w:tcPr>
          <w:p>
            <w:pPr>
              <w:spacing w:after="0"/>
              <w:rPr>
                <w:sz w:val="16"/>
                <w:szCs w:val="16"/>
                <w:color w:val="auto"/>
              </w:rPr>
            </w:pPr>
          </w:p>
        </w:tc>
        <w:tc>
          <w:tcPr>
            <w:tcW w:w="740" w:type="dxa"/>
            <w:vAlign w:val="bottom"/>
          </w:tcPr>
          <w:p>
            <w:pPr>
              <w:jc w:val="right"/>
              <w:spacing w:after="0" w:line="185" w:lineRule="exact"/>
              <w:rPr>
                <w:sz w:val="20"/>
                <w:szCs w:val="20"/>
                <w:color w:val="auto"/>
              </w:rPr>
            </w:pPr>
            <w:r>
              <w:rPr>
                <w:rFonts w:ascii="Arial" w:cs="Arial" w:eastAsia="Arial" w:hAnsi="Arial"/>
                <w:sz w:val="17"/>
                <w:szCs w:val="17"/>
                <w:color w:val="373535"/>
              </w:rPr>
              <w:t>1,714.3</w:t>
            </w: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466.7</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491.7</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472.4</w:t>
            </w:r>
          </w:p>
        </w:tc>
      </w:tr>
      <w:tr>
        <w:trPr>
          <w:trHeight w:val="189"/>
        </w:trPr>
        <w:tc>
          <w:tcPr>
            <w:tcW w:w="7200" w:type="dxa"/>
            <w:vAlign w:val="bottom"/>
            <w:gridSpan w:val="2"/>
          </w:tcPr>
          <w:p>
            <w:pPr>
              <w:spacing w:after="0" w:line="189" w:lineRule="exact"/>
              <w:rPr>
                <w:sz w:val="20"/>
                <w:szCs w:val="20"/>
                <w:color w:val="auto"/>
              </w:rPr>
            </w:pPr>
            <w:r>
              <w:rPr>
                <w:rFonts w:ascii="Arial" w:cs="Arial" w:eastAsia="Arial" w:hAnsi="Arial"/>
                <w:sz w:val="17"/>
                <w:szCs w:val="17"/>
                <w:color w:val="373535"/>
              </w:rPr>
              <w:t>Right Management</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89" w:lineRule="exact"/>
              <w:rPr>
                <w:sz w:val="20"/>
                <w:szCs w:val="20"/>
                <w:color w:val="auto"/>
              </w:rPr>
            </w:pPr>
            <w:r>
              <w:rPr>
                <w:rFonts w:ascii="Arial" w:cs="Arial" w:eastAsia="Arial" w:hAnsi="Arial"/>
                <w:sz w:val="17"/>
                <w:szCs w:val="17"/>
                <w:color w:val="76AD9A"/>
              </w:rPr>
              <w:t>134.4</w:t>
            </w:r>
          </w:p>
        </w:tc>
        <w:tc>
          <w:tcPr>
            <w:tcW w:w="520" w:type="dxa"/>
            <w:vAlign w:val="bottom"/>
          </w:tcPr>
          <w:p>
            <w:pPr>
              <w:spacing w:after="0"/>
              <w:rPr>
                <w:sz w:val="16"/>
                <w:szCs w:val="16"/>
                <w:color w:val="auto"/>
              </w:rPr>
            </w:pPr>
          </w:p>
        </w:tc>
        <w:tc>
          <w:tcPr>
            <w:tcW w:w="980" w:type="dxa"/>
            <w:vAlign w:val="bottom"/>
          </w:tcPr>
          <w:p>
            <w:pPr>
              <w:jc w:val="right"/>
              <w:ind w:right="135"/>
              <w:spacing w:after="0" w:line="189" w:lineRule="exact"/>
              <w:rPr>
                <w:sz w:val="20"/>
                <w:szCs w:val="20"/>
                <w:color w:val="auto"/>
              </w:rPr>
            </w:pPr>
            <w:r>
              <w:rPr>
                <w:rFonts w:ascii="Arial" w:cs="Arial" w:eastAsia="Arial" w:hAnsi="Arial"/>
                <w:sz w:val="17"/>
                <w:szCs w:val="17"/>
                <w:color w:val="373535"/>
              </w:rPr>
              <w:t>95.4</w:t>
            </w:r>
          </w:p>
        </w:tc>
        <w:tc>
          <w:tcPr>
            <w:tcW w:w="5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7"/>
                <w:szCs w:val="17"/>
                <w:color w:val="373535"/>
              </w:rPr>
              <w:t>75.7</w:t>
            </w:r>
          </w:p>
        </w:tc>
      </w:tr>
      <w:tr>
        <w:trPr>
          <w:trHeight w:val="199"/>
        </w:trPr>
        <w:tc>
          <w:tcPr>
            <w:tcW w:w="7200" w:type="dxa"/>
            <w:vAlign w:val="bottom"/>
            <w:gridSpan w:val="2"/>
          </w:tcPr>
          <w:p>
            <w:pPr>
              <w:spacing w:after="0" w:line="199" w:lineRule="exact"/>
              <w:rPr>
                <w:sz w:val="20"/>
                <w:szCs w:val="20"/>
                <w:color w:val="auto"/>
              </w:rPr>
            </w:pPr>
            <w:r>
              <w:rPr>
                <w:rFonts w:ascii="Arial" w:cs="Arial" w:eastAsia="Arial" w:hAnsi="Arial"/>
                <w:sz w:val="17"/>
                <w:szCs w:val="17"/>
                <w:color w:val="373535"/>
              </w:rPr>
              <w:t>Corporate</w:t>
            </w:r>
            <w:r>
              <w:rPr>
                <w:rFonts w:ascii="Arial" w:cs="Arial" w:eastAsia="Arial" w:hAnsi="Arial"/>
                <w:sz w:val="23"/>
                <w:szCs w:val="23"/>
                <w:color w:val="373535"/>
                <w:vertAlign w:val="superscript"/>
              </w:rPr>
              <w:t>(a)</w:t>
            </w:r>
          </w:p>
        </w:tc>
        <w:tc>
          <w:tcPr>
            <w:tcW w:w="320" w:type="dxa"/>
            <w:vAlign w:val="bottom"/>
            <w:shd w:val="clear" w:color="auto" w:fill="EEF5F2"/>
          </w:tcPr>
          <w:p>
            <w:pPr>
              <w:spacing w:after="0"/>
              <w:rPr>
                <w:sz w:val="17"/>
                <w:szCs w:val="17"/>
                <w:color w:val="auto"/>
              </w:rPr>
            </w:pPr>
          </w:p>
        </w:tc>
        <w:tc>
          <w:tcPr>
            <w:tcW w:w="1060" w:type="dxa"/>
            <w:vAlign w:val="bottom"/>
            <w:shd w:val="clear" w:color="auto" w:fill="EEF5F2"/>
          </w:tcPr>
          <w:p>
            <w:pPr>
              <w:jc w:val="right"/>
              <w:ind w:right="135"/>
              <w:spacing w:after="0"/>
              <w:rPr>
                <w:sz w:val="20"/>
                <w:szCs w:val="20"/>
                <w:color w:val="auto"/>
              </w:rPr>
            </w:pPr>
            <w:r>
              <w:rPr>
                <w:rFonts w:ascii="Arial" w:cs="Arial" w:eastAsia="Arial" w:hAnsi="Arial"/>
                <w:sz w:val="17"/>
                <w:szCs w:val="17"/>
                <w:color w:val="76AD9A"/>
              </w:rPr>
              <w:t>614.5</w:t>
            </w:r>
          </w:p>
        </w:tc>
        <w:tc>
          <w:tcPr>
            <w:tcW w:w="520" w:type="dxa"/>
            <w:vAlign w:val="bottom"/>
          </w:tcPr>
          <w:p>
            <w:pPr>
              <w:spacing w:after="0"/>
              <w:rPr>
                <w:sz w:val="17"/>
                <w:szCs w:val="17"/>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color w:val="373535"/>
              </w:rPr>
              <w:t>619.3</w:t>
            </w: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373535"/>
              </w:rPr>
              <w:t>621.3</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bottom w:val="single" w:sz="8" w:color="717073"/>
            </w:tcBorders>
          </w:tcPr>
          <w:p>
            <w:pPr>
              <w:spacing w:after="0"/>
              <w:rPr>
                <w:sz w:val="16"/>
                <w:szCs w:val="16"/>
                <w:color w:val="auto"/>
              </w:rPr>
            </w:pPr>
          </w:p>
        </w:tc>
        <w:tc>
          <w:tcPr>
            <w:tcW w:w="32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60" w:type="dxa"/>
            <w:vAlign w:val="bottom"/>
            <w:tcBorders>
              <w:top w:val="single" w:sz="8" w:color="717073"/>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7,288.3</w:t>
            </w:r>
          </w:p>
        </w:tc>
        <w:tc>
          <w:tcPr>
            <w:tcW w:w="520" w:type="dxa"/>
            <w:vAlign w:val="bottom"/>
            <w:tcBorders>
              <w:top w:val="single" w:sz="8" w:color="717073"/>
              <w:bottom w:val="single" w:sz="8" w:color="717073"/>
            </w:tcBorders>
          </w:tcPr>
          <w:p>
            <w:pPr>
              <w:jc w:val="right"/>
              <w:ind w:right="74"/>
              <w:spacing w:after="0" w:line="186" w:lineRule="exact"/>
              <w:rPr>
                <w:sz w:val="20"/>
                <w:szCs w:val="20"/>
                <w:color w:val="auto"/>
              </w:rPr>
            </w:pPr>
            <w:r>
              <w:rPr>
                <w:rFonts w:ascii="Arial" w:cs="Arial" w:eastAsia="Arial" w:hAnsi="Arial"/>
                <w:sz w:val="17"/>
                <w:szCs w:val="17"/>
                <w:color w:val="373535"/>
              </w:rPr>
              <w:t>$</w:t>
            </w:r>
          </w:p>
        </w:tc>
        <w:tc>
          <w:tcPr>
            <w:tcW w:w="98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7,012.6</w:t>
            </w:r>
          </w:p>
        </w:tc>
        <w:tc>
          <w:tcPr>
            <w:tcW w:w="500" w:type="dxa"/>
            <w:vAlign w:val="bottom"/>
            <w:tcBorders>
              <w:top w:val="single" w:sz="8" w:color="717073"/>
              <w:bottom w:val="single" w:sz="8" w:color="717073"/>
            </w:tcBorders>
          </w:tcPr>
          <w:p>
            <w:pPr>
              <w:jc w:val="right"/>
              <w:ind w:right="74"/>
              <w:spacing w:after="0" w:line="186" w:lineRule="exact"/>
              <w:rPr>
                <w:sz w:val="20"/>
                <w:szCs w:val="20"/>
                <w:color w:val="auto"/>
              </w:rPr>
            </w:pPr>
            <w:r>
              <w:rPr>
                <w:rFonts w:ascii="Arial" w:cs="Arial" w:eastAsia="Arial" w:hAnsi="Arial"/>
                <w:sz w:val="17"/>
                <w:szCs w:val="17"/>
                <w:color w:val="373535"/>
              </w:rPr>
              <w:t>$</w:t>
            </w:r>
          </w:p>
        </w:tc>
        <w:tc>
          <w:tcPr>
            <w:tcW w:w="74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6,899.7</w:t>
            </w: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b w:val="1"/>
                <w:bCs w:val="1"/>
                <w:color w:val="777679"/>
              </w:rPr>
              <w:t>Equity Investments</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United States</w:t>
            </w:r>
          </w:p>
        </w:tc>
        <w:tc>
          <w:tcPr>
            <w:tcW w:w="32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3.0</w:t>
            </w:r>
          </w:p>
        </w:tc>
        <w:tc>
          <w:tcPr>
            <w:tcW w:w="520" w:type="dxa"/>
            <w:vAlign w:val="bottom"/>
          </w:tcPr>
          <w:p>
            <w:pPr>
              <w:jc w:val="right"/>
              <w:ind w:right="74"/>
              <w:spacing w:after="0" w:line="194" w:lineRule="exact"/>
              <w:rPr>
                <w:sz w:val="20"/>
                <w:szCs w:val="20"/>
                <w:color w:val="auto"/>
              </w:rPr>
            </w:pPr>
            <w:r>
              <w:rPr>
                <w:rFonts w:ascii="Arial" w:cs="Arial" w:eastAsia="Arial" w:hAnsi="Arial"/>
                <w:sz w:val="17"/>
                <w:szCs w:val="17"/>
                <w:color w:val="373535"/>
              </w:rPr>
              <w:t>$</w:t>
            </w: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3.0</w:t>
            </w:r>
          </w:p>
        </w:tc>
        <w:tc>
          <w:tcPr>
            <w:tcW w:w="500" w:type="dxa"/>
            <w:vAlign w:val="bottom"/>
          </w:tcPr>
          <w:p>
            <w:pPr>
              <w:jc w:val="right"/>
              <w:ind w:right="74"/>
              <w:spacing w:after="0" w:line="194" w:lineRule="exact"/>
              <w:rPr>
                <w:sz w:val="20"/>
                <w:szCs w:val="20"/>
                <w:color w:val="auto"/>
              </w:rPr>
            </w:pPr>
            <w:r>
              <w:rPr>
                <w:rFonts w:ascii="Arial" w:cs="Arial" w:eastAsia="Arial" w:hAnsi="Arial"/>
                <w:sz w:val="17"/>
                <w:szCs w:val="17"/>
                <w:color w:val="373535"/>
              </w:rPr>
              <w:t>$</w:t>
            </w: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3.0</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3.0</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w:t>
            </w: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Southern Europe: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0.4</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0.1</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0.1</w:t>
            </w:r>
          </w:p>
        </w:tc>
      </w:tr>
      <w:tr>
        <w:trPr>
          <w:trHeight w:val="194"/>
        </w:trPr>
        <w:tc>
          <w:tcPr>
            <w:tcW w:w="20" w:type="dxa"/>
            <w:vAlign w:val="bottom"/>
          </w:tcPr>
          <w:p>
            <w:pPr>
              <w:spacing w:after="0"/>
              <w:rPr>
                <w:sz w:val="16"/>
                <w:szCs w:val="16"/>
                <w:color w:val="auto"/>
              </w:rPr>
            </w:pPr>
          </w:p>
        </w:tc>
        <w:tc>
          <w:tcPr>
            <w:tcW w:w="7180" w:type="dxa"/>
            <w:vAlign w:val="bottom"/>
          </w:tcPr>
          <w:p>
            <w:pPr>
              <w:ind w:left="140"/>
              <w:spacing w:after="0" w:line="194" w:lineRule="exact"/>
              <w:rPr>
                <w:sz w:val="20"/>
                <w:szCs w:val="20"/>
                <w:color w:val="auto"/>
              </w:rPr>
            </w:pPr>
            <w:r>
              <w:rPr>
                <w:rFonts w:ascii="Arial" w:cs="Arial" w:eastAsia="Arial" w:hAnsi="Arial"/>
                <w:sz w:val="17"/>
                <w:szCs w:val="17"/>
                <w:color w:val="373535"/>
              </w:rPr>
              <w:t>Italy</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94"/>
        </w:trPr>
        <w:tc>
          <w:tcPr>
            <w:tcW w:w="20" w:type="dxa"/>
            <w:vAlign w:val="bottom"/>
          </w:tcPr>
          <w:p>
            <w:pPr>
              <w:spacing w:after="0"/>
              <w:rPr>
                <w:sz w:val="16"/>
                <w:szCs w:val="16"/>
                <w:color w:val="auto"/>
              </w:rPr>
            </w:pPr>
          </w:p>
        </w:tc>
        <w:tc>
          <w:tcPr>
            <w:tcW w:w="718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Southern Europe</w:t>
            </w: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86"/>
        </w:trPr>
        <w:tc>
          <w:tcPr>
            <w:tcW w:w="20" w:type="dxa"/>
            <w:vAlign w:val="bottom"/>
          </w:tcPr>
          <w:p>
            <w:pPr>
              <w:spacing w:after="0"/>
              <w:rPr>
                <w:sz w:val="16"/>
                <w:szCs w:val="16"/>
                <w:color w:val="auto"/>
              </w:rPr>
            </w:pPr>
          </w:p>
        </w:tc>
        <w:tc>
          <w:tcPr>
            <w:tcW w:w="71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shd w:val="clear" w:color="auto" w:fill="EEF5F2"/>
          </w:tcPr>
          <w:p>
            <w:pPr>
              <w:spacing w:after="0"/>
              <w:rPr>
                <w:sz w:val="16"/>
                <w:szCs w:val="16"/>
                <w:color w:val="auto"/>
              </w:rPr>
            </w:pPr>
          </w:p>
        </w:tc>
        <w:tc>
          <w:tcPr>
            <w:tcW w:w="106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0.4</w:t>
            </w:r>
          </w:p>
        </w:tc>
        <w:tc>
          <w:tcPr>
            <w:tcW w:w="520" w:type="dxa"/>
            <w:vAlign w:val="bottom"/>
            <w:tcBorders>
              <w:bottom w:val="single" w:sz="8" w:color="717073"/>
            </w:tcBorders>
          </w:tcPr>
          <w:p>
            <w:pPr>
              <w:spacing w:after="0"/>
              <w:rPr>
                <w:sz w:val="16"/>
                <w:szCs w:val="16"/>
                <w:color w:val="auto"/>
              </w:rPr>
            </w:pPr>
          </w:p>
        </w:tc>
        <w:tc>
          <w:tcPr>
            <w:tcW w:w="98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0.1</w:t>
            </w:r>
          </w:p>
        </w:tc>
        <w:tc>
          <w:tcPr>
            <w:tcW w:w="500" w:type="dxa"/>
            <w:vAlign w:val="bottom"/>
            <w:tcBorders>
              <w:bottom w:val="single" w:sz="8" w:color="717073"/>
            </w:tcBorders>
          </w:tcPr>
          <w:p>
            <w:pPr>
              <w:spacing w:after="0"/>
              <w:rPr>
                <w:sz w:val="16"/>
                <w:szCs w:val="16"/>
                <w:color w:val="auto"/>
              </w:rPr>
            </w:pPr>
          </w:p>
        </w:tc>
        <w:tc>
          <w:tcPr>
            <w:tcW w:w="740" w:type="dxa"/>
            <w:vAlign w:val="bottom"/>
            <w:tcBorders>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0.1</w:t>
            </w:r>
          </w:p>
        </w:tc>
      </w:tr>
      <w:tr>
        <w:trPr>
          <w:trHeight w:val="186"/>
        </w:trPr>
        <w:tc>
          <w:tcPr>
            <w:tcW w:w="20" w:type="dxa"/>
            <w:vAlign w:val="bottom"/>
          </w:tcPr>
          <w:p>
            <w:pPr>
              <w:spacing w:after="0"/>
              <w:rPr>
                <w:sz w:val="16"/>
                <w:szCs w:val="16"/>
                <w:color w:val="auto"/>
              </w:rPr>
            </w:pPr>
          </w:p>
        </w:tc>
        <w:tc>
          <w:tcPr>
            <w:tcW w:w="718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136.5</w:t>
            </w:r>
          </w:p>
        </w:tc>
        <w:tc>
          <w:tcPr>
            <w:tcW w:w="520" w:type="dxa"/>
            <w:vAlign w:val="bottom"/>
          </w:tcPr>
          <w:p>
            <w:pPr>
              <w:spacing w:after="0"/>
              <w:rPr>
                <w:sz w:val="16"/>
                <w:szCs w:val="16"/>
                <w:color w:val="auto"/>
              </w:rPr>
            </w:pPr>
          </w:p>
        </w:tc>
        <w:tc>
          <w:tcPr>
            <w:tcW w:w="980" w:type="dxa"/>
            <w:vAlign w:val="bottom"/>
          </w:tcPr>
          <w:p>
            <w:pPr>
              <w:jc w:val="right"/>
              <w:ind w:right="135"/>
              <w:spacing w:after="0" w:line="185" w:lineRule="exact"/>
              <w:rPr>
                <w:sz w:val="20"/>
                <w:szCs w:val="20"/>
                <w:color w:val="auto"/>
              </w:rPr>
            </w:pPr>
            <w:r>
              <w:rPr>
                <w:rFonts w:ascii="Arial" w:cs="Arial" w:eastAsia="Arial" w:hAnsi="Arial"/>
                <w:sz w:val="17"/>
                <w:szCs w:val="17"/>
                <w:color w:val="373535"/>
              </w:rPr>
              <w:t>81.5</w:t>
            </w:r>
          </w:p>
        </w:tc>
        <w:tc>
          <w:tcPr>
            <w:tcW w:w="500" w:type="dxa"/>
            <w:vAlign w:val="bottom"/>
          </w:tcPr>
          <w:p>
            <w:pPr>
              <w:spacing w:after="0"/>
              <w:rPr>
                <w:sz w:val="16"/>
                <w:szCs w:val="16"/>
                <w:color w:val="auto"/>
              </w:rPr>
            </w:pPr>
          </w:p>
        </w:tc>
        <w:tc>
          <w:tcPr>
            <w:tcW w:w="740" w:type="dxa"/>
            <w:vAlign w:val="bottom"/>
          </w:tcPr>
          <w:p>
            <w:pPr>
              <w:jc w:val="right"/>
              <w:spacing w:after="0" w:line="185" w:lineRule="exact"/>
              <w:rPr>
                <w:sz w:val="20"/>
                <w:szCs w:val="20"/>
                <w:color w:val="auto"/>
              </w:rPr>
            </w:pPr>
            <w:r>
              <w:rPr>
                <w:rFonts w:ascii="Arial" w:cs="Arial" w:eastAsia="Arial" w:hAnsi="Arial"/>
                <w:sz w:val="17"/>
                <w:szCs w:val="17"/>
                <w:color w:val="373535"/>
              </w:rPr>
              <w:t>75.0</w:t>
            </w: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0.3</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0.7</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0.8</w:t>
            </w:r>
          </w:p>
        </w:tc>
      </w:tr>
      <w:tr>
        <w:trPr>
          <w:trHeight w:val="194"/>
        </w:trPr>
        <w:tc>
          <w:tcPr>
            <w:tcW w:w="7200" w:type="dxa"/>
            <w:vAlign w:val="bottom"/>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320" w:type="dxa"/>
            <w:vAlign w:val="bottom"/>
            <w:shd w:val="clear" w:color="auto" w:fill="EEF5F2"/>
          </w:tcPr>
          <w:p>
            <w:pPr>
              <w:spacing w:after="0"/>
              <w:rPr>
                <w:sz w:val="16"/>
                <w:szCs w:val="16"/>
                <w:color w:val="auto"/>
              </w:rPr>
            </w:pPr>
          </w:p>
        </w:tc>
        <w:tc>
          <w:tcPr>
            <w:tcW w:w="106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w:t>
            </w:r>
          </w:p>
        </w:tc>
        <w:tc>
          <w:tcPr>
            <w:tcW w:w="520" w:type="dxa"/>
            <w:vAlign w:val="bottom"/>
          </w:tcPr>
          <w:p>
            <w:pPr>
              <w:spacing w:after="0"/>
              <w:rPr>
                <w:sz w:val="16"/>
                <w:szCs w:val="16"/>
                <w:color w:val="auto"/>
              </w:rPr>
            </w:pPr>
          </w:p>
        </w:tc>
        <w:tc>
          <w:tcPr>
            <w:tcW w:w="98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w:t>
            </w:r>
          </w:p>
        </w:tc>
        <w:tc>
          <w:tcPr>
            <w:tcW w:w="50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Arial" w:cs="Arial" w:eastAsia="Arial" w:hAnsi="Arial"/>
                <w:sz w:val="17"/>
                <w:szCs w:val="17"/>
                <w:color w:val="373535"/>
              </w:rPr>
              <w:t>—</w:t>
            </w:r>
          </w:p>
        </w:tc>
      </w:tr>
      <w:tr>
        <w:trPr>
          <w:trHeight w:val="186"/>
        </w:trPr>
        <w:tc>
          <w:tcPr>
            <w:tcW w:w="20" w:type="dxa"/>
            <w:vAlign w:val="bottom"/>
          </w:tcPr>
          <w:p>
            <w:pPr>
              <w:spacing w:after="0"/>
              <w:rPr>
                <w:sz w:val="16"/>
                <w:szCs w:val="16"/>
                <w:color w:val="auto"/>
              </w:rPr>
            </w:pPr>
          </w:p>
        </w:tc>
        <w:tc>
          <w:tcPr>
            <w:tcW w:w="7180" w:type="dxa"/>
            <w:vAlign w:val="bottom"/>
            <w:tcBorders>
              <w:top w:val="single" w:sz="8" w:color="717073"/>
              <w:bottom w:val="single" w:sz="8" w:color="717073"/>
            </w:tcBorders>
          </w:tcPr>
          <w:p>
            <w:pPr>
              <w:spacing w:after="0"/>
              <w:rPr>
                <w:sz w:val="16"/>
                <w:szCs w:val="16"/>
                <w:color w:val="auto"/>
              </w:rPr>
            </w:pPr>
          </w:p>
        </w:tc>
        <w:tc>
          <w:tcPr>
            <w:tcW w:w="320" w:type="dxa"/>
            <w:vAlign w:val="bottom"/>
            <w:tcBorders>
              <w:top w:val="single" w:sz="8" w:color="717073"/>
              <w:bottom w:val="single" w:sz="8" w:color="717073"/>
            </w:tcBorders>
            <w:shd w:val="clear" w:color="auto" w:fill="EEF5F2"/>
          </w:tcPr>
          <w:p>
            <w:pPr>
              <w:jc w:val="right"/>
              <w:spacing w:after="0" w:line="186" w:lineRule="exact"/>
              <w:rPr>
                <w:sz w:val="20"/>
                <w:szCs w:val="20"/>
                <w:color w:val="auto"/>
              </w:rPr>
            </w:pPr>
            <w:r>
              <w:rPr>
                <w:rFonts w:ascii="Arial" w:cs="Arial" w:eastAsia="Arial" w:hAnsi="Arial"/>
                <w:sz w:val="17"/>
                <w:szCs w:val="17"/>
                <w:color w:val="76AD9A"/>
              </w:rPr>
              <w:t>$</w:t>
            </w:r>
          </w:p>
        </w:tc>
        <w:tc>
          <w:tcPr>
            <w:tcW w:w="1060" w:type="dxa"/>
            <w:vAlign w:val="bottom"/>
            <w:tcBorders>
              <w:top w:val="single" w:sz="8" w:color="717073"/>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140.2</w:t>
            </w:r>
          </w:p>
        </w:tc>
        <w:tc>
          <w:tcPr>
            <w:tcW w:w="520" w:type="dxa"/>
            <w:vAlign w:val="bottom"/>
            <w:tcBorders>
              <w:top w:val="single" w:sz="8" w:color="717073"/>
              <w:bottom w:val="single" w:sz="8" w:color="717073"/>
            </w:tcBorders>
          </w:tcPr>
          <w:p>
            <w:pPr>
              <w:jc w:val="right"/>
              <w:ind w:right="74"/>
              <w:spacing w:after="0" w:line="186" w:lineRule="exact"/>
              <w:rPr>
                <w:sz w:val="20"/>
                <w:szCs w:val="20"/>
                <w:color w:val="auto"/>
              </w:rPr>
            </w:pPr>
            <w:r>
              <w:rPr>
                <w:rFonts w:ascii="Arial" w:cs="Arial" w:eastAsia="Arial" w:hAnsi="Arial"/>
                <w:sz w:val="17"/>
                <w:szCs w:val="17"/>
                <w:color w:val="373535"/>
              </w:rPr>
              <w:t>$</w:t>
            </w:r>
          </w:p>
        </w:tc>
        <w:tc>
          <w:tcPr>
            <w:tcW w:w="98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85.3</w:t>
            </w:r>
          </w:p>
        </w:tc>
        <w:tc>
          <w:tcPr>
            <w:tcW w:w="500" w:type="dxa"/>
            <w:vAlign w:val="bottom"/>
            <w:tcBorders>
              <w:top w:val="single" w:sz="8" w:color="717073"/>
              <w:bottom w:val="single" w:sz="8" w:color="717073"/>
            </w:tcBorders>
          </w:tcPr>
          <w:p>
            <w:pPr>
              <w:jc w:val="right"/>
              <w:ind w:right="74"/>
              <w:spacing w:after="0" w:line="186" w:lineRule="exact"/>
              <w:rPr>
                <w:sz w:val="20"/>
                <w:szCs w:val="20"/>
                <w:color w:val="auto"/>
              </w:rPr>
            </w:pPr>
            <w:r>
              <w:rPr>
                <w:rFonts w:ascii="Arial" w:cs="Arial" w:eastAsia="Arial" w:hAnsi="Arial"/>
                <w:sz w:val="17"/>
                <w:szCs w:val="17"/>
                <w:color w:val="373535"/>
              </w:rPr>
              <w:t>$</w:t>
            </w:r>
          </w:p>
        </w:tc>
        <w:tc>
          <w:tcPr>
            <w:tcW w:w="74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rPr>
              <w:t>75.9</w:t>
            </w:r>
          </w:p>
        </w:tc>
      </w:tr>
    </w:tbl>
    <w:p>
      <w:pPr>
        <w:spacing w:after="0" w:line="193" w:lineRule="exact"/>
        <w:rPr>
          <w:sz w:val="20"/>
          <w:szCs w:val="20"/>
          <w:color w:val="auto"/>
        </w:rPr>
      </w:pPr>
    </w:p>
    <w:p>
      <w:pPr>
        <w:ind w:left="360" w:hanging="357"/>
        <w:spacing w:after="0" w:line="250" w:lineRule="auto"/>
        <w:tabs>
          <w:tab w:leader="none" w:pos="360" w:val="left"/>
        </w:tabs>
        <w:numPr>
          <w:ilvl w:val="0"/>
          <w:numId w:val="116"/>
        </w:numPr>
        <w:rPr>
          <w:rFonts w:ascii="Arial" w:cs="Arial" w:eastAsia="Arial" w:hAnsi="Arial"/>
          <w:sz w:val="17"/>
          <w:szCs w:val="17"/>
          <w:color w:val="373535"/>
        </w:rPr>
      </w:pPr>
      <w:r>
        <w:rPr>
          <w:rFonts w:ascii="Arial" w:cs="Arial" w:eastAsia="Arial" w:hAnsi="Arial"/>
          <w:sz w:val="17"/>
          <w:szCs w:val="17"/>
          <w:color w:val="373535"/>
        </w:rPr>
        <w:t>Corporate assets include assets that were not used in the operations of any segment, the most significant of which were purchased intangibles and cash.</w:t>
      </w:r>
    </w:p>
    <w:p>
      <w:pPr>
        <w:spacing w:after="0" w:line="163" w:lineRule="exact"/>
        <w:rPr>
          <w:sz w:val="20"/>
          <w:szCs w:val="20"/>
          <w:color w:val="auto"/>
        </w:rPr>
      </w:pPr>
    </w:p>
    <w:p>
      <w:pPr>
        <w:ind w:left="460" w:hanging="457"/>
        <w:spacing w:after="0"/>
        <w:tabs>
          <w:tab w:leader="none" w:pos="460" w:val="left"/>
        </w:tabs>
        <w:numPr>
          <w:ilvl w:val="0"/>
          <w:numId w:val="117"/>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6"/>
        </w:trPr>
        <w:tc>
          <w:tcPr>
            <w:tcW w:w="4180" w:type="dxa"/>
            <w:vAlign w:val="bottom"/>
            <w:gridSpan w:val="2"/>
          </w:tcPr>
          <w:p>
            <w:pPr>
              <w:spacing w:after="0"/>
              <w:rPr>
                <w:sz w:val="20"/>
                <w:szCs w:val="20"/>
                <w:color w:val="auto"/>
              </w:rPr>
            </w:pPr>
            <w:r>
              <w:rPr>
                <w:rFonts w:ascii="Arial" w:cs="Arial" w:eastAsia="Arial" w:hAnsi="Arial"/>
                <w:sz w:val="14"/>
                <w:szCs w:val="14"/>
                <w:b w:val="1"/>
                <w:bCs w:val="1"/>
                <w:color w:val="76AD9A"/>
              </w:rPr>
              <w:t>Year Ended December 31</w:t>
            </w:r>
          </w:p>
        </w:tc>
        <w:tc>
          <w:tcPr>
            <w:tcW w:w="3020" w:type="dxa"/>
            <w:vAlign w:val="bottom"/>
          </w:tcPr>
          <w:p>
            <w:pPr>
              <w:spacing w:after="0"/>
              <w:rPr>
                <w:sz w:val="17"/>
                <w:szCs w:val="17"/>
                <w:color w:val="auto"/>
              </w:rPr>
            </w:pPr>
          </w:p>
        </w:tc>
        <w:tc>
          <w:tcPr>
            <w:tcW w:w="480" w:type="dxa"/>
            <w:vAlign w:val="bottom"/>
            <w:shd w:val="clear" w:color="auto" w:fill="76AD9A"/>
          </w:tcPr>
          <w:p>
            <w:pPr>
              <w:spacing w:after="0"/>
              <w:rPr>
                <w:sz w:val="17"/>
                <w:szCs w:val="17"/>
                <w:color w:val="auto"/>
              </w:rPr>
            </w:pPr>
          </w:p>
        </w:tc>
        <w:tc>
          <w:tcPr>
            <w:tcW w:w="90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600" w:type="dxa"/>
            <w:vAlign w:val="bottom"/>
          </w:tcPr>
          <w:p>
            <w:pPr>
              <w:spacing w:after="0"/>
              <w:rPr>
                <w:sz w:val="17"/>
                <w:szCs w:val="17"/>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76AD9A"/>
              </w:rPr>
              <w:t>2012</w:t>
            </w: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76AD9A"/>
              </w:rPr>
              <w:t>2011</w:t>
            </w:r>
          </w:p>
        </w:tc>
        <w:tc>
          <w:tcPr>
            <w:tcW w:w="80" w:type="dxa"/>
            <w:vAlign w:val="bottom"/>
          </w:tcPr>
          <w:p>
            <w:pPr>
              <w:spacing w:after="0"/>
              <w:rPr>
                <w:sz w:val="17"/>
                <w:szCs w:val="17"/>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6AD9A"/>
            </w:tcBorders>
          </w:tcPr>
          <w:p>
            <w:pPr>
              <w:spacing w:after="0" w:line="186" w:lineRule="exact"/>
              <w:rPr>
                <w:sz w:val="20"/>
                <w:szCs w:val="20"/>
                <w:color w:val="auto"/>
              </w:rPr>
            </w:pPr>
            <w:r>
              <w:rPr>
                <w:rFonts w:ascii="Arial" w:cs="Arial" w:eastAsia="Arial" w:hAnsi="Arial"/>
                <w:sz w:val="15"/>
                <w:szCs w:val="15"/>
                <w:b w:val="1"/>
                <w:bCs w:val="1"/>
                <w:color w:val="777679"/>
              </w:rPr>
              <w:t>Long-Lived Assets</w:t>
            </w:r>
            <w:r>
              <w:rPr>
                <w:rFonts w:ascii="Arial" w:cs="Arial" w:eastAsia="Arial" w:hAnsi="Arial"/>
                <w:sz w:val="21"/>
                <w:szCs w:val="21"/>
                <w:b w:val="1"/>
                <w:bCs w:val="1"/>
                <w:color w:val="777679"/>
                <w:vertAlign w:val="superscript"/>
              </w:rPr>
              <w:t>(a)</w:t>
            </w:r>
          </w:p>
        </w:tc>
        <w:tc>
          <w:tcPr>
            <w:tcW w:w="3020" w:type="dxa"/>
            <w:vAlign w:val="bottom"/>
            <w:tcBorders>
              <w:top w:val="single" w:sz="8" w:color="76AD9A"/>
            </w:tcBorders>
          </w:tcPr>
          <w:p>
            <w:pPr>
              <w:spacing w:after="0"/>
              <w:rPr>
                <w:sz w:val="16"/>
                <w:szCs w:val="16"/>
                <w:color w:val="auto"/>
              </w:rPr>
            </w:pPr>
          </w:p>
        </w:tc>
        <w:tc>
          <w:tcPr>
            <w:tcW w:w="480" w:type="dxa"/>
            <w:vAlign w:val="bottom"/>
            <w:tcBorders>
              <w:top w:val="single" w:sz="8" w:color="76AD9A"/>
            </w:tcBorders>
            <w:shd w:val="clear" w:color="auto" w:fill="EEF5F2"/>
          </w:tcPr>
          <w:p>
            <w:pPr>
              <w:spacing w:after="0"/>
              <w:rPr>
                <w:sz w:val="16"/>
                <w:szCs w:val="16"/>
                <w:color w:val="auto"/>
              </w:rPr>
            </w:pPr>
          </w:p>
        </w:tc>
        <w:tc>
          <w:tcPr>
            <w:tcW w:w="900" w:type="dxa"/>
            <w:vAlign w:val="bottom"/>
            <w:tcBorders>
              <w:top w:val="single" w:sz="8" w:color="76AD9A"/>
            </w:tcBorders>
            <w:shd w:val="clear" w:color="auto" w:fill="EEF5F2"/>
          </w:tcPr>
          <w:p>
            <w:pPr>
              <w:spacing w:after="0"/>
              <w:rPr>
                <w:sz w:val="16"/>
                <w:szCs w:val="16"/>
                <w:color w:val="auto"/>
              </w:rPr>
            </w:pPr>
          </w:p>
        </w:tc>
        <w:tc>
          <w:tcPr>
            <w:tcW w:w="600" w:type="dxa"/>
            <w:vAlign w:val="bottom"/>
            <w:tcBorders>
              <w:top w:val="single" w:sz="8" w:color="76AD9A"/>
            </w:tcBorders>
          </w:tcPr>
          <w:p>
            <w:pPr>
              <w:spacing w:after="0"/>
              <w:rPr>
                <w:sz w:val="16"/>
                <w:szCs w:val="16"/>
                <w:color w:val="auto"/>
              </w:rPr>
            </w:pPr>
          </w:p>
        </w:tc>
        <w:tc>
          <w:tcPr>
            <w:tcW w:w="900" w:type="dxa"/>
            <w:vAlign w:val="bottom"/>
            <w:tcBorders>
              <w:top w:val="single" w:sz="8" w:color="76AD9A"/>
            </w:tcBorders>
          </w:tcPr>
          <w:p>
            <w:pPr>
              <w:spacing w:after="0"/>
              <w:rPr>
                <w:sz w:val="16"/>
                <w:szCs w:val="16"/>
                <w:color w:val="auto"/>
              </w:rPr>
            </w:pPr>
          </w:p>
        </w:tc>
        <w:tc>
          <w:tcPr>
            <w:tcW w:w="580" w:type="dxa"/>
            <w:vAlign w:val="bottom"/>
            <w:tcBorders>
              <w:top w:val="single" w:sz="8" w:color="76AD9A"/>
            </w:tcBorders>
          </w:tcPr>
          <w:p>
            <w:pPr>
              <w:spacing w:after="0"/>
              <w:rPr>
                <w:sz w:val="16"/>
                <w:szCs w:val="16"/>
                <w:color w:val="auto"/>
              </w:rPr>
            </w:pPr>
          </w:p>
        </w:tc>
        <w:tc>
          <w:tcPr>
            <w:tcW w:w="32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Pr>
          <w:p>
            <w:pPr>
              <w:ind w:left="140"/>
              <w:spacing w:after="0" w:line="194" w:lineRule="exact"/>
              <w:rPr>
                <w:sz w:val="20"/>
                <w:szCs w:val="20"/>
                <w:color w:val="auto"/>
              </w:rPr>
            </w:pPr>
            <w:r>
              <w:rPr>
                <w:rFonts w:ascii="Arial" w:cs="Arial" w:eastAsia="Arial" w:hAnsi="Arial"/>
                <w:sz w:val="17"/>
                <w:szCs w:val="17"/>
                <w:color w:val="373535"/>
              </w:rPr>
              <w:t>United States</w:t>
            </w:r>
          </w:p>
        </w:tc>
        <w:tc>
          <w:tcPr>
            <w:tcW w:w="3020" w:type="dxa"/>
            <w:vAlign w:val="bottom"/>
          </w:tcPr>
          <w:p>
            <w:pPr>
              <w:spacing w:after="0"/>
              <w:rPr>
                <w:sz w:val="16"/>
                <w:szCs w:val="16"/>
                <w:color w:val="auto"/>
              </w:rPr>
            </w:pPr>
          </w:p>
        </w:tc>
        <w:tc>
          <w:tcPr>
            <w:tcW w:w="480" w:type="dxa"/>
            <w:vAlign w:val="bottom"/>
            <w:shd w:val="clear" w:color="auto" w:fill="EEF5F2"/>
          </w:tcPr>
          <w:p>
            <w:pPr>
              <w:jc w:val="right"/>
              <w:ind w:right="154"/>
              <w:spacing w:after="0" w:line="194" w:lineRule="exact"/>
              <w:rPr>
                <w:sz w:val="20"/>
                <w:szCs w:val="20"/>
                <w:color w:val="auto"/>
              </w:rPr>
            </w:pPr>
            <w:r>
              <w:rPr>
                <w:rFonts w:ascii="Arial" w:cs="Arial" w:eastAsia="Arial" w:hAnsi="Arial"/>
                <w:sz w:val="17"/>
                <w:szCs w:val="17"/>
                <w:color w:val="76AD9A"/>
              </w:rPr>
              <w:t>$</w:t>
            </w: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25.8</w:t>
            </w:r>
          </w:p>
        </w:tc>
        <w:tc>
          <w:tcPr>
            <w:tcW w:w="60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32.8</w:t>
            </w:r>
          </w:p>
        </w:tc>
        <w:tc>
          <w:tcPr>
            <w:tcW w:w="5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35.5</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302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shd w:val="clear" w:color="auto" w:fill="EEF5F2"/>
          </w:tcPr>
          <w:p>
            <w:pPr>
              <w:spacing w:after="0"/>
              <w:rPr>
                <w:sz w:val="16"/>
                <w:szCs w:val="16"/>
                <w:color w:val="auto"/>
              </w:rPr>
            </w:pPr>
          </w:p>
        </w:tc>
        <w:tc>
          <w:tcPr>
            <w:tcW w:w="90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10.4</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11.2</w:t>
            </w:r>
          </w:p>
        </w:tc>
        <w:tc>
          <w:tcPr>
            <w:tcW w:w="5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w w:val="96"/>
              </w:rPr>
              <w:t>10.5</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36.2</w:t>
            </w:r>
          </w:p>
        </w:tc>
        <w:tc>
          <w:tcPr>
            <w:tcW w:w="600" w:type="dxa"/>
            <w:vAlign w:val="bottom"/>
          </w:tcPr>
          <w:p>
            <w:pPr>
              <w:spacing w:after="0"/>
              <w:rPr>
                <w:sz w:val="16"/>
                <w:szCs w:val="16"/>
                <w:color w:val="auto"/>
              </w:rPr>
            </w:pPr>
          </w:p>
        </w:tc>
        <w:tc>
          <w:tcPr>
            <w:tcW w:w="900" w:type="dxa"/>
            <w:vAlign w:val="bottom"/>
          </w:tcPr>
          <w:p>
            <w:pPr>
              <w:jc w:val="right"/>
              <w:ind w:right="135"/>
              <w:spacing w:after="0" w:line="186" w:lineRule="exact"/>
              <w:rPr>
                <w:sz w:val="20"/>
                <w:szCs w:val="20"/>
                <w:color w:val="auto"/>
              </w:rPr>
            </w:pPr>
            <w:r>
              <w:rPr>
                <w:rFonts w:ascii="Arial" w:cs="Arial" w:eastAsia="Arial" w:hAnsi="Arial"/>
                <w:sz w:val="17"/>
                <w:szCs w:val="17"/>
                <w:color w:val="373535"/>
              </w:rPr>
              <w:t>44.0</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w w:val="96"/>
              </w:rPr>
              <w:t>46.0</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302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shd w:val="clear" w:color="auto" w:fill="EEF5F2"/>
          </w:tcPr>
          <w:p>
            <w:pPr>
              <w:spacing w:after="0"/>
              <w:rPr>
                <w:sz w:val="16"/>
                <w:szCs w:val="16"/>
                <w:color w:val="auto"/>
              </w:rPr>
            </w:pPr>
          </w:p>
        </w:tc>
        <w:tc>
          <w:tcPr>
            <w:tcW w:w="900" w:type="dxa"/>
            <w:vAlign w:val="bottom"/>
            <w:tcBorders>
              <w:top w:val="single" w:sz="8" w:color="717073"/>
            </w:tcBorders>
            <w:shd w:val="clear" w:color="auto" w:fill="EEF5F2"/>
          </w:tcPr>
          <w:p>
            <w:pPr>
              <w:spacing w:after="0"/>
              <w:rPr>
                <w:sz w:val="16"/>
                <w:szCs w:val="16"/>
                <w:color w:val="auto"/>
              </w:rPr>
            </w:pPr>
          </w:p>
        </w:tc>
        <w:tc>
          <w:tcPr>
            <w:tcW w:w="600" w:type="dxa"/>
            <w:vAlign w:val="bottom"/>
            <w:tcBorders>
              <w:top w:val="single" w:sz="8" w:color="717073"/>
            </w:tcBorders>
          </w:tcPr>
          <w:p>
            <w:pPr>
              <w:spacing w:after="0"/>
              <w:rPr>
                <w:sz w:val="16"/>
                <w:szCs w:val="16"/>
                <w:color w:val="auto"/>
              </w:rPr>
            </w:pPr>
          </w:p>
        </w:tc>
        <w:tc>
          <w:tcPr>
            <w:tcW w:w="900" w:type="dxa"/>
            <w:vAlign w:val="bottom"/>
            <w:tcBorders>
              <w:top w:val="single" w:sz="8" w:color="717073"/>
            </w:tcBorders>
          </w:tcPr>
          <w:p>
            <w:pPr>
              <w:spacing w:after="0"/>
              <w:rPr>
                <w:sz w:val="16"/>
                <w:szCs w:val="16"/>
                <w:color w:val="auto"/>
              </w:rPr>
            </w:pPr>
          </w:p>
        </w:tc>
        <w:tc>
          <w:tcPr>
            <w:tcW w:w="580" w:type="dxa"/>
            <w:vAlign w:val="bottom"/>
            <w:tcBorders>
              <w:top w:val="single" w:sz="8" w:color="717073"/>
            </w:tcBorders>
          </w:tcPr>
          <w:p>
            <w:pPr>
              <w:spacing w:after="0"/>
              <w:rPr>
                <w:sz w:val="16"/>
                <w:szCs w:val="16"/>
                <w:color w:val="auto"/>
              </w:rPr>
            </w:pPr>
          </w:p>
        </w:tc>
        <w:tc>
          <w:tcPr>
            <w:tcW w:w="320" w:type="dxa"/>
            <w:vAlign w:val="bottom"/>
            <w:tcBorders>
              <w:top w:val="single" w:sz="8" w:color="717073"/>
            </w:tcBorders>
          </w:tcPr>
          <w:p>
            <w:pPr>
              <w:spacing w:after="0"/>
              <w:rPr>
                <w:sz w:val="16"/>
                <w:szCs w:val="16"/>
                <w:color w:val="auto"/>
              </w:rPr>
            </w:pPr>
          </w:p>
        </w:tc>
        <w:tc>
          <w:tcPr>
            <w:tcW w:w="34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56.3</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59.4</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46.0</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Pr>
          <w:p>
            <w:pPr>
              <w:ind w:left="140"/>
              <w:spacing w:after="0" w:line="194" w:lineRule="exact"/>
              <w:rPr>
                <w:sz w:val="20"/>
                <w:szCs w:val="20"/>
                <w:color w:val="auto"/>
              </w:rPr>
            </w:pPr>
            <w:r>
              <w:rPr>
                <w:rFonts w:ascii="Arial" w:cs="Arial" w:eastAsia="Arial" w:hAnsi="Arial"/>
                <w:sz w:val="17"/>
                <w:szCs w:val="17"/>
                <w:color w:val="373535"/>
              </w:rPr>
              <w:t>Italy</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6.5</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7.0</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7.9</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Southern Europe</w:t>
            </w:r>
          </w:p>
        </w:tc>
        <w:tc>
          <w:tcPr>
            <w:tcW w:w="302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shd w:val="clear" w:color="auto" w:fill="EEF5F2"/>
          </w:tcPr>
          <w:p>
            <w:pPr>
              <w:spacing w:after="0"/>
              <w:rPr>
                <w:sz w:val="16"/>
                <w:szCs w:val="16"/>
                <w:color w:val="auto"/>
              </w:rPr>
            </w:pPr>
          </w:p>
        </w:tc>
        <w:tc>
          <w:tcPr>
            <w:tcW w:w="90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10.3</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8.6</w:t>
            </w:r>
          </w:p>
        </w:tc>
        <w:tc>
          <w:tcPr>
            <w:tcW w:w="5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8.5</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bottom w:val="single" w:sz="8" w:color="717073"/>
            </w:tcBorders>
          </w:tcPr>
          <w:p>
            <w:pPr>
              <w:spacing w:after="0"/>
              <w:rPr>
                <w:sz w:val="16"/>
                <w:szCs w:val="16"/>
                <w:color w:val="auto"/>
              </w:rPr>
            </w:pPr>
          </w:p>
        </w:tc>
        <w:tc>
          <w:tcPr>
            <w:tcW w:w="302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shd w:val="clear" w:color="auto" w:fill="EEF5F2"/>
          </w:tcPr>
          <w:p>
            <w:pPr>
              <w:spacing w:after="0"/>
              <w:rPr>
                <w:sz w:val="16"/>
                <w:szCs w:val="16"/>
                <w:color w:val="auto"/>
              </w:rPr>
            </w:pPr>
          </w:p>
        </w:tc>
        <w:tc>
          <w:tcPr>
            <w:tcW w:w="90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73.1</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75.0</w:t>
            </w:r>
          </w:p>
        </w:tc>
        <w:tc>
          <w:tcPr>
            <w:tcW w:w="5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w w:val="96"/>
              </w:rPr>
              <w:t>62.4</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30.6</w:t>
            </w:r>
          </w:p>
        </w:tc>
        <w:tc>
          <w:tcPr>
            <w:tcW w:w="600" w:type="dxa"/>
            <w:vAlign w:val="bottom"/>
          </w:tcPr>
          <w:p>
            <w:pPr>
              <w:spacing w:after="0"/>
              <w:rPr>
                <w:sz w:val="16"/>
                <w:szCs w:val="16"/>
                <w:color w:val="auto"/>
              </w:rPr>
            </w:pPr>
          </w:p>
        </w:tc>
        <w:tc>
          <w:tcPr>
            <w:tcW w:w="900" w:type="dxa"/>
            <w:vAlign w:val="bottom"/>
          </w:tcPr>
          <w:p>
            <w:pPr>
              <w:jc w:val="right"/>
              <w:ind w:right="135"/>
              <w:spacing w:after="0" w:line="185" w:lineRule="exact"/>
              <w:rPr>
                <w:sz w:val="20"/>
                <w:szCs w:val="20"/>
                <w:color w:val="auto"/>
              </w:rPr>
            </w:pPr>
            <w:r>
              <w:rPr>
                <w:rFonts w:ascii="Arial" w:cs="Arial" w:eastAsia="Arial" w:hAnsi="Arial"/>
                <w:sz w:val="17"/>
                <w:szCs w:val="17"/>
                <w:color w:val="373535"/>
              </w:rPr>
              <w:t>40.4</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373535"/>
                <w:w w:val="96"/>
              </w:rPr>
              <w:t>43.3</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19.2</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22.4</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23.3</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11.3</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12.4</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11.4</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Corporate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0.2</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1.2</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2.5</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17073"/>
            </w:tcBorders>
          </w:tcPr>
          <w:p>
            <w:pPr>
              <w:spacing w:after="0"/>
              <w:rPr>
                <w:sz w:val="16"/>
                <w:szCs w:val="16"/>
                <w:color w:val="auto"/>
              </w:rPr>
            </w:pPr>
          </w:p>
        </w:tc>
        <w:tc>
          <w:tcPr>
            <w:tcW w:w="302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shd w:val="clear" w:color="auto" w:fill="EEF5F2"/>
          </w:tcPr>
          <w:p>
            <w:pPr>
              <w:jc w:val="right"/>
              <w:ind w:right="154"/>
              <w:spacing w:after="0" w:line="186" w:lineRule="exact"/>
              <w:rPr>
                <w:sz w:val="20"/>
                <w:szCs w:val="20"/>
                <w:color w:val="auto"/>
              </w:rPr>
            </w:pPr>
            <w:r>
              <w:rPr>
                <w:rFonts w:ascii="Arial" w:cs="Arial" w:eastAsia="Arial" w:hAnsi="Arial"/>
                <w:sz w:val="17"/>
                <w:szCs w:val="17"/>
                <w:color w:val="76AD9A"/>
              </w:rPr>
              <w:t>$</w:t>
            </w:r>
          </w:p>
        </w:tc>
        <w:tc>
          <w:tcPr>
            <w:tcW w:w="900" w:type="dxa"/>
            <w:vAlign w:val="bottom"/>
            <w:tcBorders>
              <w:top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170.6</w:t>
            </w:r>
          </w:p>
        </w:tc>
        <w:tc>
          <w:tcPr>
            <w:tcW w:w="600" w:type="dxa"/>
            <w:vAlign w:val="bottom"/>
            <w:tcBorders>
              <w:top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900" w:type="dxa"/>
            <w:vAlign w:val="bottom"/>
            <w:tcBorders>
              <w:top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195.4</w:t>
            </w:r>
          </w:p>
        </w:tc>
        <w:tc>
          <w:tcPr>
            <w:tcW w:w="580" w:type="dxa"/>
            <w:vAlign w:val="bottom"/>
            <w:tcBorders>
              <w:top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680" w:type="dxa"/>
            <w:vAlign w:val="bottom"/>
            <w:tcBorders>
              <w:top w:val="single" w:sz="8" w:color="717073"/>
            </w:tcBorders>
            <w:gridSpan w:val="3"/>
          </w:tcPr>
          <w:p>
            <w:pPr>
              <w:jc w:val="right"/>
              <w:ind w:right="20"/>
              <w:spacing w:after="0" w:line="186" w:lineRule="exact"/>
              <w:rPr>
                <w:sz w:val="20"/>
                <w:szCs w:val="20"/>
                <w:color w:val="auto"/>
              </w:rPr>
            </w:pPr>
            <w:r>
              <w:rPr>
                <w:rFonts w:ascii="Arial" w:cs="Arial" w:eastAsia="Arial" w:hAnsi="Arial"/>
                <w:sz w:val="17"/>
                <w:szCs w:val="17"/>
                <w:color w:val="373535"/>
              </w:rPr>
              <w:t>188.9</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b w:val="1"/>
                <w:bCs w:val="1"/>
                <w:color w:val="777679"/>
              </w:rPr>
              <w:t>Additions to Long-Lived Assets</w:t>
            </w:r>
          </w:p>
        </w:tc>
        <w:tc>
          <w:tcPr>
            <w:tcW w:w="302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shd w:val="clear" w:color="auto" w:fill="EEF5F2"/>
          </w:tcPr>
          <w:p>
            <w:pPr>
              <w:spacing w:after="0"/>
              <w:rPr>
                <w:sz w:val="16"/>
                <w:szCs w:val="16"/>
                <w:color w:val="auto"/>
              </w:rPr>
            </w:pPr>
          </w:p>
        </w:tc>
        <w:tc>
          <w:tcPr>
            <w:tcW w:w="900" w:type="dxa"/>
            <w:vAlign w:val="bottom"/>
            <w:tcBorders>
              <w:top w:val="single" w:sz="8" w:color="717073"/>
            </w:tcBorders>
            <w:shd w:val="clear" w:color="auto" w:fill="EEF5F2"/>
          </w:tcPr>
          <w:p>
            <w:pPr>
              <w:spacing w:after="0"/>
              <w:rPr>
                <w:sz w:val="16"/>
                <w:szCs w:val="16"/>
                <w:color w:val="auto"/>
              </w:rPr>
            </w:pPr>
          </w:p>
        </w:tc>
        <w:tc>
          <w:tcPr>
            <w:tcW w:w="600" w:type="dxa"/>
            <w:vAlign w:val="bottom"/>
            <w:tcBorders>
              <w:top w:val="single" w:sz="8" w:color="717073"/>
            </w:tcBorders>
          </w:tcPr>
          <w:p>
            <w:pPr>
              <w:spacing w:after="0"/>
              <w:rPr>
                <w:sz w:val="16"/>
                <w:szCs w:val="16"/>
                <w:color w:val="auto"/>
              </w:rPr>
            </w:pPr>
          </w:p>
        </w:tc>
        <w:tc>
          <w:tcPr>
            <w:tcW w:w="900" w:type="dxa"/>
            <w:vAlign w:val="bottom"/>
            <w:tcBorders>
              <w:top w:val="single" w:sz="8" w:color="717073"/>
            </w:tcBorders>
          </w:tcPr>
          <w:p>
            <w:pPr>
              <w:spacing w:after="0"/>
              <w:rPr>
                <w:sz w:val="16"/>
                <w:szCs w:val="16"/>
                <w:color w:val="auto"/>
              </w:rPr>
            </w:pPr>
          </w:p>
        </w:tc>
        <w:tc>
          <w:tcPr>
            <w:tcW w:w="580" w:type="dxa"/>
            <w:vAlign w:val="bottom"/>
            <w:tcBorders>
              <w:top w:val="single" w:sz="8" w:color="717073"/>
            </w:tcBorders>
          </w:tcPr>
          <w:p>
            <w:pPr>
              <w:spacing w:after="0"/>
              <w:rPr>
                <w:sz w:val="16"/>
                <w:szCs w:val="16"/>
                <w:color w:val="auto"/>
              </w:rPr>
            </w:pPr>
          </w:p>
        </w:tc>
        <w:tc>
          <w:tcPr>
            <w:tcW w:w="320" w:type="dxa"/>
            <w:vAlign w:val="bottom"/>
            <w:tcBorders>
              <w:top w:val="single" w:sz="8" w:color="717073"/>
            </w:tcBorders>
          </w:tcPr>
          <w:p>
            <w:pPr>
              <w:spacing w:after="0"/>
              <w:rPr>
                <w:sz w:val="16"/>
                <w:szCs w:val="16"/>
                <w:color w:val="auto"/>
              </w:rPr>
            </w:pPr>
          </w:p>
        </w:tc>
        <w:tc>
          <w:tcPr>
            <w:tcW w:w="34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Americas:</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Pr>
          <w:p>
            <w:pPr>
              <w:ind w:left="140"/>
              <w:spacing w:after="0" w:line="194" w:lineRule="exact"/>
              <w:rPr>
                <w:sz w:val="20"/>
                <w:szCs w:val="20"/>
                <w:color w:val="auto"/>
              </w:rPr>
            </w:pPr>
            <w:r>
              <w:rPr>
                <w:rFonts w:ascii="Arial" w:cs="Arial" w:eastAsia="Arial" w:hAnsi="Arial"/>
                <w:sz w:val="17"/>
                <w:szCs w:val="17"/>
                <w:color w:val="373535"/>
              </w:rPr>
              <w:t>United States</w:t>
            </w:r>
          </w:p>
        </w:tc>
        <w:tc>
          <w:tcPr>
            <w:tcW w:w="3020" w:type="dxa"/>
            <w:vAlign w:val="bottom"/>
          </w:tcPr>
          <w:p>
            <w:pPr>
              <w:spacing w:after="0"/>
              <w:rPr>
                <w:sz w:val="16"/>
                <w:szCs w:val="16"/>
                <w:color w:val="auto"/>
              </w:rPr>
            </w:pPr>
          </w:p>
        </w:tc>
        <w:tc>
          <w:tcPr>
            <w:tcW w:w="480" w:type="dxa"/>
            <w:vAlign w:val="bottom"/>
            <w:shd w:val="clear" w:color="auto" w:fill="EEF5F2"/>
          </w:tcPr>
          <w:p>
            <w:pPr>
              <w:jc w:val="right"/>
              <w:ind w:right="154"/>
              <w:spacing w:after="0" w:line="194" w:lineRule="exact"/>
              <w:rPr>
                <w:sz w:val="20"/>
                <w:szCs w:val="20"/>
                <w:color w:val="auto"/>
              </w:rPr>
            </w:pPr>
            <w:r>
              <w:rPr>
                <w:rFonts w:ascii="Arial" w:cs="Arial" w:eastAsia="Arial" w:hAnsi="Arial"/>
                <w:sz w:val="17"/>
                <w:szCs w:val="17"/>
                <w:color w:val="76AD9A"/>
              </w:rPr>
              <w:t>$</w:t>
            </w: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6.0</w:t>
            </w:r>
          </w:p>
        </w:tc>
        <w:tc>
          <w:tcPr>
            <w:tcW w:w="60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11.6</w:t>
            </w:r>
          </w:p>
        </w:tc>
        <w:tc>
          <w:tcPr>
            <w:tcW w:w="580" w:type="dxa"/>
            <w:vAlign w:val="bottom"/>
          </w:tcPr>
          <w:p>
            <w:pPr>
              <w:jc w:val="right"/>
              <w:ind w:right="154"/>
              <w:spacing w:after="0" w:line="194" w:lineRule="exact"/>
              <w:rPr>
                <w:sz w:val="20"/>
                <w:szCs w:val="20"/>
                <w:color w:val="auto"/>
              </w:rPr>
            </w:pPr>
            <w:r>
              <w:rPr>
                <w:rFonts w:ascii="Arial" w:cs="Arial" w:eastAsia="Arial" w:hAnsi="Arial"/>
                <w:sz w:val="17"/>
                <w:szCs w:val="17"/>
                <w:color w:val="373535"/>
              </w:rPr>
              <w:t>$</w:t>
            </w: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10.0</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Americas</w:t>
            </w:r>
          </w:p>
        </w:tc>
        <w:tc>
          <w:tcPr>
            <w:tcW w:w="302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shd w:val="clear" w:color="auto" w:fill="EEF5F2"/>
          </w:tcPr>
          <w:p>
            <w:pPr>
              <w:spacing w:after="0"/>
              <w:rPr>
                <w:sz w:val="16"/>
                <w:szCs w:val="16"/>
                <w:color w:val="auto"/>
              </w:rPr>
            </w:pPr>
          </w:p>
        </w:tc>
        <w:tc>
          <w:tcPr>
            <w:tcW w:w="90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4.8</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5.0</w:t>
            </w:r>
          </w:p>
        </w:tc>
        <w:tc>
          <w:tcPr>
            <w:tcW w:w="5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5.5</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10.8</w:t>
            </w:r>
          </w:p>
        </w:tc>
        <w:tc>
          <w:tcPr>
            <w:tcW w:w="600" w:type="dxa"/>
            <w:vAlign w:val="bottom"/>
          </w:tcPr>
          <w:p>
            <w:pPr>
              <w:spacing w:after="0"/>
              <w:rPr>
                <w:sz w:val="16"/>
                <w:szCs w:val="16"/>
                <w:color w:val="auto"/>
              </w:rPr>
            </w:pPr>
          </w:p>
        </w:tc>
        <w:tc>
          <w:tcPr>
            <w:tcW w:w="900" w:type="dxa"/>
            <w:vAlign w:val="bottom"/>
          </w:tcPr>
          <w:p>
            <w:pPr>
              <w:jc w:val="right"/>
              <w:ind w:right="135"/>
              <w:spacing w:after="0" w:line="186" w:lineRule="exact"/>
              <w:rPr>
                <w:sz w:val="20"/>
                <w:szCs w:val="20"/>
                <w:color w:val="auto"/>
              </w:rPr>
            </w:pPr>
            <w:r>
              <w:rPr>
                <w:rFonts w:ascii="Arial" w:cs="Arial" w:eastAsia="Arial" w:hAnsi="Arial"/>
                <w:sz w:val="17"/>
                <w:szCs w:val="17"/>
                <w:color w:val="373535"/>
              </w:rPr>
              <w:t>16.6</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373535"/>
                <w:w w:val="96"/>
              </w:rPr>
              <w:t>15.5</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17073"/>
            </w:tcBorders>
          </w:tcPr>
          <w:p>
            <w:pPr>
              <w:spacing w:after="0" w:line="185" w:lineRule="exact"/>
              <w:rPr>
                <w:sz w:val="20"/>
                <w:szCs w:val="20"/>
                <w:color w:val="auto"/>
              </w:rPr>
            </w:pPr>
            <w:r>
              <w:rPr>
                <w:rFonts w:ascii="Arial" w:cs="Arial" w:eastAsia="Arial" w:hAnsi="Arial"/>
                <w:sz w:val="17"/>
                <w:szCs w:val="17"/>
                <w:color w:val="373535"/>
              </w:rPr>
              <w:t>Southern Europe:</w:t>
            </w:r>
          </w:p>
        </w:tc>
        <w:tc>
          <w:tcPr>
            <w:tcW w:w="3020" w:type="dxa"/>
            <w:vAlign w:val="bottom"/>
            <w:tcBorders>
              <w:top w:val="single" w:sz="8" w:color="717073"/>
            </w:tcBorders>
          </w:tcPr>
          <w:p>
            <w:pPr>
              <w:spacing w:after="0"/>
              <w:rPr>
                <w:sz w:val="16"/>
                <w:szCs w:val="16"/>
                <w:color w:val="auto"/>
              </w:rPr>
            </w:pPr>
          </w:p>
        </w:tc>
        <w:tc>
          <w:tcPr>
            <w:tcW w:w="480" w:type="dxa"/>
            <w:vAlign w:val="bottom"/>
            <w:tcBorders>
              <w:top w:val="single" w:sz="8" w:color="717073"/>
            </w:tcBorders>
            <w:shd w:val="clear" w:color="auto" w:fill="EEF5F2"/>
          </w:tcPr>
          <w:p>
            <w:pPr>
              <w:spacing w:after="0"/>
              <w:rPr>
                <w:sz w:val="16"/>
                <w:szCs w:val="16"/>
                <w:color w:val="auto"/>
              </w:rPr>
            </w:pPr>
          </w:p>
        </w:tc>
        <w:tc>
          <w:tcPr>
            <w:tcW w:w="900" w:type="dxa"/>
            <w:vAlign w:val="bottom"/>
            <w:tcBorders>
              <w:top w:val="single" w:sz="8" w:color="717073"/>
            </w:tcBorders>
            <w:shd w:val="clear" w:color="auto" w:fill="EEF5F2"/>
          </w:tcPr>
          <w:p>
            <w:pPr>
              <w:spacing w:after="0"/>
              <w:rPr>
                <w:sz w:val="16"/>
                <w:szCs w:val="16"/>
                <w:color w:val="auto"/>
              </w:rPr>
            </w:pPr>
          </w:p>
        </w:tc>
        <w:tc>
          <w:tcPr>
            <w:tcW w:w="600" w:type="dxa"/>
            <w:vAlign w:val="bottom"/>
            <w:tcBorders>
              <w:top w:val="single" w:sz="8" w:color="717073"/>
            </w:tcBorders>
          </w:tcPr>
          <w:p>
            <w:pPr>
              <w:spacing w:after="0"/>
              <w:rPr>
                <w:sz w:val="16"/>
                <w:szCs w:val="16"/>
                <w:color w:val="auto"/>
              </w:rPr>
            </w:pPr>
          </w:p>
        </w:tc>
        <w:tc>
          <w:tcPr>
            <w:tcW w:w="900" w:type="dxa"/>
            <w:vAlign w:val="bottom"/>
            <w:tcBorders>
              <w:top w:val="single" w:sz="8" w:color="717073"/>
            </w:tcBorders>
          </w:tcPr>
          <w:p>
            <w:pPr>
              <w:spacing w:after="0"/>
              <w:rPr>
                <w:sz w:val="16"/>
                <w:szCs w:val="16"/>
                <w:color w:val="auto"/>
              </w:rPr>
            </w:pPr>
          </w:p>
        </w:tc>
        <w:tc>
          <w:tcPr>
            <w:tcW w:w="580" w:type="dxa"/>
            <w:vAlign w:val="bottom"/>
            <w:tcBorders>
              <w:top w:val="single" w:sz="8" w:color="717073"/>
            </w:tcBorders>
          </w:tcPr>
          <w:p>
            <w:pPr>
              <w:spacing w:after="0"/>
              <w:rPr>
                <w:sz w:val="16"/>
                <w:szCs w:val="16"/>
                <w:color w:val="auto"/>
              </w:rPr>
            </w:pPr>
          </w:p>
        </w:tc>
        <w:tc>
          <w:tcPr>
            <w:tcW w:w="320" w:type="dxa"/>
            <w:vAlign w:val="bottom"/>
            <w:tcBorders>
              <w:top w:val="single" w:sz="8" w:color="717073"/>
            </w:tcBorders>
          </w:tcPr>
          <w:p>
            <w:pPr>
              <w:spacing w:after="0"/>
              <w:rPr>
                <w:sz w:val="16"/>
                <w:szCs w:val="16"/>
                <w:color w:val="auto"/>
              </w:rPr>
            </w:pPr>
          </w:p>
        </w:tc>
        <w:tc>
          <w:tcPr>
            <w:tcW w:w="340" w:type="dxa"/>
            <w:vAlign w:val="bottom"/>
            <w:tcBorders>
              <w:top w:val="single" w:sz="8" w:color="717073"/>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Pr>
          <w:p>
            <w:pPr>
              <w:ind w:left="140"/>
              <w:spacing w:after="0" w:line="194" w:lineRule="exact"/>
              <w:rPr>
                <w:sz w:val="20"/>
                <w:szCs w:val="20"/>
                <w:color w:val="auto"/>
              </w:rPr>
            </w:pPr>
            <w:r>
              <w:rPr>
                <w:rFonts w:ascii="Arial" w:cs="Arial" w:eastAsia="Arial" w:hAnsi="Arial"/>
                <w:sz w:val="17"/>
                <w:szCs w:val="17"/>
                <w:color w:val="373535"/>
              </w:rPr>
              <w:t>France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10.7</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25.6</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16.4</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Pr>
          <w:p>
            <w:pPr>
              <w:ind w:left="140"/>
              <w:spacing w:after="0" w:line="194" w:lineRule="exact"/>
              <w:rPr>
                <w:sz w:val="20"/>
                <w:szCs w:val="20"/>
                <w:color w:val="auto"/>
              </w:rPr>
            </w:pPr>
            <w:r>
              <w:rPr>
                <w:rFonts w:ascii="Arial" w:cs="Arial" w:eastAsia="Arial" w:hAnsi="Arial"/>
                <w:sz w:val="17"/>
                <w:szCs w:val="17"/>
                <w:color w:val="373535"/>
              </w:rPr>
              <w:t>Italy</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1.9</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1.8</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3.7</w:t>
            </w:r>
          </w:p>
        </w:tc>
        <w:tc>
          <w:tcPr>
            <w:tcW w:w="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16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Other Southern Europe</w:t>
            </w:r>
          </w:p>
        </w:tc>
        <w:tc>
          <w:tcPr>
            <w:tcW w:w="302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shd w:val="clear" w:color="auto" w:fill="EEF5F2"/>
          </w:tcPr>
          <w:p>
            <w:pPr>
              <w:spacing w:after="0"/>
              <w:rPr>
                <w:sz w:val="16"/>
                <w:szCs w:val="16"/>
                <w:color w:val="auto"/>
              </w:rPr>
            </w:pPr>
          </w:p>
        </w:tc>
        <w:tc>
          <w:tcPr>
            <w:tcW w:w="900" w:type="dxa"/>
            <w:vAlign w:val="bottom"/>
            <w:tcBorders>
              <w:bottom w:val="single" w:sz="8" w:color="717073"/>
            </w:tcBorders>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3.7</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94" w:lineRule="exact"/>
              <w:rPr>
                <w:sz w:val="20"/>
                <w:szCs w:val="20"/>
                <w:color w:val="auto"/>
              </w:rPr>
            </w:pPr>
            <w:r>
              <w:rPr>
                <w:rFonts w:ascii="Arial" w:cs="Arial" w:eastAsia="Arial" w:hAnsi="Arial"/>
                <w:sz w:val="17"/>
                <w:szCs w:val="17"/>
                <w:color w:val="373535"/>
              </w:rPr>
              <w:t>2.2</w:t>
            </w:r>
          </w:p>
        </w:tc>
        <w:tc>
          <w:tcPr>
            <w:tcW w:w="5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94" w:lineRule="exact"/>
              <w:rPr>
                <w:sz w:val="20"/>
                <w:szCs w:val="20"/>
                <w:color w:val="auto"/>
              </w:rPr>
            </w:pPr>
            <w:r>
              <w:rPr>
                <w:rFonts w:ascii="Arial" w:cs="Arial" w:eastAsia="Arial" w:hAnsi="Arial"/>
                <w:sz w:val="17"/>
                <w:szCs w:val="17"/>
                <w:color w:val="373535"/>
              </w:rPr>
              <w:t>3.1</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bottom w:val="single" w:sz="8" w:color="717073"/>
            </w:tcBorders>
          </w:tcPr>
          <w:p>
            <w:pPr>
              <w:spacing w:after="0"/>
              <w:rPr>
                <w:sz w:val="16"/>
                <w:szCs w:val="16"/>
                <w:color w:val="auto"/>
              </w:rPr>
            </w:pPr>
          </w:p>
        </w:tc>
        <w:tc>
          <w:tcPr>
            <w:tcW w:w="3020" w:type="dxa"/>
            <w:vAlign w:val="bottom"/>
            <w:tcBorders>
              <w:bottom w:val="single" w:sz="8" w:color="717073"/>
            </w:tcBorders>
          </w:tcPr>
          <w:p>
            <w:pPr>
              <w:spacing w:after="0"/>
              <w:rPr>
                <w:sz w:val="16"/>
                <w:szCs w:val="16"/>
                <w:color w:val="auto"/>
              </w:rPr>
            </w:pPr>
          </w:p>
        </w:tc>
        <w:tc>
          <w:tcPr>
            <w:tcW w:w="480" w:type="dxa"/>
            <w:vAlign w:val="bottom"/>
            <w:tcBorders>
              <w:bottom w:val="single" w:sz="8" w:color="717073"/>
            </w:tcBorders>
            <w:shd w:val="clear" w:color="auto" w:fill="EEF5F2"/>
          </w:tcPr>
          <w:p>
            <w:pPr>
              <w:spacing w:after="0"/>
              <w:rPr>
                <w:sz w:val="16"/>
                <w:szCs w:val="16"/>
                <w:color w:val="auto"/>
              </w:rPr>
            </w:pPr>
          </w:p>
        </w:tc>
        <w:tc>
          <w:tcPr>
            <w:tcW w:w="900" w:type="dxa"/>
            <w:vAlign w:val="bottom"/>
            <w:tcBorders>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16.3</w:t>
            </w:r>
          </w:p>
        </w:tc>
        <w:tc>
          <w:tcPr>
            <w:tcW w:w="60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29.6</w:t>
            </w:r>
          </w:p>
        </w:tc>
        <w:tc>
          <w:tcPr>
            <w:tcW w:w="580" w:type="dxa"/>
            <w:vAlign w:val="bottom"/>
            <w:tcBorders>
              <w:bottom w:val="single" w:sz="8" w:color="717073"/>
            </w:tcBorders>
          </w:tcPr>
          <w:p>
            <w:pPr>
              <w:spacing w:after="0"/>
              <w:rPr>
                <w:sz w:val="16"/>
                <w:szCs w:val="16"/>
                <w:color w:val="auto"/>
              </w:rPr>
            </w:pPr>
          </w:p>
        </w:tc>
        <w:tc>
          <w:tcPr>
            <w:tcW w:w="320" w:type="dxa"/>
            <w:vAlign w:val="bottom"/>
            <w:tcBorders>
              <w:bottom w:val="single" w:sz="8" w:color="717073"/>
            </w:tcBorders>
          </w:tcPr>
          <w:p>
            <w:pPr>
              <w:spacing w:after="0"/>
              <w:rPr>
                <w:sz w:val="16"/>
                <w:szCs w:val="16"/>
                <w:color w:val="auto"/>
              </w:rPr>
            </w:pPr>
          </w:p>
        </w:tc>
        <w:tc>
          <w:tcPr>
            <w:tcW w:w="360" w:type="dxa"/>
            <w:vAlign w:val="bottom"/>
            <w:tcBorders>
              <w:bottom w:val="single" w:sz="8" w:color="717073"/>
            </w:tcBorders>
            <w:gridSpan w:val="2"/>
          </w:tcPr>
          <w:p>
            <w:pPr>
              <w:jc w:val="right"/>
              <w:ind w:right="20"/>
              <w:spacing w:after="0" w:line="186" w:lineRule="exact"/>
              <w:rPr>
                <w:sz w:val="20"/>
                <w:szCs w:val="20"/>
                <w:color w:val="auto"/>
              </w:rPr>
            </w:pPr>
            <w:r>
              <w:rPr>
                <w:rFonts w:ascii="Arial" w:cs="Arial" w:eastAsia="Arial" w:hAnsi="Arial"/>
                <w:sz w:val="17"/>
                <w:szCs w:val="17"/>
                <w:color w:val="373535"/>
                <w:w w:val="96"/>
              </w:rPr>
              <w:t>23.2</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Pr>
          <w:p>
            <w:pPr>
              <w:spacing w:after="0" w:line="185" w:lineRule="exact"/>
              <w:rPr>
                <w:sz w:val="20"/>
                <w:szCs w:val="20"/>
                <w:color w:val="auto"/>
              </w:rPr>
            </w:pPr>
            <w:r>
              <w:rPr>
                <w:rFonts w:ascii="Arial" w:cs="Arial" w:eastAsia="Arial" w:hAnsi="Arial"/>
                <w:sz w:val="17"/>
                <w:szCs w:val="17"/>
                <w:color w:val="373535"/>
              </w:rPr>
              <w:t>Northern Europe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8.8</w:t>
            </w:r>
          </w:p>
        </w:tc>
        <w:tc>
          <w:tcPr>
            <w:tcW w:w="600" w:type="dxa"/>
            <w:vAlign w:val="bottom"/>
          </w:tcPr>
          <w:p>
            <w:pPr>
              <w:spacing w:after="0"/>
              <w:rPr>
                <w:sz w:val="16"/>
                <w:szCs w:val="16"/>
                <w:color w:val="auto"/>
              </w:rPr>
            </w:pPr>
          </w:p>
        </w:tc>
        <w:tc>
          <w:tcPr>
            <w:tcW w:w="900" w:type="dxa"/>
            <w:vAlign w:val="bottom"/>
          </w:tcPr>
          <w:p>
            <w:pPr>
              <w:jc w:val="right"/>
              <w:ind w:right="135"/>
              <w:spacing w:after="0" w:line="185" w:lineRule="exact"/>
              <w:rPr>
                <w:sz w:val="20"/>
                <w:szCs w:val="20"/>
                <w:color w:val="auto"/>
              </w:rPr>
            </w:pPr>
            <w:r>
              <w:rPr>
                <w:rFonts w:ascii="Arial" w:cs="Arial" w:eastAsia="Arial" w:hAnsi="Arial"/>
                <w:sz w:val="17"/>
                <w:szCs w:val="17"/>
                <w:color w:val="373535"/>
              </w:rPr>
              <w:t>12.8</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373535"/>
                <w:w w:val="96"/>
              </w:rPr>
              <w:t>18.4</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APME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4.3</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5.6</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5.5</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Right Management</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4.5</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7.4</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2.3</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17073"/>
              <w:bottom w:val="single" w:sz="8" w:color="717073"/>
            </w:tcBorders>
          </w:tcPr>
          <w:p>
            <w:pPr>
              <w:spacing w:after="0"/>
              <w:rPr>
                <w:sz w:val="16"/>
                <w:szCs w:val="16"/>
                <w:color w:val="auto"/>
              </w:rPr>
            </w:pPr>
          </w:p>
        </w:tc>
        <w:tc>
          <w:tcPr>
            <w:tcW w:w="3020" w:type="dxa"/>
            <w:vAlign w:val="bottom"/>
            <w:tcBorders>
              <w:top w:val="single" w:sz="8" w:color="717073"/>
              <w:bottom w:val="single" w:sz="8" w:color="717073"/>
            </w:tcBorders>
          </w:tcPr>
          <w:p>
            <w:pPr>
              <w:spacing w:after="0"/>
              <w:rPr>
                <w:sz w:val="16"/>
                <w:szCs w:val="16"/>
                <w:color w:val="auto"/>
              </w:rPr>
            </w:pPr>
          </w:p>
        </w:tc>
        <w:tc>
          <w:tcPr>
            <w:tcW w:w="480" w:type="dxa"/>
            <w:vAlign w:val="bottom"/>
            <w:tcBorders>
              <w:top w:val="single" w:sz="8" w:color="717073"/>
              <w:bottom w:val="single" w:sz="8" w:color="717073"/>
            </w:tcBorders>
            <w:shd w:val="clear" w:color="auto" w:fill="EEF5F2"/>
          </w:tcPr>
          <w:p>
            <w:pPr>
              <w:jc w:val="right"/>
              <w:ind w:right="154"/>
              <w:spacing w:after="0" w:line="186" w:lineRule="exact"/>
              <w:rPr>
                <w:sz w:val="20"/>
                <w:szCs w:val="20"/>
                <w:color w:val="auto"/>
              </w:rPr>
            </w:pPr>
            <w:r>
              <w:rPr>
                <w:rFonts w:ascii="Arial" w:cs="Arial" w:eastAsia="Arial" w:hAnsi="Arial"/>
                <w:sz w:val="17"/>
                <w:szCs w:val="17"/>
                <w:color w:val="76AD9A"/>
              </w:rPr>
              <w:t>$</w:t>
            </w:r>
          </w:p>
        </w:tc>
        <w:tc>
          <w:tcPr>
            <w:tcW w:w="900" w:type="dxa"/>
            <w:vAlign w:val="bottom"/>
            <w:tcBorders>
              <w:top w:val="single" w:sz="8" w:color="717073"/>
              <w:bottom w:val="single" w:sz="8" w:color="717073"/>
            </w:tcBorders>
            <w:shd w:val="clear" w:color="auto" w:fill="EEF5F2"/>
          </w:tcPr>
          <w:p>
            <w:pPr>
              <w:jc w:val="right"/>
              <w:ind w:right="135"/>
              <w:spacing w:after="0" w:line="186" w:lineRule="exact"/>
              <w:rPr>
                <w:sz w:val="20"/>
                <w:szCs w:val="20"/>
                <w:color w:val="auto"/>
              </w:rPr>
            </w:pPr>
            <w:r>
              <w:rPr>
                <w:rFonts w:ascii="Arial" w:cs="Arial" w:eastAsia="Arial" w:hAnsi="Arial"/>
                <w:sz w:val="17"/>
                <w:szCs w:val="17"/>
                <w:color w:val="76AD9A"/>
              </w:rPr>
              <w:t>44.7</w:t>
            </w:r>
          </w:p>
        </w:tc>
        <w:tc>
          <w:tcPr>
            <w:tcW w:w="600" w:type="dxa"/>
            <w:vAlign w:val="bottom"/>
            <w:tcBorders>
              <w:top w:val="single" w:sz="8" w:color="717073"/>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900" w:type="dxa"/>
            <w:vAlign w:val="bottom"/>
            <w:tcBorders>
              <w:top w:val="single" w:sz="8" w:color="717073"/>
              <w:bottom w:val="single" w:sz="8" w:color="717073"/>
            </w:tcBorders>
          </w:tcPr>
          <w:p>
            <w:pPr>
              <w:jc w:val="right"/>
              <w:ind w:right="135"/>
              <w:spacing w:after="0" w:line="186" w:lineRule="exact"/>
              <w:rPr>
                <w:sz w:val="20"/>
                <w:szCs w:val="20"/>
                <w:color w:val="auto"/>
              </w:rPr>
            </w:pPr>
            <w:r>
              <w:rPr>
                <w:rFonts w:ascii="Arial" w:cs="Arial" w:eastAsia="Arial" w:hAnsi="Arial"/>
                <w:sz w:val="17"/>
                <w:szCs w:val="17"/>
                <w:color w:val="373535"/>
              </w:rPr>
              <w:t>72.0</w:t>
            </w:r>
          </w:p>
        </w:tc>
        <w:tc>
          <w:tcPr>
            <w:tcW w:w="580" w:type="dxa"/>
            <w:vAlign w:val="bottom"/>
            <w:tcBorders>
              <w:top w:val="single" w:sz="8" w:color="717073"/>
              <w:bottom w:val="single" w:sz="8" w:color="717073"/>
            </w:tcBorders>
          </w:tcPr>
          <w:p>
            <w:pPr>
              <w:jc w:val="right"/>
              <w:ind w:right="154"/>
              <w:spacing w:after="0" w:line="186" w:lineRule="exact"/>
              <w:rPr>
                <w:sz w:val="20"/>
                <w:szCs w:val="20"/>
                <w:color w:val="auto"/>
              </w:rPr>
            </w:pPr>
            <w:r>
              <w:rPr>
                <w:rFonts w:ascii="Arial" w:cs="Arial" w:eastAsia="Arial" w:hAnsi="Arial"/>
                <w:sz w:val="17"/>
                <w:szCs w:val="17"/>
                <w:color w:val="373535"/>
              </w:rPr>
              <w:t>$</w:t>
            </w:r>
          </w:p>
        </w:tc>
        <w:tc>
          <w:tcPr>
            <w:tcW w:w="320" w:type="dxa"/>
            <w:vAlign w:val="bottom"/>
            <w:tcBorders>
              <w:top w:val="single" w:sz="8" w:color="717073"/>
              <w:bottom w:val="single" w:sz="8" w:color="717073"/>
            </w:tcBorders>
          </w:tcPr>
          <w:p>
            <w:pPr>
              <w:spacing w:after="0"/>
              <w:rPr>
                <w:sz w:val="16"/>
                <w:szCs w:val="16"/>
                <w:color w:val="auto"/>
              </w:rPr>
            </w:pPr>
          </w:p>
        </w:tc>
        <w:tc>
          <w:tcPr>
            <w:tcW w:w="340" w:type="dxa"/>
            <w:vAlign w:val="bottom"/>
            <w:tcBorders>
              <w:top w:val="single" w:sz="8" w:color="717073"/>
              <w:bottom w:val="single" w:sz="8" w:color="717073"/>
            </w:tcBorders>
          </w:tcPr>
          <w:p>
            <w:pPr>
              <w:jc w:val="right"/>
              <w:spacing w:after="0" w:line="186" w:lineRule="exact"/>
              <w:rPr>
                <w:sz w:val="20"/>
                <w:szCs w:val="20"/>
                <w:color w:val="auto"/>
              </w:rPr>
            </w:pPr>
            <w:r>
              <w:rPr>
                <w:rFonts w:ascii="Arial" w:cs="Arial" w:eastAsia="Arial" w:hAnsi="Arial"/>
                <w:sz w:val="17"/>
                <w:szCs w:val="17"/>
                <w:color w:val="373535"/>
                <w:w w:val="96"/>
              </w:rPr>
              <w:t>64.9</w:t>
            </w:r>
          </w:p>
        </w:tc>
        <w:tc>
          <w:tcPr>
            <w:tcW w:w="20" w:type="dxa"/>
            <w:vAlign w:val="bottom"/>
            <w:tcBorders>
              <w:top w:val="single" w:sz="8" w:color="717073"/>
            </w:tcBorders>
          </w:tcPr>
          <w:p>
            <w:pPr>
              <w:spacing w:after="0"/>
              <w:rPr>
                <w:sz w:val="16"/>
                <w:szCs w:val="16"/>
                <w:color w:val="auto"/>
              </w:rPr>
            </w:pPr>
          </w:p>
        </w:tc>
        <w:tc>
          <w:tcPr>
            <w:tcW w:w="80" w:type="dxa"/>
            <w:vAlign w:val="bottom"/>
          </w:tcPr>
          <w:p>
            <w:pPr>
              <w:spacing w:after="0"/>
              <w:rPr>
                <w:sz w:val="16"/>
                <w:szCs w:val="16"/>
                <w:color w:val="auto"/>
              </w:rPr>
            </w:pPr>
          </w:p>
        </w:tc>
      </w:tr>
      <w:tr>
        <w:trPr>
          <w:trHeight w:val="391"/>
        </w:trPr>
        <w:tc>
          <w:tcPr>
            <w:tcW w:w="7680" w:type="dxa"/>
            <w:vAlign w:val="bottom"/>
            <w:gridSpan w:val="4"/>
          </w:tcPr>
          <w:p>
            <w:pPr>
              <w:spacing w:after="0"/>
              <w:rPr>
                <w:sz w:val="20"/>
                <w:szCs w:val="20"/>
                <w:color w:val="auto"/>
              </w:rPr>
            </w:pPr>
            <w:r>
              <w:rPr>
                <w:rFonts w:ascii="Arial" w:cs="Arial" w:eastAsia="Arial" w:hAnsi="Arial"/>
                <w:sz w:val="17"/>
                <w:szCs w:val="17"/>
                <w:color w:val="373535"/>
              </w:rPr>
              <w:t>(a)  Further breakdown of long-lived assets by geographical region was as follows:</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4180" w:type="dxa"/>
            <w:vAlign w:val="bottom"/>
            <w:gridSpan w:val="2"/>
          </w:tcPr>
          <w:p>
            <w:pPr>
              <w:spacing w:after="0"/>
              <w:rPr>
                <w:sz w:val="15"/>
                <w:szCs w:val="15"/>
                <w:color w:val="auto"/>
              </w:rPr>
            </w:pPr>
          </w:p>
        </w:tc>
        <w:tc>
          <w:tcPr>
            <w:tcW w:w="3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4180" w:type="dxa"/>
            <w:vAlign w:val="bottom"/>
            <w:gridSpan w:val="2"/>
          </w:tcPr>
          <w:p>
            <w:pPr>
              <w:spacing w:after="0"/>
              <w:rPr>
                <w:sz w:val="20"/>
                <w:szCs w:val="20"/>
                <w:color w:val="auto"/>
              </w:rPr>
            </w:pPr>
            <w:r>
              <w:rPr>
                <w:rFonts w:ascii="Arial" w:cs="Arial" w:eastAsia="Arial" w:hAnsi="Arial"/>
                <w:sz w:val="14"/>
                <w:szCs w:val="14"/>
                <w:b w:val="1"/>
                <w:bCs w:val="1"/>
                <w:color w:val="76AD9A"/>
              </w:rPr>
              <w:t>Long-Lived Assets</w:t>
            </w:r>
          </w:p>
        </w:tc>
        <w:tc>
          <w:tcPr>
            <w:tcW w:w="3020" w:type="dxa"/>
            <w:vAlign w:val="bottom"/>
          </w:tcPr>
          <w:p>
            <w:pPr>
              <w:spacing w:after="0"/>
              <w:rPr>
                <w:sz w:val="16"/>
                <w:szCs w:val="16"/>
                <w:color w:val="auto"/>
              </w:rPr>
            </w:pPr>
          </w:p>
        </w:tc>
        <w:tc>
          <w:tcPr>
            <w:tcW w:w="480" w:type="dxa"/>
            <w:vAlign w:val="bottom"/>
            <w:shd w:val="clear" w:color="auto" w:fill="76AD9A"/>
          </w:tcPr>
          <w:p>
            <w:pPr>
              <w:spacing w:after="0"/>
              <w:rPr>
                <w:sz w:val="16"/>
                <w:szCs w:val="16"/>
                <w:color w:val="auto"/>
              </w:rPr>
            </w:pPr>
          </w:p>
        </w:tc>
        <w:tc>
          <w:tcPr>
            <w:tcW w:w="900" w:type="dxa"/>
            <w:vAlign w:val="bottom"/>
            <w:shd w:val="clear" w:color="auto" w:fill="76AD9A"/>
          </w:tcPr>
          <w:p>
            <w:pPr>
              <w:jc w:val="right"/>
              <w:ind w:right="135"/>
              <w:spacing w:after="0"/>
              <w:rPr>
                <w:sz w:val="20"/>
                <w:szCs w:val="20"/>
                <w:color w:val="auto"/>
              </w:rPr>
            </w:pPr>
            <w:r>
              <w:rPr>
                <w:rFonts w:ascii="Arial" w:cs="Arial" w:eastAsia="Arial" w:hAnsi="Arial"/>
                <w:sz w:val="14"/>
                <w:szCs w:val="14"/>
                <w:b w:val="1"/>
                <w:bCs w:val="1"/>
                <w:color w:val="FFFFFF"/>
              </w:rPr>
              <w:t>2013</w:t>
            </w:r>
          </w:p>
        </w:tc>
        <w:tc>
          <w:tcPr>
            <w:tcW w:w="600" w:type="dxa"/>
            <w:vAlign w:val="bottom"/>
          </w:tcPr>
          <w:p>
            <w:pPr>
              <w:spacing w:after="0"/>
              <w:rPr>
                <w:sz w:val="16"/>
                <w:szCs w:val="16"/>
                <w:color w:val="auto"/>
              </w:rPr>
            </w:pPr>
          </w:p>
        </w:tc>
        <w:tc>
          <w:tcPr>
            <w:tcW w:w="900" w:type="dxa"/>
            <w:vAlign w:val="bottom"/>
          </w:tcPr>
          <w:p>
            <w:pPr>
              <w:jc w:val="right"/>
              <w:ind w:right="135"/>
              <w:spacing w:after="0"/>
              <w:rPr>
                <w:sz w:val="20"/>
                <w:szCs w:val="20"/>
                <w:color w:val="auto"/>
              </w:rPr>
            </w:pPr>
            <w:r>
              <w:rPr>
                <w:rFonts w:ascii="Arial" w:cs="Arial" w:eastAsia="Arial" w:hAnsi="Arial"/>
                <w:sz w:val="14"/>
                <w:szCs w:val="14"/>
                <w:b w:val="1"/>
                <w:bCs w:val="1"/>
                <w:color w:val="76AD9A"/>
              </w:rPr>
              <w:t>2012</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76AD9A"/>
              </w:rPr>
              <w:t>2011</w:t>
            </w:r>
          </w:p>
        </w:tc>
        <w:tc>
          <w:tcPr>
            <w:tcW w:w="80" w:type="dxa"/>
            <w:vAlign w:val="bottom"/>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416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United States</w:t>
            </w:r>
          </w:p>
        </w:tc>
        <w:tc>
          <w:tcPr>
            <w:tcW w:w="3020" w:type="dxa"/>
            <w:vAlign w:val="bottom"/>
            <w:tcBorders>
              <w:top w:val="single" w:sz="8" w:color="76AD9A"/>
            </w:tcBorders>
          </w:tcPr>
          <w:p>
            <w:pPr>
              <w:spacing w:after="0"/>
              <w:rPr>
                <w:sz w:val="16"/>
                <w:szCs w:val="16"/>
                <w:color w:val="auto"/>
              </w:rPr>
            </w:pPr>
          </w:p>
        </w:tc>
        <w:tc>
          <w:tcPr>
            <w:tcW w:w="480" w:type="dxa"/>
            <w:vAlign w:val="bottom"/>
            <w:tcBorders>
              <w:top w:val="single" w:sz="8" w:color="76AD9A"/>
            </w:tcBorders>
            <w:shd w:val="clear" w:color="auto" w:fill="EEF5F2"/>
          </w:tcPr>
          <w:p>
            <w:pPr>
              <w:jc w:val="right"/>
              <w:ind w:right="154"/>
              <w:spacing w:after="0" w:line="185" w:lineRule="exact"/>
              <w:rPr>
                <w:sz w:val="20"/>
                <w:szCs w:val="20"/>
                <w:color w:val="auto"/>
              </w:rPr>
            </w:pPr>
            <w:r>
              <w:rPr>
                <w:rFonts w:ascii="Arial" w:cs="Arial" w:eastAsia="Arial" w:hAnsi="Arial"/>
                <w:sz w:val="17"/>
                <w:szCs w:val="17"/>
                <w:color w:val="76AD9A"/>
              </w:rPr>
              <w:t>$</w:t>
            </w:r>
          </w:p>
        </w:tc>
        <w:tc>
          <w:tcPr>
            <w:tcW w:w="900" w:type="dxa"/>
            <w:vAlign w:val="bottom"/>
            <w:tcBorders>
              <w:top w:val="single" w:sz="8" w:color="76AD9A"/>
            </w:tcBorders>
            <w:shd w:val="clear" w:color="auto" w:fill="EEF5F2"/>
          </w:tcPr>
          <w:p>
            <w:pPr>
              <w:jc w:val="right"/>
              <w:ind w:right="135"/>
              <w:spacing w:after="0" w:line="185" w:lineRule="exact"/>
              <w:rPr>
                <w:sz w:val="20"/>
                <w:szCs w:val="20"/>
                <w:color w:val="auto"/>
              </w:rPr>
            </w:pPr>
            <w:r>
              <w:rPr>
                <w:rFonts w:ascii="Arial" w:cs="Arial" w:eastAsia="Arial" w:hAnsi="Arial"/>
                <w:sz w:val="17"/>
                <w:szCs w:val="17"/>
                <w:color w:val="76AD9A"/>
              </w:rPr>
              <w:t>30.6</w:t>
            </w:r>
          </w:p>
        </w:tc>
        <w:tc>
          <w:tcPr>
            <w:tcW w:w="60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900" w:type="dxa"/>
            <w:vAlign w:val="bottom"/>
            <w:tcBorders>
              <w:top w:val="single" w:sz="8" w:color="76AD9A"/>
            </w:tcBorders>
          </w:tcPr>
          <w:p>
            <w:pPr>
              <w:jc w:val="right"/>
              <w:ind w:right="135"/>
              <w:spacing w:after="0" w:line="185" w:lineRule="exact"/>
              <w:rPr>
                <w:sz w:val="20"/>
                <w:szCs w:val="20"/>
                <w:color w:val="auto"/>
              </w:rPr>
            </w:pPr>
            <w:r>
              <w:rPr>
                <w:rFonts w:ascii="Arial" w:cs="Arial" w:eastAsia="Arial" w:hAnsi="Arial"/>
                <w:sz w:val="17"/>
                <w:szCs w:val="17"/>
                <w:color w:val="373535"/>
              </w:rPr>
              <w:t>39.7</w:t>
            </w:r>
          </w:p>
        </w:tc>
        <w:tc>
          <w:tcPr>
            <w:tcW w:w="580" w:type="dxa"/>
            <w:vAlign w:val="bottom"/>
            <w:tcBorders>
              <w:top w:val="single" w:sz="8" w:color="76AD9A"/>
            </w:tcBorders>
          </w:tcPr>
          <w:p>
            <w:pPr>
              <w:jc w:val="right"/>
              <w:ind w:right="154"/>
              <w:spacing w:after="0" w:line="185" w:lineRule="exact"/>
              <w:rPr>
                <w:sz w:val="20"/>
                <w:szCs w:val="20"/>
                <w:color w:val="auto"/>
              </w:rPr>
            </w:pPr>
            <w:r>
              <w:rPr>
                <w:rFonts w:ascii="Arial" w:cs="Arial" w:eastAsia="Arial" w:hAnsi="Arial"/>
                <w:sz w:val="17"/>
                <w:szCs w:val="17"/>
                <w:color w:val="373535"/>
              </w:rPr>
              <w:t>$</w:t>
            </w:r>
          </w:p>
        </w:tc>
        <w:tc>
          <w:tcPr>
            <w:tcW w:w="32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jc w:val="right"/>
              <w:spacing w:after="0" w:line="185" w:lineRule="exact"/>
              <w:rPr>
                <w:sz w:val="20"/>
                <w:szCs w:val="20"/>
                <w:color w:val="auto"/>
              </w:rPr>
            </w:pPr>
            <w:r>
              <w:rPr>
                <w:rFonts w:ascii="Arial" w:cs="Arial" w:eastAsia="Arial" w:hAnsi="Arial"/>
                <w:sz w:val="17"/>
                <w:szCs w:val="17"/>
                <w:color w:val="373535"/>
                <w:w w:val="96"/>
              </w:rPr>
              <w:t>41.1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France</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57.8</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61.0</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48.1</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Italy</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6.5</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7.1</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rPr>
              <w:t>8.1</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United Kingdom</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7.4</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11.0</w:t>
            </w: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373535"/>
                <w:w w:val="96"/>
              </w:rPr>
              <w:t>12.9</w:t>
            </w:r>
          </w:p>
        </w:tc>
        <w:tc>
          <w:tcPr>
            <w:tcW w:w="80" w:type="dxa"/>
            <w:vAlign w:val="bottom"/>
          </w:tcPr>
          <w:p>
            <w:pPr>
              <w:spacing w:after="0"/>
              <w:rPr>
                <w:sz w:val="16"/>
                <w:szCs w:val="16"/>
                <w:color w:val="auto"/>
              </w:rPr>
            </w:pPr>
          </w:p>
        </w:tc>
      </w:tr>
      <w:tr>
        <w:trPr>
          <w:trHeight w:val="194"/>
        </w:trPr>
        <w:tc>
          <w:tcPr>
            <w:tcW w:w="4180" w:type="dxa"/>
            <w:vAlign w:val="bottom"/>
            <w:gridSpan w:val="2"/>
          </w:tcPr>
          <w:p>
            <w:pPr>
              <w:spacing w:after="0" w:line="194" w:lineRule="exact"/>
              <w:rPr>
                <w:sz w:val="20"/>
                <w:szCs w:val="20"/>
                <w:color w:val="auto"/>
              </w:rPr>
            </w:pPr>
            <w:r>
              <w:rPr>
                <w:rFonts w:ascii="Arial" w:cs="Arial" w:eastAsia="Arial" w:hAnsi="Arial"/>
                <w:sz w:val="17"/>
                <w:szCs w:val="17"/>
                <w:color w:val="373535"/>
              </w:rPr>
              <w:t>Total Foreign</w:t>
            </w:r>
          </w:p>
        </w:tc>
        <w:tc>
          <w:tcPr>
            <w:tcW w:w="3020" w:type="dxa"/>
            <w:vAlign w:val="bottom"/>
          </w:tcPr>
          <w:p>
            <w:pPr>
              <w:spacing w:after="0"/>
              <w:rPr>
                <w:sz w:val="16"/>
                <w:szCs w:val="16"/>
                <w:color w:val="auto"/>
              </w:rPr>
            </w:pPr>
          </w:p>
        </w:tc>
        <w:tc>
          <w:tcPr>
            <w:tcW w:w="480" w:type="dxa"/>
            <w:vAlign w:val="bottom"/>
            <w:shd w:val="clear" w:color="auto" w:fill="EEF5F2"/>
          </w:tcPr>
          <w:p>
            <w:pPr>
              <w:spacing w:after="0"/>
              <w:rPr>
                <w:sz w:val="16"/>
                <w:szCs w:val="16"/>
                <w:color w:val="auto"/>
              </w:rPr>
            </w:pPr>
          </w:p>
        </w:tc>
        <w:tc>
          <w:tcPr>
            <w:tcW w:w="900" w:type="dxa"/>
            <w:vAlign w:val="bottom"/>
            <w:shd w:val="clear" w:color="auto" w:fill="EEF5F2"/>
          </w:tcPr>
          <w:p>
            <w:pPr>
              <w:jc w:val="right"/>
              <w:ind w:right="135"/>
              <w:spacing w:after="0" w:line="194" w:lineRule="exact"/>
              <w:rPr>
                <w:sz w:val="20"/>
                <w:szCs w:val="20"/>
                <w:color w:val="auto"/>
              </w:rPr>
            </w:pPr>
            <w:r>
              <w:rPr>
                <w:rFonts w:ascii="Arial" w:cs="Arial" w:eastAsia="Arial" w:hAnsi="Arial"/>
                <w:sz w:val="17"/>
                <w:szCs w:val="17"/>
                <w:color w:val="76AD9A"/>
              </w:rPr>
              <w:t>140.0</w:t>
            </w:r>
          </w:p>
        </w:tc>
        <w:tc>
          <w:tcPr>
            <w:tcW w:w="600" w:type="dxa"/>
            <w:vAlign w:val="bottom"/>
          </w:tcPr>
          <w:p>
            <w:pPr>
              <w:spacing w:after="0"/>
              <w:rPr>
                <w:sz w:val="16"/>
                <w:szCs w:val="16"/>
                <w:color w:val="auto"/>
              </w:rPr>
            </w:pPr>
          </w:p>
        </w:tc>
        <w:tc>
          <w:tcPr>
            <w:tcW w:w="900" w:type="dxa"/>
            <w:vAlign w:val="bottom"/>
          </w:tcPr>
          <w:p>
            <w:pPr>
              <w:jc w:val="right"/>
              <w:ind w:right="135"/>
              <w:spacing w:after="0" w:line="194" w:lineRule="exact"/>
              <w:rPr>
                <w:sz w:val="20"/>
                <w:szCs w:val="20"/>
                <w:color w:val="auto"/>
              </w:rPr>
            </w:pPr>
            <w:r>
              <w:rPr>
                <w:rFonts w:ascii="Arial" w:cs="Arial" w:eastAsia="Arial" w:hAnsi="Arial"/>
                <w:sz w:val="17"/>
                <w:szCs w:val="17"/>
                <w:color w:val="373535"/>
              </w:rPr>
              <w:t>155.7</w:t>
            </w:r>
          </w:p>
        </w:tc>
        <w:tc>
          <w:tcPr>
            <w:tcW w:w="580" w:type="dxa"/>
            <w:vAlign w:val="bottom"/>
          </w:tcPr>
          <w:p>
            <w:pPr>
              <w:spacing w:after="0"/>
              <w:rPr>
                <w:sz w:val="16"/>
                <w:szCs w:val="16"/>
                <w:color w:val="auto"/>
              </w:rPr>
            </w:pPr>
          </w:p>
        </w:tc>
        <w:tc>
          <w:tcPr>
            <w:tcW w:w="680" w:type="dxa"/>
            <w:vAlign w:val="bottom"/>
            <w:gridSpan w:val="3"/>
          </w:tcPr>
          <w:p>
            <w:pPr>
              <w:jc w:val="right"/>
              <w:ind w:right="20"/>
              <w:spacing w:after="0" w:line="194" w:lineRule="exact"/>
              <w:rPr>
                <w:sz w:val="20"/>
                <w:szCs w:val="20"/>
                <w:color w:val="auto"/>
              </w:rPr>
            </w:pPr>
            <w:r>
              <w:rPr>
                <w:rFonts w:ascii="Arial" w:cs="Arial" w:eastAsia="Arial" w:hAnsi="Arial"/>
                <w:sz w:val="17"/>
                <w:szCs w:val="17"/>
                <w:color w:val="373535"/>
              </w:rPr>
              <w:t>147.8</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717073"/>
          </w:tcPr>
          <w:p>
            <w:pPr>
              <w:spacing w:after="0" w:line="20" w:lineRule="exact"/>
              <w:rPr>
                <w:sz w:val="1"/>
                <w:szCs w:val="1"/>
                <w:color w:val="auto"/>
              </w:rPr>
            </w:pPr>
          </w:p>
        </w:tc>
        <w:tc>
          <w:tcPr>
            <w:tcW w:w="6800" w:type="dxa"/>
            <w:vAlign w:val="bottom"/>
            <w:gridSpan w:val="7"/>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5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800" w:type="dxa"/>
            <w:vAlign w:val="bottom"/>
            <w:gridSpan w:val="7"/>
          </w:tcPr>
          <w:p>
            <w:pPr>
              <w:ind w:left="1600"/>
              <w:spacing w:after="0"/>
              <w:rPr>
                <w:sz w:val="20"/>
                <w:szCs w:val="20"/>
                <w:color w:val="auto"/>
              </w:rPr>
            </w:pPr>
            <w:r>
              <w:rPr>
                <w:rFonts w:ascii="Arial" w:cs="Arial" w:eastAsia="Arial" w:hAnsi="Arial"/>
                <w:sz w:val="14"/>
                <w:szCs w:val="14"/>
                <w:b w:val="1"/>
                <w:bCs w:val="1"/>
                <w:color w:val="777679"/>
                <w:w w:val="97"/>
              </w:rPr>
              <w:t xml:space="preserve">Notes to Consolidated Financial Statements </w:t>
            </w:r>
            <w:r>
              <w:rPr>
                <w:rFonts w:ascii="Arial" w:cs="Arial" w:eastAsia="Arial" w:hAnsi="Arial"/>
                <w:sz w:val="14"/>
                <w:szCs w:val="14"/>
                <w:color w:val="373535"/>
                <w:w w:val="97"/>
              </w:rPr>
              <w:t>ManpowerGroup 2013 Annual Report</w:t>
            </w: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373535"/>
              </w:rPr>
              <w:t>83</w:t>
            </w:r>
          </w:p>
        </w:tc>
      </w:tr>
      <w:tr>
        <w:trPr>
          <w:trHeight w:val="418"/>
        </w:trPr>
        <w:tc>
          <w:tcPr>
            <w:tcW w:w="20" w:type="dxa"/>
            <w:vAlign w:val="bottom"/>
          </w:tcPr>
          <w:p>
            <w:pPr>
              <w:spacing w:after="0"/>
              <w:rPr>
                <w:sz w:val="24"/>
                <w:szCs w:val="24"/>
                <w:color w:val="auto"/>
              </w:rPr>
            </w:pPr>
          </w:p>
        </w:tc>
        <w:tc>
          <w:tcPr>
            <w:tcW w:w="4160" w:type="dxa"/>
            <w:vAlign w:val="bottom"/>
            <w:tcBorders>
              <w:bottom w:val="single" w:sz="8" w:color="DCDCDC"/>
            </w:tcBorders>
          </w:tcPr>
          <w:p>
            <w:pPr>
              <w:spacing w:after="0"/>
              <w:rPr>
                <w:sz w:val="24"/>
                <w:szCs w:val="24"/>
                <w:color w:val="auto"/>
              </w:rPr>
            </w:pPr>
          </w:p>
        </w:tc>
        <w:tc>
          <w:tcPr>
            <w:tcW w:w="3020" w:type="dxa"/>
            <w:vAlign w:val="bottom"/>
            <w:tcBorders>
              <w:bottom w:val="single" w:sz="8" w:color="DCDCDC"/>
            </w:tcBorders>
          </w:tcPr>
          <w:p>
            <w:pPr>
              <w:spacing w:after="0"/>
              <w:rPr>
                <w:sz w:val="24"/>
                <w:szCs w:val="24"/>
                <w:color w:val="auto"/>
              </w:rPr>
            </w:pPr>
          </w:p>
        </w:tc>
        <w:tc>
          <w:tcPr>
            <w:tcW w:w="48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60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3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6" w:right="23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4C8ABF"/>
        </w:rPr>
        <w:t>NOTES TO CONSOLIDATED FINANCIAL STATEMENTS</w:t>
      </w:r>
    </w:p>
    <w:p>
      <w:pPr>
        <w:spacing w:after="0"/>
        <w:rPr>
          <w:sz w:val="20"/>
          <w:szCs w:val="20"/>
          <w:color w:val="auto"/>
        </w:rPr>
      </w:pPr>
      <w:r>
        <w:rPr>
          <w:rFonts w:ascii="Arial" w:cs="Arial" w:eastAsia="Arial" w:hAnsi="Arial"/>
          <w:sz w:val="17"/>
          <w:szCs w:val="17"/>
          <w:color w:val="4C8ABF"/>
        </w:rPr>
        <w:t>in millions, except share and per share data</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76AD9A"/>
        </w:rPr>
        <w:t>15.</w:t>
      </w:r>
    </w:p>
    <w:p>
      <w:pPr>
        <w:spacing w:after="0"/>
        <w:rPr>
          <w:sz w:val="20"/>
          <w:szCs w:val="20"/>
          <w:color w:val="auto"/>
        </w:rPr>
      </w:pPr>
      <w:r>
        <w:rPr>
          <w:rFonts w:ascii="Arial" w:cs="Arial" w:eastAsia="Arial" w:hAnsi="Arial"/>
          <w:sz w:val="17"/>
          <w:szCs w:val="17"/>
          <w:color w:val="76AD9A"/>
        </w:rPr>
        <w:t>Quarterly Data (Unaudited)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jc w:val="right"/>
              <w:ind w:right="96"/>
              <w:spacing w:after="0"/>
              <w:rPr>
                <w:sz w:val="20"/>
                <w:szCs w:val="20"/>
                <w:color w:val="auto"/>
              </w:rPr>
            </w:pPr>
            <w:r>
              <w:rPr>
                <w:rFonts w:ascii="Arial" w:cs="Arial" w:eastAsia="Arial" w:hAnsi="Arial"/>
                <w:sz w:val="14"/>
                <w:szCs w:val="14"/>
                <w:color w:val="76AD9A"/>
              </w:rPr>
              <w:t>First</w:t>
            </w:r>
          </w:p>
        </w:tc>
        <w:tc>
          <w:tcPr>
            <w:tcW w:w="46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color w:val="76AD9A"/>
              </w:rPr>
              <w:t>Second</w:t>
            </w:r>
          </w:p>
        </w:tc>
        <w:tc>
          <w:tcPr>
            <w:tcW w:w="460" w:type="dxa"/>
            <w:vAlign w:val="bottom"/>
          </w:tcPr>
          <w:p>
            <w:pPr>
              <w:spacing w:after="0"/>
              <w:rPr>
                <w:sz w:val="14"/>
                <w:szCs w:val="14"/>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color w:val="76AD9A"/>
              </w:rPr>
              <w:t>Third</w:t>
            </w:r>
          </w:p>
        </w:tc>
        <w:tc>
          <w:tcPr>
            <w:tcW w:w="460" w:type="dxa"/>
            <w:vAlign w:val="bottom"/>
          </w:tcPr>
          <w:p>
            <w:pPr>
              <w:spacing w:after="0"/>
              <w:rPr>
                <w:sz w:val="14"/>
                <w:szCs w:val="14"/>
                <w:color w:val="auto"/>
              </w:rPr>
            </w:pPr>
          </w:p>
        </w:tc>
        <w:tc>
          <w:tcPr>
            <w:tcW w:w="900" w:type="dxa"/>
            <w:vAlign w:val="bottom"/>
          </w:tcPr>
          <w:p>
            <w:pPr>
              <w:jc w:val="right"/>
              <w:ind w:right="76"/>
              <w:spacing w:after="0"/>
              <w:rPr>
                <w:sz w:val="20"/>
                <w:szCs w:val="20"/>
                <w:color w:val="auto"/>
              </w:rPr>
            </w:pPr>
            <w:r>
              <w:rPr>
                <w:rFonts w:ascii="Arial" w:cs="Arial" w:eastAsia="Arial" w:hAnsi="Arial"/>
                <w:sz w:val="14"/>
                <w:szCs w:val="14"/>
                <w:color w:val="76AD9A"/>
              </w:rPr>
              <w:t>Fourth</w:t>
            </w: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9"/>
        </w:trPr>
        <w:tc>
          <w:tcPr>
            <w:tcW w:w="20" w:type="dxa"/>
            <w:vAlign w:val="bottom"/>
          </w:tcPr>
          <w:p>
            <w:pPr>
              <w:spacing w:after="0"/>
              <w:rPr>
                <w:sz w:val="15"/>
                <w:szCs w:val="15"/>
                <w:color w:val="auto"/>
              </w:rPr>
            </w:pPr>
          </w:p>
        </w:tc>
        <w:tc>
          <w:tcPr>
            <w:tcW w:w="3720" w:type="dxa"/>
            <w:vAlign w:val="bottom"/>
            <w:tcBorders>
              <w:bottom w:val="single" w:sz="8" w:color="76AD9A"/>
            </w:tcBorders>
          </w:tcPr>
          <w:p>
            <w:pPr>
              <w:spacing w:after="0"/>
              <w:rPr>
                <w:sz w:val="15"/>
                <w:szCs w:val="15"/>
                <w:color w:val="auto"/>
              </w:rPr>
            </w:pPr>
          </w:p>
        </w:tc>
        <w:tc>
          <w:tcPr>
            <w:tcW w:w="1360" w:type="dxa"/>
            <w:vAlign w:val="bottom"/>
            <w:tcBorders>
              <w:bottom w:val="single" w:sz="8" w:color="76AD9A"/>
            </w:tcBorders>
          </w:tcPr>
          <w:p>
            <w:pPr>
              <w:spacing w:after="0"/>
              <w:rPr>
                <w:sz w:val="15"/>
                <w:szCs w:val="15"/>
                <w:color w:val="auto"/>
              </w:rPr>
            </w:pPr>
          </w:p>
        </w:tc>
        <w:tc>
          <w:tcPr>
            <w:tcW w:w="920" w:type="dxa"/>
            <w:vAlign w:val="bottom"/>
            <w:tcBorders>
              <w:bottom w:val="single" w:sz="8" w:color="76AD9A"/>
            </w:tcBorders>
          </w:tcPr>
          <w:p>
            <w:pPr>
              <w:jc w:val="right"/>
              <w:ind w:right="96"/>
              <w:spacing w:after="0"/>
              <w:rPr>
                <w:sz w:val="20"/>
                <w:szCs w:val="20"/>
                <w:color w:val="auto"/>
              </w:rPr>
            </w:pPr>
            <w:r>
              <w:rPr>
                <w:rFonts w:ascii="Arial" w:cs="Arial" w:eastAsia="Arial" w:hAnsi="Arial"/>
                <w:sz w:val="14"/>
                <w:szCs w:val="14"/>
                <w:color w:val="76AD9A"/>
              </w:rPr>
              <w:t>Quarter</w:t>
            </w:r>
          </w:p>
        </w:tc>
        <w:tc>
          <w:tcPr>
            <w:tcW w:w="460" w:type="dxa"/>
            <w:vAlign w:val="bottom"/>
            <w:tcBorders>
              <w:bottom w:val="single" w:sz="8" w:color="76AD9A"/>
            </w:tcBorders>
          </w:tcPr>
          <w:p>
            <w:pPr>
              <w:spacing w:after="0"/>
              <w:rPr>
                <w:sz w:val="15"/>
                <w:szCs w:val="15"/>
                <w:color w:val="auto"/>
              </w:rPr>
            </w:pPr>
          </w:p>
        </w:tc>
        <w:tc>
          <w:tcPr>
            <w:tcW w:w="920" w:type="dxa"/>
            <w:vAlign w:val="bottom"/>
            <w:tcBorders>
              <w:bottom w:val="single" w:sz="8" w:color="76AD9A"/>
            </w:tcBorders>
          </w:tcPr>
          <w:p>
            <w:pPr>
              <w:jc w:val="right"/>
              <w:ind w:right="76"/>
              <w:spacing w:after="0"/>
              <w:rPr>
                <w:sz w:val="20"/>
                <w:szCs w:val="20"/>
                <w:color w:val="auto"/>
              </w:rPr>
            </w:pPr>
            <w:r>
              <w:rPr>
                <w:rFonts w:ascii="Arial" w:cs="Arial" w:eastAsia="Arial" w:hAnsi="Arial"/>
                <w:sz w:val="14"/>
                <w:szCs w:val="14"/>
                <w:color w:val="76AD9A"/>
              </w:rPr>
              <w:t>Quarter</w:t>
            </w:r>
          </w:p>
        </w:tc>
        <w:tc>
          <w:tcPr>
            <w:tcW w:w="460" w:type="dxa"/>
            <w:vAlign w:val="bottom"/>
            <w:tcBorders>
              <w:bottom w:val="single" w:sz="8" w:color="76AD9A"/>
            </w:tcBorders>
          </w:tcPr>
          <w:p>
            <w:pPr>
              <w:spacing w:after="0"/>
              <w:rPr>
                <w:sz w:val="15"/>
                <w:szCs w:val="15"/>
                <w:color w:val="auto"/>
              </w:rPr>
            </w:pPr>
          </w:p>
        </w:tc>
        <w:tc>
          <w:tcPr>
            <w:tcW w:w="920" w:type="dxa"/>
            <w:vAlign w:val="bottom"/>
            <w:tcBorders>
              <w:bottom w:val="single" w:sz="8" w:color="76AD9A"/>
            </w:tcBorders>
          </w:tcPr>
          <w:p>
            <w:pPr>
              <w:jc w:val="right"/>
              <w:ind w:right="76"/>
              <w:spacing w:after="0"/>
              <w:rPr>
                <w:sz w:val="20"/>
                <w:szCs w:val="20"/>
                <w:color w:val="auto"/>
              </w:rPr>
            </w:pPr>
            <w:r>
              <w:rPr>
                <w:rFonts w:ascii="Arial" w:cs="Arial" w:eastAsia="Arial" w:hAnsi="Arial"/>
                <w:sz w:val="14"/>
                <w:szCs w:val="14"/>
                <w:color w:val="76AD9A"/>
              </w:rPr>
              <w:t>Quarter</w:t>
            </w:r>
          </w:p>
        </w:tc>
        <w:tc>
          <w:tcPr>
            <w:tcW w:w="460" w:type="dxa"/>
            <w:vAlign w:val="bottom"/>
            <w:tcBorders>
              <w:bottom w:val="single" w:sz="8" w:color="76AD9A"/>
            </w:tcBorders>
          </w:tcPr>
          <w:p>
            <w:pPr>
              <w:spacing w:after="0"/>
              <w:rPr>
                <w:sz w:val="15"/>
                <w:szCs w:val="15"/>
                <w:color w:val="auto"/>
              </w:rPr>
            </w:pPr>
          </w:p>
        </w:tc>
        <w:tc>
          <w:tcPr>
            <w:tcW w:w="900" w:type="dxa"/>
            <w:vAlign w:val="bottom"/>
            <w:tcBorders>
              <w:bottom w:val="single" w:sz="8" w:color="76AD9A"/>
            </w:tcBorders>
          </w:tcPr>
          <w:p>
            <w:pPr>
              <w:jc w:val="right"/>
              <w:ind w:right="76"/>
              <w:spacing w:after="0"/>
              <w:rPr>
                <w:sz w:val="20"/>
                <w:szCs w:val="20"/>
                <w:color w:val="auto"/>
              </w:rPr>
            </w:pPr>
            <w:r>
              <w:rPr>
                <w:rFonts w:ascii="Arial" w:cs="Arial" w:eastAsia="Arial" w:hAnsi="Arial"/>
                <w:sz w:val="14"/>
                <w:szCs w:val="14"/>
                <w:color w:val="76AD9A"/>
              </w:rPr>
              <w:t>Quarter</w:t>
            </w:r>
          </w:p>
        </w:tc>
        <w:tc>
          <w:tcPr>
            <w:tcW w:w="400" w:type="dxa"/>
            <w:vAlign w:val="bottom"/>
            <w:tcBorders>
              <w:bottom w:val="single" w:sz="8" w:color="76AD9A"/>
            </w:tcBorders>
          </w:tcPr>
          <w:p>
            <w:pPr>
              <w:spacing w:after="0"/>
              <w:rPr>
                <w:sz w:val="15"/>
                <w:szCs w:val="15"/>
                <w:color w:val="auto"/>
              </w:rPr>
            </w:pPr>
          </w:p>
        </w:tc>
        <w:tc>
          <w:tcPr>
            <w:tcW w:w="780" w:type="dxa"/>
            <w:vAlign w:val="bottom"/>
            <w:tcBorders>
              <w:bottom w:val="single" w:sz="8" w:color="76AD9A"/>
            </w:tcBorders>
          </w:tcPr>
          <w:p>
            <w:pPr>
              <w:jc w:val="right"/>
              <w:spacing w:after="0"/>
              <w:rPr>
                <w:sz w:val="20"/>
                <w:szCs w:val="20"/>
                <w:color w:val="auto"/>
              </w:rPr>
            </w:pPr>
            <w:r>
              <w:rPr>
                <w:rFonts w:ascii="Arial" w:cs="Arial" w:eastAsia="Arial" w:hAnsi="Arial"/>
                <w:sz w:val="14"/>
                <w:szCs w:val="14"/>
                <w:color w:val="76AD9A"/>
              </w:rPr>
              <w:t>Total</w:t>
            </w:r>
          </w:p>
        </w:tc>
      </w:tr>
      <w:tr>
        <w:trPr>
          <w:trHeight w:val="186"/>
        </w:trPr>
        <w:tc>
          <w:tcPr>
            <w:tcW w:w="20" w:type="dxa"/>
            <w:vAlign w:val="bottom"/>
          </w:tcPr>
          <w:p>
            <w:pPr>
              <w:spacing w:after="0"/>
              <w:rPr>
                <w:sz w:val="16"/>
                <w:szCs w:val="16"/>
                <w:color w:val="auto"/>
              </w:rPr>
            </w:pPr>
          </w:p>
        </w:tc>
        <w:tc>
          <w:tcPr>
            <w:tcW w:w="3720" w:type="dxa"/>
            <w:vAlign w:val="bottom"/>
          </w:tcPr>
          <w:p>
            <w:pPr>
              <w:spacing w:after="0" w:line="185" w:lineRule="exact"/>
              <w:rPr>
                <w:sz w:val="20"/>
                <w:szCs w:val="20"/>
                <w:color w:val="auto"/>
              </w:rPr>
            </w:pPr>
            <w:r>
              <w:rPr>
                <w:rFonts w:ascii="Arial" w:cs="Arial" w:eastAsia="Arial" w:hAnsi="Arial"/>
                <w:sz w:val="17"/>
                <w:szCs w:val="17"/>
                <w:color w:val="777679"/>
              </w:rPr>
              <w:t>Year Ended December 31, 2013</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Revenues from services</w:t>
            </w:r>
          </w:p>
        </w:tc>
        <w:tc>
          <w:tcPr>
            <w:tcW w:w="13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4,768.9</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5,040.7</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5,188.8</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5,252.1</w:t>
            </w:r>
          </w:p>
        </w:tc>
        <w:tc>
          <w:tcPr>
            <w:tcW w:w="4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20,250.5</w:t>
            </w:r>
          </w:p>
        </w:tc>
      </w:tr>
      <w:tr>
        <w:trPr>
          <w:trHeight w:val="189"/>
        </w:trPr>
        <w:tc>
          <w:tcPr>
            <w:tcW w:w="3740" w:type="dxa"/>
            <w:vAlign w:val="bottom"/>
            <w:gridSpan w:val="2"/>
          </w:tcPr>
          <w:p>
            <w:pPr>
              <w:spacing w:after="0" w:line="189" w:lineRule="exact"/>
              <w:rPr>
                <w:sz w:val="20"/>
                <w:szCs w:val="20"/>
                <w:color w:val="auto"/>
              </w:rPr>
            </w:pPr>
            <w:r>
              <w:rPr>
                <w:rFonts w:ascii="Arial" w:cs="Arial" w:eastAsia="Arial" w:hAnsi="Arial"/>
                <w:sz w:val="17"/>
                <w:szCs w:val="17"/>
                <w:color w:val="373535"/>
              </w:rPr>
              <w:t>Gross profit</w:t>
            </w:r>
          </w:p>
        </w:tc>
        <w:tc>
          <w:tcPr>
            <w:tcW w:w="1360" w:type="dxa"/>
            <w:vAlign w:val="bottom"/>
          </w:tcPr>
          <w:p>
            <w:pPr>
              <w:spacing w:after="0"/>
              <w:rPr>
                <w:sz w:val="16"/>
                <w:szCs w:val="16"/>
                <w:color w:val="auto"/>
              </w:rPr>
            </w:pPr>
          </w:p>
        </w:tc>
        <w:tc>
          <w:tcPr>
            <w:tcW w:w="920" w:type="dxa"/>
            <w:vAlign w:val="bottom"/>
          </w:tcPr>
          <w:p>
            <w:pPr>
              <w:jc w:val="right"/>
              <w:ind w:right="96"/>
              <w:spacing w:after="0" w:line="189" w:lineRule="exact"/>
              <w:rPr>
                <w:sz w:val="20"/>
                <w:szCs w:val="20"/>
                <w:color w:val="auto"/>
              </w:rPr>
            </w:pPr>
            <w:r>
              <w:rPr>
                <w:rFonts w:ascii="Arial" w:cs="Arial" w:eastAsia="Arial" w:hAnsi="Arial"/>
                <w:sz w:val="17"/>
                <w:szCs w:val="17"/>
                <w:color w:val="373535"/>
              </w:rPr>
              <w:t>790.1</w:t>
            </w:r>
          </w:p>
        </w:tc>
        <w:tc>
          <w:tcPr>
            <w:tcW w:w="460" w:type="dxa"/>
            <w:vAlign w:val="bottom"/>
          </w:tcPr>
          <w:p>
            <w:pPr>
              <w:spacing w:after="0"/>
              <w:rPr>
                <w:sz w:val="16"/>
                <w:szCs w:val="16"/>
                <w:color w:val="auto"/>
              </w:rPr>
            </w:pP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836.4</w:t>
            </w:r>
          </w:p>
        </w:tc>
        <w:tc>
          <w:tcPr>
            <w:tcW w:w="460" w:type="dxa"/>
            <w:vAlign w:val="bottom"/>
          </w:tcPr>
          <w:p>
            <w:pPr>
              <w:spacing w:after="0"/>
              <w:rPr>
                <w:sz w:val="16"/>
                <w:szCs w:val="16"/>
                <w:color w:val="auto"/>
              </w:rPr>
            </w:pP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853.6</w:t>
            </w:r>
          </w:p>
        </w:tc>
        <w:tc>
          <w:tcPr>
            <w:tcW w:w="460" w:type="dxa"/>
            <w:vAlign w:val="bottom"/>
          </w:tcPr>
          <w:p>
            <w:pPr>
              <w:spacing w:after="0"/>
              <w:rPr>
                <w:sz w:val="16"/>
                <w:szCs w:val="16"/>
                <w:color w:val="auto"/>
              </w:rPr>
            </w:pPr>
          </w:p>
        </w:tc>
        <w:tc>
          <w:tcPr>
            <w:tcW w:w="90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886.6</w:t>
            </w:r>
          </w:p>
        </w:tc>
        <w:tc>
          <w:tcPr>
            <w:tcW w:w="4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373535"/>
              </w:rPr>
              <w:t>3,366.7</w:t>
            </w:r>
          </w:p>
        </w:tc>
      </w:tr>
      <w:tr>
        <w:trPr>
          <w:trHeight w:val="198"/>
        </w:trPr>
        <w:tc>
          <w:tcPr>
            <w:tcW w:w="3740" w:type="dxa"/>
            <w:vAlign w:val="bottom"/>
            <w:gridSpan w:val="2"/>
          </w:tcPr>
          <w:p>
            <w:pPr>
              <w:spacing w:after="0" w:line="199" w:lineRule="exact"/>
              <w:rPr>
                <w:sz w:val="20"/>
                <w:szCs w:val="20"/>
                <w:color w:val="auto"/>
              </w:rPr>
            </w:pPr>
            <w:r>
              <w:rPr>
                <w:rFonts w:ascii="Arial" w:cs="Arial" w:eastAsia="Arial" w:hAnsi="Arial"/>
                <w:sz w:val="17"/>
                <w:szCs w:val="17"/>
                <w:color w:val="373535"/>
              </w:rPr>
              <w:t>Operating profit</w:t>
            </w:r>
            <w:r>
              <w:rPr>
                <w:rFonts w:ascii="Arial" w:cs="Arial" w:eastAsia="Arial" w:hAnsi="Arial"/>
                <w:sz w:val="23"/>
                <w:szCs w:val="23"/>
                <w:color w:val="373535"/>
                <w:vertAlign w:val="superscript"/>
              </w:rPr>
              <w:t>(a)</w:t>
            </w:r>
          </w:p>
        </w:tc>
        <w:tc>
          <w:tcPr>
            <w:tcW w:w="1360" w:type="dxa"/>
            <w:vAlign w:val="bottom"/>
          </w:tcPr>
          <w:p>
            <w:pPr>
              <w:spacing w:after="0"/>
              <w:rPr>
                <w:sz w:val="17"/>
                <w:szCs w:val="17"/>
                <w:color w:val="auto"/>
              </w:rPr>
            </w:pPr>
          </w:p>
        </w:tc>
        <w:tc>
          <w:tcPr>
            <w:tcW w:w="920" w:type="dxa"/>
            <w:vAlign w:val="bottom"/>
          </w:tcPr>
          <w:p>
            <w:pPr>
              <w:jc w:val="right"/>
              <w:ind w:right="96"/>
              <w:spacing w:after="0"/>
              <w:rPr>
                <w:sz w:val="20"/>
                <w:szCs w:val="20"/>
                <w:color w:val="auto"/>
              </w:rPr>
            </w:pPr>
            <w:r>
              <w:rPr>
                <w:rFonts w:ascii="Arial" w:cs="Arial" w:eastAsia="Arial" w:hAnsi="Arial"/>
                <w:sz w:val="17"/>
                <w:szCs w:val="17"/>
                <w:color w:val="373535"/>
              </w:rPr>
              <w:t>54.4</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128.1</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162.4</w:t>
            </w:r>
          </w:p>
        </w:tc>
        <w:tc>
          <w:tcPr>
            <w:tcW w:w="460" w:type="dxa"/>
            <w:vAlign w:val="bottom"/>
          </w:tcPr>
          <w:p>
            <w:pPr>
              <w:spacing w:after="0"/>
              <w:rPr>
                <w:sz w:val="17"/>
                <w:szCs w:val="17"/>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color w:val="373535"/>
              </w:rPr>
              <w:t>167.0</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73535"/>
              </w:rPr>
              <w:t>511.9</w:t>
            </w: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w:t>
            </w:r>
          </w:p>
        </w:tc>
        <w:tc>
          <w:tcPr>
            <w:tcW w:w="1360" w:type="dxa"/>
            <w:vAlign w:val="bottom"/>
          </w:tcPr>
          <w:p>
            <w:pPr>
              <w:spacing w:after="0"/>
              <w:rPr>
                <w:sz w:val="16"/>
                <w:szCs w:val="16"/>
                <w:color w:val="auto"/>
              </w:rPr>
            </w:pP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23.9</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68.2</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94.7</w:t>
            </w:r>
          </w:p>
        </w:tc>
        <w:tc>
          <w:tcPr>
            <w:tcW w:w="460" w:type="dxa"/>
            <w:vAlign w:val="bottom"/>
          </w:tcPr>
          <w:p>
            <w:pPr>
              <w:spacing w:after="0"/>
              <w:rPr>
                <w:sz w:val="16"/>
                <w:szCs w:val="16"/>
                <w:color w:val="auto"/>
              </w:rPr>
            </w:pP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101.2</w:t>
            </w:r>
          </w:p>
        </w:tc>
        <w:tc>
          <w:tcPr>
            <w:tcW w:w="4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288.0</w:t>
            </w:r>
          </w:p>
        </w:tc>
      </w:tr>
      <w:tr>
        <w:trPr>
          <w:trHeight w:val="189"/>
        </w:trPr>
        <w:tc>
          <w:tcPr>
            <w:tcW w:w="3740" w:type="dxa"/>
            <w:vAlign w:val="bottom"/>
            <w:gridSpan w:val="2"/>
          </w:tcPr>
          <w:p>
            <w:pPr>
              <w:spacing w:after="0" w:line="189" w:lineRule="exact"/>
              <w:rPr>
                <w:sz w:val="20"/>
                <w:szCs w:val="20"/>
                <w:color w:val="auto"/>
              </w:rPr>
            </w:pPr>
            <w:r>
              <w:rPr>
                <w:rFonts w:ascii="Arial" w:cs="Arial" w:eastAsia="Arial" w:hAnsi="Arial"/>
                <w:sz w:val="17"/>
                <w:szCs w:val="17"/>
                <w:color w:val="373535"/>
              </w:rPr>
              <w:t>Net earnings per share — basic</w:t>
            </w:r>
          </w:p>
        </w:tc>
        <w:tc>
          <w:tcPr>
            <w:tcW w:w="13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96"/>
              <w:spacing w:after="0" w:line="189" w:lineRule="exact"/>
              <w:rPr>
                <w:sz w:val="20"/>
                <w:szCs w:val="20"/>
                <w:color w:val="auto"/>
              </w:rPr>
            </w:pPr>
            <w:r>
              <w:rPr>
                <w:rFonts w:ascii="Arial" w:cs="Arial" w:eastAsia="Arial" w:hAnsi="Arial"/>
                <w:sz w:val="17"/>
                <w:szCs w:val="17"/>
                <w:color w:val="373535"/>
              </w:rPr>
              <w:t>0.31</w:t>
            </w:r>
          </w:p>
        </w:tc>
        <w:tc>
          <w:tcPr>
            <w:tcW w:w="4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0.88</w:t>
            </w:r>
          </w:p>
        </w:tc>
        <w:tc>
          <w:tcPr>
            <w:tcW w:w="4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1.21</w:t>
            </w:r>
          </w:p>
        </w:tc>
        <w:tc>
          <w:tcPr>
            <w:tcW w:w="4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1.28</w:t>
            </w:r>
          </w:p>
        </w:tc>
        <w:tc>
          <w:tcPr>
            <w:tcW w:w="400" w:type="dxa"/>
            <w:vAlign w:val="bottom"/>
          </w:tcPr>
          <w:p>
            <w:pPr>
              <w:jc w:val="right"/>
              <w:ind w:right="34"/>
              <w:spacing w:after="0" w:line="189" w:lineRule="exact"/>
              <w:rPr>
                <w:sz w:val="20"/>
                <w:szCs w:val="20"/>
                <w:color w:val="auto"/>
              </w:rPr>
            </w:pPr>
            <w:r>
              <w:rPr>
                <w:rFonts w:ascii="Arial" w:cs="Arial" w:eastAsia="Arial" w:hAnsi="Arial"/>
                <w:sz w:val="17"/>
                <w:szCs w:val="17"/>
                <w:color w:val="373535"/>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373535"/>
              </w:rPr>
              <w:t>3.69</w:t>
            </w:r>
          </w:p>
        </w:tc>
      </w:tr>
      <w:tr>
        <w:trPr>
          <w:trHeight w:val="198"/>
        </w:trPr>
        <w:tc>
          <w:tcPr>
            <w:tcW w:w="3740" w:type="dxa"/>
            <w:vAlign w:val="bottom"/>
            <w:gridSpan w:val="2"/>
          </w:tcPr>
          <w:p>
            <w:pPr>
              <w:spacing w:after="0" w:line="199" w:lineRule="exact"/>
              <w:rPr>
                <w:sz w:val="20"/>
                <w:szCs w:val="20"/>
                <w:color w:val="auto"/>
              </w:rPr>
            </w:pPr>
            <w:r>
              <w:rPr>
                <w:rFonts w:ascii="Arial" w:cs="Arial" w:eastAsia="Arial" w:hAnsi="Arial"/>
                <w:sz w:val="17"/>
                <w:szCs w:val="17"/>
                <w:color w:val="373535"/>
              </w:rPr>
              <w:t>Net earnings per share — diluted</w:t>
            </w:r>
            <w:r>
              <w:rPr>
                <w:rFonts w:ascii="Arial" w:cs="Arial" w:eastAsia="Arial" w:hAnsi="Arial"/>
                <w:sz w:val="23"/>
                <w:szCs w:val="23"/>
                <w:color w:val="373535"/>
                <w:vertAlign w:val="superscript"/>
              </w:rPr>
              <w:t>(b)</w:t>
            </w:r>
          </w:p>
        </w:tc>
        <w:tc>
          <w:tcPr>
            <w:tcW w:w="1360" w:type="dxa"/>
            <w:vAlign w:val="bottom"/>
          </w:tcPr>
          <w:p>
            <w:pPr>
              <w:spacing w:after="0"/>
              <w:rPr>
                <w:sz w:val="17"/>
                <w:szCs w:val="17"/>
                <w:color w:val="auto"/>
              </w:rPr>
            </w:pPr>
          </w:p>
        </w:tc>
        <w:tc>
          <w:tcPr>
            <w:tcW w:w="920" w:type="dxa"/>
            <w:vAlign w:val="bottom"/>
          </w:tcPr>
          <w:p>
            <w:pPr>
              <w:jc w:val="right"/>
              <w:ind w:right="96"/>
              <w:spacing w:after="0"/>
              <w:rPr>
                <w:sz w:val="20"/>
                <w:szCs w:val="20"/>
                <w:color w:val="auto"/>
              </w:rPr>
            </w:pPr>
            <w:r>
              <w:rPr>
                <w:rFonts w:ascii="Arial" w:cs="Arial" w:eastAsia="Arial" w:hAnsi="Arial"/>
                <w:sz w:val="17"/>
                <w:szCs w:val="17"/>
                <w:color w:val="373535"/>
              </w:rPr>
              <w:t>0.31</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0.87</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1.18</w:t>
            </w:r>
          </w:p>
        </w:tc>
        <w:tc>
          <w:tcPr>
            <w:tcW w:w="460" w:type="dxa"/>
            <w:vAlign w:val="bottom"/>
          </w:tcPr>
          <w:p>
            <w:pPr>
              <w:spacing w:after="0"/>
              <w:rPr>
                <w:sz w:val="17"/>
                <w:szCs w:val="17"/>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color w:val="373535"/>
              </w:rPr>
              <w:t>1.25</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73535"/>
              </w:rPr>
              <w:t>3.62</w:t>
            </w: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Dividends per share</w:t>
            </w:r>
          </w:p>
        </w:tc>
        <w:tc>
          <w:tcPr>
            <w:tcW w:w="1360" w:type="dxa"/>
            <w:vAlign w:val="bottom"/>
          </w:tcPr>
          <w:p>
            <w:pPr>
              <w:spacing w:after="0"/>
              <w:rPr>
                <w:sz w:val="16"/>
                <w:szCs w:val="16"/>
                <w:color w:val="auto"/>
              </w:rPr>
            </w:pP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0.46</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w:t>
            </w:r>
          </w:p>
        </w:tc>
        <w:tc>
          <w:tcPr>
            <w:tcW w:w="460" w:type="dxa"/>
            <w:vAlign w:val="bottom"/>
          </w:tcPr>
          <w:p>
            <w:pPr>
              <w:spacing w:after="0"/>
              <w:rPr>
                <w:sz w:val="16"/>
                <w:szCs w:val="16"/>
                <w:color w:val="auto"/>
              </w:rPr>
            </w:pP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0.46</w:t>
            </w:r>
          </w:p>
        </w:tc>
        <w:tc>
          <w:tcPr>
            <w:tcW w:w="4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0.92</w:t>
            </w: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Market price:</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High</w:t>
            </w:r>
          </w:p>
        </w:tc>
        <w:tc>
          <w:tcPr>
            <w:tcW w:w="13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57.31</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58.23</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75.18</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86.66</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374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Low</w:t>
            </w:r>
          </w:p>
        </w:tc>
        <w:tc>
          <w:tcPr>
            <w:tcW w:w="136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96"/>
              <w:spacing w:after="0" w:line="194" w:lineRule="exact"/>
              <w:rPr>
                <w:sz w:val="20"/>
                <w:szCs w:val="20"/>
                <w:color w:val="auto"/>
              </w:rPr>
            </w:pPr>
            <w:r>
              <w:rPr>
                <w:rFonts w:ascii="Arial" w:cs="Arial" w:eastAsia="Arial" w:hAnsi="Arial"/>
                <w:sz w:val="17"/>
                <w:szCs w:val="17"/>
                <w:color w:val="373535"/>
              </w:rPr>
              <w:t>43.49</w:t>
            </w:r>
          </w:p>
        </w:tc>
        <w:tc>
          <w:tcPr>
            <w:tcW w:w="46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76"/>
              <w:spacing w:after="0" w:line="194" w:lineRule="exact"/>
              <w:rPr>
                <w:sz w:val="20"/>
                <w:szCs w:val="20"/>
                <w:color w:val="auto"/>
              </w:rPr>
            </w:pPr>
            <w:r>
              <w:rPr>
                <w:rFonts w:ascii="Arial" w:cs="Arial" w:eastAsia="Arial" w:hAnsi="Arial"/>
                <w:sz w:val="17"/>
                <w:szCs w:val="17"/>
                <w:color w:val="373535"/>
              </w:rPr>
              <w:t>51.27</w:t>
            </w:r>
          </w:p>
        </w:tc>
        <w:tc>
          <w:tcPr>
            <w:tcW w:w="46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76"/>
              <w:spacing w:after="0" w:line="194" w:lineRule="exact"/>
              <w:rPr>
                <w:sz w:val="20"/>
                <w:szCs w:val="20"/>
                <w:color w:val="auto"/>
              </w:rPr>
            </w:pPr>
            <w:r>
              <w:rPr>
                <w:rFonts w:ascii="Arial" w:cs="Arial" w:eastAsia="Arial" w:hAnsi="Arial"/>
                <w:sz w:val="17"/>
                <w:szCs w:val="17"/>
                <w:color w:val="373535"/>
              </w:rPr>
              <w:t>54.65</w:t>
            </w:r>
          </w:p>
        </w:tc>
        <w:tc>
          <w:tcPr>
            <w:tcW w:w="46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76"/>
              <w:spacing w:after="0" w:line="194" w:lineRule="exact"/>
              <w:rPr>
                <w:sz w:val="20"/>
                <w:szCs w:val="20"/>
                <w:color w:val="auto"/>
              </w:rPr>
            </w:pPr>
            <w:r>
              <w:rPr>
                <w:rFonts w:ascii="Arial" w:cs="Arial" w:eastAsia="Arial" w:hAnsi="Arial"/>
                <w:sz w:val="17"/>
                <w:szCs w:val="17"/>
                <w:color w:val="373535"/>
              </w:rPr>
              <w:t>72.28</w:t>
            </w:r>
          </w:p>
        </w:tc>
        <w:tc>
          <w:tcPr>
            <w:tcW w:w="400" w:type="dxa"/>
            <w:vAlign w:val="bottom"/>
            <w:tcBorders>
              <w:bottom w:val="single" w:sz="8" w:color="717073"/>
            </w:tcBorders>
          </w:tcPr>
          <w:p>
            <w:pPr>
              <w:spacing w:after="0"/>
              <w:rPr>
                <w:sz w:val="16"/>
                <w:szCs w:val="16"/>
                <w:color w:val="auto"/>
              </w:rPr>
            </w:pPr>
          </w:p>
        </w:tc>
        <w:tc>
          <w:tcPr>
            <w:tcW w:w="780" w:type="dxa"/>
            <w:vAlign w:val="bottom"/>
            <w:tcBorders>
              <w:bottom w:val="single" w:sz="8" w:color="717073"/>
            </w:tcBorders>
          </w:tcPr>
          <w:p>
            <w:pPr>
              <w:spacing w:after="0"/>
              <w:rPr>
                <w:sz w:val="16"/>
                <w:szCs w:val="16"/>
                <w:color w:val="auto"/>
              </w:rPr>
            </w:pPr>
          </w:p>
        </w:tc>
      </w:tr>
      <w:tr>
        <w:trPr>
          <w:trHeight w:val="186"/>
        </w:trPr>
        <w:tc>
          <w:tcPr>
            <w:tcW w:w="3740" w:type="dxa"/>
            <w:vAlign w:val="bottom"/>
            <w:gridSpan w:val="2"/>
          </w:tcPr>
          <w:p>
            <w:pPr>
              <w:spacing w:after="0" w:line="185" w:lineRule="exact"/>
              <w:rPr>
                <w:sz w:val="20"/>
                <w:szCs w:val="20"/>
                <w:color w:val="auto"/>
              </w:rPr>
            </w:pPr>
            <w:r>
              <w:rPr>
                <w:rFonts w:ascii="Arial" w:cs="Arial" w:eastAsia="Arial" w:hAnsi="Arial"/>
                <w:sz w:val="17"/>
                <w:szCs w:val="17"/>
                <w:color w:val="777679"/>
              </w:rPr>
              <w:t>Year Ended December 31, 2012</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Revenues from services</w:t>
            </w:r>
          </w:p>
        </w:tc>
        <w:tc>
          <w:tcPr>
            <w:tcW w:w="13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5,096.4</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5,206.7</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5,172.3</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5,202.6</w:t>
            </w:r>
          </w:p>
        </w:tc>
        <w:tc>
          <w:tcPr>
            <w:tcW w:w="4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20,678.0</w:t>
            </w:r>
          </w:p>
        </w:tc>
      </w:tr>
      <w:tr>
        <w:trPr>
          <w:trHeight w:val="189"/>
        </w:trPr>
        <w:tc>
          <w:tcPr>
            <w:tcW w:w="3740" w:type="dxa"/>
            <w:vAlign w:val="bottom"/>
            <w:gridSpan w:val="2"/>
          </w:tcPr>
          <w:p>
            <w:pPr>
              <w:spacing w:after="0" w:line="189" w:lineRule="exact"/>
              <w:rPr>
                <w:sz w:val="20"/>
                <w:szCs w:val="20"/>
                <w:color w:val="auto"/>
              </w:rPr>
            </w:pPr>
            <w:r>
              <w:rPr>
                <w:rFonts w:ascii="Arial" w:cs="Arial" w:eastAsia="Arial" w:hAnsi="Arial"/>
                <w:sz w:val="17"/>
                <w:szCs w:val="17"/>
                <w:color w:val="373535"/>
              </w:rPr>
              <w:t>Gross profit</w:t>
            </w:r>
          </w:p>
        </w:tc>
        <w:tc>
          <w:tcPr>
            <w:tcW w:w="1360" w:type="dxa"/>
            <w:vAlign w:val="bottom"/>
          </w:tcPr>
          <w:p>
            <w:pPr>
              <w:spacing w:after="0"/>
              <w:rPr>
                <w:sz w:val="16"/>
                <w:szCs w:val="16"/>
                <w:color w:val="auto"/>
              </w:rPr>
            </w:pPr>
          </w:p>
        </w:tc>
        <w:tc>
          <w:tcPr>
            <w:tcW w:w="920" w:type="dxa"/>
            <w:vAlign w:val="bottom"/>
          </w:tcPr>
          <w:p>
            <w:pPr>
              <w:jc w:val="right"/>
              <w:ind w:right="96"/>
              <w:spacing w:after="0" w:line="189" w:lineRule="exact"/>
              <w:rPr>
                <w:sz w:val="20"/>
                <w:szCs w:val="20"/>
                <w:color w:val="auto"/>
              </w:rPr>
            </w:pPr>
            <w:r>
              <w:rPr>
                <w:rFonts w:ascii="Arial" w:cs="Arial" w:eastAsia="Arial" w:hAnsi="Arial"/>
                <w:sz w:val="17"/>
                <w:szCs w:val="17"/>
                <w:color w:val="373535"/>
              </w:rPr>
              <w:t>847.4</w:t>
            </w:r>
          </w:p>
        </w:tc>
        <w:tc>
          <w:tcPr>
            <w:tcW w:w="460" w:type="dxa"/>
            <w:vAlign w:val="bottom"/>
          </w:tcPr>
          <w:p>
            <w:pPr>
              <w:spacing w:after="0"/>
              <w:rPr>
                <w:sz w:val="16"/>
                <w:szCs w:val="16"/>
                <w:color w:val="auto"/>
              </w:rPr>
            </w:pP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861.7</w:t>
            </w:r>
          </w:p>
        </w:tc>
        <w:tc>
          <w:tcPr>
            <w:tcW w:w="460" w:type="dxa"/>
            <w:vAlign w:val="bottom"/>
          </w:tcPr>
          <w:p>
            <w:pPr>
              <w:spacing w:after="0"/>
              <w:rPr>
                <w:sz w:val="16"/>
                <w:szCs w:val="16"/>
                <w:color w:val="auto"/>
              </w:rPr>
            </w:pP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856.2</w:t>
            </w:r>
          </w:p>
        </w:tc>
        <w:tc>
          <w:tcPr>
            <w:tcW w:w="460" w:type="dxa"/>
            <w:vAlign w:val="bottom"/>
          </w:tcPr>
          <w:p>
            <w:pPr>
              <w:spacing w:after="0"/>
              <w:rPr>
                <w:sz w:val="16"/>
                <w:szCs w:val="16"/>
                <w:color w:val="auto"/>
              </w:rPr>
            </w:pPr>
          </w:p>
        </w:tc>
        <w:tc>
          <w:tcPr>
            <w:tcW w:w="90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876.7</w:t>
            </w:r>
          </w:p>
        </w:tc>
        <w:tc>
          <w:tcPr>
            <w:tcW w:w="4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373535"/>
              </w:rPr>
              <w:t>3,442.0</w:t>
            </w:r>
          </w:p>
        </w:tc>
      </w:tr>
      <w:tr>
        <w:trPr>
          <w:trHeight w:val="198"/>
        </w:trPr>
        <w:tc>
          <w:tcPr>
            <w:tcW w:w="3740" w:type="dxa"/>
            <w:vAlign w:val="bottom"/>
            <w:gridSpan w:val="2"/>
          </w:tcPr>
          <w:p>
            <w:pPr>
              <w:spacing w:after="0" w:line="199" w:lineRule="exact"/>
              <w:rPr>
                <w:sz w:val="20"/>
                <w:szCs w:val="20"/>
                <w:color w:val="auto"/>
              </w:rPr>
            </w:pPr>
            <w:r>
              <w:rPr>
                <w:rFonts w:ascii="Arial" w:cs="Arial" w:eastAsia="Arial" w:hAnsi="Arial"/>
                <w:sz w:val="17"/>
                <w:szCs w:val="17"/>
                <w:color w:val="373535"/>
              </w:rPr>
              <w:t>Operating profit</w:t>
            </w:r>
            <w:r>
              <w:rPr>
                <w:rFonts w:ascii="Arial" w:cs="Arial" w:eastAsia="Arial" w:hAnsi="Arial"/>
                <w:sz w:val="23"/>
                <w:szCs w:val="23"/>
                <w:color w:val="373535"/>
                <w:vertAlign w:val="superscript"/>
              </w:rPr>
              <w:t>(c)</w:t>
            </w:r>
          </w:p>
        </w:tc>
        <w:tc>
          <w:tcPr>
            <w:tcW w:w="1360" w:type="dxa"/>
            <w:vAlign w:val="bottom"/>
          </w:tcPr>
          <w:p>
            <w:pPr>
              <w:spacing w:after="0"/>
              <w:rPr>
                <w:sz w:val="17"/>
                <w:szCs w:val="17"/>
                <w:color w:val="auto"/>
              </w:rPr>
            </w:pPr>
          </w:p>
        </w:tc>
        <w:tc>
          <w:tcPr>
            <w:tcW w:w="920" w:type="dxa"/>
            <w:vAlign w:val="bottom"/>
          </w:tcPr>
          <w:p>
            <w:pPr>
              <w:jc w:val="right"/>
              <w:ind w:right="96"/>
              <w:spacing w:after="0"/>
              <w:rPr>
                <w:sz w:val="20"/>
                <w:szCs w:val="20"/>
                <w:color w:val="auto"/>
              </w:rPr>
            </w:pPr>
            <w:r>
              <w:rPr>
                <w:rFonts w:ascii="Arial" w:cs="Arial" w:eastAsia="Arial" w:hAnsi="Arial"/>
                <w:sz w:val="17"/>
                <w:szCs w:val="17"/>
                <w:color w:val="373535"/>
              </w:rPr>
              <w:t>93.8</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94.4</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118.6</w:t>
            </w:r>
          </w:p>
        </w:tc>
        <w:tc>
          <w:tcPr>
            <w:tcW w:w="460" w:type="dxa"/>
            <w:vAlign w:val="bottom"/>
          </w:tcPr>
          <w:p>
            <w:pPr>
              <w:spacing w:after="0"/>
              <w:rPr>
                <w:sz w:val="17"/>
                <w:szCs w:val="17"/>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color w:val="373535"/>
              </w:rPr>
              <w:t>104.9</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73535"/>
              </w:rPr>
              <w:t>411.7</w:t>
            </w: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w:t>
            </w:r>
          </w:p>
        </w:tc>
        <w:tc>
          <w:tcPr>
            <w:tcW w:w="1360" w:type="dxa"/>
            <w:vAlign w:val="bottom"/>
          </w:tcPr>
          <w:p>
            <w:pPr>
              <w:spacing w:after="0"/>
              <w:rPr>
                <w:sz w:val="16"/>
                <w:szCs w:val="16"/>
                <w:color w:val="auto"/>
              </w:rPr>
            </w:pP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40.2</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41.0</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63.1</w:t>
            </w:r>
          </w:p>
        </w:tc>
        <w:tc>
          <w:tcPr>
            <w:tcW w:w="460" w:type="dxa"/>
            <w:vAlign w:val="bottom"/>
          </w:tcPr>
          <w:p>
            <w:pPr>
              <w:spacing w:after="0"/>
              <w:rPr>
                <w:sz w:val="16"/>
                <w:szCs w:val="16"/>
                <w:color w:val="auto"/>
              </w:rPr>
            </w:pP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53.3</w:t>
            </w:r>
          </w:p>
        </w:tc>
        <w:tc>
          <w:tcPr>
            <w:tcW w:w="4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197.6</w:t>
            </w:r>
          </w:p>
        </w:tc>
      </w:tr>
      <w:tr>
        <w:trPr>
          <w:trHeight w:val="189"/>
        </w:trPr>
        <w:tc>
          <w:tcPr>
            <w:tcW w:w="3740" w:type="dxa"/>
            <w:vAlign w:val="bottom"/>
            <w:gridSpan w:val="2"/>
          </w:tcPr>
          <w:p>
            <w:pPr>
              <w:spacing w:after="0" w:line="189" w:lineRule="exact"/>
              <w:rPr>
                <w:sz w:val="20"/>
                <w:szCs w:val="20"/>
                <w:color w:val="auto"/>
              </w:rPr>
            </w:pPr>
            <w:r>
              <w:rPr>
                <w:rFonts w:ascii="Arial" w:cs="Arial" w:eastAsia="Arial" w:hAnsi="Arial"/>
                <w:sz w:val="17"/>
                <w:szCs w:val="17"/>
                <w:color w:val="373535"/>
              </w:rPr>
              <w:t>Net earnings per share — basic</w:t>
            </w:r>
          </w:p>
        </w:tc>
        <w:tc>
          <w:tcPr>
            <w:tcW w:w="13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96"/>
              <w:spacing w:after="0" w:line="189" w:lineRule="exact"/>
              <w:rPr>
                <w:sz w:val="20"/>
                <w:szCs w:val="20"/>
                <w:color w:val="auto"/>
              </w:rPr>
            </w:pPr>
            <w:r>
              <w:rPr>
                <w:rFonts w:ascii="Arial" w:cs="Arial" w:eastAsia="Arial" w:hAnsi="Arial"/>
                <w:sz w:val="17"/>
                <w:szCs w:val="17"/>
                <w:color w:val="373535"/>
              </w:rPr>
              <w:t>0.50</w:t>
            </w:r>
          </w:p>
        </w:tc>
        <w:tc>
          <w:tcPr>
            <w:tcW w:w="4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0.51</w:t>
            </w:r>
          </w:p>
        </w:tc>
        <w:tc>
          <w:tcPr>
            <w:tcW w:w="4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0.79</w:t>
            </w:r>
          </w:p>
        </w:tc>
        <w:tc>
          <w:tcPr>
            <w:tcW w:w="460" w:type="dxa"/>
            <w:vAlign w:val="bottom"/>
          </w:tcPr>
          <w:p>
            <w:pPr>
              <w:jc w:val="right"/>
              <w:ind w:right="94"/>
              <w:spacing w:after="0" w:line="189"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76"/>
              <w:spacing w:after="0" w:line="189" w:lineRule="exact"/>
              <w:rPr>
                <w:sz w:val="20"/>
                <w:szCs w:val="20"/>
                <w:color w:val="auto"/>
              </w:rPr>
            </w:pPr>
            <w:r>
              <w:rPr>
                <w:rFonts w:ascii="Arial" w:cs="Arial" w:eastAsia="Arial" w:hAnsi="Arial"/>
                <w:sz w:val="17"/>
                <w:szCs w:val="17"/>
                <w:color w:val="373535"/>
              </w:rPr>
              <w:t>0.68</w:t>
            </w:r>
          </w:p>
        </w:tc>
        <w:tc>
          <w:tcPr>
            <w:tcW w:w="400" w:type="dxa"/>
            <w:vAlign w:val="bottom"/>
          </w:tcPr>
          <w:p>
            <w:pPr>
              <w:jc w:val="right"/>
              <w:ind w:right="34"/>
              <w:spacing w:after="0" w:line="189" w:lineRule="exact"/>
              <w:rPr>
                <w:sz w:val="20"/>
                <w:szCs w:val="20"/>
                <w:color w:val="auto"/>
              </w:rPr>
            </w:pPr>
            <w:r>
              <w:rPr>
                <w:rFonts w:ascii="Arial" w:cs="Arial" w:eastAsia="Arial" w:hAnsi="Arial"/>
                <w:sz w:val="17"/>
                <w:szCs w:val="17"/>
                <w:color w:val="373535"/>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373535"/>
              </w:rPr>
              <w:t>2.49</w:t>
            </w:r>
          </w:p>
        </w:tc>
      </w:tr>
      <w:tr>
        <w:trPr>
          <w:trHeight w:val="198"/>
        </w:trPr>
        <w:tc>
          <w:tcPr>
            <w:tcW w:w="3740" w:type="dxa"/>
            <w:vAlign w:val="bottom"/>
            <w:gridSpan w:val="2"/>
          </w:tcPr>
          <w:p>
            <w:pPr>
              <w:spacing w:after="0" w:line="199" w:lineRule="exact"/>
              <w:rPr>
                <w:sz w:val="20"/>
                <w:szCs w:val="20"/>
                <w:color w:val="auto"/>
              </w:rPr>
            </w:pPr>
            <w:r>
              <w:rPr>
                <w:rFonts w:ascii="Arial" w:cs="Arial" w:eastAsia="Arial" w:hAnsi="Arial"/>
                <w:sz w:val="17"/>
                <w:szCs w:val="17"/>
                <w:color w:val="373535"/>
              </w:rPr>
              <w:t>Net earnings per share — diluted</w:t>
            </w:r>
            <w:r>
              <w:rPr>
                <w:rFonts w:ascii="Arial" w:cs="Arial" w:eastAsia="Arial" w:hAnsi="Arial"/>
                <w:sz w:val="23"/>
                <w:szCs w:val="23"/>
                <w:color w:val="373535"/>
                <w:vertAlign w:val="superscript"/>
              </w:rPr>
              <w:t>(d)</w:t>
            </w:r>
          </w:p>
        </w:tc>
        <w:tc>
          <w:tcPr>
            <w:tcW w:w="1360" w:type="dxa"/>
            <w:vAlign w:val="bottom"/>
          </w:tcPr>
          <w:p>
            <w:pPr>
              <w:spacing w:after="0"/>
              <w:rPr>
                <w:sz w:val="17"/>
                <w:szCs w:val="17"/>
                <w:color w:val="auto"/>
              </w:rPr>
            </w:pPr>
          </w:p>
        </w:tc>
        <w:tc>
          <w:tcPr>
            <w:tcW w:w="920" w:type="dxa"/>
            <w:vAlign w:val="bottom"/>
          </w:tcPr>
          <w:p>
            <w:pPr>
              <w:jc w:val="right"/>
              <w:ind w:right="96"/>
              <w:spacing w:after="0"/>
              <w:rPr>
                <w:sz w:val="20"/>
                <w:szCs w:val="20"/>
                <w:color w:val="auto"/>
              </w:rPr>
            </w:pPr>
            <w:r>
              <w:rPr>
                <w:rFonts w:ascii="Arial" w:cs="Arial" w:eastAsia="Arial" w:hAnsi="Arial"/>
                <w:sz w:val="17"/>
                <w:szCs w:val="17"/>
                <w:color w:val="373535"/>
              </w:rPr>
              <w:t>0.50</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0.51</w:t>
            </w:r>
          </w:p>
        </w:tc>
        <w:tc>
          <w:tcPr>
            <w:tcW w:w="460" w:type="dxa"/>
            <w:vAlign w:val="bottom"/>
          </w:tcPr>
          <w:p>
            <w:pPr>
              <w:spacing w:after="0"/>
              <w:rPr>
                <w:sz w:val="17"/>
                <w:szCs w:val="17"/>
                <w:color w:val="auto"/>
              </w:rPr>
            </w:pPr>
          </w:p>
        </w:tc>
        <w:tc>
          <w:tcPr>
            <w:tcW w:w="920" w:type="dxa"/>
            <w:vAlign w:val="bottom"/>
          </w:tcPr>
          <w:p>
            <w:pPr>
              <w:jc w:val="right"/>
              <w:ind w:right="76"/>
              <w:spacing w:after="0"/>
              <w:rPr>
                <w:sz w:val="20"/>
                <w:szCs w:val="20"/>
                <w:color w:val="auto"/>
              </w:rPr>
            </w:pPr>
            <w:r>
              <w:rPr>
                <w:rFonts w:ascii="Arial" w:cs="Arial" w:eastAsia="Arial" w:hAnsi="Arial"/>
                <w:sz w:val="17"/>
                <w:szCs w:val="17"/>
                <w:color w:val="373535"/>
              </w:rPr>
              <w:t>0.79</w:t>
            </w:r>
          </w:p>
        </w:tc>
        <w:tc>
          <w:tcPr>
            <w:tcW w:w="460" w:type="dxa"/>
            <w:vAlign w:val="bottom"/>
          </w:tcPr>
          <w:p>
            <w:pPr>
              <w:spacing w:after="0"/>
              <w:rPr>
                <w:sz w:val="17"/>
                <w:szCs w:val="17"/>
                <w:color w:val="auto"/>
              </w:rPr>
            </w:pPr>
          </w:p>
        </w:tc>
        <w:tc>
          <w:tcPr>
            <w:tcW w:w="900" w:type="dxa"/>
            <w:vAlign w:val="bottom"/>
          </w:tcPr>
          <w:p>
            <w:pPr>
              <w:jc w:val="right"/>
              <w:ind w:right="76"/>
              <w:spacing w:after="0"/>
              <w:rPr>
                <w:sz w:val="20"/>
                <w:szCs w:val="20"/>
                <w:color w:val="auto"/>
              </w:rPr>
            </w:pPr>
            <w:r>
              <w:rPr>
                <w:rFonts w:ascii="Arial" w:cs="Arial" w:eastAsia="Arial" w:hAnsi="Arial"/>
                <w:sz w:val="17"/>
                <w:szCs w:val="17"/>
                <w:color w:val="373535"/>
              </w:rPr>
              <w:t>0.68</w:t>
            </w:r>
          </w:p>
        </w:tc>
        <w:tc>
          <w:tcPr>
            <w:tcW w:w="4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373535"/>
              </w:rPr>
              <w:t>2.47</w:t>
            </w: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Dividends per share</w:t>
            </w:r>
          </w:p>
        </w:tc>
        <w:tc>
          <w:tcPr>
            <w:tcW w:w="1360" w:type="dxa"/>
            <w:vAlign w:val="bottom"/>
          </w:tcPr>
          <w:p>
            <w:pPr>
              <w:spacing w:after="0"/>
              <w:rPr>
                <w:sz w:val="16"/>
                <w:szCs w:val="16"/>
                <w:color w:val="auto"/>
              </w:rPr>
            </w:pP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0.43</w:t>
            </w:r>
          </w:p>
        </w:tc>
        <w:tc>
          <w:tcPr>
            <w:tcW w:w="460" w:type="dxa"/>
            <w:vAlign w:val="bottom"/>
          </w:tcPr>
          <w:p>
            <w:pPr>
              <w:spacing w:after="0"/>
              <w:rPr>
                <w:sz w:val="16"/>
                <w:szCs w:val="16"/>
                <w:color w:val="auto"/>
              </w:rPr>
            </w:pP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w:t>
            </w:r>
          </w:p>
        </w:tc>
        <w:tc>
          <w:tcPr>
            <w:tcW w:w="460" w:type="dxa"/>
            <w:vAlign w:val="bottom"/>
          </w:tcPr>
          <w:p>
            <w:pPr>
              <w:spacing w:after="0"/>
              <w:rPr>
                <w:sz w:val="16"/>
                <w:szCs w:val="16"/>
                <w:color w:val="auto"/>
              </w:rPr>
            </w:pP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0.43</w:t>
            </w:r>
          </w:p>
        </w:tc>
        <w:tc>
          <w:tcPr>
            <w:tcW w:w="40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Arial" w:cs="Arial" w:eastAsia="Arial" w:hAnsi="Arial"/>
                <w:sz w:val="17"/>
                <w:szCs w:val="17"/>
                <w:color w:val="373535"/>
              </w:rPr>
              <w:t>0.86</w:t>
            </w: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Market price:</w:t>
            </w:r>
          </w:p>
        </w:tc>
        <w:tc>
          <w:tcPr>
            <w:tcW w:w="1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3740" w:type="dxa"/>
            <w:vAlign w:val="bottom"/>
            <w:gridSpan w:val="2"/>
          </w:tcPr>
          <w:p>
            <w:pPr>
              <w:spacing w:after="0" w:line="194" w:lineRule="exact"/>
              <w:rPr>
                <w:sz w:val="20"/>
                <w:szCs w:val="20"/>
                <w:color w:val="auto"/>
              </w:rPr>
            </w:pPr>
            <w:r>
              <w:rPr>
                <w:rFonts w:ascii="Arial" w:cs="Arial" w:eastAsia="Arial" w:hAnsi="Arial"/>
                <w:sz w:val="17"/>
                <w:szCs w:val="17"/>
                <w:color w:val="373535"/>
              </w:rPr>
              <w:t>High</w:t>
            </w:r>
          </w:p>
        </w:tc>
        <w:tc>
          <w:tcPr>
            <w:tcW w:w="13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96"/>
              <w:spacing w:after="0" w:line="194" w:lineRule="exact"/>
              <w:rPr>
                <w:sz w:val="20"/>
                <w:szCs w:val="20"/>
                <w:color w:val="auto"/>
              </w:rPr>
            </w:pPr>
            <w:r>
              <w:rPr>
                <w:rFonts w:ascii="Arial" w:cs="Arial" w:eastAsia="Arial" w:hAnsi="Arial"/>
                <w:sz w:val="17"/>
                <w:szCs w:val="17"/>
                <w:color w:val="373535"/>
              </w:rPr>
              <w:t>47.37</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47.90</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41.65</w:t>
            </w:r>
          </w:p>
        </w:tc>
        <w:tc>
          <w:tcPr>
            <w:tcW w:w="460" w:type="dxa"/>
            <w:vAlign w:val="bottom"/>
          </w:tcPr>
          <w:p>
            <w:pPr>
              <w:jc w:val="right"/>
              <w:ind w:right="94"/>
              <w:spacing w:after="0" w:line="194" w:lineRule="exact"/>
              <w:rPr>
                <w:sz w:val="20"/>
                <w:szCs w:val="20"/>
                <w:color w:val="auto"/>
              </w:rPr>
            </w:pPr>
            <w:r>
              <w:rPr>
                <w:rFonts w:ascii="Arial" w:cs="Arial" w:eastAsia="Arial" w:hAnsi="Arial"/>
                <w:sz w:val="17"/>
                <w:szCs w:val="17"/>
                <w:color w:val="373535"/>
              </w:rPr>
              <w:t>$</w:t>
            </w:r>
          </w:p>
        </w:tc>
        <w:tc>
          <w:tcPr>
            <w:tcW w:w="900" w:type="dxa"/>
            <w:vAlign w:val="bottom"/>
          </w:tcPr>
          <w:p>
            <w:pPr>
              <w:jc w:val="right"/>
              <w:ind w:right="76"/>
              <w:spacing w:after="0" w:line="194" w:lineRule="exact"/>
              <w:rPr>
                <w:sz w:val="20"/>
                <w:szCs w:val="20"/>
                <w:color w:val="auto"/>
              </w:rPr>
            </w:pPr>
            <w:r>
              <w:rPr>
                <w:rFonts w:ascii="Arial" w:cs="Arial" w:eastAsia="Arial" w:hAnsi="Arial"/>
                <w:sz w:val="17"/>
                <w:szCs w:val="17"/>
                <w:color w:val="373535"/>
              </w:rPr>
              <w:t>42.93</w:t>
            </w: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4"/>
        </w:trPr>
        <w:tc>
          <w:tcPr>
            <w:tcW w:w="3740" w:type="dxa"/>
            <w:vAlign w:val="bottom"/>
            <w:tcBorders>
              <w:bottom w:val="single" w:sz="8" w:color="717073"/>
            </w:tcBorders>
            <w:gridSpan w:val="2"/>
          </w:tcPr>
          <w:p>
            <w:pPr>
              <w:spacing w:after="0" w:line="194" w:lineRule="exact"/>
              <w:rPr>
                <w:sz w:val="20"/>
                <w:szCs w:val="20"/>
                <w:color w:val="auto"/>
              </w:rPr>
            </w:pPr>
            <w:r>
              <w:rPr>
                <w:rFonts w:ascii="Arial" w:cs="Arial" w:eastAsia="Arial" w:hAnsi="Arial"/>
                <w:sz w:val="17"/>
                <w:szCs w:val="17"/>
                <w:color w:val="373535"/>
              </w:rPr>
              <w:t>Low</w:t>
            </w:r>
          </w:p>
        </w:tc>
        <w:tc>
          <w:tcPr>
            <w:tcW w:w="136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96"/>
              <w:spacing w:after="0" w:line="194" w:lineRule="exact"/>
              <w:rPr>
                <w:sz w:val="20"/>
                <w:szCs w:val="20"/>
                <w:color w:val="auto"/>
              </w:rPr>
            </w:pPr>
            <w:r>
              <w:rPr>
                <w:rFonts w:ascii="Arial" w:cs="Arial" w:eastAsia="Arial" w:hAnsi="Arial"/>
                <w:sz w:val="17"/>
                <w:szCs w:val="17"/>
                <w:color w:val="373535"/>
              </w:rPr>
              <w:t>36.76</w:t>
            </w:r>
          </w:p>
        </w:tc>
        <w:tc>
          <w:tcPr>
            <w:tcW w:w="46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76"/>
              <w:spacing w:after="0" w:line="194" w:lineRule="exact"/>
              <w:rPr>
                <w:sz w:val="20"/>
                <w:szCs w:val="20"/>
                <w:color w:val="auto"/>
              </w:rPr>
            </w:pPr>
            <w:r>
              <w:rPr>
                <w:rFonts w:ascii="Arial" w:cs="Arial" w:eastAsia="Arial" w:hAnsi="Arial"/>
                <w:sz w:val="17"/>
                <w:szCs w:val="17"/>
                <w:color w:val="373535"/>
              </w:rPr>
              <w:t>33.99</w:t>
            </w:r>
          </w:p>
        </w:tc>
        <w:tc>
          <w:tcPr>
            <w:tcW w:w="460" w:type="dxa"/>
            <w:vAlign w:val="bottom"/>
            <w:tcBorders>
              <w:bottom w:val="single" w:sz="8" w:color="717073"/>
            </w:tcBorders>
          </w:tcPr>
          <w:p>
            <w:pPr>
              <w:spacing w:after="0"/>
              <w:rPr>
                <w:sz w:val="16"/>
                <w:szCs w:val="16"/>
                <w:color w:val="auto"/>
              </w:rPr>
            </w:pPr>
          </w:p>
        </w:tc>
        <w:tc>
          <w:tcPr>
            <w:tcW w:w="920" w:type="dxa"/>
            <w:vAlign w:val="bottom"/>
            <w:tcBorders>
              <w:bottom w:val="single" w:sz="8" w:color="717073"/>
            </w:tcBorders>
          </w:tcPr>
          <w:p>
            <w:pPr>
              <w:jc w:val="right"/>
              <w:ind w:right="76"/>
              <w:spacing w:after="0" w:line="194" w:lineRule="exact"/>
              <w:rPr>
                <w:sz w:val="20"/>
                <w:szCs w:val="20"/>
                <w:color w:val="auto"/>
              </w:rPr>
            </w:pPr>
            <w:r>
              <w:rPr>
                <w:rFonts w:ascii="Arial" w:cs="Arial" w:eastAsia="Arial" w:hAnsi="Arial"/>
                <w:sz w:val="17"/>
                <w:szCs w:val="17"/>
                <w:color w:val="373535"/>
              </w:rPr>
              <w:t>32.41</w:t>
            </w:r>
          </w:p>
        </w:tc>
        <w:tc>
          <w:tcPr>
            <w:tcW w:w="460" w:type="dxa"/>
            <w:vAlign w:val="bottom"/>
            <w:tcBorders>
              <w:bottom w:val="single" w:sz="8" w:color="717073"/>
            </w:tcBorders>
          </w:tcPr>
          <w:p>
            <w:pPr>
              <w:spacing w:after="0"/>
              <w:rPr>
                <w:sz w:val="16"/>
                <w:szCs w:val="16"/>
                <w:color w:val="auto"/>
              </w:rPr>
            </w:pPr>
          </w:p>
        </w:tc>
        <w:tc>
          <w:tcPr>
            <w:tcW w:w="900" w:type="dxa"/>
            <w:vAlign w:val="bottom"/>
            <w:tcBorders>
              <w:bottom w:val="single" w:sz="8" w:color="717073"/>
            </w:tcBorders>
          </w:tcPr>
          <w:p>
            <w:pPr>
              <w:jc w:val="right"/>
              <w:ind w:right="76"/>
              <w:spacing w:after="0" w:line="194" w:lineRule="exact"/>
              <w:rPr>
                <w:sz w:val="20"/>
                <w:szCs w:val="20"/>
                <w:color w:val="auto"/>
              </w:rPr>
            </w:pPr>
            <w:r>
              <w:rPr>
                <w:rFonts w:ascii="Arial" w:cs="Arial" w:eastAsia="Arial" w:hAnsi="Arial"/>
                <w:sz w:val="17"/>
                <w:szCs w:val="17"/>
                <w:color w:val="373535"/>
              </w:rPr>
              <w:t>35.18</w:t>
            </w:r>
          </w:p>
        </w:tc>
        <w:tc>
          <w:tcPr>
            <w:tcW w:w="400" w:type="dxa"/>
            <w:vAlign w:val="bottom"/>
            <w:tcBorders>
              <w:bottom w:val="single" w:sz="8" w:color="717073"/>
            </w:tcBorders>
          </w:tcPr>
          <w:p>
            <w:pPr>
              <w:spacing w:after="0"/>
              <w:rPr>
                <w:sz w:val="16"/>
                <w:szCs w:val="16"/>
                <w:color w:val="auto"/>
              </w:rPr>
            </w:pPr>
          </w:p>
        </w:tc>
        <w:tc>
          <w:tcPr>
            <w:tcW w:w="780" w:type="dxa"/>
            <w:vAlign w:val="bottom"/>
            <w:tcBorders>
              <w:bottom w:val="single" w:sz="8" w:color="717073"/>
            </w:tcBorders>
          </w:tcPr>
          <w:p>
            <w:pPr>
              <w:spacing w:after="0"/>
              <w:rPr>
                <w:sz w:val="16"/>
                <w:szCs w:val="16"/>
                <w:color w:val="auto"/>
              </w:rPr>
            </w:pPr>
          </w:p>
        </w:tc>
      </w:tr>
    </w:tbl>
    <w:p>
      <w:pPr>
        <w:spacing w:after="0" w:line="193" w:lineRule="exact"/>
        <w:rPr>
          <w:sz w:val="20"/>
          <w:szCs w:val="20"/>
          <w:color w:val="auto"/>
        </w:rPr>
      </w:pPr>
    </w:p>
    <w:p>
      <w:pPr>
        <w:ind w:left="360" w:hanging="357"/>
        <w:spacing w:after="0"/>
        <w:tabs>
          <w:tab w:leader="none" w:pos="360" w:val="left"/>
        </w:tabs>
        <w:numPr>
          <w:ilvl w:val="0"/>
          <w:numId w:val="118"/>
        </w:numPr>
        <w:rPr>
          <w:rFonts w:ascii="Arial" w:cs="Arial" w:eastAsia="Arial" w:hAnsi="Arial"/>
          <w:sz w:val="17"/>
          <w:szCs w:val="17"/>
          <w:color w:val="373535"/>
        </w:rPr>
      </w:pPr>
      <w:r>
        <w:rPr>
          <w:rFonts w:ascii="Arial" w:cs="Arial" w:eastAsia="Arial" w:hAnsi="Arial"/>
          <w:sz w:val="17"/>
          <w:szCs w:val="17"/>
          <w:color w:val="373535"/>
        </w:rPr>
        <w:t>Included restructuring costs of $34.8, $20.0, $8.1 and $26.5 recorded in the first, second, third and fourth quarters, respectively.</w:t>
      </w:r>
    </w:p>
    <w:p>
      <w:pPr>
        <w:spacing w:after="0" w:line="191" w:lineRule="exact"/>
        <w:rPr>
          <w:rFonts w:ascii="Arial" w:cs="Arial" w:eastAsia="Arial" w:hAnsi="Arial"/>
          <w:sz w:val="17"/>
          <w:szCs w:val="17"/>
          <w:color w:val="373535"/>
        </w:rPr>
      </w:pPr>
    </w:p>
    <w:p>
      <w:pPr>
        <w:ind w:left="360" w:hanging="357"/>
        <w:spacing w:after="0" w:line="250" w:lineRule="auto"/>
        <w:tabs>
          <w:tab w:leader="none" w:pos="360" w:val="left"/>
        </w:tabs>
        <w:numPr>
          <w:ilvl w:val="0"/>
          <w:numId w:val="118"/>
        </w:numPr>
        <w:rPr>
          <w:rFonts w:ascii="Arial" w:cs="Arial" w:eastAsia="Arial" w:hAnsi="Arial"/>
          <w:sz w:val="17"/>
          <w:szCs w:val="17"/>
          <w:color w:val="373535"/>
        </w:rPr>
      </w:pPr>
      <w:r>
        <w:rPr>
          <w:rFonts w:ascii="Arial" w:cs="Arial" w:eastAsia="Arial" w:hAnsi="Arial"/>
          <w:sz w:val="17"/>
          <w:szCs w:val="17"/>
          <w:color w:val="373535"/>
        </w:rPr>
        <w:t>Included in the results are restructuring costs per diluted share of ($0.32), ($0.18), ($0.08) and ($0.24) for the first, second, third and fourth quarters, respectively.</w:t>
      </w:r>
    </w:p>
    <w:p>
      <w:pPr>
        <w:spacing w:after="0" w:line="173" w:lineRule="exact"/>
        <w:rPr>
          <w:rFonts w:ascii="Arial" w:cs="Arial" w:eastAsia="Arial" w:hAnsi="Arial"/>
          <w:sz w:val="17"/>
          <w:szCs w:val="17"/>
          <w:color w:val="373535"/>
        </w:rPr>
      </w:pPr>
    </w:p>
    <w:p>
      <w:pPr>
        <w:ind w:left="360" w:hanging="357"/>
        <w:spacing w:after="0"/>
        <w:tabs>
          <w:tab w:leader="none" w:pos="360" w:val="left"/>
        </w:tabs>
        <w:numPr>
          <w:ilvl w:val="0"/>
          <w:numId w:val="118"/>
        </w:numPr>
        <w:rPr>
          <w:rFonts w:ascii="Arial" w:cs="Arial" w:eastAsia="Arial" w:hAnsi="Arial"/>
          <w:sz w:val="17"/>
          <w:szCs w:val="17"/>
          <w:color w:val="373535"/>
        </w:rPr>
      </w:pPr>
      <w:r>
        <w:rPr>
          <w:rFonts w:ascii="Arial" w:cs="Arial" w:eastAsia="Arial" w:hAnsi="Arial"/>
          <w:sz w:val="17"/>
          <w:szCs w:val="17"/>
          <w:color w:val="373535"/>
        </w:rPr>
        <w:t>Included restructuring costs of $0.1, $20.9, $1.2 and $26.6 recorded in the first, second, third and fourth quarters, respectively.</w:t>
      </w:r>
    </w:p>
    <w:p>
      <w:pPr>
        <w:spacing w:after="0" w:line="191" w:lineRule="exact"/>
        <w:rPr>
          <w:rFonts w:ascii="Arial" w:cs="Arial" w:eastAsia="Arial" w:hAnsi="Arial"/>
          <w:sz w:val="17"/>
          <w:szCs w:val="17"/>
          <w:color w:val="373535"/>
        </w:rPr>
      </w:pPr>
    </w:p>
    <w:p>
      <w:pPr>
        <w:ind w:left="360" w:hanging="357"/>
        <w:spacing w:after="0"/>
        <w:tabs>
          <w:tab w:leader="none" w:pos="360" w:val="left"/>
        </w:tabs>
        <w:numPr>
          <w:ilvl w:val="0"/>
          <w:numId w:val="118"/>
        </w:numPr>
        <w:rPr>
          <w:rFonts w:ascii="Arial" w:cs="Arial" w:eastAsia="Arial" w:hAnsi="Arial"/>
          <w:sz w:val="17"/>
          <w:szCs w:val="17"/>
          <w:color w:val="373535"/>
        </w:rPr>
      </w:pPr>
      <w:r>
        <w:rPr>
          <w:rFonts w:ascii="Arial" w:cs="Arial" w:eastAsia="Arial" w:hAnsi="Arial"/>
          <w:sz w:val="17"/>
          <w:szCs w:val="17"/>
          <w:color w:val="373535"/>
        </w:rPr>
        <w:t>Included in the results are restructuring costs of ($0.17) per diluted share in the second quarter and ($0.23) per diluted share in the fourth quarter.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373535"/>
        </w:rPr>
        <w:t>****</w:t>
      </w:r>
    </w:p>
    <w:p>
      <w:pPr>
        <w:spacing w:after="0" w:line="157" w:lineRule="exact"/>
        <w:rPr>
          <w:sz w:val="20"/>
          <w:szCs w:val="20"/>
          <w:color w:val="auto"/>
        </w:rPr>
      </w:pPr>
    </w:p>
    <w:p>
      <w:pPr>
        <w:ind w:left="580" w:hanging="577"/>
        <w:spacing w:after="0"/>
        <w:tabs>
          <w:tab w:leader="none" w:pos="580" w:val="left"/>
        </w:tabs>
        <w:numPr>
          <w:ilvl w:val="0"/>
          <w:numId w:val="119"/>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264160</wp:posOffset>
            </wp:positionV>
            <wp:extent cx="7252970" cy="247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3" w:right="239" w:bottom="1440" w:gutter="0" w:footer="0" w:header="0"/>
        </w:sectPr>
      </w:pPr>
    </w:p>
    <w:bookmarkStart w:id="122" w:name="page123"/>
    <w:bookmarkEnd w:id="122"/>
    <w:p>
      <w:pPr>
        <w:spacing w:after="0"/>
        <w:rPr>
          <w:sz w:val="20"/>
          <w:szCs w:val="20"/>
          <w:color w:val="auto"/>
        </w:rPr>
      </w:pPr>
      <w:r>
        <w:rPr>
          <w:rFonts w:ascii="Arial" w:cs="Arial" w:eastAsia="Arial" w:hAnsi="Arial"/>
          <w:sz w:val="17"/>
          <w:szCs w:val="17"/>
          <w:color w:val="4C8ABF"/>
        </w:rPr>
        <w:t>SELECTED FINANCIAL DATA</w:t>
      </w:r>
    </w:p>
    <w:p>
      <w:pPr>
        <w:spacing w:after="0"/>
        <w:rPr>
          <w:sz w:val="20"/>
          <w:szCs w:val="20"/>
          <w:color w:val="auto"/>
        </w:rPr>
      </w:pPr>
      <w:r>
        <w:rPr>
          <w:rFonts w:ascii="Arial" w:cs="Arial" w:eastAsia="Arial" w:hAnsi="Arial"/>
          <w:sz w:val="17"/>
          <w:szCs w:val="17"/>
          <w:color w:val="4C8ABF"/>
        </w:rPr>
        <w:t>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160" w:type="dxa"/>
            <w:vAlign w:val="bottom"/>
            <w:gridSpan w:val="2"/>
          </w:tcPr>
          <w:p>
            <w:pPr>
              <w:spacing w:after="0"/>
              <w:rPr>
                <w:sz w:val="20"/>
                <w:szCs w:val="20"/>
                <w:color w:val="auto"/>
              </w:rPr>
            </w:pPr>
            <w:r>
              <w:rPr>
                <w:rFonts w:ascii="Arial" w:cs="Arial" w:eastAsia="Arial" w:hAnsi="Arial"/>
                <w:sz w:val="14"/>
                <w:szCs w:val="14"/>
                <w:color w:val="76AD9A"/>
              </w:rPr>
              <w:t>As of and for the Year Ended December 31</w:t>
            </w:r>
          </w:p>
        </w:tc>
        <w:tc>
          <w:tcPr>
            <w:tcW w:w="280" w:type="dxa"/>
            <w:vAlign w:val="bottom"/>
            <w:shd w:val="clear" w:color="auto" w:fill="76AD9A"/>
          </w:tcPr>
          <w:p>
            <w:pPr>
              <w:spacing w:after="0"/>
              <w:rPr>
                <w:sz w:val="16"/>
                <w:szCs w:val="16"/>
                <w:color w:val="auto"/>
              </w:rPr>
            </w:pPr>
          </w:p>
        </w:tc>
        <w:tc>
          <w:tcPr>
            <w:tcW w:w="980" w:type="dxa"/>
            <w:vAlign w:val="bottom"/>
            <w:shd w:val="clear" w:color="auto" w:fill="76AD9A"/>
          </w:tcPr>
          <w:p>
            <w:pPr>
              <w:jc w:val="right"/>
              <w:ind w:right="36"/>
              <w:spacing w:after="0"/>
              <w:rPr>
                <w:sz w:val="20"/>
                <w:szCs w:val="20"/>
                <w:color w:val="auto"/>
              </w:rPr>
            </w:pPr>
            <w:r>
              <w:rPr>
                <w:rFonts w:ascii="Arial" w:cs="Arial" w:eastAsia="Arial" w:hAnsi="Arial"/>
                <w:sz w:val="14"/>
                <w:szCs w:val="14"/>
                <w:color w:val="FFFFFF"/>
              </w:rPr>
              <w:t>2013</w:t>
            </w:r>
          </w:p>
        </w:tc>
        <w:tc>
          <w:tcPr>
            <w:tcW w:w="34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4"/>
                <w:szCs w:val="14"/>
                <w:color w:val="76AD9A"/>
              </w:rPr>
              <w:t>2012</w:t>
            </w:r>
          </w:p>
        </w:tc>
        <w:tc>
          <w:tcPr>
            <w:tcW w:w="34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color w:val="76AD9A"/>
              </w:rPr>
              <w:t>2011</w:t>
            </w:r>
          </w:p>
        </w:tc>
        <w:tc>
          <w:tcPr>
            <w:tcW w:w="3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4"/>
                <w:szCs w:val="14"/>
                <w:color w:val="76AD9A"/>
              </w:rPr>
              <w:t>2010</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76AD9A"/>
              </w:rPr>
              <w:t>2009</w:t>
            </w:r>
          </w:p>
        </w:tc>
      </w:tr>
      <w:tr>
        <w:trPr>
          <w:trHeight w:val="186"/>
        </w:trPr>
        <w:tc>
          <w:tcPr>
            <w:tcW w:w="20" w:type="dxa"/>
            <w:vAlign w:val="bottom"/>
          </w:tcPr>
          <w:p>
            <w:pPr>
              <w:spacing w:after="0"/>
              <w:rPr>
                <w:sz w:val="16"/>
                <w:szCs w:val="16"/>
                <w:color w:val="auto"/>
              </w:rPr>
            </w:pPr>
          </w:p>
        </w:tc>
        <w:tc>
          <w:tcPr>
            <w:tcW w:w="514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777679"/>
              </w:rPr>
              <w:t>Operations Data</w:t>
            </w:r>
          </w:p>
        </w:tc>
        <w:tc>
          <w:tcPr>
            <w:tcW w:w="280" w:type="dxa"/>
            <w:vAlign w:val="bottom"/>
            <w:tcBorders>
              <w:top w:val="single" w:sz="8" w:color="76AD9A"/>
            </w:tcBorders>
            <w:shd w:val="clear" w:color="auto" w:fill="EEF5F2"/>
          </w:tcPr>
          <w:p>
            <w:pPr>
              <w:spacing w:after="0"/>
              <w:rPr>
                <w:sz w:val="16"/>
                <w:szCs w:val="16"/>
                <w:color w:val="auto"/>
              </w:rPr>
            </w:pPr>
          </w:p>
        </w:tc>
        <w:tc>
          <w:tcPr>
            <w:tcW w:w="980" w:type="dxa"/>
            <w:vAlign w:val="bottom"/>
            <w:tcBorders>
              <w:top w:val="single" w:sz="8" w:color="76AD9A"/>
            </w:tcBorders>
            <w:shd w:val="clear" w:color="auto" w:fill="EEF5F2"/>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920" w:type="dxa"/>
            <w:vAlign w:val="bottom"/>
            <w:tcBorders>
              <w:top w:val="single" w:sz="8" w:color="76AD9A"/>
            </w:tcBorders>
          </w:tcPr>
          <w:p>
            <w:pPr>
              <w:spacing w:after="0"/>
              <w:rPr>
                <w:sz w:val="16"/>
                <w:szCs w:val="16"/>
                <w:color w:val="auto"/>
              </w:rPr>
            </w:pPr>
          </w:p>
        </w:tc>
        <w:tc>
          <w:tcPr>
            <w:tcW w:w="340" w:type="dxa"/>
            <w:vAlign w:val="bottom"/>
            <w:tcBorders>
              <w:top w:val="single" w:sz="8" w:color="76AD9A"/>
            </w:tcBorders>
          </w:tcPr>
          <w:p>
            <w:pPr>
              <w:spacing w:after="0"/>
              <w:rPr>
                <w:sz w:val="16"/>
                <w:szCs w:val="16"/>
                <w:color w:val="auto"/>
              </w:rPr>
            </w:pPr>
          </w:p>
        </w:tc>
        <w:tc>
          <w:tcPr>
            <w:tcW w:w="920" w:type="dxa"/>
            <w:vAlign w:val="bottom"/>
            <w:tcBorders>
              <w:top w:val="single" w:sz="8" w:color="76AD9A"/>
            </w:tcBorders>
          </w:tcPr>
          <w:p>
            <w:pPr>
              <w:spacing w:after="0"/>
              <w:rPr>
                <w:sz w:val="16"/>
                <w:szCs w:val="16"/>
                <w:color w:val="auto"/>
              </w:rPr>
            </w:pPr>
          </w:p>
        </w:tc>
        <w:tc>
          <w:tcPr>
            <w:tcW w:w="360" w:type="dxa"/>
            <w:vAlign w:val="bottom"/>
            <w:tcBorders>
              <w:top w:val="single" w:sz="8" w:color="76AD9A"/>
            </w:tcBorders>
          </w:tcPr>
          <w:p>
            <w:pPr>
              <w:spacing w:after="0"/>
              <w:rPr>
                <w:sz w:val="16"/>
                <w:szCs w:val="16"/>
                <w:color w:val="auto"/>
              </w:rPr>
            </w:pPr>
          </w:p>
        </w:tc>
        <w:tc>
          <w:tcPr>
            <w:tcW w:w="940" w:type="dxa"/>
            <w:vAlign w:val="bottom"/>
            <w:tcBorders>
              <w:top w:val="single" w:sz="8" w:color="76AD9A"/>
            </w:tcBorders>
          </w:tcPr>
          <w:p>
            <w:pPr>
              <w:spacing w:after="0"/>
              <w:rPr>
                <w:sz w:val="16"/>
                <w:szCs w:val="16"/>
                <w:color w:val="auto"/>
              </w:rPr>
            </w:pPr>
          </w:p>
        </w:tc>
        <w:tc>
          <w:tcPr>
            <w:tcW w:w="300" w:type="dxa"/>
            <w:vAlign w:val="bottom"/>
            <w:tcBorders>
              <w:top w:val="single" w:sz="8" w:color="76AD9A"/>
            </w:tcBorders>
          </w:tcPr>
          <w:p>
            <w:pPr>
              <w:spacing w:after="0"/>
              <w:rPr>
                <w:sz w:val="16"/>
                <w:szCs w:val="16"/>
                <w:color w:val="auto"/>
              </w:rPr>
            </w:pPr>
          </w:p>
        </w:tc>
        <w:tc>
          <w:tcPr>
            <w:tcW w:w="780" w:type="dxa"/>
            <w:vAlign w:val="bottom"/>
            <w:tcBorders>
              <w:top w:val="single" w:sz="8" w:color="76AD9A"/>
            </w:tcBorders>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Revenues from services</w:t>
            </w:r>
          </w:p>
        </w:tc>
        <w:tc>
          <w:tcPr>
            <w:tcW w:w="28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20,250.5</w:t>
            </w:r>
          </w:p>
        </w:tc>
        <w:tc>
          <w:tcPr>
            <w:tcW w:w="340" w:type="dxa"/>
            <w:vAlign w:val="bottom"/>
          </w:tcPr>
          <w:p>
            <w:pPr>
              <w:jc w:val="right"/>
              <w:ind w:right="5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20,678.0</w:t>
            </w:r>
          </w:p>
        </w:tc>
        <w:tc>
          <w:tcPr>
            <w:tcW w:w="34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22,006.0</w:t>
            </w:r>
          </w:p>
        </w:tc>
        <w:tc>
          <w:tcPr>
            <w:tcW w:w="360" w:type="dxa"/>
            <w:vAlign w:val="bottom"/>
          </w:tcPr>
          <w:p>
            <w:pPr>
              <w:jc w:val="right"/>
              <w:ind w:right="54"/>
              <w:spacing w:after="0" w:line="194" w:lineRule="exact"/>
              <w:rPr>
                <w:sz w:val="20"/>
                <w:szCs w:val="20"/>
                <w:color w:val="auto"/>
              </w:rPr>
            </w:pPr>
            <w:r>
              <w:rPr>
                <w:rFonts w:ascii="Arial" w:cs="Arial" w:eastAsia="Arial" w:hAnsi="Arial"/>
                <w:sz w:val="17"/>
                <w:szCs w:val="17"/>
                <w:color w:val="373535"/>
              </w:rPr>
              <w:t>$</w:t>
            </w:r>
          </w:p>
        </w:tc>
        <w:tc>
          <w:tcPr>
            <w:tcW w:w="94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18,866.5</w:t>
            </w:r>
          </w:p>
        </w:tc>
        <w:tc>
          <w:tcPr>
            <w:tcW w:w="3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16,038.7</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Gross profit</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3,366.7</w:t>
            </w:r>
          </w:p>
        </w:tc>
        <w:tc>
          <w:tcPr>
            <w:tcW w:w="340" w:type="dxa"/>
            <w:vAlign w:val="bottom"/>
          </w:tcPr>
          <w:p>
            <w:pPr>
              <w:spacing w:after="0"/>
              <w:rPr>
                <w:sz w:val="16"/>
                <w:szCs w:val="16"/>
                <w:color w:val="auto"/>
              </w:rPr>
            </w:pP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3,442.0</w:t>
            </w:r>
          </w:p>
        </w:tc>
        <w:tc>
          <w:tcPr>
            <w:tcW w:w="340" w:type="dxa"/>
            <w:vAlign w:val="bottom"/>
          </w:tcPr>
          <w:p>
            <w:pPr>
              <w:spacing w:after="0"/>
              <w:rPr>
                <w:sz w:val="16"/>
                <w:szCs w:val="16"/>
                <w:color w:val="auto"/>
              </w:rPr>
            </w:pP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3,706.3</w:t>
            </w:r>
          </w:p>
        </w:tc>
        <w:tc>
          <w:tcPr>
            <w:tcW w:w="360" w:type="dxa"/>
            <w:vAlign w:val="bottom"/>
          </w:tcPr>
          <w:p>
            <w:pPr>
              <w:spacing w:after="0"/>
              <w:rPr>
                <w:sz w:val="16"/>
                <w:szCs w:val="16"/>
                <w:color w:val="auto"/>
              </w:rPr>
            </w:pPr>
          </w:p>
        </w:tc>
        <w:tc>
          <w:tcPr>
            <w:tcW w:w="94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3,245.4</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2,818.2</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Operating profit (loss)</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511.9</w:t>
            </w:r>
          </w:p>
        </w:tc>
        <w:tc>
          <w:tcPr>
            <w:tcW w:w="340" w:type="dxa"/>
            <w:vAlign w:val="bottom"/>
          </w:tcPr>
          <w:p>
            <w:pPr>
              <w:spacing w:after="0"/>
              <w:rPr>
                <w:sz w:val="16"/>
                <w:szCs w:val="16"/>
                <w:color w:val="auto"/>
              </w:rPr>
            </w:pP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411.7</w:t>
            </w:r>
          </w:p>
        </w:tc>
        <w:tc>
          <w:tcPr>
            <w:tcW w:w="340" w:type="dxa"/>
            <w:vAlign w:val="bottom"/>
          </w:tcPr>
          <w:p>
            <w:pPr>
              <w:spacing w:after="0"/>
              <w:rPr>
                <w:sz w:val="16"/>
                <w:szCs w:val="16"/>
                <w:color w:val="auto"/>
              </w:rPr>
            </w:pP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524.2</w:t>
            </w:r>
          </w:p>
        </w:tc>
        <w:tc>
          <w:tcPr>
            <w:tcW w:w="36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(122.0)</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41.7</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 (loss)</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288.0</w:t>
            </w:r>
          </w:p>
        </w:tc>
        <w:tc>
          <w:tcPr>
            <w:tcW w:w="340" w:type="dxa"/>
            <w:vAlign w:val="bottom"/>
          </w:tcPr>
          <w:p>
            <w:pPr>
              <w:spacing w:after="0"/>
              <w:rPr>
                <w:sz w:val="16"/>
                <w:szCs w:val="16"/>
                <w:color w:val="auto"/>
              </w:rPr>
            </w:pP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197.6</w:t>
            </w:r>
          </w:p>
        </w:tc>
        <w:tc>
          <w:tcPr>
            <w:tcW w:w="340" w:type="dxa"/>
            <w:vAlign w:val="bottom"/>
          </w:tcPr>
          <w:p>
            <w:pPr>
              <w:spacing w:after="0"/>
              <w:rPr>
                <w:sz w:val="16"/>
                <w:szCs w:val="16"/>
                <w:color w:val="auto"/>
              </w:rPr>
            </w:pP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251.6</w:t>
            </w:r>
          </w:p>
        </w:tc>
        <w:tc>
          <w:tcPr>
            <w:tcW w:w="36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(263.6)</w:t>
            </w:r>
          </w:p>
        </w:tc>
        <w:tc>
          <w:tcPr>
            <w:tcW w:w="300" w:type="dxa"/>
            <w:vAlign w:val="bottom"/>
          </w:tcPr>
          <w:p>
            <w:pPr>
              <w:spacing w:after="0"/>
              <w:rPr>
                <w:sz w:val="16"/>
                <w:szCs w:val="16"/>
                <w:color w:val="auto"/>
              </w:rPr>
            </w:pPr>
          </w:p>
        </w:tc>
        <w:tc>
          <w:tcPr>
            <w:tcW w:w="84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(9.2)</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777679"/>
              </w:rPr>
              <w:t>Per Share Data</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 (loss) — basic</w:t>
            </w:r>
          </w:p>
        </w:tc>
        <w:tc>
          <w:tcPr>
            <w:tcW w:w="280" w:type="dxa"/>
            <w:vAlign w:val="bottom"/>
            <w:shd w:val="clear" w:color="auto" w:fill="EEF5F2"/>
          </w:tcPr>
          <w:p>
            <w:pPr>
              <w:jc w:val="right"/>
              <w:spacing w:after="0" w:line="194" w:lineRule="exact"/>
              <w:rPr>
                <w:sz w:val="20"/>
                <w:szCs w:val="20"/>
                <w:color w:val="auto"/>
              </w:rPr>
            </w:pPr>
            <w:r>
              <w:rPr>
                <w:rFonts w:ascii="Arial" w:cs="Arial" w:eastAsia="Arial" w:hAnsi="Arial"/>
                <w:sz w:val="17"/>
                <w:szCs w:val="17"/>
                <w:color w:val="76AD9A"/>
              </w:rPr>
              <w:t>$</w:t>
            </w: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3.69</w:t>
            </w:r>
          </w:p>
        </w:tc>
        <w:tc>
          <w:tcPr>
            <w:tcW w:w="340" w:type="dxa"/>
            <w:vAlign w:val="bottom"/>
          </w:tcPr>
          <w:p>
            <w:pPr>
              <w:jc w:val="right"/>
              <w:ind w:right="5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2.49</w:t>
            </w:r>
          </w:p>
        </w:tc>
        <w:tc>
          <w:tcPr>
            <w:tcW w:w="34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3.08</w:t>
            </w:r>
          </w:p>
        </w:tc>
        <w:tc>
          <w:tcPr>
            <w:tcW w:w="360" w:type="dxa"/>
            <w:vAlign w:val="bottom"/>
          </w:tcPr>
          <w:p>
            <w:pPr>
              <w:jc w:val="right"/>
              <w:ind w:right="54"/>
              <w:spacing w:after="0" w:line="194" w:lineRule="exact"/>
              <w:rPr>
                <w:sz w:val="20"/>
                <w:szCs w:val="20"/>
                <w:color w:val="auto"/>
              </w:rPr>
            </w:pPr>
            <w:r>
              <w:rPr>
                <w:rFonts w:ascii="Arial" w:cs="Arial" w:eastAsia="Arial" w:hAnsi="Arial"/>
                <w:sz w:val="17"/>
                <w:szCs w:val="17"/>
                <w:color w:val="373535"/>
              </w:rPr>
              <w:t>$</w:t>
            </w: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(3.26)</w:t>
            </w:r>
          </w:p>
        </w:tc>
        <w:tc>
          <w:tcPr>
            <w:tcW w:w="300" w:type="dxa"/>
            <w:vAlign w:val="bottom"/>
          </w:tcPr>
          <w:p>
            <w:pPr>
              <w:jc w:val="right"/>
              <w:ind w:right="34"/>
              <w:spacing w:after="0" w:line="194" w:lineRule="exact"/>
              <w:rPr>
                <w:sz w:val="20"/>
                <w:szCs w:val="20"/>
                <w:color w:val="auto"/>
              </w:rPr>
            </w:pPr>
            <w:r>
              <w:rPr>
                <w:rFonts w:ascii="Arial" w:cs="Arial" w:eastAsia="Arial" w:hAnsi="Arial"/>
                <w:sz w:val="17"/>
                <w:szCs w:val="17"/>
                <w:color w:val="373535"/>
              </w:rPr>
              <w:t>$</w:t>
            </w:r>
          </w:p>
        </w:tc>
        <w:tc>
          <w:tcPr>
            <w:tcW w:w="84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(0.12)</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Net earnings (loss) — diluted</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3.62</w:t>
            </w:r>
          </w:p>
        </w:tc>
        <w:tc>
          <w:tcPr>
            <w:tcW w:w="340" w:type="dxa"/>
            <w:vAlign w:val="bottom"/>
          </w:tcPr>
          <w:p>
            <w:pPr>
              <w:spacing w:after="0"/>
              <w:rPr>
                <w:sz w:val="16"/>
                <w:szCs w:val="16"/>
                <w:color w:val="auto"/>
              </w:rPr>
            </w:pP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2.47</w:t>
            </w:r>
          </w:p>
        </w:tc>
        <w:tc>
          <w:tcPr>
            <w:tcW w:w="340" w:type="dxa"/>
            <w:vAlign w:val="bottom"/>
          </w:tcPr>
          <w:p>
            <w:pPr>
              <w:spacing w:after="0"/>
              <w:rPr>
                <w:sz w:val="16"/>
                <w:szCs w:val="16"/>
                <w:color w:val="auto"/>
              </w:rPr>
            </w:pP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3.04</w:t>
            </w:r>
          </w:p>
        </w:tc>
        <w:tc>
          <w:tcPr>
            <w:tcW w:w="360" w:type="dxa"/>
            <w:vAlign w:val="bottom"/>
          </w:tcPr>
          <w:p>
            <w:pPr>
              <w:spacing w:after="0"/>
              <w:rPr>
                <w:sz w:val="16"/>
                <w:szCs w:val="16"/>
                <w:color w:val="auto"/>
              </w:rPr>
            </w:pPr>
          </w:p>
        </w:tc>
        <w:tc>
          <w:tcPr>
            <w:tcW w:w="940" w:type="dxa"/>
            <w:vAlign w:val="bottom"/>
          </w:tcPr>
          <w:p>
            <w:pPr>
              <w:jc w:val="right"/>
              <w:spacing w:after="0" w:line="194" w:lineRule="exact"/>
              <w:rPr>
                <w:sz w:val="20"/>
                <w:szCs w:val="20"/>
                <w:color w:val="auto"/>
              </w:rPr>
            </w:pPr>
            <w:r>
              <w:rPr>
                <w:rFonts w:ascii="Arial" w:cs="Arial" w:eastAsia="Arial" w:hAnsi="Arial"/>
                <w:sz w:val="17"/>
                <w:szCs w:val="17"/>
                <w:color w:val="373535"/>
              </w:rPr>
              <w:t>(3.26)</w:t>
            </w:r>
          </w:p>
        </w:tc>
        <w:tc>
          <w:tcPr>
            <w:tcW w:w="300" w:type="dxa"/>
            <w:vAlign w:val="bottom"/>
          </w:tcPr>
          <w:p>
            <w:pPr>
              <w:spacing w:after="0"/>
              <w:rPr>
                <w:sz w:val="16"/>
                <w:szCs w:val="16"/>
                <w:color w:val="auto"/>
              </w:rPr>
            </w:pPr>
          </w:p>
        </w:tc>
        <w:tc>
          <w:tcPr>
            <w:tcW w:w="840" w:type="dxa"/>
            <w:vAlign w:val="bottom"/>
            <w:gridSpan w:val="2"/>
          </w:tcPr>
          <w:p>
            <w:pPr>
              <w:jc w:val="right"/>
              <w:spacing w:after="0" w:line="194" w:lineRule="exact"/>
              <w:rPr>
                <w:sz w:val="20"/>
                <w:szCs w:val="20"/>
                <w:color w:val="auto"/>
              </w:rPr>
            </w:pPr>
            <w:r>
              <w:rPr>
                <w:rFonts w:ascii="Arial" w:cs="Arial" w:eastAsia="Arial" w:hAnsi="Arial"/>
                <w:sz w:val="17"/>
                <w:szCs w:val="17"/>
                <w:color w:val="373535"/>
              </w:rPr>
              <w:t>(0.12)</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373535"/>
              </w:rPr>
              <w:t>Dividends</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jc w:val="right"/>
              <w:ind w:right="36"/>
              <w:spacing w:after="0" w:line="194" w:lineRule="exact"/>
              <w:rPr>
                <w:sz w:val="20"/>
                <w:szCs w:val="20"/>
                <w:color w:val="auto"/>
              </w:rPr>
            </w:pPr>
            <w:r>
              <w:rPr>
                <w:rFonts w:ascii="Arial" w:cs="Arial" w:eastAsia="Arial" w:hAnsi="Arial"/>
                <w:sz w:val="17"/>
                <w:szCs w:val="17"/>
                <w:color w:val="76AD9A"/>
              </w:rPr>
              <w:t>0.92</w:t>
            </w:r>
          </w:p>
        </w:tc>
        <w:tc>
          <w:tcPr>
            <w:tcW w:w="340" w:type="dxa"/>
            <w:vAlign w:val="bottom"/>
          </w:tcPr>
          <w:p>
            <w:pPr>
              <w:spacing w:after="0"/>
              <w:rPr>
                <w:sz w:val="16"/>
                <w:szCs w:val="16"/>
                <w:color w:val="auto"/>
              </w:rPr>
            </w:pPr>
          </w:p>
        </w:tc>
        <w:tc>
          <w:tcPr>
            <w:tcW w:w="920" w:type="dxa"/>
            <w:vAlign w:val="bottom"/>
          </w:tcPr>
          <w:p>
            <w:pPr>
              <w:jc w:val="right"/>
              <w:ind w:right="36"/>
              <w:spacing w:after="0" w:line="194" w:lineRule="exact"/>
              <w:rPr>
                <w:sz w:val="20"/>
                <w:szCs w:val="20"/>
                <w:color w:val="auto"/>
              </w:rPr>
            </w:pPr>
            <w:r>
              <w:rPr>
                <w:rFonts w:ascii="Arial" w:cs="Arial" w:eastAsia="Arial" w:hAnsi="Arial"/>
                <w:sz w:val="17"/>
                <w:szCs w:val="17"/>
                <w:color w:val="373535"/>
              </w:rPr>
              <w:t>0.86</w:t>
            </w:r>
          </w:p>
        </w:tc>
        <w:tc>
          <w:tcPr>
            <w:tcW w:w="340" w:type="dxa"/>
            <w:vAlign w:val="bottom"/>
          </w:tcPr>
          <w:p>
            <w:pPr>
              <w:spacing w:after="0"/>
              <w:rPr>
                <w:sz w:val="16"/>
                <w:szCs w:val="16"/>
                <w:color w:val="auto"/>
              </w:rPr>
            </w:pPr>
          </w:p>
        </w:tc>
        <w:tc>
          <w:tcPr>
            <w:tcW w:w="920" w:type="dxa"/>
            <w:vAlign w:val="bottom"/>
          </w:tcPr>
          <w:p>
            <w:pPr>
              <w:jc w:val="right"/>
              <w:ind w:right="16"/>
              <w:spacing w:after="0" w:line="194" w:lineRule="exact"/>
              <w:rPr>
                <w:sz w:val="20"/>
                <w:szCs w:val="20"/>
                <w:color w:val="auto"/>
              </w:rPr>
            </w:pPr>
            <w:r>
              <w:rPr>
                <w:rFonts w:ascii="Arial" w:cs="Arial" w:eastAsia="Arial" w:hAnsi="Arial"/>
                <w:sz w:val="17"/>
                <w:szCs w:val="17"/>
                <w:color w:val="373535"/>
              </w:rPr>
              <w:t>0.80</w:t>
            </w:r>
          </w:p>
        </w:tc>
        <w:tc>
          <w:tcPr>
            <w:tcW w:w="360" w:type="dxa"/>
            <w:vAlign w:val="bottom"/>
          </w:tcPr>
          <w:p>
            <w:pPr>
              <w:spacing w:after="0"/>
              <w:rPr>
                <w:sz w:val="16"/>
                <w:szCs w:val="16"/>
                <w:color w:val="auto"/>
              </w:rPr>
            </w:pPr>
          </w:p>
        </w:tc>
        <w:tc>
          <w:tcPr>
            <w:tcW w:w="940" w:type="dxa"/>
            <w:vAlign w:val="bottom"/>
          </w:tcPr>
          <w:p>
            <w:pPr>
              <w:jc w:val="right"/>
              <w:ind w:right="56"/>
              <w:spacing w:after="0" w:line="194" w:lineRule="exact"/>
              <w:rPr>
                <w:sz w:val="20"/>
                <w:szCs w:val="20"/>
                <w:color w:val="auto"/>
              </w:rPr>
            </w:pPr>
            <w:r>
              <w:rPr>
                <w:rFonts w:ascii="Arial" w:cs="Arial" w:eastAsia="Arial" w:hAnsi="Arial"/>
                <w:sz w:val="17"/>
                <w:szCs w:val="17"/>
                <w:color w:val="373535"/>
              </w:rPr>
              <w:t>0.74</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line="194" w:lineRule="exact"/>
              <w:rPr>
                <w:sz w:val="20"/>
                <w:szCs w:val="20"/>
                <w:color w:val="auto"/>
              </w:rPr>
            </w:pPr>
            <w:r>
              <w:rPr>
                <w:rFonts w:ascii="Arial" w:cs="Arial" w:eastAsia="Arial" w:hAnsi="Arial"/>
                <w:sz w:val="17"/>
                <w:szCs w:val="17"/>
                <w:color w:val="373535"/>
              </w:rPr>
              <w:t>0.74</w:t>
            </w:r>
          </w:p>
        </w:tc>
      </w:tr>
      <w:tr>
        <w:trPr>
          <w:trHeight w:val="194"/>
        </w:trPr>
        <w:tc>
          <w:tcPr>
            <w:tcW w:w="5160" w:type="dxa"/>
            <w:vAlign w:val="bottom"/>
            <w:gridSpan w:val="2"/>
          </w:tcPr>
          <w:p>
            <w:pPr>
              <w:spacing w:after="0" w:line="194" w:lineRule="exact"/>
              <w:rPr>
                <w:sz w:val="20"/>
                <w:szCs w:val="20"/>
                <w:color w:val="auto"/>
              </w:rPr>
            </w:pPr>
            <w:r>
              <w:rPr>
                <w:rFonts w:ascii="Arial" w:cs="Arial" w:eastAsia="Arial" w:hAnsi="Arial"/>
                <w:sz w:val="17"/>
                <w:szCs w:val="17"/>
                <w:color w:val="777679"/>
              </w:rPr>
              <w:t>Balance Sheet Data</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5160" w:type="dxa"/>
            <w:vAlign w:val="bottom"/>
            <w:gridSpan w:val="2"/>
          </w:tcPr>
          <w:p>
            <w:pPr>
              <w:spacing w:after="0"/>
              <w:rPr>
                <w:sz w:val="20"/>
                <w:szCs w:val="20"/>
                <w:color w:val="auto"/>
              </w:rPr>
            </w:pPr>
            <w:r>
              <w:rPr>
                <w:rFonts w:ascii="Arial" w:cs="Arial" w:eastAsia="Arial" w:hAnsi="Arial"/>
                <w:sz w:val="17"/>
                <w:szCs w:val="17"/>
                <w:color w:val="373535"/>
              </w:rPr>
              <w:t>Total assets</w:t>
            </w:r>
          </w:p>
        </w:tc>
        <w:tc>
          <w:tcPr>
            <w:tcW w:w="280" w:type="dxa"/>
            <w:vAlign w:val="bottom"/>
            <w:shd w:val="clear" w:color="auto" w:fill="EEF5F2"/>
          </w:tcPr>
          <w:p>
            <w:pPr>
              <w:jc w:val="right"/>
              <w:spacing w:after="0"/>
              <w:rPr>
                <w:sz w:val="20"/>
                <w:szCs w:val="20"/>
                <w:color w:val="auto"/>
              </w:rPr>
            </w:pPr>
            <w:r>
              <w:rPr>
                <w:rFonts w:ascii="Arial" w:cs="Arial" w:eastAsia="Arial" w:hAnsi="Arial"/>
                <w:sz w:val="17"/>
                <w:szCs w:val="17"/>
                <w:color w:val="76AD9A"/>
              </w:rPr>
              <w:t>$</w:t>
            </w:r>
          </w:p>
        </w:tc>
        <w:tc>
          <w:tcPr>
            <w:tcW w:w="980" w:type="dxa"/>
            <w:vAlign w:val="bottom"/>
            <w:shd w:val="clear" w:color="auto" w:fill="EEF5F2"/>
          </w:tcPr>
          <w:p>
            <w:pPr>
              <w:jc w:val="right"/>
              <w:ind w:right="36"/>
              <w:spacing w:after="0"/>
              <w:rPr>
                <w:sz w:val="20"/>
                <w:szCs w:val="20"/>
                <w:color w:val="auto"/>
              </w:rPr>
            </w:pPr>
            <w:r>
              <w:rPr>
                <w:rFonts w:ascii="Arial" w:cs="Arial" w:eastAsia="Arial" w:hAnsi="Arial"/>
                <w:sz w:val="17"/>
                <w:szCs w:val="17"/>
                <w:color w:val="76AD9A"/>
              </w:rPr>
              <w:t>7,288.3</w:t>
            </w:r>
          </w:p>
        </w:tc>
        <w:tc>
          <w:tcPr>
            <w:tcW w:w="340" w:type="dxa"/>
            <w:vAlign w:val="bottom"/>
          </w:tcPr>
          <w:p>
            <w:pPr>
              <w:jc w:val="right"/>
              <w:ind w:right="54"/>
              <w:spacing w:after="0"/>
              <w:rPr>
                <w:sz w:val="20"/>
                <w:szCs w:val="20"/>
                <w:color w:val="auto"/>
              </w:rPr>
            </w:pPr>
            <w:r>
              <w:rPr>
                <w:rFonts w:ascii="Arial" w:cs="Arial" w:eastAsia="Arial" w:hAnsi="Arial"/>
                <w:sz w:val="17"/>
                <w:szCs w:val="17"/>
                <w:color w:val="373535"/>
              </w:rPr>
              <w:t>$</w:t>
            </w:r>
          </w:p>
        </w:tc>
        <w:tc>
          <w:tcPr>
            <w:tcW w:w="920" w:type="dxa"/>
            <w:vAlign w:val="bottom"/>
          </w:tcPr>
          <w:p>
            <w:pPr>
              <w:jc w:val="right"/>
              <w:ind w:right="36"/>
              <w:spacing w:after="0"/>
              <w:rPr>
                <w:sz w:val="20"/>
                <w:szCs w:val="20"/>
                <w:color w:val="auto"/>
              </w:rPr>
            </w:pPr>
            <w:r>
              <w:rPr>
                <w:rFonts w:ascii="Arial" w:cs="Arial" w:eastAsia="Arial" w:hAnsi="Arial"/>
                <w:sz w:val="17"/>
                <w:szCs w:val="17"/>
                <w:color w:val="373535"/>
              </w:rPr>
              <w:t>7,012.6</w:t>
            </w:r>
          </w:p>
        </w:tc>
        <w:tc>
          <w:tcPr>
            <w:tcW w:w="34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920" w:type="dxa"/>
            <w:vAlign w:val="bottom"/>
          </w:tcPr>
          <w:p>
            <w:pPr>
              <w:jc w:val="right"/>
              <w:ind w:right="16"/>
              <w:spacing w:after="0"/>
              <w:rPr>
                <w:sz w:val="20"/>
                <w:szCs w:val="20"/>
                <w:color w:val="auto"/>
              </w:rPr>
            </w:pPr>
            <w:r>
              <w:rPr>
                <w:rFonts w:ascii="Arial" w:cs="Arial" w:eastAsia="Arial" w:hAnsi="Arial"/>
                <w:sz w:val="17"/>
                <w:szCs w:val="17"/>
                <w:color w:val="373535"/>
              </w:rPr>
              <w:t>6,899.7</w:t>
            </w:r>
          </w:p>
        </w:tc>
        <w:tc>
          <w:tcPr>
            <w:tcW w:w="360" w:type="dxa"/>
            <w:vAlign w:val="bottom"/>
          </w:tcPr>
          <w:p>
            <w:pPr>
              <w:jc w:val="right"/>
              <w:ind w:right="54"/>
              <w:spacing w:after="0"/>
              <w:rPr>
                <w:sz w:val="20"/>
                <w:szCs w:val="20"/>
                <w:color w:val="auto"/>
              </w:rPr>
            </w:pPr>
            <w:r>
              <w:rPr>
                <w:rFonts w:ascii="Arial" w:cs="Arial" w:eastAsia="Arial" w:hAnsi="Arial"/>
                <w:sz w:val="17"/>
                <w:szCs w:val="17"/>
                <w:color w:val="373535"/>
              </w:rPr>
              <w:t>$</w:t>
            </w:r>
          </w:p>
        </w:tc>
        <w:tc>
          <w:tcPr>
            <w:tcW w:w="940" w:type="dxa"/>
            <w:vAlign w:val="bottom"/>
          </w:tcPr>
          <w:p>
            <w:pPr>
              <w:jc w:val="right"/>
              <w:ind w:right="56"/>
              <w:spacing w:after="0"/>
              <w:rPr>
                <w:sz w:val="20"/>
                <w:szCs w:val="20"/>
                <w:color w:val="auto"/>
              </w:rPr>
            </w:pPr>
            <w:r>
              <w:rPr>
                <w:rFonts w:ascii="Arial" w:cs="Arial" w:eastAsia="Arial" w:hAnsi="Arial"/>
                <w:sz w:val="17"/>
                <w:szCs w:val="17"/>
                <w:color w:val="373535"/>
              </w:rPr>
              <w:t>6,729.7</w:t>
            </w:r>
          </w:p>
        </w:tc>
        <w:tc>
          <w:tcPr>
            <w:tcW w:w="300" w:type="dxa"/>
            <w:vAlign w:val="bottom"/>
          </w:tcPr>
          <w:p>
            <w:pPr>
              <w:jc w:val="right"/>
              <w:ind w:right="34"/>
              <w:spacing w:after="0"/>
              <w:rPr>
                <w:sz w:val="20"/>
                <w:szCs w:val="20"/>
                <w:color w:val="auto"/>
              </w:rPr>
            </w:pPr>
            <w:r>
              <w:rPr>
                <w:rFonts w:ascii="Arial" w:cs="Arial" w:eastAsia="Arial" w:hAnsi="Arial"/>
                <w:sz w:val="17"/>
                <w:szCs w:val="17"/>
                <w:color w:val="373535"/>
              </w:rPr>
              <w:t>$</w:t>
            </w: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373535"/>
              </w:rPr>
              <w:t>6,213.8</w:t>
            </w:r>
          </w:p>
        </w:tc>
      </w:tr>
      <w:tr>
        <w:trPr>
          <w:trHeight w:val="195"/>
        </w:trPr>
        <w:tc>
          <w:tcPr>
            <w:tcW w:w="5160" w:type="dxa"/>
            <w:vAlign w:val="bottom"/>
            <w:gridSpan w:val="2"/>
          </w:tcPr>
          <w:p>
            <w:pPr>
              <w:spacing w:after="0"/>
              <w:rPr>
                <w:sz w:val="20"/>
                <w:szCs w:val="20"/>
                <w:color w:val="auto"/>
              </w:rPr>
            </w:pPr>
            <w:r>
              <w:rPr>
                <w:rFonts w:ascii="Arial" w:cs="Arial" w:eastAsia="Arial" w:hAnsi="Arial"/>
                <w:sz w:val="17"/>
                <w:szCs w:val="17"/>
                <w:color w:val="373535"/>
              </w:rPr>
              <w:t>Long-term debt</w:t>
            </w:r>
          </w:p>
        </w:tc>
        <w:tc>
          <w:tcPr>
            <w:tcW w:w="280" w:type="dxa"/>
            <w:vAlign w:val="bottom"/>
            <w:shd w:val="clear" w:color="auto" w:fill="EEF5F2"/>
          </w:tcPr>
          <w:p>
            <w:pPr>
              <w:spacing w:after="0"/>
              <w:rPr>
                <w:sz w:val="16"/>
                <w:szCs w:val="16"/>
                <w:color w:val="auto"/>
              </w:rPr>
            </w:pPr>
          </w:p>
        </w:tc>
        <w:tc>
          <w:tcPr>
            <w:tcW w:w="980" w:type="dxa"/>
            <w:vAlign w:val="bottom"/>
            <w:shd w:val="clear" w:color="auto" w:fill="EEF5F2"/>
          </w:tcPr>
          <w:p>
            <w:pPr>
              <w:jc w:val="right"/>
              <w:ind w:right="36"/>
              <w:spacing w:after="0"/>
              <w:rPr>
                <w:sz w:val="20"/>
                <w:szCs w:val="20"/>
                <w:color w:val="auto"/>
              </w:rPr>
            </w:pPr>
            <w:r>
              <w:rPr>
                <w:rFonts w:ascii="Arial" w:cs="Arial" w:eastAsia="Arial" w:hAnsi="Arial"/>
                <w:sz w:val="17"/>
                <w:szCs w:val="17"/>
                <w:color w:val="76AD9A"/>
              </w:rPr>
              <w:t>481.9</w:t>
            </w:r>
          </w:p>
        </w:tc>
        <w:tc>
          <w:tcPr>
            <w:tcW w:w="340" w:type="dxa"/>
            <w:vAlign w:val="bottom"/>
          </w:tcPr>
          <w:p>
            <w:pPr>
              <w:spacing w:after="0"/>
              <w:rPr>
                <w:sz w:val="16"/>
                <w:szCs w:val="16"/>
                <w:color w:val="auto"/>
              </w:rPr>
            </w:pPr>
          </w:p>
        </w:tc>
        <w:tc>
          <w:tcPr>
            <w:tcW w:w="920" w:type="dxa"/>
            <w:vAlign w:val="bottom"/>
          </w:tcPr>
          <w:p>
            <w:pPr>
              <w:jc w:val="right"/>
              <w:ind w:right="36"/>
              <w:spacing w:after="0"/>
              <w:rPr>
                <w:sz w:val="20"/>
                <w:szCs w:val="20"/>
                <w:color w:val="auto"/>
              </w:rPr>
            </w:pPr>
            <w:r>
              <w:rPr>
                <w:rFonts w:ascii="Arial" w:cs="Arial" w:eastAsia="Arial" w:hAnsi="Arial"/>
                <w:sz w:val="17"/>
                <w:szCs w:val="17"/>
                <w:color w:val="373535"/>
              </w:rPr>
              <w:t>462.1</w:t>
            </w:r>
          </w:p>
        </w:tc>
        <w:tc>
          <w:tcPr>
            <w:tcW w:w="34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Arial" w:cs="Arial" w:eastAsia="Arial" w:hAnsi="Arial"/>
                <w:sz w:val="17"/>
                <w:szCs w:val="17"/>
                <w:color w:val="373535"/>
              </w:rPr>
              <w:t>266.0</w:t>
            </w:r>
          </w:p>
        </w:tc>
        <w:tc>
          <w:tcPr>
            <w:tcW w:w="360" w:type="dxa"/>
            <w:vAlign w:val="bottom"/>
          </w:tcPr>
          <w:p>
            <w:pPr>
              <w:spacing w:after="0"/>
              <w:rPr>
                <w:sz w:val="16"/>
                <w:szCs w:val="16"/>
                <w:color w:val="auto"/>
              </w:rPr>
            </w:pPr>
          </w:p>
        </w:tc>
        <w:tc>
          <w:tcPr>
            <w:tcW w:w="940" w:type="dxa"/>
            <w:vAlign w:val="bottom"/>
          </w:tcPr>
          <w:p>
            <w:pPr>
              <w:jc w:val="right"/>
              <w:ind w:right="56"/>
              <w:spacing w:after="0"/>
              <w:rPr>
                <w:sz w:val="20"/>
                <w:szCs w:val="20"/>
                <w:color w:val="auto"/>
              </w:rPr>
            </w:pPr>
            <w:r>
              <w:rPr>
                <w:rFonts w:ascii="Arial" w:cs="Arial" w:eastAsia="Arial" w:hAnsi="Arial"/>
                <w:sz w:val="17"/>
                <w:szCs w:val="17"/>
                <w:color w:val="373535"/>
              </w:rPr>
              <w:t>669.3</w:t>
            </w:r>
          </w:p>
        </w:tc>
        <w:tc>
          <w:tcPr>
            <w:tcW w:w="30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7"/>
                <w:szCs w:val="17"/>
                <w:color w:val="373535"/>
              </w:rPr>
              <w:t>715.6</w:t>
            </w:r>
          </w:p>
        </w:tc>
      </w:tr>
      <w:tr>
        <w:trPr>
          <w:trHeight w:val="20"/>
        </w:trPr>
        <w:tc>
          <w:tcPr>
            <w:tcW w:w="20" w:type="dxa"/>
            <w:vAlign w:val="bottom"/>
          </w:tcPr>
          <w:p>
            <w:pPr>
              <w:spacing w:after="0" w:line="20" w:lineRule="exact"/>
              <w:rPr>
                <w:sz w:val="1"/>
                <w:szCs w:val="1"/>
                <w:color w:val="auto"/>
              </w:rPr>
            </w:pPr>
          </w:p>
        </w:tc>
        <w:tc>
          <w:tcPr>
            <w:tcW w:w="5140" w:type="dxa"/>
            <w:vAlign w:val="bottom"/>
            <w:shd w:val="clear" w:color="auto" w:fill="717073"/>
          </w:tcPr>
          <w:p>
            <w:pPr>
              <w:spacing w:after="0" w:line="20" w:lineRule="exact"/>
              <w:rPr>
                <w:sz w:val="1"/>
                <w:szCs w:val="1"/>
                <w:color w:val="auto"/>
              </w:rPr>
            </w:pPr>
          </w:p>
        </w:tc>
        <w:tc>
          <w:tcPr>
            <w:tcW w:w="280" w:type="dxa"/>
            <w:vAlign w:val="bottom"/>
            <w:shd w:val="clear" w:color="auto" w:fill="717073"/>
          </w:tcPr>
          <w:p>
            <w:pPr>
              <w:spacing w:after="0" w:line="20" w:lineRule="exact"/>
              <w:rPr>
                <w:sz w:val="1"/>
                <w:szCs w:val="1"/>
                <w:color w:val="auto"/>
              </w:rPr>
            </w:pPr>
          </w:p>
        </w:tc>
        <w:tc>
          <w:tcPr>
            <w:tcW w:w="980" w:type="dxa"/>
            <w:vAlign w:val="bottom"/>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920" w:type="dxa"/>
            <w:vAlign w:val="bottom"/>
            <w:shd w:val="clear" w:color="auto" w:fill="717073"/>
          </w:tcPr>
          <w:p>
            <w:pPr>
              <w:spacing w:after="0" w:line="20" w:lineRule="exact"/>
              <w:rPr>
                <w:sz w:val="1"/>
                <w:szCs w:val="1"/>
                <w:color w:val="auto"/>
              </w:rPr>
            </w:pPr>
          </w:p>
        </w:tc>
        <w:tc>
          <w:tcPr>
            <w:tcW w:w="340" w:type="dxa"/>
            <w:vAlign w:val="bottom"/>
            <w:shd w:val="clear" w:color="auto" w:fill="717073"/>
          </w:tcPr>
          <w:p>
            <w:pPr>
              <w:spacing w:after="0" w:line="20" w:lineRule="exact"/>
              <w:rPr>
                <w:sz w:val="1"/>
                <w:szCs w:val="1"/>
                <w:color w:val="auto"/>
              </w:rPr>
            </w:pPr>
          </w:p>
        </w:tc>
        <w:tc>
          <w:tcPr>
            <w:tcW w:w="920" w:type="dxa"/>
            <w:vAlign w:val="bottom"/>
            <w:shd w:val="clear" w:color="auto" w:fill="717073"/>
          </w:tcPr>
          <w:p>
            <w:pPr>
              <w:spacing w:after="0" w:line="20" w:lineRule="exact"/>
              <w:rPr>
                <w:sz w:val="1"/>
                <w:szCs w:val="1"/>
                <w:color w:val="auto"/>
              </w:rPr>
            </w:pPr>
          </w:p>
        </w:tc>
        <w:tc>
          <w:tcPr>
            <w:tcW w:w="360" w:type="dxa"/>
            <w:vAlign w:val="bottom"/>
            <w:shd w:val="clear" w:color="auto" w:fill="717073"/>
          </w:tcPr>
          <w:p>
            <w:pPr>
              <w:spacing w:after="0" w:line="20" w:lineRule="exact"/>
              <w:rPr>
                <w:sz w:val="1"/>
                <w:szCs w:val="1"/>
                <w:color w:val="auto"/>
              </w:rPr>
            </w:pPr>
          </w:p>
        </w:tc>
        <w:tc>
          <w:tcPr>
            <w:tcW w:w="940" w:type="dxa"/>
            <w:vAlign w:val="bottom"/>
            <w:shd w:val="clear" w:color="auto" w:fill="717073"/>
          </w:tcPr>
          <w:p>
            <w:pPr>
              <w:spacing w:after="0" w:line="20" w:lineRule="exact"/>
              <w:rPr>
                <w:sz w:val="1"/>
                <w:szCs w:val="1"/>
                <w:color w:val="auto"/>
              </w:rPr>
            </w:pPr>
          </w:p>
        </w:tc>
        <w:tc>
          <w:tcPr>
            <w:tcW w:w="300" w:type="dxa"/>
            <w:vAlign w:val="bottom"/>
            <w:shd w:val="clear" w:color="auto" w:fill="717073"/>
          </w:tcPr>
          <w:p>
            <w:pPr>
              <w:spacing w:after="0" w:line="20" w:lineRule="exact"/>
              <w:rPr>
                <w:sz w:val="1"/>
                <w:szCs w:val="1"/>
                <w:color w:val="auto"/>
              </w:rPr>
            </w:pPr>
          </w:p>
        </w:tc>
        <w:tc>
          <w:tcPr>
            <w:tcW w:w="780" w:type="dxa"/>
            <w:vAlign w:val="bottom"/>
            <w:shd w:val="clear" w:color="auto" w:fill="71707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76AD9A"/>
        </w:rPr>
        <w:t>Performance Graph</w:t>
      </w:r>
    </w:p>
    <w:p>
      <w:pPr>
        <w:spacing w:after="0" w:line="76"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Set forth below is a graph for the periods ending December 31, 2008–2013 comparing the cumulative total shareholder return on our common stock with the cumulative total return of companies in the Standard &amp; Poor’s 400 Midcap Stock Index and the Standard &amp; Poor’s Supercomposite Human Resources and Employment Services Index. We are included in the Standard &amp; Poor’s Supercomposite Human Resources and Employment Services Index and we estimate that we constituted approximately 23% of the total market capitalization of the companies included in the index. The graph assumes a $100 investment on December 31, 2008 in our common stock, the Standard &amp; Poor’s 400 Midcap Stock Index and the Standard &amp; Poor’s Supercomposite Human Resources and Employment Services Index and assumes the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1174115</wp:posOffset>
            </wp:positionH>
            <wp:positionV relativeFrom="paragraph">
              <wp:posOffset>99695</wp:posOffset>
            </wp:positionV>
            <wp:extent cx="4916805" cy="24009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16805"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720" w:type="dxa"/>
            <w:vAlign w:val="bottom"/>
            <w:gridSpan w:val="2"/>
          </w:tcPr>
          <w:p>
            <w:pPr>
              <w:spacing w:after="0"/>
              <w:rPr>
                <w:sz w:val="20"/>
                <w:szCs w:val="20"/>
                <w:color w:val="auto"/>
              </w:rPr>
            </w:pPr>
            <w:r>
              <w:rPr>
                <w:rFonts w:ascii="Arial" w:cs="Arial" w:eastAsia="Arial" w:hAnsi="Arial"/>
                <w:sz w:val="14"/>
                <w:szCs w:val="14"/>
                <w:color w:val="76AD9A"/>
              </w:rPr>
              <w:t>December 31</w:t>
            </w:r>
          </w:p>
        </w:tc>
        <w:tc>
          <w:tcPr>
            <w:tcW w:w="920" w:type="dxa"/>
            <w:vAlign w:val="bottom"/>
            <w:shd w:val="clear" w:color="auto" w:fill="76AD9A"/>
          </w:tcPr>
          <w:p>
            <w:pPr>
              <w:jc w:val="center"/>
              <w:spacing w:after="0"/>
              <w:rPr>
                <w:sz w:val="20"/>
                <w:szCs w:val="20"/>
                <w:color w:val="auto"/>
              </w:rPr>
            </w:pPr>
            <w:r>
              <w:rPr>
                <w:rFonts w:ascii="Arial" w:cs="Arial" w:eastAsia="Arial" w:hAnsi="Arial"/>
                <w:sz w:val="14"/>
                <w:szCs w:val="14"/>
                <w:color w:val="FFFFFF"/>
                <w:w w:val="96"/>
              </w:rPr>
              <w:t>2013</w:t>
            </w:r>
          </w:p>
        </w:tc>
        <w:tc>
          <w:tcPr>
            <w:tcW w:w="1120" w:type="dxa"/>
            <w:vAlign w:val="bottom"/>
          </w:tcPr>
          <w:p>
            <w:pPr>
              <w:jc w:val="center"/>
              <w:spacing w:after="0"/>
              <w:rPr>
                <w:sz w:val="20"/>
                <w:szCs w:val="20"/>
                <w:color w:val="auto"/>
              </w:rPr>
            </w:pPr>
            <w:r>
              <w:rPr>
                <w:rFonts w:ascii="Arial" w:cs="Arial" w:eastAsia="Arial" w:hAnsi="Arial"/>
                <w:sz w:val="14"/>
                <w:szCs w:val="14"/>
                <w:color w:val="76AD9A"/>
                <w:w w:val="96"/>
              </w:rPr>
              <w:t>2012</w:t>
            </w:r>
          </w:p>
        </w:tc>
        <w:tc>
          <w:tcPr>
            <w:tcW w:w="1040" w:type="dxa"/>
            <w:vAlign w:val="bottom"/>
          </w:tcPr>
          <w:p>
            <w:pPr>
              <w:jc w:val="center"/>
              <w:spacing w:after="0"/>
              <w:rPr>
                <w:sz w:val="20"/>
                <w:szCs w:val="20"/>
                <w:color w:val="auto"/>
              </w:rPr>
            </w:pPr>
            <w:r>
              <w:rPr>
                <w:rFonts w:ascii="Arial" w:cs="Arial" w:eastAsia="Arial" w:hAnsi="Arial"/>
                <w:sz w:val="14"/>
                <w:szCs w:val="14"/>
                <w:color w:val="76AD9A"/>
                <w:w w:val="96"/>
              </w:rPr>
              <w:t>2011</w:t>
            </w:r>
          </w:p>
        </w:tc>
        <w:tc>
          <w:tcPr>
            <w:tcW w:w="1020" w:type="dxa"/>
            <w:vAlign w:val="bottom"/>
          </w:tcPr>
          <w:p>
            <w:pPr>
              <w:jc w:val="center"/>
              <w:spacing w:after="0"/>
              <w:rPr>
                <w:sz w:val="20"/>
                <w:szCs w:val="20"/>
                <w:color w:val="auto"/>
              </w:rPr>
            </w:pPr>
            <w:r>
              <w:rPr>
                <w:rFonts w:ascii="Arial" w:cs="Arial" w:eastAsia="Arial" w:hAnsi="Arial"/>
                <w:sz w:val="14"/>
                <w:szCs w:val="14"/>
                <w:color w:val="76AD9A"/>
                <w:w w:val="96"/>
              </w:rPr>
              <w:t>2010</w:t>
            </w:r>
          </w:p>
        </w:tc>
        <w:tc>
          <w:tcPr>
            <w:tcW w:w="920" w:type="dxa"/>
            <w:vAlign w:val="bottom"/>
          </w:tcPr>
          <w:p>
            <w:pPr>
              <w:jc w:val="center"/>
              <w:spacing w:after="0"/>
              <w:rPr>
                <w:sz w:val="20"/>
                <w:szCs w:val="20"/>
                <w:color w:val="auto"/>
              </w:rPr>
            </w:pPr>
            <w:r>
              <w:rPr>
                <w:rFonts w:ascii="Arial" w:cs="Arial" w:eastAsia="Arial" w:hAnsi="Arial"/>
                <w:sz w:val="14"/>
                <w:szCs w:val="14"/>
                <w:color w:val="76AD9A"/>
              </w:rPr>
              <w:t>2009</w:t>
            </w:r>
          </w:p>
        </w:tc>
        <w:tc>
          <w:tcPr>
            <w:tcW w:w="580" w:type="dxa"/>
            <w:vAlign w:val="bottom"/>
          </w:tcPr>
          <w:p>
            <w:pPr>
              <w:jc w:val="center"/>
              <w:ind w:left="158"/>
              <w:spacing w:after="0"/>
              <w:rPr>
                <w:sz w:val="20"/>
                <w:szCs w:val="20"/>
                <w:color w:val="auto"/>
              </w:rPr>
            </w:pPr>
            <w:r>
              <w:rPr>
                <w:rFonts w:ascii="Arial" w:cs="Arial" w:eastAsia="Arial" w:hAnsi="Arial"/>
                <w:sz w:val="14"/>
                <w:szCs w:val="14"/>
                <w:color w:val="76AD9A"/>
                <w:w w:val="96"/>
              </w:rPr>
              <w:t>2008</w:t>
            </w:r>
          </w:p>
        </w:tc>
      </w:tr>
      <w:tr>
        <w:trPr>
          <w:trHeight w:val="186"/>
        </w:trPr>
        <w:tc>
          <w:tcPr>
            <w:tcW w:w="20" w:type="dxa"/>
            <w:vAlign w:val="bottom"/>
          </w:tcPr>
          <w:p>
            <w:pPr>
              <w:spacing w:after="0"/>
              <w:rPr>
                <w:sz w:val="16"/>
                <w:szCs w:val="16"/>
                <w:color w:val="auto"/>
              </w:rPr>
            </w:pPr>
          </w:p>
        </w:tc>
        <w:tc>
          <w:tcPr>
            <w:tcW w:w="5700" w:type="dxa"/>
            <w:vAlign w:val="bottom"/>
            <w:tcBorders>
              <w:top w:val="single" w:sz="8" w:color="76AD9A"/>
            </w:tcBorders>
          </w:tcPr>
          <w:p>
            <w:pPr>
              <w:spacing w:after="0" w:line="185" w:lineRule="exact"/>
              <w:rPr>
                <w:sz w:val="20"/>
                <w:szCs w:val="20"/>
                <w:color w:val="auto"/>
              </w:rPr>
            </w:pPr>
            <w:r>
              <w:rPr>
                <w:rFonts w:ascii="Arial" w:cs="Arial" w:eastAsia="Arial" w:hAnsi="Arial"/>
                <w:sz w:val="17"/>
                <w:szCs w:val="17"/>
                <w:color w:val="373535"/>
              </w:rPr>
              <w:t>ManpowerGroup</w:t>
            </w:r>
          </w:p>
        </w:tc>
        <w:tc>
          <w:tcPr>
            <w:tcW w:w="920" w:type="dxa"/>
            <w:vAlign w:val="bottom"/>
            <w:tcBorders>
              <w:top w:val="single" w:sz="8" w:color="76AD9A"/>
            </w:tcBorders>
            <w:shd w:val="clear" w:color="auto" w:fill="EEF5F2"/>
          </w:tcPr>
          <w:p>
            <w:pPr>
              <w:jc w:val="center"/>
              <w:spacing w:after="0" w:line="185" w:lineRule="exact"/>
              <w:rPr>
                <w:sz w:val="20"/>
                <w:szCs w:val="20"/>
                <w:color w:val="auto"/>
              </w:rPr>
            </w:pPr>
            <w:r>
              <w:rPr>
                <w:rFonts w:ascii="Arial" w:cs="Arial" w:eastAsia="Arial" w:hAnsi="Arial"/>
                <w:sz w:val="17"/>
                <w:szCs w:val="17"/>
                <w:color w:val="373535"/>
                <w:w w:val="98"/>
              </w:rPr>
              <w:t>253</w:t>
            </w:r>
          </w:p>
        </w:tc>
        <w:tc>
          <w:tcPr>
            <w:tcW w:w="1120" w:type="dxa"/>
            <w:vAlign w:val="bottom"/>
            <w:tcBorders>
              <w:top w:val="single" w:sz="8" w:color="76AD9A"/>
            </w:tcBorders>
          </w:tcPr>
          <w:p>
            <w:pPr>
              <w:jc w:val="center"/>
              <w:spacing w:after="0" w:line="185" w:lineRule="exact"/>
              <w:rPr>
                <w:sz w:val="20"/>
                <w:szCs w:val="20"/>
                <w:color w:val="auto"/>
              </w:rPr>
            </w:pPr>
            <w:r>
              <w:rPr>
                <w:rFonts w:ascii="Arial" w:cs="Arial" w:eastAsia="Arial" w:hAnsi="Arial"/>
                <w:sz w:val="17"/>
                <w:szCs w:val="17"/>
                <w:color w:val="373535"/>
              </w:rPr>
              <w:t>125</w:t>
            </w:r>
          </w:p>
        </w:tc>
        <w:tc>
          <w:tcPr>
            <w:tcW w:w="1040" w:type="dxa"/>
            <w:vAlign w:val="bottom"/>
            <w:tcBorders>
              <w:top w:val="single" w:sz="8" w:color="76AD9A"/>
            </w:tcBorders>
          </w:tcPr>
          <w:p>
            <w:pPr>
              <w:jc w:val="center"/>
              <w:spacing w:after="0" w:line="185" w:lineRule="exact"/>
              <w:rPr>
                <w:sz w:val="20"/>
                <w:szCs w:val="20"/>
                <w:color w:val="auto"/>
              </w:rPr>
            </w:pPr>
            <w:r>
              <w:rPr>
                <w:rFonts w:ascii="Arial" w:cs="Arial" w:eastAsia="Arial" w:hAnsi="Arial"/>
                <w:sz w:val="17"/>
                <w:szCs w:val="17"/>
                <w:color w:val="373535"/>
                <w:w w:val="98"/>
              </w:rPr>
              <w:t>105</w:t>
            </w:r>
          </w:p>
        </w:tc>
        <w:tc>
          <w:tcPr>
            <w:tcW w:w="1020" w:type="dxa"/>
            <w:vAlign w:val="bottom"/>
            <w:tcBorders>
              <w:top w:val="single" w:sz="8" w:color="76AD9A"/>
            </w:tcBorders>
          </w:tcPr>
          <w:p>
            <w:pPr>
              <w:jc w:val="center"/>
              <w:spacing w:after="0" w:line="185" w:lineRule="exact"/>
              <w:rPr>
                <w:sz w:val="20"/>
                <w:szCs w:val="20"/>
                <w:color w:val="auto"/>
              </w:rPr>
            </w:pPr>
            <w:r>
              <w:rPr>
                <w:rFonts w:ascii="Arial" w:cs="Arial" w:eastAsia="Arial" w:hAnsi="Arial"/>
                <w:sz w:val="17"/>
                <w:szCs w:val="17"/>
                <w:color w:val="373535"/>
                <w:w w:val="98"/>
              </w:rPr>
              <w:t>185</w:t>
            </w:r>
          </w:p>
        </w:tc>
        <w:tc>
          <w:tcPr>
            <w:tcW w:w="920" w:type="dxa"/>
            <w:vAlign w:val="bottom"/>
            <w:tcBorders>
              <w:top w:val="single" w:sz="8" w:color="76AD9A"/>
            </w:tcBorders>
          </w:tcPr>
          <w:p>
            <w:pPr>
              <w:jc w:val="center"/>
              <w:spacing w:after="0" w:line="185" w:lineRule="exact"/>
              <w:rPr>
                <w:sz w:val="20"/>
                <w:szCs w:val="20"/>
                <w:color w:val="auto"/>
              </w:rPr>
            </w:pPr>
            <w:r>
              <w:rPr>
                <w:rFonts w:ascii="Arial" w:cs="Arial" w:eastAsia="Arial" w:hAnsi="Arial"/>
                <w:sz w:val="17"/>
                <w:szCs w:val="17"/>
                <w:color w:val="373535"/>
                <w:w w:val="98"/>
              </w:rPr>
              <w:t>161</w:t>
            </w:r>
          </w:p>
        </w:tc>
        <w:tc>
          <w:tcPr>
            <w:tcW w:w="580" w:type="dxa"/>
            <w:vAlign w:val="bottom"/>
            <w:tcBorders>
              <w:top w:val="single" w:sz="8" w:color="76AD9A"/>
            </w:tcBorders>
          </w:tcPr>
          <w:p>
            <w:pPr>
              <w:jc w:val="center"/>
              <w:ind w:left="178"/>
              <w:spacing w:after="0" w:line="185" w:lineRule="exact"/>
              <w:rPr>
                <w:sz w:val="20"/>
                <w:szCs w:val="20"/>
                <w:color w:val="auto"/>
              </w:rPr>
            </w:pPr>
            <w:r>
              <w:rPr>
                <w:rFonts w:ascii="Arial" w:cs="Arial" w:eastAsia="Arial" w:hAnsi="Arial"/>
                <w:sz w:val="17"/>
                <w:szCs w:val="17"/>
                <w:color w:val="373535"/>
                <w:w w:val="98"/>
              </w:rPr>
              <w:t>100</w:t>
            </w:r>
          </w:p>
        </w:tc>
      </w:tr>
      <w:tr>
        <w:trPr>
          <w:trHeight w:val="194"/>
        </w:trPr>
        <w:tc>
          <w:tcPr>
            <w:tcW w:w="5720" w:type="dxa"/>
            <w:vAlign w:val="bottom"/>
            <w:gridSpan w:val="2"/>
          </w:tcPr>
          <w:p>
            <w:pPr>
              <w:spacing w:after="0" w:line="194" w:lineRule="exact"/>
              <w:rPr>
                <w:sz w:val="20"/>
                <w:szCs w:val="20"/>
                <w:color w:val="auto"/>
              </w:rPr>
            </w:pPr>
            <w:r>
              <w:rPr>
                <w:rFonts w:ascii="Arial" w:cs="Arial" w:eastAsia="Arial" w:hAnsi="Arial"/>
                <w:sz w:val="17"/>
                <w:szCs w:val="17"/>
                <w:color w:val="373535"/>
              </w:rPr>
              <w:t>S&amp;P 400 Midcap Stock Index</w:t>
            </w:r>
          </w:p>
        </w:tc>
        <w:tc>
          <w:tcPr>
            <w:tcW w:w="920" w:type="dxa"/>
            <w:vAlign w:val="bottom"/>
            <w:shd w:val="clear" w:color="auto" w:fill="EEF5F2"/>
          </w:tcPr>
          <w:p>
            <w:pPr>
              <w:jc w:val="center"/>
              <w:spacing w:after="0" w:line="194" w:lineRule="exact"/>
              <w:rPr>
                <w:sz w:val="20"/>
                <w:szCs w:val="20"/>
                <w:color w:val="auto"/>
              </w:rPr>
            </w:pPr>
            <w:r>
              <w:rPr>
                <w:rFonts w:ascii="Arial" w:cs="Arial" w:eastAsia="Arial" w:hAnsi="Arial"/>
                <w:sz w:val="17"/>
                <w:szCs w:val="17"/>
                <w:color w:val="373535"/>
                <w:w w:val="98"/>
              </w:rPr>
              <w:t>249</w:t>
            </w:r>
          </w:p>
        </w:tc>
        <w:tc>
          <w:tcPr>
            <w:tcW w:w="1120" w:type="dxa"/>
            <w:vAlign w:val="bottom"/>
          </w:tcPr>
          <w:p>
            <w:pPr>
              <w:jc w:val="center"/>
              <w:spacing w:after="0" w:line="194" w:lineRule="exact"/>
              <w:rPr>
                <w:sz w:val="20"/>
                <w:szCs w:val="20"/>
                <w:color w:val="auto"/>
              </w:rPr>
            </w:pPr>
            <w:r>
              <w:rPr>
                <w:rFonts w:ascii="Arial" w:cs="Arial" w:eastAsia="Arial" w:hAnsi="Arial"/>
                <w:sz w:val="17"/>
                <w:szCs w:val="17"/>
                <w:color w:val="373535"/>
              </w:rPr>
              <w:t>190</w:t>
            </w:r>
          </w:p>
        </w:tc>
        <w:tc>
          <w:tcPr>
            <w:tcW w:w="1040" w:type="dxa"/>
            <w:vAlign w:val="bottom"/>
          </w:tcPr>
          <w:p>
            <w:pPr>
              <w:jc w:val="center"/>
              <w:spacing w:after="0" w:line="194" w:lineRule="exact"/>
              <w:rPr>
                <w:sz w:val="20"/>
                <w:szCs w:val="20"/>
                <w:color w:val="auto"/>
              </w:rPr>
            </w:pPr>
            <w:r>
              <w:rPr>
                <w:rFonts w:ascii="Arial" w:cs="Arial" w:eastAsia="Arial" w:hAnsi="Arial"/>
                <w:sz w:val="17"/>
                <w:szCs w:val="17"/>
                <w:color w:val="373535"/>
                <w:w w:val="98"/>
              </w:rPr>
              <w:t>163</w:t>
            </w:r>
          </w:p>
        </w:tc>
        <w:tc>
          <w:tcPr>
            <w:tcW w:w="1020" w:type="dxa"/>
            <w:vAlign w:val="bottom"/>
          </w:tcPr>
          <w:p>
            <w:pPr>
              <w:jc w:val="center"/>
              <w:spacing w:after="0" w:line="194" w:lineRule="exact"/>
              <w:rPr>
                <w:sz w:val="20"/>
                <w:szCs w:val="20"/>
                <w:color w:val="auto"/>
              </w:rPr>
            </w:pPr>
            <w:r>
              <w:rPr>
                <w:rFonts w:ascii="Arial" w:cs="Arial" w:eastAsia="Arial" w:hAnsi="Arial"/>
                <w:sz w:val="17"/>
                <w:szCs w:val="17"/>
                <w:color w:val="373535"/>
                <w:w w:val="98"/>
              </w:rPr>
              <w:t>169</w:t>
            </w: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373535"/>
                <w:w w:val="98"/>
              </w:rPr>
              <w:t>135</w:t>
            </w:r>
          </w:p>
        </w:tc>
        <w:tc>
          <w:tcPr>
            <w:tcW w:w="580" w:type="dxa"/>
            <w:vAlign w:val="bottom"/>
          </w:tcPr>
          <w:p>
            <w:pPr>
              <w:jc w:val="center"/>
              <w:ind w:left="178"/>
              <w:spacing w:after="0" w:line="194" w:lineRule="exact"/>
              <w:rPr>
                <w:sz w:val="20"/>
                <w:szCs w:val="20"/>
                <w:color w:val="auto"/>
              </w:rPr>
            </w:pPr>
            <w:r>
              <w:rPr>
                <w:rFonts w:ascii="Arial" w:cs="Arial" w:eastAsia="Arial" w:hAnsi="Arial"/>
                <w:sz w:val="17"/>
                <w:szCs w:val="17"/>
                <w:color w:val="373535"/>
                <w:w w:val="98"/>
              </w:rPr>
              <w:t>100</w:t>
            </w:r>
          </w:p>
        </w:tc>
      </w:tr>
      <w:tr>
        <w:trPr>
          <w:trHeight w:val="194"/>
        </w:trPr>
        <w:tc>
          <w:tcPr>
            <w:tcW w:w="5720" w:type="dxa"/>
            <w:vAlign w:val="bottom"/>
            <w:gridSpan w:val="2"/>
          </w:tcPr>
          <w:p>
            <w:pPr>
              <w:spacing w:after="0" w:line="194" w:lineRule="exact"/>
              <w:rPr>
                <w:sz w:val="20"/>
                <w:szCs w:val="20"/>
                <w:color w:val="auto"/>
              </w:rPr>
            </w:pPr>
            <w:r>
              <w:rPr>
                <w:rFonts w:ascii="Arial" w:cs="Arial" w:eastAsia="Arial" w:hAnsi="Arial"/>
                <w:sz w:val="17"/>
                <w:szCs w:val="17"/>
                <w:color w:val="373535"/>
              </w:rPr>
              <w:t>S&amp;P Supercomposite Human Resources and Employment Services</w:t>
            </w:r>
          </w:p>
        </w:tc>
        <w:tc>
          <w:tcPr>
            <w:tcW w:w="920" w:type="dxa"/>
            <w:vAlign w:val="bottom"/>
            <w:shd w:val="clear" w:color="auto" w:fill="EEF5F2"/>
          </w:tcPr>
          <w:p>
            <w:pPr>
              <w:spacing w:after="0"/>
              <w:rPr>
                <w:sz w:val="16"/>
                <w:szCs w:val="16"/>
                <w:color w:val="auto"/>
              </w:rPr>
            </w:pPr>
          </w:p>
        </w:tc>
        <w:tc>
          <w:tcPr>
            <w:tcW w:w="1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700" w:type="dxa"/>
            <w:vAlign w:val="bottom"/>
            <w:tcBorders>
              <w:bottom w:val="single" w:sz="8" w:color="717073"/>
            </w:tcBorders>
          </w:tcPr>
          <w:p>
            <w:pPr>
              <w:ind w:left="140"/>
              <w:spacing w:after="0" w:line="194" w:lineRule="exact"/>
              <w:rPr>
                <w:sz w:val="20"/>
                <w:szCs w:val="20"/>
                <w:color w:val="auto"/>
              </w:rPr>
            </w:pPr>
            <w:r>
              <w:rPr>
                <w:rFonts w:ascii="Arial" w:cs="Arial" w:eastAsia="Arial" w:hAnsi="Arial"/>
                <w:sz w:val="17"/>
                <w:szCs w:val="17"/>
                <w:color w:val="373535"/>
              </w:rPr>
              <w:t>Index</w:t>
            </w:r>
          </w:p>
        </w:tc>
        <w:tc>
          <w:tcPr>
            <w:tcW w:w="920" w:type="dxa"/>
            <w:vAlign w:val="bottom"/>
            <w:tcBorders>
              <w:bottom w:val="single" w:sz="8" w:color="717073"/>
            </w:tcBorders>
            <w:shd w:val="clear" w:color="auto" w:fill="EEF5F2"/>
          </w:tcPr>
          <w:p>
            <w:pPr>
              <w:jc w:val="center"/>
              <w:spacing w:after="0" w:line="194" w:lineRule="exact"/>
              <w:rPr>
                <w:sz w:val="20"/>
                <w:szCs w:val="20"/>
                <w:color w:val="auto"/>
              </w:rPr>
            </w:pPr>
            <w:r>
              <w:rPr>
                <w:rFonts w:ascii="Arial" w:cs="Arial" w:eastAsia="Arial" w:hAnsi="Arial"/>
                <w:sz w:val="17"/>
                <w:szCs w:val="17"/>
                <w:color w:val="373535"/>
                <w:w w:val="98"/>
              </w:rPr>
              <w:t>250</w:t>
            </w:r>
          </w:p>
        </w:tc>
        <w:tc>
          <w:tcPr>
            <w:tcW w:w="1120" w:type="dxa"/>
            <w:vAlign w:val="bottom"/>
            <w:tcBorders>
              <w:bottom w:val="single" w:sz="8" w:color="717073"/>
            </w:tcBorders>
          </w:tcPr>
          <w:p>
            <w:pPr>
              <w:jc w:val="center"/>
              <w:spacing w:after="0" w:line="194" w:lineRule="exact"/>
              <w:rPr>
                <w:sz w:val="20"/>
                <w:szCs w:val="20"/>
                <w:color w:val="auto"/>
              </w:rPr>
            </w:pPr>
            <w:r>
              <w:rPr>
                <w:rFonts w:ascii="Arial" w:cs="Arial" w:eastAsia="Arial" w:hAnsi="Arial"/>
                <w:sz w:val="17"/>
                <w:szCs w:val="17"/>
                <w:color w:val="373535"/>
              </w:rPr>
              <w:t>143</w:t>
            </w:r>
          </w:p>
        </w:tc>
        <w:tc>
          <w:tcPr>
            <w:tcW w:w="1040" w:type="dxa"/>
            <w:vAlign w:val="bottom"/>
            <w:tcBorders>
              <w:bottom w:val="single" w:sz="8" w:color="717073"/>
            </w:tcBorders>
          </w:tcPr>
          <w:p>
            <w:pPr>
              <w:jc w:val="center"/>
              <w:spacing w:after="0" w:line="194" w:lineRule="exact"/>
              <w:rPr>
                <w:sz w:val="20"/>
                <w:szCs w:val="20"/>
                <w:color w:val="auto"/>
              </w:rPr>
            </w:pPr>
            <w:r>
              <w:rPr>
                <w:rFonts w:ascii="Arial" w:cs="Arial" w:eastAsia="Arial" w:hAnsi="Arial"/>
                <w:sz w:val="17"/>
                <w:szCs w:val="17"/>
                <w:color w:val="373535"/>
                <w:w w:val="98"/>
              </w:rPr>
              <w:t>130</w:t>
            </w:r>
          </w:p>
        </w:tc>
        <w:tc>
          <w:tcPr>
            <w:tcW w:w="1020" w:type="dxa"/>
            <w:vAlign w:val="bottom"/>
            <w:tcBorders>
              <w:bottom w:val="single" w:sz="8" w:color="717073"/>
            </w:tcBorders>
          </w:tcPr>
          <w:p>
            <w:pPr>
              <w:jc w:val="center"/>
              <w:spacing w:after="0" w:line="194" w:lineRule="exact"/>
              <w:rPr>
                <w:sz w:val="20"/>
                <w:szCs w:val="20"/>
                <w:color w:val="auto"/>
              </w:rPr>
            </w:pPr>
            <w:r>
              <w:rPr>
                <w:rFonts w:ascii="Arial" w:cs="Arial" w:eastAsia="Arial" w:hAnsi="Arial"/>
                <w:sz w:val="17"/>
                <w:szCs w:val="17"/>
                <w:color w:val="373535"/>
                <w:w w:val="98"/>
              </w:rPr>
              <w:t>156</w:t>
            </w:r>
          </w:p>
        </w:tc>
        <w:tc>
          <w:tcPr>
            <w:tcW w:w="920" w:type="dxa"/>
            <w:vAlign w:val="bottom"/>
            <w:tcBorders>
              <w:bottom w:val="single" w:sz="8" w:color="717073"/>
            </w:tcBorders>
          </w:tcPr>
          <w:p>
            <w:pPr>
              <w:jc w:val="center"/>
              <w:spacing w:after="0" w:line="194" w:lineRule="exact"/>
              <w:rPr>
                <w:sz w:val="20"/>
                <w:szCs w:val="20"/>
                <w:color w:val="auto"/>
              </w:rPr>
            </w:pPr>
            <w:r>
              <w:rPr>
                <w:rFonts w:ascii="Arial" w:cs="Arial" w:eastAsia="Arial" w:hAnsi="Arial"/>
                <w:sz w:val="17"/>
                <w:szCs w:val="17"/>
                <w:color w:val="373535"/>
                <w:w w:val="98"/>
              </w:rPr>
              <w:t>136</w:t>
            </w:r>
          </w:p>
        </w:tc>
        <w:tc>
          <w:tcPr>
            <w:tcW w:w="580" w:type="dxa"/>
            <w:vAlign w:val="bottom"/>
            <w:tcBorders>
              <w:bottom w:val="single" w:sz="8" w:color="717073"/>
            </w:tcBorders>
          </w:tcPr>
          <w:p>
            <w:pPr>
              <w:jc w:val="center"/>
              <w:ind w:left="178"/>
              <w:spacing w:after="0" w:line="194" w:lineRule="exact"/>
              <w:rPr>
                <w:sz w:val="20"/>
                <w:szCs w:val="20"/>
                <w:color w:val="auto"/>
              </w:rPr>
            </w:pPr>
            <w:r>
              <w:rPr>
                <w:rFonts w:ascii="Arial" w:cs="Arial" w:eastAsia="Arial" w:hAnsi="Arial"/>
                <w:sz w:val="17"/>
                <w:szCs w:val="17"/>
                <w:color w:val="373535"/>
                <w:w w:val="98"/>
              </w:rPr>
              <w:t>100</w:t>
            </w:r>
          </w:p>
        </w:tc>
      </w:tr>
    </w:tbl>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CERTIFICATIONS</w:t>
      </w:r>
    </w:p>
    <w:p>
      <w:pPr>
        <w:spacing w:after="0" w:line="85"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373535"/>
        </w:rPr>
        <w:t>ManpowerGroup has filed the Chief Executive Officer/Chief Financial Officer certifications that are required by Section 302 of the Sarbanes-Oxley Act of 2002 as exhibits to its Annual Report on Form 10-K. In 2013, Jeffrey A. Joerres, ManpowerGroup’s Chief Executive Officer, submitted a certification to the New York Stock Exchange in accordance with Section 303A.12 of the NYSE Listed Company Manual stating that, as of the date of the certification, he was not aware of any violation by ManpowerGroup of the NYSE’s corporate governance listing standards.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1060" w:type="dxa"/>
            <w:vAlign w:val="bottom"/>
          </w:tcPr>
          <w:p>
            <w:pPr>
              <w:ind w:left="7140"/>
              <w:spacing w:after="0"/>
              <w:rPr>
                <w:sz w:val="20"/>
                <w:szCs w:val="20"/>
                <w:color w:val="auto"/>
              </w:rPr>
            </w:pPr>
            <w:r>
              <w:rPr>
                <w:rFonts w:ascii="Arial" w:cs="Arial" w:eastAsia="Arial" w:hAnsi="Arial"/>
                <w:sz w:val="14"/>
                <w:szCs w:val="14"/>
                <w:b w:val="1"/>
                <w:bCs w:val="1"/>
                <w:color w:val="777679"/>
                <w:w w:val="99"/>
              </w:rPr>
              <w:t xml:space="preserve">Selected Financial Data </w:t>
            </w:r>
            <w:r>
              <w:rPr>
                <w:rFonts w:ascii="Arial" w:cs="Arial" w:eastAsia="Arial" w:hAnsi="Arial"/>
                <w:sz w:val="14"/>
                <w:szCs w:val="14"/>
                <w:color w:val="373535"/>
                <w:w w:val="99"/>
              </w:rPr>
              <w:t>ManpowerGroup 2013 Annual Report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373535"/>
              </w:rPr>
              <w:t>85</w:t>
            </w:r>
          </w:p>
        </w:tc>
      </w:tr>
      <w:tr>
        <w:trPr>
          <w:trHeight w:val="418"/>
        </w:trPr>
        <w:tc>
          <w:tcPr>
            <w:tcW w:w="1106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653"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color w:val="4C8ABF"/>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969010</wp:posOffset>
            </wp:positionH>
            <wp:positionV relativeFrom="paragraph">
              <wp:posOffset>106045</wp:posOffset>
            </wp:positionV>
            <wp:extent cx="5327015" cy="29095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327015" cy="290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spacing w:after="0"/>
        <w:rPr>
          <w:sz w:val="20"/>
          <w:szCs w:val="20"/>
          <w:color w:val="auto"/>
        </w:rPr>
      </w:pPr>
      <w:r>
        <w:rPr>
          <w:rFonts w:ascii="Arial" w:cs="Arial" w:eastAsia="Arial" w:hAnsi="Arial"/>
          <w:sz w:val="17"/>
          <w:szCs w:val="17"/>
          <w:color w:val="373535"/>
        </w:rPr>
        <w:t>Argentina, Australia, Austria, Bahrain, Belarus, Belgium, Bolivia, Brazil, Bulgaria, Canada, Chile, China, Colombia, Costa Rica, Croatia, Cyprus, Czech Republic, Denmark, Dominican Republic, Ecuador, El Salvador, Estonia, Finland, France, Germany, Greece, Guatemala, Honduras, Hong Kong, Hungary, India, Ireland, Israel, Italy, Japan, Kazakhstan, Korea, Latvia, Lithuania, Luxembourg, Macau, Malaysia, Mexico, Monaco, Morocco, Netherlands, New Caledonia, New Zealand, Nicaragua, Norway, Panama, Paraguay, Peru, Philippines, Poland, Portugal, Puerto Rico, Reunion, Romania, Russia, Serbia, Singapore, Slovakia, Slovenia, South Africa, Spain, Sweden, Switzerland, Taiwan, Thailand, Tunisia, Turkey, Ukraine, United Arab Emirates, United Kingdom, United States, Uruguay, Venezuela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329565</wp:posOffset>
            </wp:positionV>
            <wp:extent cx="5245100" cy="1057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245100" cy="1057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777679"/>
        </w:rPr>
        <w:t xml:space="preserve">ManpowerGroup™ (NYSE: MAN) </w:t>
      </w:r>
      <w:r>
        <w:rPr>
          <w:rFonts w:ascii="Arial" w:cs="Arial" w:eastAsia="Arial" w:hAnsi="Arial"/>
          <w:sz w:val="17"/>
          <w:szCs w:val="17"/>
          <w:color w:val="373535"/>
        </w:rPr>
        <w:t>is a world leader in innovative workforce solutions that ensure the talent sustainability of the world’s workforce for</w:t>
      </w:r>
      <w:r>
        <w:rPr>
          <w:rFonts w:ascii="Arial" w:cs="Arial" w:eastAsia="Arial" w:hAnsi="Arial"/>
          <w:sz w:val="17"/>
          <w:szCs w:val="17"/>
          <w:color w:val="777679"/>
        </w:rPr>
        <w:t xml:space="preserve"> </w:t>
      </w:r>
      <w:r>
        <w:rPr>
          <w:rFonts w:ascii="Arial" w:cs="Arial" w:eastAsia="Arial" w:hAnsi="Arial"/>
          <w:sz w:val="17"/>
          <w:szCs w:val="17"/>
          <w:color w:val="373535"/>
        </w:rPr>
        <w:t>the good of companies, communities, countries, and individuals themselves. Specializing in solutions that help organizations achieve business agility and workforce flexibility, ManpowerGroup leverages its 65 years of world of work expertise to create the work models, design the people practices and access the talent sources its clients need for the future. From staffing, recruitment, workforce consulting, outsourcing and career management to assessment, training and development, ManpowerGroup delivers the talent to drive the innovation and productivity of organizations in a world where talentism is the dominant economic system. Every day, ManpowerGroup connects more than 600,000 people to work and builds their experience and employability through its relationships with 400,000 clients across 80 countries and territories. ManpowerGroup’s suite of solutions is offered through ManpowerGroup™ Solutions, Manpower</w:t>
      </w:r>
      <w:r>
        <w:rPr>
          <w:rFonts w:ascii="Arial" w:cs="Arial" w:eastAsia="Arial" w:hAnsi="Arial"/>
          <w:sz w:val="24"/>
          <w:szCs w:val="24"/>
          <w:color w:val="373535"/>
          <w:vertAlign w:val="superscript"/>
        </w:rPr>
        <w:t>®</w:t>
      </w:r>
      <w:r>
        <w:rPr>
          <w:rFonts w:ascii="Arial" w:cs="Arial" w:eastAsia="Arial" w:hAnsi="Arial"/>
          <w:sz w:val="17"/>
          <w:szCs w:val="17"/>
          <w:color w:val="373535"/>
        </w:rPr>
        <w:t>, Experis™ and Right Management</w:t>
      </w:r>
      <w:r>
        <w:rPr>
          <w:rFonts w:ascii="Arial" w:cs="Arial" w:eastAsia="Arial" w:hAnsi="Arial"/>
          <w:sz w:val="24"/>
          <w:szCs w:val="24"/>
          <w:color w:val="373535"/>
          <w:vertAlign w:val="superscript"/>
        </w:rPr>
        <w:t>®</w:t>
      </w:r>
      <w:r>
        <w:rPr>
          <w:rFonts w:ascii="Arial" w:cs="Arial" w:eastAsia="Arial" w:hAnsi="Arial"/>
          <w:sz w:val="17"/>
          <w:szCs w:val="17"/>
          <w:color w:val="373535"/>
        </w:rPr>
        <w:t>. ManpowerGroup was named one of the World’s Most Ethical Companies for the third consecutive year in 2013, confirming our position as the most trusted brand in the industry. See how ManpowerGroup makes powering the world of work humanly possible at www.manpowergroup.com. Follow ManpowerGroup Chairman and CEO Jeff Joerres on Twitter: Twitter.com/manpowergroupjj</w:t>
      </w:r>
    </w:p>
    <w:p>
      <w:pPr>
        <w:spacing w:after="0" w:line="177" w:lineRule="exact"/>
        <w:rPr>
          <w:sz w:val="20"/>
          <w:szCs w:val="20"/>
          <w:color w:val="auto"/>
        </w:rPr>
      </w:pPr>
    </w:p>
    <w:p>
      <w:pPr>
        <w:ind w:left="580" w:hanging="577"/>
        <w:spacing w:after="0"/>
        <w:tabs>
          <w:tab w:leader="none" w:pos="580" w:val="left"/>
        </w:tabs>
        <w:numPr>
          <w:ilvl w:val="0"/>
          <w:numId w:val="120"/>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Principal Operating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255905</wp:posOffset>
            </wp:positionV>
            <wp:extent cx="7252970" cy="247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1420"/>
          </w:cols>
          <w:pgMar w:left="240" w:top="655" w:right="23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color w:val="4C8ABF"/>
        </w:rPr>
        <w:t>CORPORATE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76AD9A"/>
        </w:rPr>
        <w:t>Directors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JEFFREY A. JOERRES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Chairman and CEO until April 30, 2014;</w:t>
      </w:r>
    </w:p>
    <w:p>
      <w:pPr>
        <w:spacing w:after="0" w:line="237" w:lineRule="auto"/>
        <w:rPr>
          <w:sz w:val="20"/>
          <w:szCs w:val="20"/>
          <w:color w:val="auto"/>
        </w:rPr>
      </w:pPr>
      <w:r>
        <w:rPr>
          <w:rFonts w:ascii="Arial" w:cs="Arial" w:eastAsia="Arial" w:hAnsi="Arial"/>
          <w:sz w:val="17"/>
          <w:szCs w:val="17"/>
          <w:color w:val="373535"/>
        </w:rPr>
        <w:t>Executive Chairman as of May 1, 2014</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ManpowerGroup</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MARC J. BOLLAND</w:t>
      </w:r>
      <w:r>
        <w:rPr>
          <w:rFonts w:ascii="Arial" w:cs="Arial" w:eastAsia="Arial" w:hAnsi="Arial"/>
          <w:sz w:val="24"/>
          <w:szCs w:val="24"/>
          <w:b w:val="1"/>
          <w:bCs w:val="1"/>
          <w:color w:val="4C8ABF"/>
          <w:vertAlign w:val="superscript"/>
        </w:rPr>
        <w:t>2</w:t>
      </w:r>
    </w:p>
    <w:p>
      <w:pPr>
        <w:spacing w:after="0" w:line="237" w:lineRule="auto"/>
        <w:rPr>
          <w:sz w:val="20"/>
          <w:szCs w:val="20"/>
          <w:color w:val="auto"/>
        </w:rPr>
      </w:pPr>
      <w:r>
        <w:rPr>
          <w:rFonts w:ascii="Arial" w:cs="Arial" w:eastAsia="Arial" w:hAnsi="Arial"/>
          <w:sz w:val="17"/>
          <w:szCs w:val="17"/>
          <w:color w:val="373535"/>
        </w:rPr>
        <w:t>Chief Executive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Marks and Spencer Group</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GINA R. BOSWELL</w:t>
      </w:r>
      <w:r>
        <w:rPr>
          <w:rFonts w:ascii="Arial" w:cs="Arial" w:eastAsia="Arial" w:hAnsi="Arial"/>
          <w:sz w:val="24"/>
          <w:szCs w:val="24"/>
          <w:b w:val="1"/>
          <w:bCs w:val="1"/>
          <w:color w:val="4C8ABF"/>
          <w:vertAlign w:val="superscript"/>
        </w:rPr>
        <w:t>1</w:t>
      </w:r>
      <w:r>
        <w:rPr>
          <w:rFonts w:ascii="Arial" w:cs="Arial" w:eastAsia="Arial" w:hAnsi="Arial"/>
          <w:sz w:val="17"/>
          <w:szCs w:val="17"/>
          <w:b w:val="1"/>
          <w:bCs w:val="1"/>
          <w:color w:val="4C8ABF"/>
        </w:rPr>
        <w:t>*</w:t>
      </w:r>
      <w:r>
        <w:rPr>
          <w:rFonts w:ascii="Arial" w:cs="Arial" w:eastAsia="Arial" w:hAnsi="Arial"/>
          <w:sz w:val="24"/>
          <w:szCs w:val="24"/>
          <w:b w:val="1"/>
          <w:bCs w:val="1"/>
          <w:color w:val="4C8ABF"/>
          <w:vertAlign w:val="superscript"/>
        </w:rPr>
        <w:t>,3</w:t>
      </w:r>
    </w:p>
    <w:p>
      <w:pPr>
        <w:spacing w:after="0" w:line="237" w:lineRule="auto"/>
        <w:rPr>
          <w:sz w:val="20"/>
          <w:szCs w:val="20"/>
          <w:color w:val="auto"/>
        </w:rPr>
      </w:pPr>
      <w:r>
        <w:rPr>
          <w:rFonts w:ascii="Arial" w:cs="Arial" w:eastAsia="Arial" w:hAnsi="Arial"/>
          <w:sz w:val="17"/>
          <w:szCs w:val="17"/>
          <w:color w:val="373535"/>
        </w:rPr>
        <w:t>Executive Vice President —</w:t>
      </w:r>
    </w:p>
    <w:p>
      <w:pPr>
        <w:spacing w:after="0" w:line="238" w:lineRule="auto"/>
        <w:rPr>
          <w:sz w:val="20"/>
          <w:szCs w:val="20"/>
          <w:color w:val="auto"/>
        </w:rPr>
      </w:pPr>
      <w:r>
        <w:rPr>
          <w:rFonts w:ascii="Arial" w:cs="Arial" w:eastAsia="Arial" w:hAnsi="Arial"/>
          <w:sz w:val="17"/>
          <w:szCs w:val="17"/>
          <w:color w:val="373535"/>
        </w:rPr>
        <w:t>Personal Care, North America</w:t>
      </w:r>
    </w:p>
    <w:p>
      <w:pPr>
        <w:spacing w:after="0"/>
        <w:rPr>
          <w:sz w:val="20"/>
          <w:szCs w:val="20"/>
          <w:color w:val="auto"/>
        </w:rPr>
      </w:pPr>
      <w:r>
        <w:rPr>
          <w:rFonts w:ascii="Arial" w:cs="Arial" w:eastAsia="Arial" w:hAnsi="Arial"/>
          <w:sz w:val="17"/>
          <w:szCs w:val="17"/>
          <w:color w:val="373535"/>
        </w:rPr>
        <w:t>Unilever</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CARI M. DOMINGUEZ</w:t>
      </w:r>
      <w:r>
        <w:rPr>
          <w:rFonts w:ascii="Arial" w:cs="Arial" w:eastAsia="Arial" w:hAnsi="Arial"/>
          <w:sz w:val="24"/>
          <w:szCs w:val="24"/>
          <w:b w:val="1"/>
          <w:bCs w:val="1"/>
          <w:color w:val="4C8ABF"/>
          <w:vertAlign w:val="superscript"/>
        </w:rPr>
        <w:t>2</w:t>
      </w:r>
    </w:p>
    <w:p>
      <w:pPr>
        <w:spacing w:after="0" w:line="237" w:lineRule="auto"/>
        <w:rPr>
          <w:sz w:val="20"/>
          <w:szCs w:val="20"/>
          <w:color w:val="auto"/>
        </w:rPr>
      </w:pPr>
      <w:r>
        <w:rPr>
          <w:rFonts w:ascii="Arial" w:cs="Arial" w:eastAsia="Arial" w:hAnsi="Arial"/>
          <w:sz w:val="17"/>
          <w:szCs w:val="17"/>
          <w:color w:val="373535"/>
        </w:rPr>
        <w:t>Former Chair of the Equal Employment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Opportunity Commission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WILLIAM A. DOWNE</w:t>
      </w:r>
      <w:r>
        <w:rPr>
          <w:rFonts w:ascii="Arial" w:cs="Arial" w:eastAsia="Arial" w:hAnsi="Arial"/>
          <w:sz w:val="24"/>
          <w:szCs w:val="24"/>
          <w:b w:val="1"/>
          <w:bCs w:val="1"/>
          <w:color w:val="4C8ABF"/>
          <w:vertAlign w:val="superscript"/>
        </w:rPr>
        <w:t>2</w:t>
      </w:r>
    </w:p>
    <w:p>
      <w:pPr>
        <w:spacing w:after="0" w:line="237" w:lineRule="auto"/>
        <w:rPr>
          <w:sz w:val="20"/>
          <w:szCs w:val="20"/>
          <w:color w:val="auto"/>
        </w:rPr>
      </w:pPr>
      <w:r>
        <w:rPr>
          <w:rFonts w:ascii="Arial" w:cs="Arial" w:eastAsia="Arial" w:hAnsi="Arial"/>
          <w:sz w:val="17"/>
          <w:szCs w:val="17"/>
          <w:color w:val="373535"/>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BMO Financial Group</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JACK M. GREENBERG</w:t>
      </w:r>
      <w:r>
        <w:rPr>
          <w:rFonts w:ascii="Arial" w:cs="Arial" w:eastAsia="Arial" w:hAnsi="Arial"/>
          <w:sz w:val="24"/>
          <w:szCs w:val="24"/>
          <w:b w:val="1"/>
          <w:bCs w:val="1"/>
          <w:color w:val="4C8ABF"/>
          <w:vertAlign w:val="superscript"/>
        </w:rPr>
        <w:t>2,3,4</w:t>
      </w:r>
    </w:p>
    <w:p>
      <w:pPr>
        <w:spacing w:after="0" w:line="237" w:lineRule="auto"/>
        <w:rPr>
          <w:sz w:val="20"/>
          <w:szCs w:val="20"/>
          <w:color w:val="auto"/>
        </w:rPr>
      </w:pPr>
      <w:r>
        <w:rPr>
          <w:rFonts w:ascii="Arial" w:cs="Arial" w:eastAsia="Arial" w:hAnsi="Arial"/>
          <w:sz w:val="17"/>
          <w:szCs w:val="17"/>
          <w:color w:val="373535"/>
        </w:rPr>
        <w:t>Retired Chairman and CEO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McDonald’s Corporation</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PATRICIA A. HEMINGWAY HALL</w:t>
      </w:r>
      <w:r>
        <w:rPr>
          <w:rFonts w:ascii="Arial" w:cs="Arial" w:eastAsia="Arial" w:hAnsi="Arial"/>
          <w:sz w:val="24"/>
          <w:szCs w:val="24"/>
          <w:b w:val="1"/>
          <w:bCs w:val="1"/>
          <w:color w:val="4C8ABF"/>
          <w:vertAlign w:val="superscript"/>
        </w:rPr>
        <w:t>1</w:t>
      </w:r>
    </w:p>
    <w:p>
      <w:pPr>
        <w:spacing w:after="0" w:line="237" w:lineRule="auto"/>
        <w:rPr>
          <w:sz w:val="20"/>
          <w:szCs w:val="20"/>
          <w:color w:val="auto"/>
        </w:rPr>
      </w:pPr>
      <w:r>
        <w:rPr>
          <w:rFonts w:ascii="Arial" w:cs="Arial" w:eastAsia="Arial" w:hAnsi="Arial"/>
          <w:sz w:val="17"/>
          <w:szCs w:val="17"/>
          <w:color w:val="373535"/>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Health Care Service Corporation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TERRY A. HUENEKE</w:t>
      </w:r>
      <w:r>
        <w:rPr>
          <w:rFonts w:ascii="Arial" w:cs="Arial" w:eastAsia="Arial" w:hAnsi="Arial"/>
          <w:sz w:val="24"/>
          <w:szCs w:val="24"/>
          <w:b w:val="1"/>
          <w:bCs w:val="1"/>
          <w:color w:val="4C8ABF"/>
          <w:vertAlign w:val="superscript"/>
        </w:rPr>
        <w:t>1,4</w:t>
      </w:r>
    </w:p>
    <w:p>
      <w:pPr>
        <w:spacing w:after="0" w:line="237" w:lineRule="auto"/>
        <w:rPr>
          <w:sz w:val="20"/>
          <w:szCs w:val="20"/>
          <w:color w:val="auto"/>
        </w:rPr>
      </w:pPr>
      <w:r>
        <w:rPr>
          <w:rFonts w:ascii="Arial" w:cs="Arial" w:eastAsia="Arial" w:hAnsi="Arial"/>
          <w:sz w:val="17"/>
          <w:szCs w:val="17"/>
          <w:color w:val="373535"/>
        </w:rPr>
        <w:t>Retired Executive Vice President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ManpowerGroup</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ROBERTO MENDOZA</w:t>
      </w:r>
      <w:r>
        <w:rPr>
          <w:rFonts w:ascii="Arial" w:cs="Arial" w:eastAsia="Arial" w:hAnsi="Arial"/>
          <w:sz w:val="24"/>
          <w:szCs w:val="24"/>
          <w:b w:val="1"/>
          <w:bCs w:val="1"/>
          <w:color w:val="4C8ABF"/>
          <w:vertAlign w:val="superscript"/>
        </w:rPr>
        <w:t>1</w:t>
      </w:r>
    </w:p>
    <w:p>
      <w:pPr>
        <w:spacing w:after="0" w:line="237" w:lineRule="auto"/>
        <w:rPr>
          <w:sz w:val="20"/>
          <w:szCs w:val="20"/>
          <w:color w:val="auto"/>
        </w:rPr>
      </w:pPr>
      <w:r>
        <w:rPr>
          <w:rFonts w:ascii="Arial" w:cs="Arial" w:eastAsia="Arial" w:hAnsi="Arial"/>
          <w:sz w:val="17"/>
          <w:szCs w:val="17"/>
          <w:color w:val="373535"/>
        </w:rPr>
        <w:t>Senior Managing Director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Atlas Advisors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ULICE PAYNE JR.</w:t>
      </w:r>
      <w:r>
        <w:rPr>
          <w:rFonts w:ascii="Arial" w:cs="Arial" w:eastAsia="Arial" w:hAnsi="Arial"/>
          <w:sz w:val="24"/>
          <w:szCs w:val="24"/>
          <w:b w:val="1"/>
          <w:bCs w:val="1"/>
          <w:color w:val="4C8ABF"/>
          <w:vertAlign w:val="superscript"/>
        </w:rPr>
        <w:t>1,3</w:t>
      </w:r>
      <w:r>
        <w:rPr>
          <w:rFonts w:ascii="Arial" w:cs="Arial" w:eastAsia="Arial" w:hAnsi="Arial"/>
          <w:sz w:val="33"/>
          <w:szCs w:val="33"/>
          <w:b w:val="1"/>
          <w:bCs w:val="1"/>
          <w:color w:val="4C8ABF"/>
          <w:vertAlign w:val="superscript"/>
        </w:rPr>
        <w:t>*</w:t>
      </w:r>
    </w:p>
    <w:p>
      <w:pPr>
        <w:spacing w:after="0" w:line="237" w:lineRule="auto"/>
        <w:rPr>
          <w:sz w:val="20"/>
          <w:szCs w:val="20"/>
          <w:color w:val="auto"/>
        </w:rPr>
      </w:pPr>
      <w:r>
        <w:rPr>
          <w:rFonts w:ascii="Arial" w:cs="Arial" w:eastAsia="Arial" w:hAnsi="Arial"/>
          <w:sz w:val="17"/>
          <w:szCs w:val="17"/>
          <w:color w:val="373535"/>
        </w:rPr>
        <w:t>President and CEO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Addison-Clifton, LLC</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ELIZABETH P. SARTAIN</w:t>
      </w:r>
      <w:r>
        <w:rPr>
          <w:rFonts w:ascii="Arial" w:cs="Arial" w:eastAsia="Arial" w:hAnsi="Arial"/>
          <w:sz w:val="24"/>
          <w:szCs w:val="24"/>
          <w:b w:val="1"/>
          <w:bCs w:val="1"/>
          <w:color w:val="4C8ABF"/>
          <w:vertAlign w:val="superscript"/>
        </w:rPr>
        <w:t>2</w:t>
      </w:r>
    </w:p>
    <w:p>
      <w:pPr>
        <w:spacing w:after="0" w:line="237" w:lineRule="auto"/>
        <w:rPr>
          <w:sz w:val="20"/>
          <w:szCs w:val="20"/>
          <w:color w:val="auto"/>
        </w:rPr>
      </w:pPr>
      <w:r>
        <w:rPr>
          <w:rFonts w:ascii="Arial" w:cs="Arial" w:eastAsia="Arial" w:hAnsi="Arial"/>
          <w:sz w:val="17"/>
          <w:szCs w:val="17"/>
          <w:color w:val="373535"/>
        </w:rPr>
        <w:t>Founder of Libby Sartain LLC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Former CHRO Yahoo! Inc. and Southwest Airlines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JOHN R. WALTER</w:t>
      </w:r>
      <w:r>
        <w:rPr>
          <w:rFonts w:ascii="Arial" w:cs="Arial" w:eastAsia="Arial" w:hAnsi="Arial"/>
          <w:sz w:val="24"/>
          <w:szCs w:val="24"/>
          <w:b w:val="1"/>
          <w:bCs w:val="1"/>
          <w:color w:val="4C8ABF"/>
          <w:vertAlign w:val="superscript"/>
        </w:rPr>
        <w:t>2,3</w:t>
      </w:r>
    </w:p>
    <w:p>
      <w:pPr>
        <w:spacing w:after="0" w:line="237" w:lineRule="auto"/>
        <w:rPr>
          <w:sz w:val="20"/>
          <w:szCs w:val="20"/>
          <w:color w:val="auto"/>
        </w:rPr>
      </w:pPr>
      <w:r>
        <w:rPr>
          <w:rFonts w:ascii="Arial" w:cs="Arial" w:eastAsia="Arial" w:hAnsi="Arial"/>
          <w:sz w:val="17"/>
          <w:szCs w:val="17"/>
          <w:color w:val="373535"/>
        </w:rPr>
        <w:t>Retired President and COO</w:t>
      </w:r>
    </w:p>
    <w:p>
      <w:pPr>
        <w:spacing w:after="0" w:line="238" w:lineRule="auto"/>
        <w:rPr>
          <w:sz w:val="20"/>
          <w:szCs w:val="20"/>
          <w:color w:val="auto"/>
        </w:rPr>
      </w:pPr>
      <w:r>
        <w:rPr>
          <w:rFonts w:ascii="Arial" w:cs="Arial" w:eastAsia="Arial" w:hAnsi="Arial"/>
          <w:sz w:val="17"/>
          <w:szCs w:val="17"/>
          <w:color w:val="373535"/>
        </w:rPr>
        <w:t>AT&amp;T Corp.</w:t>
      </w:r>
    </w:p>
    <w:p>
      <w:pPr>
        <w:spacing w:after="0" w:line="238" w:lineRule="auto"/>
        <w:rPr>
          <w:sz w:val="20"/>
          <w:szCs w:val="20"/>
          <w:color w:val="auto"/>
        </w:rPr>
      </w:pPr>
      <w:r>
        <w:rPr>
          <w:rFonts w:ascii="Arial" w:cs="Arial" w:eastAsia="Arial" w:hAnsi="Arial"/>
          <w:sz w:val="17"/>
          <w:szCs w:val="17"/>
          <w:color w:val="373535"/>
        </w:rPr>
        <w:t>Former Chairman, President and CEO</w:t>
      </w:r>
    </w:p>
    <w:p>
      <w:pPr>
        <w:spacing w:after="0"/>
        <w:rPr>
          <w:sz w:val="20"/>
          <w:szCs w:val="20"/>
          <w:color w:val="auto"/>
        </w:rPr>
      </w:pPr>
      <w:r>
        <w:rPr>
          <w:rFonts w:ascii="Arial" w:cs="Arial" w:eastAsia="Arial" w:hAnsi="Arial"/>
          <w:sz w:val="17"/>
          <w:szCs w:val="17"/>
          <w:color w:val="373535"/>
        </w:rPr>
        <w:t>R.R. Donnelley &amp; Sons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EDWARD J. ZORE</w:t>
      </w:r>
      <w:r>
        <w:rPr>
          <w:rFonts w:ascii="Arial" w:cs="Arial" w:eastAsia="Arial" w:hAnsi="Arial"/>
          <w:sz w:val="24"/>
          <w:szCs w:val="24"/>
          <w:b w:val="1"/>
          <w:bCs w:val="1"/>
          <w:color w:val="4C8ABF"/>
          <w:vertAlign w:val="superscript"/>
        </w:rPr>
        <w:t>2*,3</w:t>
      </w:r>
    </w:p>
    <w:p>
      <w:pPr>
        <w:spacing w:after="0" w:line="237" w:lineRule="auto"/>
        <w:rPr>
          <w:sz w:val="20"/>
          <w:szCs w:val="20"/>
          <w:color w:val="auto"/>
        </w:rPr>
      </w:pPr>
      <w:r>
        <w:rPr>
          <w:rFonts w:ascii="Arial" w:cs="Arial" w:eastAsia="Arial" w:hAnsi="Arial"/>
          <w:sz w:val="17"/>
          <w:szCs w:val="17"/>
          <w:b w:val="1"/>
          <w:bCs w:val="1"/>
          <w:color w:val="4C8ABF"/>
        </w:rPr>
        <w:t>Lead Director</w:t>
      </w:r>
    </w:p>
    <w:p>
      <w:pPr>
        <w:spacing w:after="0" w:line="238" w:lineRule="auto"/>
        <w:rPr>
          <w:sz w:val="20"/>
          <w:szCs w:val="20"/>
          <w:color w:val="auto"/>
        </w:rPr>
      </w:pPr>
      <w:r>
        <w:rPr>
          <w:rFonts w:ascii="Arial" w:cs="Arial" w:eastAsia="Arial" w:hAnsi="Arial"/>
          <w:sz w:val="17"/>
          <w:szCs w:val="17"/>
          <w:color w:val="373535"/>
        </w:rPr>
        <w:t>Retired President and CEO</w:t>
      </w:r>
    </w:p>
    <w:p>
      <w:pPr>
        <w:spacing w:after="0"/>
        <w:rPr>
          <w:sz w:val="20"/>
          <w:szCs w:val="20"/>
          <w:color w:val="auto"/>
        </w:rPr>
      </w:pPr>
      <w:r>
        <w:rPr>
          <w:rFonts w:ascii="Arial" w:cs="Arial" w:eastAsia="Arial" w:hAnsi="Arial"/>
          <w:sz w:val="17"/>
          <w:szCs w:val="17"/>
          <w:color w:val="373535"/>
        </w:rPr>
        <w:t>Northwestern Mutual</w:t>
      </w: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76AD9A"/>
        </w:rPr>
        <w:t>Management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JEFFREY A. JOERRES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Chairman and CEO until April 30, 2014;</w:t>
      </w:r>
    </w:p>
    <w:p>
      <w:pPr>
        <w:spacing w:after="0"/>
        <w:rPr>
          <w:sz w:val="20"/>
          <w:szCs w:val="20"/>
          <w:color w:val="auto"/>
        </w:rPr>
      </w:pPr>
      <w:r>
        <w:rPr>
          <w:rFonts w:ascii="Arial" w:cs="Arial" w:eastAsia="Arial" w:hAnsi="Arial"/>
          <w:sz w:val="17"/>
          <w:szCs w:val="17"/>
          <w:color w:val="373535"/>
        </w:rPr>
        <w:t>Executive Chairman as of May 1, 2014</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JONAS PRISING</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ManpowerGroup President until April 30, 2014;</w:t>
      </w:r>
    </w:p>
    <w:p>
      <w:pPr>
        <w:spacing w:after="0"/>
        <w:rPr>
          <w:sz w:val="20"/>
          <w:szCs w:val="20"/>
          <w:color w:val="auto"/>
        </w:rPr>
      </w:pPr>
      <w:r>
        <w:rPr>
          <w:rFonts w:ascii="Arial" w:cs="Arial" w:eastAsia="Arial" w:hAnsi="Arial"/>
          <w:sz w:val="17"/>
          <w:szCs w:val="17"/>
          <w:color w:val="373535"/>
        </w:rPr>
        <w:t>Chief Executive Officer as of May 1, 2014</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DARRYL GREEN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ManpowerGroup President until April 30, 2014;</w:t>
      </w:r>
    </w:p>
    <w:p>
      <w:pPr>
        <w:spacing w:after="0"/>
        <w:rPr>
          <w:sz w:val="20"/>
          <w:szCs w:val="20"/>
          <w:color w:val="auto"/>
        </w:rPr>
      </w:pPr>
      <w:r>
        <w:rPr>
          <w:rFonts w:ascii="Arial" w:cs="Arial" w:eastAsia="Arial" w:hAnsi="Arial"/>
          <w:sz w:val="17"/>
          <w:szCs w:val="17"/>
          <w:color w:val="373535"/>
        </w:rPr>
        <w:t>President and Chief Operating Officer as of May 1, 2014</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MICHAEL J. VAN HANDEL</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Executive Vice President</w:t>
      </w:r>
    </w:p>
    <w:p>
      <w:pPr>
        <w:spacing w:after="0"/>
        <w:rPr>
          <w:sz w:val="20"/>
          <w:szCs w:val="20"/>
          <w:color w:val="auto"/>
        </w:rPr>
      </w:pPr>
      <w:r>
        <w:rPr>
          <w:rFonts w:ascii="Arial" w:cs="Arial" w:eastAsia="Arial" w:hAnsi="Arial"/>
          <w:sz w:val="17"/>
          <w:szCs w:val="17"/>
          <w:color w:val="373535"/>
        </w:rPr>
        <w:t>Chief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HANS LEENTJES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Executive Vice President</w:t>
      </w:r>
    </w:p>
    <w:p>
      <w:pPr>
        <w:spacing w:after="0"/>
        <w:rPr>
          <w:sz w:val="20"/>
          <w:szCs w:val="20"/>
          <w:color w:val="auto"/>
        </w:rPr>
      </w:pPr>
      <w:r>
        <w:rPr>
          <w:rFonts w:ascii="Arial" w:cs="Arial" w:eastAsia="Arial" w:hAnsi="Arial"/>
          <w:sz w:val="17"/>
          <w:szCs w:val="17"/>
          <w:color w:val="373535"/>
        </w:rPr>
        <w:t>President — Northern Europe</w:t>
      </w:r>
    </w:p>
    <w:p>
      <w:pPr>
        <w:sectPr>
          <w:pgSz w:w="11900" w:h="16838" w:orient="portrait"/>
          <w:cols w:equalWidth="0" w:num="1">
            <w:col w:w="10219"/>
          </w:cols>
          <w:pgMar w:left="240" w:top="655" w:right="1440" w:bottom="0" w:gutter="0" w:footer="0" w:header="0"/>
        </w:sectPr>
      </w:pPr>
    </w:p>
    <w:bookmarkStart w:id="125" w:name="page126"/>
    <w:bookmarkEnd w:id="125"/>
    <w:p>
      <w:pPr>
        <w:spacing w:after="0"/>
        <w:rPr>
          <w:sz w:val="20"/>
          <w:szCs w:val="20"/>
          <w:color w:val="auto"/>
        </w:rPr>
      </w:pPr>
      <w:r>
        <w:rPr>
          <w:rFonts w:ascii="Arial" w:cs="Arial" w:eastAsia="Arial" w:hAnsi="Arial"/>
          <w:sz w:val="17"/>
          <w:szCs w:val="17"/>
          <w:b w:val="1"/>
          <w:bCs w:val="1"/>
          <w:color w:val="4C8ABF"/>
        </w:rPr>
        <w:t>MARA SWAN</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373535"/>
        </w:rPr>
        <w:t>Executive Vice President</w:t>
      </w:r>
    </w:p>
    <w:p>
      <w:pPr>
        <w:spacing w:after="0"/>
        <w:rPr>
          <w:sz w:val="20"/>
          <w:szCs w:val="20"/>
          <w:color w:val="auto"/>
        </w:rPr>
      </w:pPr>
      <w:r>
        <w:rPr>
          <w:rFonts w:ascii="Arial" w:cs="Arial" w:eastAsia="Arial" w:hAnsi="Arial"/>
          <w:sz w:val="17"/>
          <w:szCs w:val="17"/>
          <w:color w:val="373535"/>
        </w:rPr>
        <w:t>Global Strategy and Talent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RAM CHANDRASHEKAR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Executive Vice President</w:t>
      </w:r>
    </w:p>
    <w:p>
      <w:pPr>
        <w:spacing w:after="0" w:line="237" w:lineRule="auto"/>
        <w:rPr>
          <w:sz w:val="20"/>
          <w:szCs w:val="20"/>
          <w:color w:val="auto"/>
        </w:rPr>
      </w:pPr>
      <w:r>
        <w:rPr>
          <w:rFonts w:ascii="Arial" w:cs="Arial" w:eastAsia="Arial" w:hAnsi="Arial"/>
          <w:sz w:val="17"/>
          <w:szCs w:val="17"/>
          <w:color w:val="373535"/>
        </w:rPr>
        <w:t>Operational Excellence and IT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President — APME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RICHARD BUCHBAND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373535"/>
        </w:rPr>
        <w:t>Senior Vice President</w:t>
      </w:r>
    </w:p>
    <w:p>
      <w:pPr>
        <w:spacing w:after="0"/>
        <w:rPr>
          <w:sz w:val="20"/>
          <w:szCs w:val="20"/>
          <w:color w:val="auto"/>
        </w:rPr>
      </w:pPr>
      <w:r>
        <w:rPr>
          <w:rFonts w:ascii="Arial" w:cs="Arial" w:eastAsia="Arial" w:hAnsi="Arial"/>
          <w:sz w:val="17"/>
          <w:szCs w:val="17"/>
          <w:color w:val="373535"/>
        </w:rPr>
        <w:t>General Counsel and Secretary</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BOARD COMMITTEES</w:t>
      </w:r>
    </w:p>
    <w:p>
      <w:pPr>
        <w:spacing w:after="0" w:line="192" w:lineRule="exact"/>
        <w:rPr>
          <w:sz w:val="20"/>
          <w:szCs w:val="20"/>
          <w:color w:val="auto"/>
        </w:rPr>
      </w:pPr>
    </w:p>
    <w:p>
      <w:pPr>
        <w:ind w:left="360" w:hanging="357"/>
        <w:spacing w:after="0"/>
        <w:tabs>
          <w:tab w:leader="none" w:pos="360" w:val="left"/>
        </w:tabs>
        <w:numPr>
          <w:ilvl w:val="0"/>
          <w:numId w:val="121"/>
        </w:numPr>
        <w:rPr>
          <w:rFonts w:ascii="Arial" w:cs="Arial" w:eastAsia="Arial" w:hAnsi="Arial"/>
          <w:sz w:val="17"/>
          <w:szCs w:val="17"/>
          <w:b w:val="1"/>
          <w:bCs w:val="1"/>
          <w:color w:val="4C8ABF"/>
        </w:rPr>
      </w:pPr>
      <w:r>
        <w:rPr>
          <w:rFonts w:ascii="Arial" w:cs="Arial" w:eastAsia="Arial" w:hAnsi="Arial"/>
          <w:sz w:val="17"/>
          <w:szCs w:val="17"/>
          <w:b w:val="1"/>
          <w:bCs w:val="1"/>
          <w:color w:val="4C8ABF"/>
        </w:rPr>
        <w:t>Audit Committee</w:t>
      </w:r>
    </w:p>
    <w:p>
      <w:pPr>
        <w:spacing w:after="0" w:line="18" w:lineRule="exact"/>
        <w:rPr>
          <w:sz w:val="20"/>
          <w:szCs w:val="20"/>
          <w:color w:val="auto"/>
        </w:rPr>
      </w:pPr>
    </w:p>
    <w:p>
      <w:pPr>
        <w:ind w:left="360" w:hanging="357"/>
        <w:spacing w:after="0"/>
        <w:tabs>
          <w:tab w:leader="none" w:pos="360" w:val="left"/>
        </w:tabs>
        <w:numPr>
          <w:ilvl w:val="0"/>
          <w:numId w:val="122"/>
        </w:numPr>
        <w:rPr>
          <w:rFonts w:ascii="Arial" w:cs="Arial" w:eastAsia="Arial" w:hAnsi="Arial"/>
          <w:sz w:val="17"/>
          <w:szCs w:val="17"/>
          <w:b w:val="1"/>
          <w:bCs w:val="1"/>
          <w:color w:val="4C8ABF"/>
        </w:rPr>
      </w:pPr>
      <w:r>
        <w:rPr>
          <w:rFonts w:ascii="Arial" w:cs="Arial" w:eastAsia="Arial" w:hAnsi="Arial"/>
          <w:sz w:val="17"/>
          <w:szCs w:val="17"/>
          <w:b w:val="1"/>
          <w:bCs w:val="1"/>
          <w:color w:val="4C8ABF"/>
        </w:rPr>
        <w:t>Executive Compensation and Human Resources Committee</w:t>
      </w:r>
    </w:p>
    <w:p>
      <w:pPr>
        <w:spacing w:after="0" w:line="237" w:lineRule="auto"/>
        <w:rPr>
          <w:rFonts w:ascii="Arial" w:cs="Arial" w:eastAsia="Arial" w:hAnsi="Arial"/>
          <w:sz w:val="17"/>
          <w:szCs w:val="17"/>
          <w:b w:val="1"/>
          <w:bCs w:val="1"/>
          <w:color w:val="4C8ABF"/>
        </w:rPr>
      </w:pPr>
      <w:r>
        <w:rPr>
          <w:rFonts w:ascii="Arial" w:cs="Arial" w:eastAsia="Arial" w:hAnsi="Arial"/>
          <w:sz w:val="17"/>
          <w:szCs w:val="17"/>
          <w:b w:val="1"/>
          <w:bCs w:val="1"/>
          <w:color w:val="4C8ABF"/>
        </w:rPr>
        <w:t>3   Nominating and Governance Committee</w:t>
      </w:r>
    </w:p>
    <w:p>
      <w:pPr>
        <w:spacing w:after="0" w:line="237" w:lineRule="auto"/>
        <w:rPr>
          <w:rFonts w:ascii="Arial" w:cs="Arial" w:eastAsia="Arial" w:hAnsi="Arial"/>
          <w:sz w:val="17"/>
          <w:szCs w:val="17"/>
          <w:b w:val="1"/>
          <w:bCs w:val="1"/>
          <w:color w:val="4C8ABF"/>
        </w:rPr>
      </w:pPr>
      <w:r>
        <w:rPr>
          <w:rFonts w:ascii="Arial" w:cs="Arial" w:eastAsia="Arial" w:hAnsi="Arial"/>
          <w:sz w:val="17"/>
          <w:szCs w:val="17"/>
          <w:b w:val="1"/>
          <w:bCs w:val="1"/>
          <w:color w:val="4C8ABF"/>
        </w:rPr>
        <w:t>4   Retirement date in 2014</w:t>
      </w:r>
    </w:p>
    <w:p>
      <w:pPr>
        <w:spacing w:after="0"/>
        <w:rPr>
          <w:rFonts w:ascii="Arial" w:cs="Arial" w:eastAsia="Arial" w:hAnsi="Arial"/>
          <w:sz w:val="17"/>
          <w:szCs w:val="17"/>
          <w:b w:val="1"/>
          <w:bCs w:val="1"/>
          <w:color w:val="4C8ABF"/>
        </w:rPr>
      </w:pPr>
      <w:r>
        <w:rPr>
          <w:rFonts w:ascii="Arial" w:cs="Arial" w:eastAsia="Arial" w:hAnsi="Arial"/>
          <w:sz w:val="17"/>
          <w:szCs w:val="17"/>
          <w:b w:val="1"/>
          <w:bCs w:val="1"/>
          <w:color w:val="4C8ABF"/>
        </w:rPr>
        <w:t>*   Denotes Committee Chair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1040" w:type="dxa"/>
            <w:vAlign w:val="bottom"/>
          </w:tcPr>
          <w:p>
            <w:pPr>
              <w:ind w:left="7040"/>
              <w:spacing w:after="0"/>
              <w:rPr>
                <w:sz w:val="20"/>
                <w:szCs w:val="20"/>
                <w:color w:val="auto"/>
              </w:rPr>
            </w:pPr>
            <w:r>
              <w:rPr>
                <w:rFonts w:ascii="Arial" w:cs="Arial" w:eastAsia="Arial" w:hAnsi="Arial"/>
                <w:sz w:val="14"/>
                <w:szCs w:val="14"/>
                <w:b w:val="1"/>
                <w:bCs w:val="1"/>
                <w:color w:val="777679"/>
              </w:rPr>
              <w:t xml:space="preserve">Corporate Information </w:t>
            </w:r>
            <w:r>
              <w:rPr>
                <w:rFonts w:ascii="Arial" w:cs="Arial" w:eastAsia="Arial" w:hAnsi="Arial"/>
                <w:sz w:val="14"/>
                <w:szCs w:val="14"/>
                <w:color w:val="373535"/>
              </w:rPr>
              <w:t>ManpowerGroup 2013 Annual Report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373535"/>
              </w:rPr>
              <w:t>87</w:t>
            </w:r>
          </w:p>
        </w:tc>
      </w:tr>
      <w:tr>
        <w:trPr>
          <w:trHeight w:val="418"/>
        </w:trPr>
        <w:tc>
          <w:tcPr>
            <w:tcW w:w="1104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6" w:name="page127"/>
    <w:bookmarkEnd w:id="126"/>
    <w:p>
      <w:pPr>
        <w:spacing w:after="0"/>
        <w:rPr>
          <w:sz w:val="20"/>
          <w:szCs w:val="20"/>
          <w:color w:val="auto"/>
        </w:rPr>
      </w:pPr>
      <w:r>
        <w:rPr>
          <w:rFonts w:ascii="Arial" w:cs="Arial" w:eastAsia="Arial" w:hAnsi="Arial"/>
          <w:sz w:val="17"/>
          <w:szCs w:val="17"/>
          <w:color w:val="4C8ABF"/>
        </w:rPr>
        <w:t>CORPORATE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WORLD HEADQUARTERS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373535"/>
        </w:rPr>
        <w:t>P.O. Box 2053</w:t>
      </w:r>
    </w:p>
    <w:p>
      <w:pPr>
        <w:spacing w:after="0" w:line="237" w:lineRule="auto"/>
        <w:rPr>
          <w:sz w:val="20"/>
          <w:szCs w:val="20"/>
          <w:color w:val="auto"/>
        </w:rPr>
      </w:pPr>
      <w:r>
        <w:rPr>
          <w:rFonts w:ascii="Arial" w:cs="Arial" w:eastAsia="Arial" w:hAnsi="Arial"/>
          <w:sz w:val="17"/>
          <w:szCs w:val="17"/>
          <w:color w:val="373535"/>
        </w:rPr>
        <w:t>100 Manpower Place</w:t>
      </w:r>
    </w:p>
    <w:p>
      <w:pPr>
        <w:spacing w:after="0" w:line="238" w:lineRule="auto"/>
        <w:rPr>
          <w:sz w:val="20"/>
          <w:szCs w:val="20"/>
          <w:color w:val="auto"/>
        </w:rPr>
      </w:pPr>
      <w:r>
        <w:rPr>
          <w:rFonts w:ascii="Arial" w:cs="Arial" w:eastAsia="Arial" w:hAnsi="Arial"/>
          <w:sz w:val="17"/>
          <w:szCs w:val="17"/>
          <w:color w:val="373535"/>
        </w:rPr>
        <w:t>Milwaukee, WI 53212 USA</w:t>
      </w:r>
    </w:p>
    <w:p>
      <w:pPr>
        <w:spacing w:after="0" w:line="238" w:lineRule="auto"/>
        <w:rPr>
          <w:sz w:val="20"/>
          <w:szCs w:val="20"/>
          <w:color w:val="auto"/>
        </w:rPr>
      </w:pPr>
      <w:r>
        <w:rPr>
          <w:rFonts w:ascii="Arial" w:cs="Arial" w:eastAsia="Arial" w:hAnsi="Arial"/>
          <w:sz w:val="17"/>
          <w:szCs w:val="17"/>
          <w:color w:val="373535"/>
        </w:rPr>
        <w:t>+1.414.961.1000</w:t>
      </w:r>
    </w:p>
    <w:p>
      <w:pPr>
        <w:spacing w:after="0"/>
        <w:rPr>
          <w:sz w:val="20"/>
          <w:szCs w:val="20"/>
          <w:color w:val="auto"/>
        </w:rPr>
      </w:pPr>
      <w:r>
        <w:rPr>
          <w:rFonts w:ascii="Arial" w:cs="Arial" w:eastAsia="Arial" w:hAnsi="Arial"/>
          <w:sz w:val="17"/>
          <w:szCs w:val="17"/>
          <w:color w:val="373535"/>
        </w:rPr>
        <w:t>www.manpowergroup.com</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TRANSFER AGENT AND REGISTRAR</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Computershare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373535"/>
        </w:rPr>
        <w:t>PO Box 30170</w:t>
      </w:r>
    </w:p>
    <w:p>
      <w:pPr>
        <w:spacing w:after="0"/>
        <w:rPr>
          <w:sz w:val="20"/>
          <w:szCs w:val="20"/>
          <w:color w:val="auto"/>
        </w:rPr>
      </w:pPr>
      <w:r>
        <w:rPr>
          <w:rFonts w:ascii="Arial" w:cs="Arial" w:eastAsia="Arial" w:hAnsi="Arial"/>
          <w:sz w:val="17"/>
          <w:szCs w:val="17"/>
          <w:color w:val="373535"/>
        </w:rPr>
        <w:t>College Station, TX 77842-3170</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373535"/>
        </w:rPr>
        <w:t>Or for overnight deliveries: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373535"/>
        </w:rPr>
        <w:t>Computershare</w:t>
      </w:r>
    </w:p>
    <w:p>
      <w:pPr>
        <w:spacing w:after="0" w:line="237" w:lineRule="auto"/>
        <w:rPr>
          <w:sz w:val="20"/>
          <w:szCs w:val="20"/>
          <w:color w:val="auto"/>
        </w:rPr>
      </w:pPr>
      <w:r>
        <w:rPr>
          <w:rFonts w:ascii="Arial" w:cs="Arial" w:eastAsia="Arial" w:hAnsi="Arial"/>
          <w:sz w:val="17"/>
          <w:szCs w:val="17"/>
          <w:color w:val="373535"/>
        </w:rPr>
        <w:t>211 Quality Circle, Suite 210</w:t>
      </w:r>
    </w:p>
    <w:p>
      <w:pPr>
        <w:spacing w:after="0" w:line="238" w:lineRule="auto"/>
        <w:rPr>
          <w:sz w:val="20"/>
          <w:szCs w:val="20"/>
          <w:color w:val="auto"/>
        </w:rPr>
      </w:pPr>
      <w:r>
        <w:rPr>
          <w:rFonts w:ascii="Arial" w:cs="Arial" w:eastAsia="Arial" w:hAnsi="Arial"/>
          <w:sz w:val="17"/>
          <w:szCs w:val="17"/>
          <w:color w:val="373535"/>
        </w:rPr>
        <w:t>College Station, TX 77845</w:t>
      </w:r>
    </w:p>
    <w:p>
      <w:pPr>
        <w:spacing w:after="0" w:line="238" w:lineRule="auto"/>
        <w:rPr>
          <w:sz w:val="20"/>
          <w:szCs w:val="20"/>
          <w:color w:val="auto"/>
        </w:rPr>
      </w:pPr>
      <w:r>
        <w:rPr>
          <w:rFonts w:ascii="Arial" w:cs="Arial" w:eastAsia="Arial" w:hAnsi="Arial"/>
          <w:sz w:val="17"/>
          <w:szCs w:val="17"/>
          <w:color w:val="373535"/>
        </w:rPr>
        <w:t>Shareowners Toll Free: (800) 874-1547</w:t>
      </w:r>
    </w:p>
    <w:p>
      <w:pPr>
        <w:spacing w:after="0" w:line="237" w:lineRule="auto"/>
        <w:rPr>
          <w:sz w:val="20"/>
          <w:szCs w:val="20"/>
          <w:color w:val="auto"/>
        </w:rPr>
      </w:pPr>
      <w:r>
        <w:rPr>
          <w:rFonts w:ascii="Arial" w:cs="Arial" w:eastAsia="Arial" w:hAnsi="Arial"/>
          <w:sz w:val="17"/>
          <w:szCs w:val="17"/>
          <w:color w:val="373535"/>
        </w:rPr>
        <w:t>Foreign Shareowners: (201) 680-6578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373535"/>
        </w:rPr>
        <w:t>Web Site: www.computershare.com/investor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STOCK EXCHANGE LISTING</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373535"/>
        </w:rPr>
        <w:t>NYSE Symbol: MAN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FORM 10-K</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373535"/>
        </w:rPr>
        <w:t>A copy of Form 10-K filed with the Securities and</w:t>
      </w:r>
    </w:p>
    <w:p>
      <w:pPr>
        <w:spacing w:after="0" w:line="237" w:lineRule="auto"/>
        <w:rPr>
          <w:sz w:val="20"/>
          <w:szCs w:val="20"/>
          <w:color w:val="auto"/>
        </w:rPr>
      </w:pPr>
      <w:r>
        <w:rPr>
          <w:rFonts w:ascii="Arial" w:cs="Arial" w:eastAsia="Arial" w:hAnsi="Arial"/>
          <w:sz w:val="17"/>
          <w:szCs w:val="17"/>
          <w:color w:val="373535"/>
        </w:rPr>
        <w:t>Exchange Commission for the year ended December 31,</w:t>
      </w:r>
    </w:p>
    <w:p>
      <w:pPr>
        <w:spacing w:after="0" w:line="238" w:lineRule="auto"/>
        <w:rPr>
          <w:sz w:val="20"/>
          <w:szCs w:val="20"/>
          <w:color w:val="auto"/>
        </w:rPr>
      </w:pPr>
      <w:r>
        <w:rPr>
          <w:rFonts w:ascii="Arial" w:cs="Arial" w:eastAsia="Arial" w:hAnsi="Arial"/>
          <w:sz w:val="17"/>
          <w:szCs w:val="17"/>
          <w:color w:val="373535"/>
        </w:rPr>
        <w:t>2013 is available without charge after March 15, 2014</w:t>
      </w:r>
    </w:p>
    <w:p>
      <w:pPr>
        <w:spacing w:after="0" w:line="238" w:lineRule="auto"/>
        <w:rPr>
          <w:sz w:val="20"/>
          <w:szCs w:val="20"/>
          <w:color w:val="auto"/>
        </w:rPr>
      </w:pPr>
      <w:r>
        <w:rPr>
          <w:rFonts w:ascii="Arial" w:cs="Arial" w:eastAsia="Arial" w:hAnsi="Arial"/>
          <w:sz w:val="17"/>
          <w:szCs w:val="17"/>
          <w:color w:val="373535"/>
        </w:rPr>
        <w:t>and can be obtained at www.manpowergroup.com in the</w:t>
      </w:r>
    </w:p>
    <w:p>
      <w:pPr>
        <w:spacing w:after="0"/>
        <w:rPr>
          <w:sz w:val="20"/>
          <w:szCs w:val="20"/>
          <w:color w:val="auto"/>
        </w:rPr>
      </w:pPr>
      <w:r>
        <w:rPr>
          <w:rFonts w:ascii="Arial" w:cs="Arial" w:eastAsia="Arial" w:hAnsi="Arial"/>
          <w:sz w:val="17"/>
          <w:szCs w:val="17"/>
          <w:color w:val="373535"/>
        </w:rPr>
        <w:t>section titled “Investor Relations” or by writing to:</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373535"/>
        </w:rPr>
        <w:t>Richard Buchband</w:t>
      </w:r>
    </w:p>
    <w:p>
      <w:pPr>
        <w:spacing w:after="0" w:line="237" w:lineRule="auto"/>
        <w:rPr>
          <w:sz w:val="20"/>
          <w:szCs w:val="20"/>
          <w:color w:val="auto"/>
        </w:rPr>
      </w:pPr>
      <w:r>
        <w:rPr>
          <w:rFonts w:ascii="Arial" w:cs="Arial" w:eastAsia="Arial" w:hAnsi="Arial"/>
          <w:sz w:val="17"/>
          <w:szCs w:val="17"/>
          <w:color w:val="373535"/>
        </w:rPr>
        <w:t>ManpowerGroup</w:t>
      </w:r>
    </w:p>
    <w:p>
      <w:pPr>
        <w:spacing w:after="0" w:line="238" w:lineRule="auto"/>
        <w:rPr>
          <w:sz w:val="20"/>
          <w:szCs w:val="20"/>
          <w:color w:val="auto"/>
        </w:rPr>
      </w:pPr>
      <w:r>
        <w:rPr>
          <w:rFonts w:ascii="Arial" w:cs="Arial" w:eastAsia="Arial" w:hAnsi="Arial"/>
          <w:sz w:val="17"/>
          <w:szCs w:val="17"/>
          <w:color w:val="373535"/>
        </w:rPr>
        <w:t>100 Manpower Place</w:t>
      </w:r>
    </w:p>
    <w:p>
      <w:pPr>
        <w:spacing w:after="0" w:line="238" w:lineRule="auto"/>
        <w:rPr>
          <w:sz w:val="20"/>
          <w:szCs w:val="20"/>
          <w:color w:val="auto"/>
        </w:rPr>
      </w:pPr>
      <w:r>
        <w:rPr>
          <w:rFonts w:ascii="Arial" w:cs="Arial" w:eastAsia="Arial" w:hAnsi="Arial"/>
          <w:sz w:val="17"/>
          <w:szCs w:val="17"/>
          <w:color w:val="373535"/>
        </w:rPr>
        <w:t>Milwaukee, WI 53212</w:t>
      </w:r>
    </w:p>
    <w:p>
      <w:pPr>
        <w:spacing w:after="0"/>
        <w:rPr>
          <w:sz w:val="20"/>
          <w:szCs w:val="20"/>
          <w:color w:val="auto"/>
        </w:rPr>
      </w:pPr>
      <w:r>
        <w:rPr>
          <w:rFonts w:ascii="Arial" w:cs="Arial" w:eastAsia="Arial" w:hAnsi="Arial"/>
          <w:sz w:val="17"/>
          <w:szCs w:val="17"/>
          <w:color w:val="373535"/>
        </w:rPr>
        <w:t>USA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373535"/>
        </w:rPr>
        <w:t>As of February 18, 2014, ManpowerGroup common stock</w:t>
      </w:r>
    </w:p>
    <w:p>
      <w:pPr>
        <w:spacing w:after="0"/>
        <w:rPr>
          <w:sz w:val="20"/>
          <w:szCs w:val="20"/>
          <w:color w:val="auto"/>
        </w:rPr>
      </w:pPr>
      <w:r>
        <w:rPr>
          <w:rFonts w:ascii="Arial" w:cs="Arial" w:eastAsia="Arial" w:hAnsi="Arial"/>
          <w:sz w:val="17"/>
          <w:szCs w:val="17"/>
          <w:color w:val="373535"/>
        </w:rPr>
        <w:t>was held by approximately 3,800 record holders.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ANNUAL MEETING OF SHAREHOLDERS</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373535"/>
        </w:rPr>
        <w:t>April 29, 2014 at 10 a.m.</w:t>
      </w:r>
    </w:p>
    <w:p>
      <w:pPr>
        <w:spacing w:after="0" w:line="237" w:lineRule="auto"/>
        <w:rPr>
          <w:sz w:val="20"/>
          <w:szCs w:val="20"/>
          <w:color w:val="auto"/>
        </w:rPr>
      </w:pPr>
      <w:r>
        <w:rPr>
          <w:rFonts w:ascii="Arial" w:cs="Arial" w:eastAsia="Arial" w:hAnsi="Arial"/>
          <w:sz w:val="17"/>
          <w:szCs w:val="17"/>
          <w:color w:val="373535"/>
        </w:rPr>
        <w:t>ManpowerGroup World Headquarters</w:t>
      </w:r>
    </w:p>
    <w:p>
      <w:pPr>
        <w:spacing w:after="0" w:line="238" w:lineRule="auto"/>
        <w:rPr>
          <w:sz w:val="20"/>
          <w:szCs w:val="20"/>
          <w:color w:val="auto"/>
        </w:rPr>
      </w:pPr>
      <w:r>
        <w:rPr>
          <w:rFonts w:ascii="Arial" w:cs="Arial" w:eastAsia="Arial" w:hAnsi="Arial"/>
          <w:sz w:val="17"/>
          <w:szCs w:val="17"/>
          <w:color w:val="373535"/>
        </w:rPr>
        <w:t>100 Manpower Place</w:t>
      </w:r>
    </w:p>
    <w:p>
      <w:pPr>
        <w:spacing w:after="0" w:line="238" w:lineRule="auto"/>
        <w:rPr>
          <w:sz w:val="20"/>
          <w:szCs w:val="20"/>
          <w:color w:val="auto"/>
        </w:rPr>
      </w:pPr>
      <w:r>
        <w:rPr>
          <w:rFonts w:ascii="Arial" w:cs="Arial" w:eastAsia="Arial" w:hAnsi="Arial"/>
          <w:sz w:val="17"/>
          <w:szCs w:val="17"/>
          <w:color w:val="373535"/>
        </w:rPr>
        <w:t>Milwaukee, WI 53212</w:t>
      </w:r>
    </w:p>
    <w:p>
      <w:pPr>
        <w:spacing w:after="0"/>
        <w:rPr>
          <w:sz w:val="20"/>
          <w:szCs w:val="20"/>
          <w:color w:val="auto"/>
        </w:rPr>
      </w:pPr>
      <w:r>
        <w:rPr>
          <w:rFonts w:ascii="Arial" w:cs="Arial" w:eastAsia="Arial" w:hAnsi="Arial"/>
          <w:sz w:val="17"/>
          <w:szCs w:val="17"/>
          <w:color w:val="373535"/>
        </w:rPr>
        <w:t>USA</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4C8ABF"/>
        </w:rPr>
        <w:t>INVESTOR RELATIONS WEBSITE</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373535"/>
        </w:rPr>
        <w:t>The most current corporate and investor information can</w:t>
      </w:r>
    </w:p>
    <w:p>
      <w:pPr>
        <w:spacing w:after="0" w:line="237" w:lineRule="auto"/>
        <w:rPr>
          <w:sz w:val="20"/>
          <w:szCs w:val="20"/>
          <w:color w:val="auto"/>
        </w:rPr>
      </w:pPr>
      <w:r>
        <w:rPr>
          <w:rFonts w:ascii="Arial" w:cs="Arial" w:eastAsia="Arial" w:hAnsi="Arial"/>
          <w:sz w:val="17"/>
          <w:szCs w:val="17"/>
          <w:color w:val="373535"/>
        </w:rPr>
        <w:t>be found on the ManpowerGroup corporate Web site at</w:t>
      </w:r>
    </w:p>
    <w:p>
      <w:pPr>
        <w:spacing w:after="0" w:line="238" w:lineRule="auto"/>
        <w:rPr>
          <w:sz w:val="20"/>
          <w:szCs w:val="20"/>
          <w:color w:val="auto"/>
        </w:rPr>
      </w:pPr>
      <w:r>
        <w:rPr>
          <w:rFonts w:ascii="Arial" w:cs="Arial" w:eastAsia="Arial" w:hAnsi="Arial"/>
          <w:sz w:val="17"/>
          <w:szCs w:val="17"/>
          <w:color w:val="373535"/>
        </w:rPr>
        <w:t>www.manpowergroup.com. Interested individuals may also</w:t>
      </w:r>
    </w:p>
    <w:p>
      <w:pPr>
        <w:spacing w:after="0" w:line="238" w:lineRule="auto"/>
        <w:rPr>
          <w:sz w:val="20"/>
          <w:szCs w:val="20"/>
          <w:color w:val="auto"/>
        </w:rPr>
      </w:pPr>
      <w:r>
        <w:rPr>
          <w:rFonts w:ascii="Arial" w:cs="Arial" w:eastAsia="Arial" w:hAnsi="Arial"/>
          <w:sz w:val="17"/>
          <w:szCs w:val="17"/>
          <w:color w:val="373535"/>
        </w:rPr>
        <w:t>choose to receive ManpowerGroup press releases and</w:t>
      </w:r>
    </w:p>
    <w:p>
      <w:pPr>
        <w:spacing w:after="0" w:line="237" w:lineRule="auto"/>
        <w:rPr>
          <w:sz w:val="20"/>
          <w:szCs w:val="20"/>
          <w:color w:val="auto"/>
        </w:rPr>
      </w:pPr>
      <w:r>
        <w:rPr>
          <w:rFonts w:ascii="Arial" w:cs="Arial" w:eastAsia="Arial" w:hAnsi="Arial"/>
          <w:sz w:val="17"/>
          <w:szCs w:val="17"/>
          <w:color w:val="373535"/>
        </w:rPr>
        <w:t>other information via e-mail by subscribing to our E-mail</w:t>
      </w:r>
    </w:p>
    <w:p>
      <w:pPr>
        <w:spacing w:after="0" w:line="238" w:lineRule="auto"/>
        <w:rPr>
          <w:sz w:val="20"/>
          <w:szCs w:val="20"/>
          <w:color w:val="auto"/>
        </w:rPr>
      </w:pPr>
      <w:r>
        <w:rPr>
          <w:rFonts w:ascii="Arial" w:cs="Arial" w:eastAsia="Arial" w:hAnsi="Arial"/>
          <w:sz w:val="17"/>
          <w:szCs w:val="17"/>
          <w:color w:val="373535"/>
        </w:rPr>
        <w:t>Alert service at www.manpowergroup.com in the section</w:t>
      </w:r>
    </w:p>
    <w:p>
      <w:pPr>
        <w:spacing w:after="0"/>
        <w:rPr>
          <w:sz w:val="20"/>
          <w:szCs w:val="20"/>
          <w:color w:val="auto"/>
        </w:rPr>
      </w:pPr>
      <w:r>
        <w:rPr>
          <w:rFonts w:ascii="Arial" w:cs="Arial" w:eastAsia="Arial" w:hAnsi="Arial"/>
          <w:sz w:val="17"/>
          <w:szCs w:val="17"/>
          <w:color w:val="373535"/>
        </w:rPr>
        <w:t>titled “Investor Relations.”</w:t>
      </w:r>
    </w:p>
    <w:p>
      <w:pPr>
        <w:spacing w:after="0" w:line="181" w:lineRule="exact"/>
        <w:rPr>
          <w:sz w:val="20"/>
          <w:szCs w:val="20"/>
          <w:color w:val="auto"/>
        </w:rPr>
      </w:pPr>
    </w:p>
    <w:p>
      <w:pPr>
        <w:ind w:left="280" w:hanging="277"/>
        <w:spacing w:after="0"/>
        <w:tabs>
          <w:tab w:leader="none" w:pos="280" w:val="left"/>
        </w:tabs>
        <w:numPr>
          <w:ilvl w:val="0"/>
          <w:numId w:val="123"/>
        </w:numPr>
        <w:rPr>
          <w:rFonts w:ascii="Arial" w:cs="Arial" w:eastAsia="Arial" w:hAnsi="Arial"/>
          <w:sz w:val="14"/>
          <w:szCs w:val="14"/>
          <w:b w:val="1"/>
          <w:bCs w:val="1"/>
          <w:color w:val="373535"/>
        </w:rPr>
      </w:pPr>
      <w:r>
        <w:rPr>
          <w:rFonts w:ascii="Arial" w:cs="Arial" w:eastAsia="Arial" w:hAnsi="Arial"/>
          <w:sz w:val="14"/>
          <w:szCs w:val="14"/>
          <w:color w:val="373535"/>
        </w:rPr>
        <w:t xml:space="preserve">ManpowerGroup 2013 Annual Report </w:t>
      </w:r>
      <w:r>
        <w:rPr>
          <w:rFonts w:ascii="Arial" w:cs="Arial" w:eastAsia="Arial" w:hAnsi="Arial"/>
          <w:sz w:val="14"/>
          <w:szCs w:val="14"/>
          <w:b w:val="1"/>
          <w:bCs w:val="1"/>
          <w:color w:val="777679"/>
        </w:rPr>
        <w:t>Corporate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265430</wp:posOffset>
            </wp:positionV>
            <wp:extent cx="7252970" cy="247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2970" cy="24765"/>
                    </a:xfrm>
                    <a:prstGeom prst="rect">
                      <a:avLst/>
                    </a:prstGeom>
                    <a:noFill/>
                  </pic:spPr>
                </pic:pic>
              </a:graphicData>
            </a:graphic>
          </wp:anchor>
        </w:drawing>
      </w:r>
    </w:p>
    <w:p>
      <w:pPr>
        <w:sectPr>
          <w:pgSz w:w="11900" w:h="16838" w:orient="portrait"/>
          <w:cols w:equalWidth="0" w:num="1">
            <w:col w:w="10219"/>
          </w:cols>
          <w:pgMar w:left="240" w:top="655" w:right="1440" w:bottom="1440" w:gutter="0" w:footer="0" w:header="0"/>
        </w:sectPr>
      </w:pPr>
    </w:p>
    <w:bookmarkStart w:id="127" w:name="page128"/>
    <w:bookmarkEnd w:id="127"/>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28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80" w:type="dxa"/>
            <w:vAlign w:val="bottom"/>
            <w:gridSpan w:val="2"/>
          </w:tcPr>
          <w:p>
            <w:pPr>
              <w:ind w:left="1720"/>
              <w:spacing w:after="0"/>
              <w:rPr>
                <w:sz w:val="20"/>
                <w:szCs w:val="20"/>
                <w:color w:val="auto"/>
              </w:rPr>
            </w:pPr>
            <w:r>
              <w:rPr>
                <w:rFonts w:ascii="Arial" w:cs="Arial" w:eastAsia="Arial" w:hAnsi="Arial"/>
                <w:sz w:val="17"/>
                <w:szCs w:val="17"/>
                <w:b w:val="1"/>
                <w:bCs w:val="1"/>
                <w:color w:val="auto"/>
                <w:w w:val="92"/>
              </w:rPr>
              <w:t>Exhibit 21</w:t>
            </w:r>
          </w:p>
        </w:tc>
      </w:tr>
      <w:tr>
        <w:trPr>
          <w:trHeight w:val="396"/>
        </w:trPr>
        <w:tc>
          <w:tcPr>
            <w:tcW w:w="1280" w:type="dxa"/>
            <w:vAlign w:val="bottom"/>
          </w:tcPr>
          <w:p>
            <w:pPr>
              <w:spacing w:after="0"/>
              <w:rPr>
                <w:sz w:val="24"/>
                <w:szCs w:val="24"/>
                <w:color w:val="auto"/>
              </w:rPr>
            </w:pPr>
          </w:p>
        </w:tc>
        <w:tc>
          <w:tcPr>
            <w:tcW w:w="7400" w:type="dxa"/>
            <w:vAlign w:val="bottom"/>
          </w:tcPr>
          <w:p>
            <w:pPr>
              <w:jc w:val="center"/>
              <w:ind w:left="1134"/>
              <w:spacing w:after="0"/>
              <w:rPr>
                <w:sz w:val="20"/>
                <w:szCs w:val="20"/>
                <w:color w:val="auto"/>
              </w:rPr>
            </w:pPr>
            <w:r>
              <w:rPr>
                <w:rFonts w:ascii="Arial" w:cs="Arial" w:eastAsia="Arial" w:hAnsi="Arial"/>
                <w:sz w:val="17"/>
                <w:szCs w:val="17"/>
                <w:b w:val="1"/>
                <w:bCs w:val="1"/>
                <w:color w:val="auto"/>
              </w:rPr>
              <w:t>SUBSIDIARIES OF MANPOWERGROUP INC.</w:t>
            </w:r>
          </w:p>
        </w:tc>
        <w:tc>
          <w:tcPr>
            <w:tcW w:w="1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7400" w:type="dxa"/>
            <w:vAlign w:val="bottom"/>
          </w:tcPr>
          <w:p>
            <w:pPr>
              <w:jc w:val="center"/>
              <w:ind w:left="1134"/>
              <w:spacing w:after="0"/>
              <w:rPr>
                <w:sz w:val="20"/>
                <w:szCs w:val="20"/>
                <w:color w:val="auto"/>
              </w:rPr>
            </w:pPr>
            <w:r>
              <w:rPr>
                <w:rFonts w:ascii="Arial" w:cs="Arial" w:eastAsia="Arial" w:hAnsi="Arial"/>
                <w:sz w:val="17"/>
                <w:szCs w:val="17"/>
                <w:b w:val="1"/>
                <w:bCs w:val="1"/>
                <w:color w:val="auto"/>
                <w:w w:val="90"/>
              </w:rPr>
              <w:t>As of December 31, 2013</w:t>
            </w:r>
          </w:p>
        </w:tc>
        <w:tc>
          <w:tcPr>
            <w:tcW w:w="1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634"/>
        </w:trPr>
        <w:tc>
          <w:tcPr>
            <w:tcW w:w="8680" w:type="dxa"/>
            <w:vAlign w:val="bottom"/>
            <w:gridSpan w:val="2"/>
          </w:tcPr>
          <w:p>
            <w:pPr>
              <w:spacing w:after="0"/>
              <w:rPr>
                <w:sz w:val="20"/>
                <w:szCs w:val="20"/>
                <w:color w:val="auto"/>
              </w:rPr>
            </w:pPr>
            <w:r>
              <w:rPr>
                <w:rFonts w:ascii="Arial" w:cs="Arial" w:eastAsia="Arial" w:hAnsi="Arial"/>
                <w:sz w:val="17"/>
                <w:szCs w:val="17"/>
                <w:color w:val="auto"/>
              </w:rPr>
              <w:t>Corporation Name</w:t>
            </w:r>
          </w:p>
        </w:tc>
        <w:tc>
          <w:tcPr>
            <w:tcW w:w="2620" w:type="dxa"/>
            <w:vAlign w:val="bottom"/>
            <w:gridSpan w:val="3"/>
          </w:tcPr>
          <w:p>
            <w:pPr>
              <w:spacing w:after="0"/>
              <w:rPr>
                <w:sz w:val="20"/>
                <w:szCs w:val="20"/>
                <w:color w:val="auto"/>
              </w:rPr>
            </w:pPr>
            <w:r>
              <w:rPr>
                <w:rFonts w:ascii="Arial" w:cs="Arial" w:eastAsia="Arial" w:hAnsi="Arial"/>
                <w:sz w:val="17"/>
                <w:szCs w:val="17"/>
                <w:color w:val="auto"/>
              </w:rPr>
              <w:t>Incorporated in State / Country</w:t>
            </w:r>
          </w:p>
        </w:tc>
      </w:tr>
      <w:tr>
        <w:trPr>
          <w:trHeight w:val="186"/>
        </w:trPr>
        <w:tc>
          <w:tcPr>
            <w:tcW w:w="1280" w:type="dxa"/>
            <w:vAlign w:val="bottom"/>
            <w:tcBorders>
              <w:top w:val="single" w:sz="8" w:color="auto"/>
            </w:tcBorders>
          </w:tcPr>
          <w:p>
            <w:pPr>
              <w:spacing w:after="0"/>
              <w:rPr>
                <w:sz w:val="16"/>
                <w:szCs w:val="16"/>
                <w:color w:val="auto"/>
              </w:rPr>
            </w:pPr>
          </w:p>
        </w:tc>
        <w:tc>
          <w:tcPr>
            <w:tcW w:w="7400" w:type="dxa"/>
            <w:vAlign w:val="bottom"/>
          </w:tcPr>
          <w:p>
            <w:pPr>
              <w:spacing w:after="0"/>
              <w:rPr>
                <w:sz w:val="16"/>
                <w:szCs w:val="16"/>
                <w:color w:val="auto"/>
              </w:rPr>
            </w:pPr>
          </w:p>
        </w:tc>
        <w:tc>
          <w:tcPr>
            <w:tcW w:w="2140" w:type="dxa"/>
            <w:vAlign w:val="bottom"/>
            <w:tcBorders>
              <w:top w:val="single" w:sz="8" w:color="auto"/>
            </w:tcBorders>
            <w:gridSpan w:val="2"/>
          </w:tcPr>
          <w:p>
            <w:pPr>
              <w:spacing w:after="0" w:line="186" w:lineRule="exact"/>
              <w:rPr>
                <w:sz w:val="20"/>
                <w:szCs w:val="20"/>
                <w:color w:val="auto"/>
              </w:rPr>
            </w:pPr>
            <w:r>
              <w:rPr>
                <w:rFonts w:ascii="Arial" w:cs="Arial" w:eastAsia="Arial" w:hAnsi="Arial"/>
                <w:sz w:val="17"/>
                <w:szCs w:val="17"/>
                <w:color w:val="auto"/>
              </w:rPr>
              <w:t>of</w:t>
            </w:r>
          </w:p>
        </w:tc>
        <w:tc>
          <w:tcPr>
            <w:tcW w:w="480" w:type="dxa"/>
            <w:vAlign w:val="bottom"/>
          </w:tcPr>
          <w:p>
            <w:pPr>
              <w:spacing w:after="0"/>
              <w:rPr>
                <w:sz w:val="16"/>
                <w:szCs w:val="16"/>
                <w:color w:val="auto"/>
              </w:rPr>
            </w:pPr>
          </w:p>
        </w:tc>
      </w:tr>
      <w:tr>
        <w:trPr>
          <w:trHeight w:val="20"/>
        </w:trPr>
        <w:tc>
          <w:tcPr>
            <w:tcW w:w="86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r>
      <w:tr>
        <w:trPr>
          <w:trHeight w:val="213"/>
        </w:trPr>
        <w:tc>
          <w:tcPr>
            <w:tcW w:w="8680" w:type="dxa"/>
            <w:vAlign w:val="bottom"/>
            <w:gridSpan w:val="2"/>
          </w:tcPr>
          <w:p>
            <w:pPr>
              <w:spacing w:after="0"/>
              <w:rPr>
                <w:sz w:val="20"/>
                <w:szCs w:val="20"/>
                <w:color w:val="auto"/>
              </w:rPr>
            </w:pPr>
            <w:r>
              <w:rPr>
                <w:rFonts w:ascii="Arial" w:cs="Arial" w:eastAsia="Arial" w:hAnsi="Arial"/>
                <w:sz w:val="17"/>
                <w:szCs w:val="17"/>
                <w:color w:val="auto"/>
              </w:rPr>
              <w:t>Huntsville Service Contractors,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AL</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Benefits S.A.</w:t>
            </w:r>
          </w:p>
        </w:tc>
        <w:tc>
          <w:tcPr>
            <w:tcW w:w="262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Cotecsud S.A.S.E.</w:t>
            </w:r>
          </w:p>
        </w:tc>
        <w:tc>
          <w:tcPr>
            <w:tcW w:w="262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S.A.</w:t>
            </w:r>
          </w:p>
        </w:tc>
        <w:tc>
          <w:tcPr>
            <w:tcW w:w="262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Ruralpower SA</w:t>
            </w:r>
          </w:p>
        </w:tc>
        <w:tc>
          <w:tcPr>
            <w:tcW w:w="262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Salespower S.A.</w:t>
            </w:r>
          </w:p>
        </w:tc>
        <w:tc>
          <w:tcPr>
            <w:tcW w:w="2620" w:type="dxa"/>
            <w:vAlign w:val="bottom"/>
            <w:gridSpan w:val="3"/>
          </w:tcPr>
          <w:p>
            <w:pPr>
              <w:spacing w:after="0"/>
              <w:rPr>
                <w:sz w:val="20"/>
                <w:szCs w:val="20"/>
                <w:color w:val="auto"/>
              </w:rPr>
            </w:pPr>
            <w:r>
              <w:rPr>
                <w:rFonts w:ascii="Arial" w:cs="Arial" w:eastAsia="Arial" w:hAnsi="Arial"/>
                <w:sz w:val="17"/>
                <w:szCs w:val="17"/>
                <w:color w:val="auto"/>
              </w:rPr>
              <w:t>Argentina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Services (Australia) Pty.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Consultants (OC) Pty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Consultants Holdings Pty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Consultants International Pty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Consultants Pty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Safesearch Pty Limited</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Australia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Experis GmbH</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ManpowerGroup GmbH</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ManpowerGroup Holding GmbH</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Austria GmbH</w:t>
            </w:r>
          </w:p>
        </w:tc>
        <w:tc>
          <w:tcPr>
            <w:tcW w:w="2620" w:type="dxa"/>
            <w:vAlign w:val="bottom"/>
            <w:gridSpan w:val="3"/>
          </w:tcPr>
          <w:p>
            <w:pPr>
              <w:spacing w:after="0"/>
              <w:rPr>
                <w:sz w:val="20"/>
                <w:szCs w:val="20"/>
                <w:color w:val="auto"/>
              </w:rPr>
            </w:pPr>
            <w:r>
              <w:rPr>
                <w:rFonts w:ascii="Arial" w:cs="Arial" w:eastAsia="Arial" w:hAnsi="Arial"/>
                <w:sz w:val="17"/>
                <w:szCs w:val="17"/>
                <w:color w:val="auto"/>
              </w:rPr>
              <w:t>Austria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Professional Bahrain S.P.C.</w:t>
            </w:r>
          </w:p>
        </w:tc>
        <w:tc>
          <w:tcPr>
            <w:tcW w:w="2620" w:type="dxa"/>
            <w:vAlign w:val="bottom"/>
            <w:gridSpan w:val="3"/>
          </w:tcPr>
          <w:p>
            <w:pPr>
              <w:spacing w:after="0"/>
              <w:rPr>
                <w:sz w:val="20"/>
                <w:szCs w:val="20"/>
                <w:color w:val="auto"/>
              </w:rPr>
            </w:pPr>
            <w:r>
              <w:rPr>
                <w:rFonts w:ascii="Arial" w:cs="Arial" w:eastAsia="Arial" w:hAnsi="Arial"/>
                <w:sz w:val="17"/>
                <w:szCs w:val="17"/>
                <w:color w:val="auto"/>
              </w:rPr>
              <w:t>Bahrain</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Bel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Belarus</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RO of Manpower CIS LLC in Belarus Republic</w:t>
            </w:r>
          </w:p>
        </w:tc>
        <w:tc>
          <w:tcPr>
            <w:tcW w:w="2620" w:type="dxa"/>
            <w:vAlign w:val="bottom"/>
            <w:gridSpan w:val="3"/>
          </w:tcPr>
          <w:p>
            <w:pPr>
              <w:spacing w:after="0"/>
              <w:rPr>
                <w:sz w:val="20"/>
                <w:szCs w:val="20"/>
                <w:color w:val="auto"/>
              </w:rPr>
            </w:pPr>
            <w:r>
              <w:rPr>
                <w:rFonts w:ascii="Arial" w:cs="Arial" w:eastAsia="Arial" w:hAnsi="Arial"/>
                <w:sz w:val="17"/>
                <w:szCs w:val="17"/>
                <w:color w:val="auto"/>
              </w:rPr>
              <w:t>Belarus</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Experis Belgium SA</w:t>
            </w:r>
          </w:p>
        </w:tc>
        <w:tc>
          <w:tcPr>
            <w:tcW w:w="262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ManpowerGroup Solutions Belgium SA</w:t>
            </w:r>
          </w:p>
        </w:tc>
        <w:tc>
          <w:tcPr>
            <w:tcW w:w="262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Belgium NV</w:t>
            </w:r>
          </w:p>
        </w:tc>
        <w:tc>
          <w:tcPr>
            <w:tcW w:w="262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S.A. Manpower (Belgium) N.V.</w:t>
            </w:r>
          </w:p>
        </w:tc>
        <w:tc>
          <w:tcPr>
            <w:tcW w:w="262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Netmagic II Sarl</w:t>
            </w:r>
          </w:p>
        </w:tc>
        <w:tc>
          <w:tcPr>
            <w:tcW w:w="262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Network Computing Technology &amp; Services SARL</w:t>
            </w:r>
          </w:p>
        </w:tc>
        <w:tc>
          <w:tcPr>
            <w:tcW w:w="2620" w:type="dxa"/>
            <w:vAlign w:val="bottom"/>
            <w:gridSpan w:val="3"/>
          </w:tcPr>
          <w:p>
            <w:pPr>
              <w:spacing w:after="0"/>
              <w:rPr>
                <w:sz w:val="20"/>
                <w:szCs w:val="20"/>
                <w:color w:val="auto"/>
              </w:rPr>
            </w:pPr>
            <w:r>
              <w:rPr>
                <w:rFonts w:ascii="Arial" w:cs="Arial" w:eastAsia="Arial" w:hAnsi="Arial"/>
                <w:sz w:val="17"/>
                <w:szCs w:val="17"/>
                <w:color w:val="auto"/>
              </w:rPr>
              <w:t>Belgium</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Brasil Ltda.</w:t>
            </w:r>
          </w:p>
        </w:tc>
        <w:tc>
          <w:tcPr>
            <w:tcW w:w="262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Professional Ltda.</w:t>
            </w:r>
          </w:p>
        </w:tc>
        <w:tc>
          <w:tcPr>
            <w:tcW w:w="262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Staffing Ltda.</w:t>
            </w:r>
          </w:p>
        </w:tc>
        <w:tc>
          <w:tcPr>
            <w:tcW w:w="262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do Brasil Ltda</w:t>
            </w:r>
          </w:p>
        </w:tc>
        <w:tc>
          <w:tcPr>
            <w:tcW w:w="2620" w:type="dxa"/>
            <w:vAlign w:val="bottom"/>
            <w:gridSpan w:val="3"/>
          </w:tcPr>
          <w:p>
            <w:pPr>
              <w:spacing w:after="0"/>
              <w:rPr>
                <w:sz w:val="20"/>
                <w:szCs w:val="20"/>
                <w:color w:val="auto"/>
              </w:rPr>
            </w:pPr>
            <w:r>
              <w:rPr>
                <w:rFonts w:ascii="Arial" w:cs="Arial" w:eastAsia="Arial" w:hAnsi="Arial"/>
                <w:sz w:val="17"/>
                <w:szCs w:val="17"/>
                <w:color w:val="auto"/>
              </w:rPr>
              <w:t>Brazil</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Clarendon Parker Holdings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British Virgin Islands</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Bulgaria Team EOOD</w:t>
            </w:r>
          </w:p>
        </w:tc>
        <w:tc>
          <w:tcPr>
            <w:tcW w:w="2620" w:type="dxa"/>
            <w:vAlign w:val="bottom"/>
            <w:gridSpan w:val="3"/>
          </w:tcPr>
          <w:p>
            <w:pPr>
              <w:spacing w:after="0"/>
              <w:rPr>
                <w:sz w:val="20"/>
                <w:szCs w:val="20"/>
                <w:color w:val="auto"/>
              </w:rPr>
            </w:pPr>
            <w:r>
              <w:rPr>
                <w:rFonts w:ascii="Arial" w:cs="Arial" w:eastAsia="Arial" w:hAnsi="Arial"/>
                <w:sz w:val="17"/>
                <w:szCs w:val="17"/>
                <w:color w:val="auto"/>
              </w:rPr>
              <w:t>Bulgaria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Bulgaria OOD</w:t>
            </w:r>
          </w:p>
        </w:tc>
        <w:tc>
          <w:tcPr>
            <w:tcW w:w="2620" w:type="dxa"/>
            <w:vAlign w:val="bottom"/>
            <w:gridSpan w:val="3"/>
          </w:tcPr>
          <w:p>
            <w:pPr>
              <w:spacing w:after="0"/>
              <w:rPr>
                <w:sz w:val="20"/>
                <w:szCs w:val="20"/>
                <w:color w:val="auto"/>
              </w:rPr>
            </w:pPr>
            <w:r>
              <w:rPr>
                <w:rFonts w:ascii="Arial" w:cs="Arial" w:eastAsia="Arial" w:hAnsi="Arial"/>
                <w:sz w:val="17"/>
                <w:szCs w:val="17"/>
                <w:color w:val="auto"/>
              </w:rPr>
              <w:t>Bulgaria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Inc. / California Peninsula</w:t>
            </w:r>
          </w:p>
        </w:tc>
        <w:tc>
          <w:tcPr>
            <w:tcW w:w="2620" w:type="dxa"/>
            <w:vAlign w:val="bottom"/>
            <w:gridSpan w:val="3"/>
          </w:tcPr>
          <w:p>
            <w:pPr>
              <w:spacing w:after="0"/>
              <w:rPr>
                <w:sz w:val="20"/>
                <w:szCs w:val="20"/>
                <w:color w:val="auto"/>
              </w:rPr>
            </w:pPr>
            <w:r>
              <w:rPr>
                <w:rFonts w:ascii="Arial" w:cs="Arial" w:eastAsia="Arial" w:hAnsi="Arial"/>
                <w:sz w:val="17"/>
                <w:szCs w:val="17"/>
                <w:color w:val="auto"/>
              </w:rPr>
              <w:t>CA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Pure Solutions,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CA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Techno5,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Services Canada Limited</w:t>
            </w:r>
          </w:p>
        </w:tc>
        <w:tc>
          <w:tcPr>
            <w:tcW w:w="262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Canada</w:t>
            </w:r>
          </w:p>
        </w:tc>
        <w:tc>
          <w:tcPr>
            <w:tcW w:w="2620" w:type="dxa"/>
            <w:vAlign w:val="bottom"/>
            <w:gridSpan w:val="3"/>
          </w:tcPr>
          <w:p>
            <w:pPr>
              <w:spacing w:after="0"/>
              <w:rPr>
                <w:sz w:val="20"/>
                <w:szCs w:val="20"/>
                <w:color w:val="auto"/>
              </w:rPr>
            </w:pPr>
            <w:r>
              <w:rPr>
                <w:rFonts w:ascii="Arial" w:cs="Arial" w:eastAsia="Arial" w:hAnsi="Arial"/>
                <w:sz w:val="17"/>
                <w:szCs w:val="17"/>
                <w:color w:val="auto"/>
              </w:rPr>
              <w:t>Canada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Experis Management Consulting (Shanghai)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&amp; MIITEC Staffing Services (Beijing)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&amp; Reach Human Resource Services (Guangzhou)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&amp; Standard Human Resources (Shanghai)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&amp; Standard Labor Service (Beijing)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Business Consulting (Shanghai)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Caden (China)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Management China</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Xi'an Foreign Enterprise Service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Staffing Services (Shanghai) Co.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China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de Columbia Ltda.</w:t>
            </w:r>
          </w:p>
        </w:tc>
        <w:tc>
          <w:tcPr>
            <w:tcW w:w="2620" w:type="dxa"/>
            <w:vAlign w:val="bottom"/>
            <w:gridSpan w:val="3"/>
          </w:tcPr>
          <w:p>
            <w:pPr>
              <w:spacing w:after="0"/>
              <w:rPr>
                <w:sz w:val="20"/>
                <w:szCs w:val="20"/>
                <w:color w:val="auto"/>
              </w:rPr>
            </w:pPr>
            <w:r>
              <w:rPr>
                <w:rFonts w:ascii="Arial" w:cs="Arial" w:eastAsia="Arial" w:hAnsi="Arial"/>
                <w:sz w:val="17"/>
                <w:szCs w:val="17"/>
                <w:color w:val="auto"/>
              </w:rPr>
              <w:t>Colombia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Professional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Colombia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Costa Rica, S.A.</w:t>
            </w:r>
          </w:p>
        </w:tc>
        <w:tc>
          <w:tcPr>
            <w:tcW w:w="2620" w:type="dxa"/>
            <w:vAlign w:val="bottom"/>
            <w:gridSpan w:val="3"/>
          </w:tcPr>
          <w:p>
            <w:pPr>
              <w:spacing w:after="0"/>
              <w:rPr>
                <w:sz w:val="20"/>
                <w:szCs w:val="20"/>
                <w:color w:val="auto"/>
              </w:rPr>
            </w:pPr>
            <w:r>
              <w:rPr>
                <w:rFonts w:ascii="Arial" w:cs="Arial" w:eastAsia="Arial" w:hAnsi="Arial"/>
                <w:sz w:val="17"/>
                <w:szCs w:val="17"/>
                <w:color w:val="auto"/>
              </w:rPr>
              <w:t>Costa Rica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Professional Costa Rica, S.A.</w:t>
            </w:r>
          </w:p>
        </w:tc>
        <w:tc>
          <w:tcPr>
            <w:tcW w:w="2620" w:type="dxa"/>
            <w:vAlign w:val="bottom"/>
            <w:gridSpan w:val="3"/>
          </w:tcPr>
          <w:p>
            <w:pPr>
              <w:spacing w:after="0"/>
              <w:rPr>
                <w:sz w:val="20"/>
                <w:szCs w:val="20"/>
                <w:color w:val="auto"/>
              </w:rPr>
            </w:pPr>
            <w:r>
              <w:rPr>
                <w:rFonts w:ascii="Arial" w:cs="Arial" w:eastAsia="Arial" w:hAnsi="Arial"/>
                <w:sz w:val="17"/>
                <w:szCs w:val="17"/>
                <w:color w:val="auto"/>
              </w:rPr>
              <w:t>Costa Rica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DOO</w:t>
            </w:r>
          </w:p>
        </w:tc>
        <w:tc>
          <w:tcPr>
            <w:tcW w:w="2620" w:type="dxa"/>
            <w:vAlign w:val="bottom"/>
            <w:gridSpan w:val="3"/>
          </w:tcPr>
          <w:p>
            <w:pPr>
              <w:spacing w:after="0"/>
              <w:rPr>
                <w:sz w:val="20"/>
                <w:szCs w:val="20"/>
                <w:color w:val="auto"/>
              </w:rPr>
            </w:pPr>
            <w:r>
              <w:rPr>
                <w:rFonts w:ascii="Arial" w:cs="Arial" w:eastAsia="Arial" w:hAnsi="Arial"/>
                <w:sz w:val="17"/>
                <w:szCs w:val="17"/>
                <w:color w:val="auto"/>
              </w:rPr>
              <w:t>Croatia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Savjetovanje DOO</w:t>
            </w:r>
          </w:p>
        </w:tc>
        <w:tc>
          <w:tcPr>
            <w:tcW w:w="2620" w:type="dxa"/>
            <w:vAlign w:val="bottom"/>
            <w:gridSpan w:val="3"/>
          </w:tcPr>
          <w:p>
            <w:pPr>
              <w:spacing w:after="0"/>
              <w:rPr>
                <w:sz w:val="20"/>
                <w:szCs w:val="20"/>
                <w:color w:val="auto"/>
              </w:rPr>
            </w:pPr>
            <w:r>
              <w:rPr>
                <w:rFonts w:ascii="Arial" w:cs="Arial" w:eastAsia="Arial" w:hAnsi="Arial"/>
                <w:sz w:val="17"/>
                <w:szCs w:val="17"/>
                <w:color w:val="auto"/>
              </w:rPr>
              <w:t>Croatia</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ManpowerGroup Business Solutions Ltd.</w:t>
            </w:r>
          </w:p>
        </w:tc>
        <w:tc>
          <w:tcPr>
            <w:tcW w:w="2620" w:type="dxa"/>
            <w:vAlign w:val="bottom"/>
            <w:gridSpan w:val="3"/>
          </w:tcPr>
          <w:p>
            <w:pPr>
              <w:spacing w:after="0"/>
              <w:rPr>
                <w:sz w:val="20"/>
                <w:szCs w:val="20"/>
                <w:color w:val="auto"/>
              </w:rPr>
            </w:pPr>
            <w:r>
              <w:rPr>
                <w:rFonts w:ascii="Arial" w:cs="Arial" w:eastAsia="Arial" w:hAnsi="Arial"/>
                <w:sz w:val="17"/>
                <w:szCs w:val="17"/>
                <w:color w:val="auto"/>
              </w:rPr>
              <w:t>Cyprus</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Czech Republic</w:t>
            </w:r>
          </w:p>
        </w:tc>
        <w:tc>
          <w:tcPr>
            <w:tcW w:w="2620" w:type="dxa"/>
            <w:vAlign w:val="bottom"/>
            <w:gridSpan w:val="3"/>
          </w:tcPr>
          <w:p>
            <w:pPr>
              <w:spacing w:after="0"/>
              <w:rPr>
                <w:sz w:val="20"/>
                <w:szCs w:val="20"/>
                <w:color w:val="auto"/>
              </w:rPr>
            </w:pPr>
            <w:r>
              <w:rPr>
                <w:rFonts w:ascii="Arial" w:cs="Arial" w:eastAsia="Arial" w:hAnsi="Arial"/>
                <w:sz w:val="17"/>
                <w:szCs w:val="17"/>
                <w:color w:val="auto"/>
              </w:rPr>
              <w:t>Czech Republic</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ManpowerGroup s r.o.</w:t>
            </w:r>
          </w:p>
        </w:tc>
        <w:tc>
          <w:tcPr>
            <w:tcW w:w="2620" w:type="dxa"/>
            <w:vAlign w:val="bottom"/>
            <w:gridSpan w:val="3"/>
          </w:tcPr>
          <w:p>
            <w:pPr>
              <w:spacing w:after="0"/>
              <w:rPr>
                <w:sz w:val="20"/>
                <w:szCs w:val="20"/>
                <w:color w:val="auto"/>
              </w:rPr>
            </w:pPr>
            <w:r>
              <w:rPr>
                <w:rFonts w:ascii="Arial" w:cs="Arial" w:eastAsia="Arial" w:hAnsi="Arial"/>
                <w:sz w:val="17"/>
                <w:szCs w:val="17"/>
                <w:color w:val="auto"/>
              </w:rPr>
              <w:t>Czech Republic</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blueRADIAN Engineering,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CareerHarmony,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COMSYS Information Technology Services,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Experis IT Services US,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Econometrix,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Experis Finance US,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CIS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Finances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Franchises,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Holdings,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Manpower US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PFI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Plum Rhino Consulting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Right License Holding, Inc.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06"/>
        </w:trPr>
        <w:tc>
          <w:tcPr>
            <w:tcW w:w="8680" w:type="dxa"/>
            <w:vAlign w:val="bottom"/>
            <w:gridSpan w:val="2"/>
          </w:tcPr>
          <w:p>
            <w:pPr>
              <w:spacing w:after="0"/>
              <w:rPr>
                <w:sz w:val="20"/>
                <w:szCs w:val="20"/>
                <w:color w:val="auto"/>
              </w:rPr>
            </w:pPr>
            <w:r>
              <w:rPr>
                <w:rFonts w:ascii="Arial" w:cs="Arial" w:eastAsia="Arial" w:hAnsi="Arial"/>
                <w:sz w:val="17"/>
                <w:szCs w:val="17"/>
                <w:color w:val="auto"/>
              </w:rPr>
              <w:t>TAPFIN LLC</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r>
        <w:trPr>
          <w:trHeight w:val="217"/>
        </w:trPr>
        <w:tc>
          <w:tcPr>
            <w:tcW w:w="8680" w:type="dxa"/>
            <w:vAlign w:val="bottom"/>
            <w:gridSpan w:val="2"/>
          </w:tcPr>
          <w:p>
            <w:pPr>
              <w:spacing w:after="0"/>
              <w:rPr>
                <w:sz w:val="20"/>
                <w:szCs w:val="20"/>
                <w:color w:val="auto"/>
              </w:rPr>
            </w:pPr>
            <w:r>
              <w:rPr>
                <w:rFonts w:ascii="Arial" w:cs="Arial" w:eastAsia="Arial" w:hAnsi="Arial"/>
                <w:sz w:val="17"/>
                <w:szCs w:val="17"/>
                <w:color w:val="auto"/>
              </w:rPr>
              <w:t>USCADEN Corporation</w:t>
            </w:r>
          </w:p>
        </w:tc>
        <w:tc>
          <w:tcPr>
            <w:tcW w:w="2620" w:type="dxa"/>
            <w:vAlign w:val="bottom"/>
            <w:gridSpan w:val="3"/>
          </w:tcPr>
          <w:p>
            <w:pPr>
              <w:spacing w:after="0"/>
              <w:rPr>
                <w:sz w:val="20"/>
                <w:szCs w:val="20"/>
                <w:color w:val="auto"/>
              </w:rPr>
            </w:pPr>
            <w:r>
              <w:rPr>
                <w:rFonts w:ascii="Arial" w:cs="Arial" w:eastAsia="Arial" w:hAnsi="Arial"/>
                <w:sz w:val="17"/>
                <w:szCs w:val="17"/>
                <w:color w:val="auto"/>
              </w:rPr>
              <w:t>DE</w:t>
            </w:r>
          </w:p>
        </w:tc>
      </w:tr>
    </w:tbl>
    <w:p>
      <w:pPr>
        <w:sectPr>
          <w:pgSz w:w="11900" w:h="16909" w:orient="portrait"/>
          <w:cols w:equalWidth="0" w:num="1">
            <w:col w:w="11300"/>
          </w:cols>
          <w:pgMar w:left="360" w:top="121" w:right="239" w:bottom="0" w:gutter="0" w:footer="0" w:header="0"/>
        </w:sectPr>
      </w:pPr>
    </w:p>
    <w:bookmarkStart w:id="128" w:name="page129"/>
    <w:bookmarkEnd w:id="128"/>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Experis A/S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Manpower Europe Holdings, Aps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Denmark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Nordic Holding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Republica Dominicana,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El Salvador,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OÜ</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OY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OY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Inclusive OY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Contact Center OY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Finland OY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Aitika Telecom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Architech Information System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Arkes Informatique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Damilo Consulting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Damilo Information Technology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Damilo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EABI Consulting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Elan I.T. Resource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Executive 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Executive Lyon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Finatel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Homecom Institut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Leader Conseil Informatique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Egalite Des Chances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France Holding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France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Nouvelles Competences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France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Ovialis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Proservia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Supplay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Syfadis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Tapfin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Techno 5 France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Timarance Sas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AviationPower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AviationStaff Management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AviationworX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Bankpower GmbH Personaldienstleistungen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Elan IT Services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Jefferson Wells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Beteiligungsgesellschaft 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Business Solutions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Deutschland GmbH</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GmbH &amp; Co. KG Personaldienstleistungen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Experis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Vivento Interim Services GmbH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Project Solutions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Guatemala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Professional Guatemala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Honduras,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Jefferson Wells HK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Services (Hong Kong)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Consultants Ltd (Hong Kong)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Hong Kong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Standard Management Consulting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Business Solutions Kft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Munkaero Szervezesi KFT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Complete Business Services of Illinois,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RMC OF Illinois,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Transpersonnel,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Comsys IT India,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IT Private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Solutions Pvt.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Services India Pvt.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India Private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(Ireland) Group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(Ireland)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PHI Transition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Transition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Adam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Adi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Career Harmony,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Denmark</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Denmark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Denmark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Denmark</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Dominican Rebublic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El Salvador</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Estonia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Finland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Greece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Greece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Guatemala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Guatemala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Honduras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Hong Kong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Hungary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Hungary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Ireland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ectPr>
          <w:pgSz w:w="11900" w:h="16846" w:orient="portrait"/>
          <w:cols w:equalWidth="0" w:num="2">
            <w:col w:w="7960" w:space="720"/>
            <w:col w:w="1440"/>
          </w:cols>
          <w:pgMar w:left="360" w:top="127" w:right="1419" w:bottom="0" w:gutter="0" w:footer="0" w:header="0"/>
        </w:sectPr>
      </w:pPr>
    </w:p>
    <w:bookmarkStart w:id="129" w:name="page130"/>
    <w:bookmarkEnd w:id="129"/>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Career Management of Housing for Ederly Ltd.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Experis BI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I.T.S.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Software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M.F.S. Manpower Facility Services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M.P.H. Holdings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Care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Israel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Miluot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Israel Holdings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MGS Language Services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MNPM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Nativ 2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Telepower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Unison Engineering Projects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Elan Solutions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Jefferson Wells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JTeck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Formazione Spa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Italia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Consultants (Italy)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Human Business Associates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JobSearchpower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JobSupportpower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Legal Futures Japan K.K.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Co.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Motus Godokaisha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Kaz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office of Manpower CIS LLC in Kazakhstan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Manpower Korea,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Service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Korea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Representative office of UAB "Manpower Lit" in Latvia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Lit UAB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Elan IT Resource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Business Solutions Luxembourg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Luxembourg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Luxembourg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Services (Macau)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Agensi Pekerjaan Manpower Recruitment Sdn Bhd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Business Solutions (M) Sdn Bhd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Staffing Services (Malaysia) Sdn Bhd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(Malaysia) Sdn Bhd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Consultants International Pty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Techpower Consulting Sdn Bhd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Antilles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Agropower,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Factoria Y Manufactura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Intelecto Tecnologico,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Corporativo,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Industrial, S. de R.L.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Mensajeria,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Professional,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Nurse.Co de Mexico,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Payment Services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Tecnologia Y Manufactura,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Mexico S.A. de C.V.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Monaco SAM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Management Business Services Maroc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Societe Marocaine De Travail Temporaire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Direkt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Management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Netherlands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Solutions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Special Staffing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Nederland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Ultraflex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Ultrasearch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Nederland B.V.</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Nouvelle Caledonie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Recrutement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Services (New Zealand)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Israel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Kazakhstan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Korea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Korea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Korea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Latvia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Lithuania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Luxembourg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Macau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Malaysia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Martinique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Mexico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Monaco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Morocco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Morocco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New Caledonia</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New Caledonia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New Zealand</w:t>
      </w:r>
    </w:p>
    <w:p>
      <w:pPr>
        <w:sectPr>
          <w:pgSz w:w="11900" w:h="16847" w:orient="portrait"/>
          <w:cols w:equalWidth="0" w:num="2">
            <w:col w:w="7960" w:space="720"/>
            <w:col w:w="1419"/>
          </w:cols>
          <w:pgMar w:left="360" w:top="127" w:right="1440" w:bottom="0" w:gutter="0" w:footer="0" w:header="0"/>
        </w:sectPr>
      </w:pPr>
    </w:p>
    <w:bookmarkStart w:id="130" w:name="page131"/>
    <w:bookmarkEnd w:id="130"/>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Consultants (OC) Pty. Ltd (NZ)</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Manpower Nicaruagua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Staffing Services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Framnaes Installajon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Staffing Services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Norway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Workshop Bemanning og Kompetanse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Workshop Holding AS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Incorporated of New York</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TRI County Business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Panama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Temporales Panama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Staffing Services Panama,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Paraguay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Peru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Professional Services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Peru S.A.C.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Outsourcing Services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Elan IT Resource Sp. z 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HR Hunters Sp.z.o.o.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Polska Sp. z 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Transactions Sp. z 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MP Management Sp.z.o.o.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MP Services Sp. z 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SP. Zo.o.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Lda.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Empresa de Trabalho Temporario,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LDA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Portugal – SGPS, 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Ocean Indien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SC Manpower Romania SRL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CIS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Clarendon Parker Arabia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Business Solutions d.o.o.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LLC Belgrade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Professional Singapore Pte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Staffing Services (Singapore) Pte.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Singapore Pte.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WDC Consulting Singapore Pte.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Slovakia SRO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d.o.o.</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SA (Pty)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ByManpower, S.L.U.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ManpowerGroup S.L.U.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S.L.U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Team E.T.T., S.A.U.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Spain, S.L.U.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Elan IT Resources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IT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Solutions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EL &amp; Tele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HälsoPartner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Student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Telge Jobbstart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Nordic Talent Professionals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Sweden AB</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AG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M.S.A.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Schweiz AG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Switzerland AG</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Services (Taiwan)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Taiwan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HR Power Solution Co. Ltd</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Manpower Professional and Executive Recruitment Co., Ltd.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Skillpower Services (Thailand) Co.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Business Services Tunisie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Tunisie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Tunisie International Sarl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Insan Kaynaklari Limited Sirketi</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Manpower Secme ve Yerlestirme Hizmetleri Limited Sirketi</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HR Staffing,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New Zealand</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Nicaragua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Norway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OH</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Panama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Panama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Panama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Paraguay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Peru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Peru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Peru</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Philippines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Portugal</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Reunion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Romania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Russia</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Serbia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Serbia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Slovakia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Slovenia</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Taiwan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Taiwan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Thailand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Thailand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Thailand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Tunisia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Tunisia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Tunisia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Turkey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Turkey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TX</w:t>
      </w:r>
    </w:p>
    <w:p>
      <w:pPr>
        <w:sectPr>
          <w:pgSz w:w="11900" w:h="16847" w:orient="portrait"/>
          <w:cols w:equalWidth="0" w:num="2">
            <w:col w:w="7960" w:space="720"/>
            <w:col w:w="1419"/>
          </w:cols>
          <w:pgMar w:left="360" w:top="127" w:right="1440" w:bottom="0" w:gutter="0" w:footer="0" w:header="0"/>
        </w:sectPr>
      </w:pPr>
    </w:p>
    <w:bookmarkStart w:id="131" w:name="page132"/>
    <w:bookmarkEnd w:id="131"/>
    <w:p>
      <w:pPr>
        <w:spacing w:after="0"/>
        <w:rPr>
          <w:sz w:val="20"/>
          <w:szCs w:val="20"/>
          <w:color w:val="auto"/>
        </w:rPr>
      </w:pPr>
      <w:r>
        <w:rPr>
          <w:rFonts w:ascii="Arial" w:cs="Arial" w:eastAsia="Arial" w:hAnsi="Arial"/>
          <w:sz w:val="17"/>
          <w:szCs w:val="17"/>
          <w:color w:val="auto"/>
        </w:rPr>
        <w:t>Manpower Middle East FZ-LLC</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Manpower Middle East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Ukraine LLC</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Representative office of Manpower CIS LLC in Ukraine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Bafin Holdings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Brook Street (UK)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Brook Street Bureau PLC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BS Project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Challoners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Comsys VMS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Jefferson Wells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Juice Resource Solutions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Group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Resource Support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Finance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Contract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Holdings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IT Services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Nominees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Public Limited Company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Services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UK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Nicholas Andrews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Corecare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RMC EMEA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SJB Corporate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SJB Services UK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Temp Finance &amp; Accounting Service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The Empower Group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777 Recruitment Limited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Aris Sociedad Anonima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Public Sector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de Venezuela C.A.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Empresa de Trabajo Temporal, C.A.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Servicios Alleray, C.A.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Vietnam Company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Right Management Vietnam Company Ltd.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Nominees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of Indiana Limited Partnership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of Texas Limited Partnership</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Experis US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 Texas Holdings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Resource Consulting Group,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Signature Graphics of Milwaukee, LLC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US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Global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ManpowerGroup Mexico Holdings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UAE</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UAE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Ukraine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Ukraine</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Uruguay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Venezuela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Venezuela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Venezuela</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Vietnam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Vietnam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WI</w:t>
      </w:r>
    </w:p>
    <w:p>
      <w:pPr>
        <w:sectPr>
          <w:pgSz w:w="11900" w:h="16838" w:orient="portrait"/>
          <w:cols w:equalWidth="0" w:num="2">
            <w:col w:w="7960" w:space="720"/>
            <w:col w:w="1419"/>
          </w:cols>
          <w:pgMar w:left="360" w:top="127" w:right="1440"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8"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We consent to the incorporation by reference in Registration Statement Nos. 33-40441, 33-55264, 33-84736, 333-1040, 333-31021, 333-82459, 333-66656, 333-105205, 333-112164, 333-126703, 333-135000, 333-161765, and 333-174305 on Form S-8 and Registration Nos. 333-650, 33-95896, and 333-87554 on Form S-4 of our reports dated February 21, 2014, relating to the consolidated financial statements and consolidated financial statement schedule of ManpowerGroup Inc. and subsidiaries (the “Company”), and the effectiveness of the Company’s internal control over financial reporting, appearing in or incorporated by reference in the Annual Report on Form 10-K of the Company for the year ended December 31, 2013.</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Milwaukee, Wisconsin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21, 2014</w:t>
      </w:r>
    </w:p>
    <w:p>
      <w:pPr>
        <w:sectPr>
          <w:pgSz w:w="11900" w:h="16838" w:orient="portrait"/>
          <w:cols w:equalWidth="0" w:num="1">
            <w:col w:w="11420"/>
          </w:cols>
          <w:pgMar w:left="240" w:top="353"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b w:val="1"/>
          <w:bCs w:val="1"/>
          <w:color w:val="auto"/>
        </w:rPr>
        <w:t>Exhibit 24</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 FOR ANNUAL REPORT ON FORM 10-K</w:t>
      </w:r>
    </w:p>
    <w:p>
      <w:pPr>
        <w:spacing w:after="0" w:line="391" w:lineRule="exact"/>
        <w:rPr>
          <w:sz w:val="20"/>
          <w:szCs w:val="20"/>
          <w:color w:val="auto"/>
        </w:rPr>
      </w:pPr>
    </w:p>
    <w:p>
      <w:pPr>
        <w:ind w:right="80" w:firstLine="620"/>
        <w:spacing w:after="0" w:line="241" w:lineRule="auto"/>
        <w:rPr>
          <w:sz w:val="20"/>
          <w:szCs w:val="20"/>
          <w:color w:val="auto"/>
        </w:rPr>
      </w:pPr>
      <w:r>
        <w:rPr>
          <w:rFonts w:ascii="Arial" w:cs="Arial" w:eastAsia="Arial" w:hAnsi="Arial"/>
          <w:sz w:val="17"/>
          <w:szCs w:val="17"/>
          <w:color w:val="auto"/>
        </w:rPr>
        <w:t>Each of the undersigned directors of ManpowerGroup Inc. (the “Company”) hereby constitutes and appoints Jeffrey A. Joerres, Michael J. Van Handel and Richard Buchband, and each of them, the undersigned’s true and lawful attorney-in-fact and agent, with full power of substitution and resubstitution, for the undersigned and in the undersigned’s name, place and stead to sign for the undersigned and in the undersigned’s name in the capacity as a director of the Company the Annual Report on Form 10-K for the Company’s fiscal year ended December 31, 2013,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 Any previous power of attorneys with respect to the subject matter hereof are revoked.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547370</wp:posOffset>
            </wp:positionV>
            <wp:extent cx="725741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ind w:firstLine="620"/>
        <w:spacing w:after="0" w:line="264" w:lineRule="auto"/>
        <w:rPr>
          <w:sz w:val="20"/>
          <w:szCs w:val="20"/>
          <w:color w:val="auto"/>
        </w:rPr>
      </w:pPr>
      <w:r>
        <w:rPr>
          <w:rFonts w:ascii="Arial" w:cs="Arial" w:eastAsia="Arial" w:hAnsi="Arial"/>
          <w:sz w:val="17"/>
          <w:szCs w:val="17"/>
          <w:color w:val="auto"/>
        </w:rPr>
        <w:t>IN WITNESS WHEREOF, the undersigned have each executed this Power of Attorney for Annual Report on Form 10-K, on one or more counterparts, as of the 20th day of January, 2014.</w:t>
      </w:r>
    </w:p>
    <w:p>
      <w:pPr>
        <w:sectPr>
          <w:pgSz w:w="11900" w:h="16838" w:orient="portrait"/>
          <w:cols w:equalWidth="0" w:num="1">
            <w:col w:w="11400"/>
          </w:cols>
          <w:pgMar w:left="240" w:top="708" w:right="259" w:bottom="1440" w:gutter="0" w:footer="0" w:header="0"/>
        </w:sectPr>
      </w:pPr>
    </w:p>
    <w:p>
      <w:pPr>
        <w:spacing w:after="0" w:line="34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6985</wp:posOffset>
            </wp:positionV>
            <wp:extent cx="1450340"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Marc J. Bolland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6985</wp:posOffset>
            </wp:positionV>
            <wp:extent cx="1450340" cy="165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Gina R. Boswell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29210</wp:posOffset>
            </wp:positionV>
            <wp:extent cx="1450340" cy="165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40" w:lineRule="exact"/>
        <w:rPr>
          <w:sz w:val="20"/>
          <w:szCs w:val="20"/>
          <w:color w:val="auto"/>
        </w:rPr>
      </w:pPr>
    </w:p>
    <w:p>
      <w:pPr>
        <w:ind w:left="2340"/>
        <w:spacing w:after="0"/>
        <w:rPr>
          <w:sz w:val="20"/>
          <w:szCs w:val="20"/>
          <w:color w:val="auto"/>
        </w:rPr>
      </w:pPr>
      <w:r>
        <w:rPr>
          <w:rFonts w:ascii="Arial" w:cs="Arial" w:eastAsia="Arial" w:hAnsi="Arial"/>
          <w:sz w:val="17"/>
          <w:szCs w:val="17"/>
          <w:color w:val="auto"/>
        </w:rPr>
        <w:t>Cari M. Dominguez</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6985</wp:posOffset>
            </wp:positionV>
            <wp:extent cx="1450340" cy="165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4"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William Downe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 Jack M. Greenberg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13970</wp:posOffset>
            </wp:positionV>
            <wp:extent cx="1450340" cy="165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15"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Jack M. Greenberg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/s/ Terry A. Hueneke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14605</wp:posOffset>
            </wp:positionV>
            <wp:extent cx="1450340"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17"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Terry A. Hueneke</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450340" cy="165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1450340" cy="165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Roberto Mendoza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450340"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Ulice Payne, Jr.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1450340"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Elizabeth P. Sartain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450340" cy="165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John R. Walter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450340"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color w:val="auto"/>
        </w:rPr>
        <w:t>Edward J. Zore</w:t>
      </w:r>
    </w:p>
    <w:p>
      <w:pPr>
        <w:spacing w:after="0" w:line="200" w:lineRule="exact"/>
        <w:rPr>
          <w:sz w:val="20"/>
          <w:szCs w:val="20"/>
          <w:color w:val="auto"/>
        </w:rPr>
      </w:pPr>
    </w:p>
    <w:p>
      <w:pPr>
        <w:sectPr>
          <w:pgSz w:w="11900" w:h="16838" w:orient="portrait"/>
          <w:cols w:equalWidth="0" w:num="2">
            <w:col w:w="6140" w:space="720"/>
            <w:col w:w="4540"/>
          </w:cols>
          <w:pgMar w:left="240" w:top="708" w:right="259" w:bottom="1440" w:gutter="0" w:footer="0" w:header="0"/>
          <w:type w:val="continuous"/>
        </w:sectPr>
      </w:pPr>
    </w:p>
    <w:p>
      <w:pPr>
        <w:spacing w:after="0" w:line="200" w:lineRule="exact"/>
        <w:rPr>
          <w:sz w:val="20"/>
          <w:szCs w:val="20"/>
          <w:color w:val="auto"/>
        </w:rPr>
      </w:pPr>
    </w:p>
    <w:p>
      <w:pPr>
        <w:spacing w:after="0" w:line="230"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1452880</wp:posOffset>
            </wp:positionH>
            <wp:positionV relativeFrom="paragraph">
              <wp:posOffset>22225</wp:posOffset>
            </wp:positionV>
            <wp:extent cx="1450340" cy="165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50340" cy="16510"/>
                    </a:xfrm>
                    <a:prstGeom prst="rect">
                      <a:avLst/>
                    </a:prstGeom>
                    <a:noFill/>
                  </pic:spPr>
                </pic:pic>
              </a:graphicData>
            </a:graphic>
          </wp:anchor>
        </w:drawing>
      </w:r>
    </w:p>
    <w:p>
      <w:pPr>
        <w:spacing w:after="0" w:line="28"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Patricia A. Hemingway Hall</w:t>
      </w:r>
    </w:p>
    <w:p>
      <w:pPr>
        <w:sectPr>
          <w:pgSz w:w="11900" w:h="16838" w:orient="portrait"/>
          <w:cols w:equalWidth="0" w:num="1">
            <w:col w:w="11400"/>
          </w:cols>
          <w:pgMar w:left="240" w:top="708" w:right="259"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7"/>
          <w:szCs w:val="17"/>
          <w:b w:val="1"/>
          <w:bCs w:val="1"/>
          <w:color w:val="auto"/>
        </w:rPr>
        <w:t>Exhibit 31.1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Jeffrey A. Joerres, Chairman and Chief Executive Officer of ManpowerGroup Inc., certify that:</w:t>
      </w:r>
    </w:p>
    <w:p>
      <w:pPr>
        <w:spacing w:after="0" w:line="192" w:lineRule="exact"/>
        <w:rPr>
          <w:sz w:val="20"/>
          <w:szCs w:val="20"/>
          <w:color w:val="auto"/>
        </w:rPr>
      </w:pPr>
    </w:p>
    <w:p>
      <w:pPr>
        <w:ind w:left="880" w:hanging="464"/>
        <w:spacing w:after="0"/>
        <w:tabs>
          <w:tab w:leader="none" w:pos="8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ManpowerGroup Inc.;</w:t>
      </w:r>
    </w:p>
    <w:p>
      <w:pPr>
        <w:spacing w:after="0" w:line="191" w:lineRule="exact"/>
        <w:rPr>
          <w:rFonts w:ascii="Arial" w:cs="Arial" w:eastAsia="Arial" w:hAnsi="Arial"/>
          <w:sz w:val="17"/>
          <w:szCs w:val="17"/>
          <w:color w:val="auto"/>
        </w:rPr>
      </w:pPr>
    </w:p>
    <w:p>
      <w:pPr>
        <w:ind w:left="880" w:right="60" w:hanging="464"/>
        <w:spacing w:after="0" w:line="331" w:lineRule="auto"/>
        <w:tabs>
          <w:tab w:leader="none" w:pos="880" w:val="left"/>
        </w:tabs>
        <w:numPr>
          <w:ilvl w:val="0"/>
          <w:numId w:val="1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ind w:left="880" w:right="500" w:hanging="464"/>
        <w:spacing w:after="0" w:line="295" w:lineRule="auto"/>
        <w:tabs>
          <w:tab w:leader="none" w:pos="8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880" w:right="120" w:hanging="464"/>
        <w:spacing w:after="0" w:line="251" w:lineRule="auto"/>
        <w:tabs>
          <w:tab w:leader="none" w:pos="8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7"/>
          <w:szCs w:val="17"/>
          <w:color w:val="auto"/>
        </w:rPr>
      </w:pPr>
    </w:p>
    <w:p>
      <w:pPr>
        <w:ind w:left="1840" w:hanging="469"/>
        <w:spacing w:after="0" w:line="251" w:lineRule="auto"/>
        <w:tabs>
          <w:tab w:leader="none" w:pos="18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7"/>
          <w:szCs w:val="17"/>
          <w:color w:val="auto"/>
        </w:rPr>
      </w:pPr>
    </w:p>
    <w:p>
      <w:pPr>
        <w:ind w:left="1840" w:right="120" w:hanging="469"/>
        <w:spacing w:after="0" w:line="251" w:lineRule="auto"/>
        <w:tabs>
          <w:tab w:leader="none" w:pos="18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7"/>
          <w:szCs w:val="17"/>
          <w:color w:val="auto"/>
        </w:rPr>
      </w:pPr>
    </w:p>
    <w:p>
      <w:pPr>
        <w:jc w:val="both"/>
        <w:ind w:left="1840" w:right="280" w:hanging="469"/>
        <w:spacing w:after="0" w:line="331" w:lineRule="auto"/>
        <w:tabs>
          <w:tab w:leader="none" w:pos="184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5"/>
          <w:szCs w:val="15"/>
          <w:color w:val="auto"/>
        </w:rPr>
      </w:pPr>
    </w:p>
    <w:p>
      <w:pPr>
        <w:ind w:left="1840" w:hanging="469"/>
        <w:spacing w:after="0" w:line="251" w:lineRule="auto"/>
        <w:tabs>
          <w:tab w:leader="none" w:pos="18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7"/>
          <w:szCs w:val="17"/>
          <w:color w:val="auto"/>
        </w:rPr>
      </w:pPr>
    </w:p>
    <w:p>
      <w:pPr>
        <w:ind w:left="880" w:right="240" w:hanging="464"/>
        <w:spacing w:after="0" w:line="295" w:lineRule="auto"/>
        <w:tabs>
          <w:tab w:leader="none" w:pos="8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840" w:right="520" w:hanging="469"/>
        <w:spacing w:after="0" w:line="331" w:lineRule="auto"/>
        <w:tabs>
          <w:tab w:leader="none" w:pos="1840" w:val="left"/>
        </w:tabs>
        <w:numPr>
          <w:ilvl w:val="1"/>
          <w:numId w:val="12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840" w:right="220" w:hanging="469"/>
        <w:spacing w:after="0" w:line="264" w:lineRule="auto"/>
        <w:tabs>
          <w:tab w:leader="none" w:pos="18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21, 2014</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2253615" cy="165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253615" cy="1651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Chairman, Chief Executive Officer</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b w:val="1"/>
          <w:bCs w:val="1"/>
          <w:color w:val="auto"/>
        </w:rPr>
        <w:t>Exhibit 31.2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I, Michael J. Van Handel, Executive Vice President and Chief Financial Officer of ManpowerGroup Inc., certify that:</w:t>
      </w:r>
    </w:p>
    <w:p>
      <w:pPr>
        <w:spacing w:after="0" w:line="192" w:lineRule="exact"/>
        <w:rPr>
          <w:sz w:val="20"/>
          <w:szCs w:val="20"/>
          <w:color w:val="auto"/>
        </w:rPr>
      </w:pPr>
    </w:p>
    <w:p>
      <w:pPr>
        <w:ind w:left="880" w:hanging="464"/>
        <w:spacing w:after="0"/>
        <w:tabs>
          <w:tab w:leader="none" w:pos="8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ManpowerGroup Inc.;</w:t>
      </w:r>
    </w:p>
    <w:p>
      <w:pPr>
        <w:spacing w:after="0" w:line="191" w:lineRule="exact"/>
        <w:rPr>
          <w:rFonts w:ascii="Arial" w:cs="Arial" w:eastAsia="Arial" w:hAnsi="Arial"/>
          <w:sz w:val="17"/>
          <w:szCs w:val="17"/>
          <w:color w:val="auto"/>
        </w:rPr>
      </w:pPr>
    </w:p>
    <w:p>
      <w:pPr>
        <w:ind w:left="880" w:right="60" w:hanging="464"/>
        <w:spacing w:after="0" w:line="331" w:lineRule="auto"/>
        <w:tabs>
          <w:tab w:leader="none" w:pos="88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4" w:lineRule="exact"/>
        <w:rPr>
          <w:rFonts w:ascii="Arial" w:cs="Arial" w:eastAsia="Arial" w:hAnsi="Arial"/>
          <w:sz w:val="15"/>
          <w:szCs w:val="15"/>
          <w:color w:val="auto"/>
        </w:rPr>
      </w:pPr>
    </w:p>
    <w:p>
      <w:pPr>
        <w:ind w:left="880" w:right="500" w:hanging="464"/>
        <w:spacing w:after="0" w:line="295" w:lineRule="auto"/>
        <w:tabs>
          <w:tab w:leader="none" w:pos="8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left="880" w:right="120" w:hanging="464"/>
        <w:spacing w:after="0" w:line="251" w:lineRule="auto"/>
        <w:tabs>
          <w:tab w:leader="none" w:pos="8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7"/>
          <w:szCs w:val="17"/>
          <w:color w:val="auto"/>
        </w:rPr>
      </w:pPr>
    </w:p>
    <w:p>
      <w:pPr>
        <w:ind w:left="1840" w:hanging="469"/>
        <w:spacing w:after="0" w:line="251" w:lineRule="auto"/>
        <w:tabs>
          <w:tab w:leader="none" w:pos="18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7"/>
          <w:szCs w:val="17"/>
          <w:color w:val="auto"/>
        </w:rPr>
      </w:pPr>
    </w:p>
    <w:p>
      <w:pPr>
        <w:ind w:left="1840" w:right="120" w:hanging="469"/>
        <w:spacing w:after="0" w:line="251" w:lineRule="auto"/>
        <w:tabs>
          <w:tab w:leader="none" w:pos="18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7"/>
          <w:szCs w:val="17"/>
          <w:color w:val="auto"/>
        </w:rPr>
      </w:pPr>
    </w:p>
    <w:p>
      <w:pPr>
        <w:jc w:val="both"/>
        <w:ind w:left="1840" w:right="280" w:hanging="469"/>
        <w:spacing w:after="0" w:line="331" w:lineRule="auto"/>
        <w:tabs>
          <w:tab w:leader="none" w:pos="184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4" w:lineRule="exact"/>
        <w:rPr>
          <w:rFonts w:ascii="Arial" w:cs="Arial" w:eastAsia="Arial" w:hAnsi="Arial"/>
          <w:sz w:val="15"/>
          <w:szCs w:val="15"/>
          <w:color w:val="auto"/>
        </w:rPr>
      </w:pPr>
    </w:p>
    <w:p>
      <w:pPr>
        <w:ind w:left="1840" w:hanging="469"/>
        <w:spacing w:after="0" w:line="251" w:lineRule="auto"/>
        <w:tabs>
          <w:tab w:leader="none" w:pos="18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7"/>
          <w:szCs w:val="17"/>
          <w:color w:val="auto"/>
        </w:rPr>
      </w:pPr>
    </w:p>
    <w:p>
      <w:pPr>
        <w:ind w:left="880" w:right="240" w:hanging="464"/>
        <w:spacing w:after="0" w:line="295" w:lineRule="auto"/>
        <w:tabs>
          <w:tab w:leader="none" w:pos="8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left="1840" w:right="520" w:hanging="469"/>
        <w:spacing w:after="0" w:line="331" w:lineRule="auto"/>
        <w:tabs>
          <w:tab w:leader="none" w:pos="1840" w:val="left"/>
        </w:tabs>
        <w:numPr>
          <w:ilvl w:val="1"/>
          <w:numId w:val="12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840" w:right="220" w:hanging="469"/>
        <w:spacing w:after="0" w:line="264" w:lineRule="auto"/>
        <w:tabs>
          <w:tab w:leader="none" w:pos="184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21, 2014</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958340" cy="165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58340"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Chief Financial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Officer</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32.1</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Pursuant to ss. 906 of the Sarbanes-Oxley Act of 2002, 18 U.S.C. ss. 1350, the undersigned officer of ManpowerGroup Inc. (the “Company”), hereby certifies that to his knowledge:</w:t>
      </w:r>
    </w:p>
    <w:p>
      <w:pPr>
        <w:spacing w:after="0" w:line="151" w:lineRule="exact"/>
        <w:rPr>
          <w:sz w:val="20"/>
          <w:szCs w:val="20"/>
          <w:color w:val="auto"/>
        </w:rPr>
      </w:pPr>
    </w:p>
    <w:p>
      <w:pPr>
        <w:ind w:left="880" w:right="180" w:hanging="464"/>
        <w:spacing w:after="0" w:line="264" w:lineRule="auto"/>
        <w:tabs>
          <w:tab w:leader="none" w:pos="8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2013 fully complies with the requirements of Section 13(a) or 15(d), as applicable, of the Securities Exchange Act of 1934, and</w:t>
      </w:r>
    </w:p>
    <w:p>
      <w:pPr>
        <w:spacing w:after="0" w:line="150" w:lineRule="exact"/>
        <w:rPr>
          <w:rFonts w:ascii="Arial" w:cs="Arial" w:eastAsia="Arial" w:hAnsi="Arial"/>
          <w:sz w:val="17"/>
          <w:szCs w:val="17"/>
          <w:color w:val="auto"/>
        </w:rPr>
      </w:pPr>
    </w:p>
    <w:p>
      <w:pPr>
        <w:ind w:left="880" w:hanging="464"/>
        <w:spacing w:after="0"/>
        <w:tabs>
          <w:tab w:leader="none" w:pos="8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21, 2014</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032635" cy="165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032635"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Jeffrey A. Joerres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Chairman, Chief Executive Officer</w:t>
      </w:r>
    </w:p>
    <w:p>
      <w:pPr>
        <w:spacing w:after="0" w:line="194"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i w:val="1"/>
          <w:iCs w:val="1"/>
          <w:color w:val="auto"/>
        </w:rPr>
        <w:t>This certification accompanies this Annual Report on Form 10-K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b w:val="1"/>
          <w:bCs w:val="1"/>
          <w:color w:val="auto"/>
        </w:rPr>
        <w:t>Exhibit 32.2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w:t>
      </w:r>
    </w:p>
    <w:p>
      <w:pPr>
        <w:spacing w:after="0" w:line="19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Pursuant to ss. 906 of the Sarbanes-Oxley Act of 2002, 18 U.S.C. ss. 1350, the undersigned officer of ManpowerGroup Inc. (the “Company”), hereby certifies that to his knowledge:</w:t>
      </w:r>
    </w:p>
    <w:p>
      <w:pPr>
        <w:spacing w:after="0" w:line="151" w:lineRule="exact"/>
        <w:rPr>
          <w:sz w:val="20"/>
          <w:szCs w:val="20"/>
          <w:color w:val="auto"/>
        </w:rPr>
      </w:pPr>
    </w:p>
    <w:p>
      <w:pPr>
        <w:ind w:left="880" w:right="180" w:hanging="464"/>
        <w:spacing w:after="0" w:line="264" w:lineRule="auto"/>
        <w:tabs>
          <w:tab w:leader="none" w:pos="880"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the Company’s Annual Report on Form 10-K for the year ended December 31, 2013 fully complies with the requirements of Section 13(a) or 15(d), as applicable, of the Securities Exchange Act of 1934, and</w:t>
      </w:r>
    </w:p>
    <w:p>
      <w:pPr>
        <w:spacing w:after="0" w:line="150" w:lineRule="exact"/>
        <w:rPr>
          <w:rFonts w:ascii="Arial" w:cs="Arial" w:eastAsia="Arial" w:hAnsi="Arial"/>
          <w:sz w:val="17"/>
          <w:szCs w:val="17"/>
          <w:color w:val="auto"/>
        </w:rPr>
      </w:pPr>
    </w:p>
    <w:p>
      <w:pPr>
        <w:ind w:left="880" w:hanging="464"/>
        <w:spacing w:after="0"/>
        <w:tabs>
          <w:tab w:leader="none" w:pos="8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21, 2014</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17995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179955" cy="1651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Michael J. Van Handel</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Chief Financial Officer</w:t>
      </w:r>
    </w:p>
    <w:p>
      <w:pPr>
        <w:spacing w:after="0" w:line="194"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i w:val="1"/>
          <w:iCs w:val="1"/>
          <w:color w:val="auto"/>
        </w:rPr>
        <w:t>This certification accompanies this Annual Report on Form 10-K pursuant to Section 906 of the Sarbanes-Oxley Act of 2002 and shall not be deemed filed by the Company for purposes of the Securities Exchange Act of 1934.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lvl w:ilvl="1">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1)"/>
      <w:numFmt w:val="lowerLetter"/>
      <w:start w:val="1"/>
    </w:lvl>
  </w:abstractNum>
  <w:abstractNum w:abstractNumId="14">
    <w:nsid w:val="799D0247"/>
    <w:multiLevelType w:val="hybridMultilevel"/>
    <w:lvl w:ilvl="0">
      <w:lvlJc w:val="left"/>
      <w:lvlText w:val="(%1)"/>
      <w:numFmt w:val="decimal"/>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1)"/>
      <w:numFmt w:val="lowerLetter"/>
      <w:start w:val="1"/>
    </w:lvl>
  </w:abstractNum>
  <w:abstractNum w:abstractNumId="17">
    <w:nsid w:val="168E121F"/>
    <w:multiLevelType w:val="hybridMultilevel"/>
    <w:lvl w:ilvl="0">
      <w:lvlJc w:val="left"/>
      <w:lvlText w:val="%1"/>
      <w:numFmt w:val="decimal"/>
      <w:start w:val="13"/>
    </w:lvl>
  </w:abstractNum>
  <w:abstractNum w:abstractNumId="18">
    <w:nsid w:val="1EBA5D23"/>
    <w:multiLevelType w:val="hybridMultilevel"/>
    <w:lvl w:ilvl="0">
      <w:lvlJc w:val="left"/>
      <w:lvlText w:val="%1"/>
      <w:numFmt w:val="decimal"/>
      <w:start w:val="10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
    <w:nsid w:val="51D9C564"/>
    <w:multiLevelType w:val="hybridMultilevel"/>
    <w:lvl w:ilvl="0">
      <w:lvlJc w:val="left"/>
      <w:lvlText w:val="%1."/>
      <w:numFmt w:val="decimal"/>
      <w:start w:val="7"/>
    </w:lvl>
  </w:abstractNum>
  <w:abstractNum w:abstractNumId="24">
    <w:nsid w:val="613EFDC5"/>
    <w:multiLevelType w:val="hybridMultilevel"/>
    <w:lvl w:ilvl="0">
      <w:lvlJc w:val="left"/>
      <w:lvlText w:val="(%1)"/>
      <w:numFmt w:val="lowerLetter"/>
      <w:start w:val="1"/>
    </w:lvl>
    <w:lvl w:ilvl="1">
      <w:lvlJc w:val="left"/>
      <w:lvlText w:val="(%2)"/>
      <w:numFmt w:val="lowerLetter"/>
      <w:start w:val="2"/>
    </w:lvl>
  </w:abstractNum>
  <w:abstractNum w:abstractNumId="25">
    <w:nsid w:val="BF72B14"/>
    <w:multiLevelType w:val="hybridMultilevel"/>
    <w:lvl w:ilvl="0">
      <w:lvlJc w:val="left"/>
      <w:lvlText w:val="%1."/>
      <w:numFmt w:val="decimal"/>
      <w:start w:val="15"/>
    </w:lvl>
  </w:abstractNum>
  <w:abstractNum w:abstractNumId="26">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42963E5A"/>
    <w:multiLevelType w:val="hybridMultilevel"/>
    <w:lvl w:ilvl="0">
      <w:lvlJc w:val="left"/>
      <w:lvlText w:val="(%1)"/>
      <w:numFmt w:val="lowerRoman"/>
      <w:start w:val="1"/>
    </w:lvl>
  </w:abstractNum>
  <w:abstractNum w:abstractNumId="28">
    <w:nsid w:val="A0382C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
    <w:nsid w:val="8F2B15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
    <w:nsid w:val="1A32234B"/>
    <w:multiLevelType w:val="hybridMultilevel"/>
    <w:lvl w:ilvl="0">
      <w:lvlJc w:val="left"/>
      <w:lvlText w:val="(%1)"/>
      <w:numFmt w:val="lowerRoman"/>
      <w:start w:val="1"/>
    </w:lvl>
  </w:abstractNum>
  <w:abstractNum w:abstractNumId="31">
    <w:nsid w:val="3B0FD379"/>
    <w:multiLevelType w:val="hybridMultilevel"/>
    <w:lvl w:ilvl="0">
      <w:lvlJc w:val="left"/>
      <w:lvlText w:val="(%1)"/>
      <w:numFmt w:val="lowerLetter"/>
      <w:start w:val="4"/>
    </w:lvl>
    <w:lvl w:ilvl="1">
      <w:lvlJc w:val="left"/>
      <w:lvlText w:val="(%2)"/>
      <w:numFmt w:val="lowerRoman"/>
      <w:start w:val="1"/>
    </w:lvl>
  </w:abstractNum>
  <w:abstractNum w:abstractNumId="32">
    <w:nsid w:val="68EB2F63"/>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3"/>
    </w:lvl>
    <w:lvl w:ilvl="3">
      <w:lvlJc w:val="left"/>
      <w:lvlText w:val="%4"/>
      <w:numFmt w:val="lowerRoman"/>
      <w:start w:val="1"/>
    </w:lvl>
  </w:abstractNum>
  <w:abstractNum w:abstractNumId="33">
    <w:nsid w:val="4962813B"/>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4"/>
    </w:lvl>
    <w:lvl w:ilvl="3">
      <w:lvlJc w:val="left"/>
      <w:lvlText w:val="(%4)"/>
      <w:numFmt w:val="lowerLetter"/>
      <w:start w:val="9"/>
    </w:lvl>
  </w:abstractNum>
  <w:abstractNum w:abstractNumId="34">
    <w:nsid w:val="60B6DF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35">
    <w:nsid w:val="6A5EE64"/>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36">
    <w:nsid w:val="14330624"/>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37">
    <w:nsid w:val="7FFFCA11"/>
    <w:multiLevelType w:val="hybridMultilevel"/>
    <w:lvl w:ilvl="0">
      <w:lvlJc w:val="left"/>
      <w:lvlText w:val="%1."/>
      <w:numFmt w:val="decimal"/>
      <w:start w:val="15"/>
    </w:lvl>
  </w:abstractNum>
  <w:abstractNum w:abstractNumId="38">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71EA110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40">
    <w:nsid w:val="100F59D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lvl w:ilvl="3">
      <w:lvlJc w:val="left"/>
      <w:lvlText w:val="%4"/>
      <w:numFmt w:val="lowerLetter"/>
      <w:start w:val="1"/>
    </w:lvl>
  </w:abstractNum>
  <w:abstractNum w:abstractNumId="41">
    <w:nsid w:val="7FB7E0AA"/>
    <w:multiLevelType w:val="hybridMultilevel"/>
    <w:lvl w:ilvl="0">
      <w:lvlJc w:val="left"/>
      <w:lvlText w:val="(%1)"/>
      <w:numFmt w:val="lowerLetter"/>
      <w:start w:val="1"/>
    </w:lvl>
    <w:lvl w:ilvl="1">
      <w:lvlJc w:val="left"/>
      <w:lvlText w:val="%2."/>
      <w:numFmt w:val="decimal"/>
      <w:start w:val="14"/>
    </w:lvl>
    <w:lvl w:ilvl="2">
      <w:lvlJc w:val="left"/>
      <w:lvlText w:val="(%3)"/>
      <w:numFmt w:val="lowerLetter"/>
      <w:start w:val="2"/>
    </w:lvl>
    <w:lvl w:ilvl="3">
      <w:lvlJc w:val="left"/>
      <w:lvlText w:val="%4"/>
      <w:numFmt w:val="lowerLetter"/>
      <w:start w:val="1"/>
    </w:lvl>
  </w:abstractNum>
  <w:abstractNum w:abstractNumId="42">
    <w:nsid w:val="6EB5BD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6F6DD9AC"/>
    <w:multiLevelType w:val="hybridMultilevel"/>
    <w:lvl w:ilvl="0">
      <w:lvlJc w:val="left"/>
      <w:lvlText w:val="(%1)"/>
      <w:numFmt w:val="lowerRoman"/>
      <w:start w:val="1"/>
    </w:lvl>
  </w:abstractNum>
  <w:abstractNum w:abstractNumId="44">
    <w:nsid w:val="94211F2"/>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5">
    <w:nsid w:val="885E1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6">
    <w:nsid w:val="76272110"/>
    <w:multiLevelType w:val="hybridMultilevel"/>
    <w:lvl w:ilvl="0">
      <w:lvlJc w:val="left"/>
      <w:lvlText w:val="(%1)"/>
      <w:numFmt w:val="lowerRoman"/>
      <w:start w:val="1"/>
    </w:lvl>
  </w:abstractNum>
  <w:abstractNum w:abstractNumId="47">
    <w:nsid w:val="4C04A8AF"/>
    <w:multiLevelType w:val="hybridMultilevel"/>
    <w:lvl w:ilvl="0">
      <w:lvlJc w:val="left"/>
      <w:lvlText w:val="(%1)"/>
      <w:numFmt w:val="lowerLetter"/>
      <w:start w:val="4"/>
    </w:lvl>
    <w:lvl w:ilvl="1">
      <w:lvlJc w:val="left"/>
      <w:lvlText w:val="(%2)"/>
      <w:numFmt w:val="lowerRoman"/>
      <w:start w:val="1"/>
    </w:lvl>
  </w:abstractNum>
  <w:abstractNum w:abstractNumId="48">
    <w:nsid w:val="1716703B"/>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3"/>
    </w:lvl>
    <w:lvl w:ilvl="3">
      <w:lvlJc w:val="left"/>
      <w:lvlText w:val="%4"/>
      <w:numFmt w:val="lowerRoman"/>
      <w:start w:val="1"/>
    </w:lvl>
  </w:abstractNum>
  <w:abstractNum w:abstractNumId="49">
    <w:nsid w:val="14E17E3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34"/>
    </w:lvl>
    <w:lvl w:ilvl="3">
      <w:lvlJc w:val="left"/>
      <w:lvlText w:val="(%4)"/>
      <w:numFmt w:val="lowerLetter"/>
      <w:start w:val="9"/>
    </w:lvl>
  </w:abstractNum>
  <w:abstractNum w:abstractNumId="50">
    <w:nsid w:val="3222E7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
    </w:lvl>
  </w:abstractNum>
  <w:abstractNum w:abstractNumId="51">
    <w:nsid w:val="74DE0EE3"/>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Letter"/>
      <w:start w:val="1"/>
    </w:lvl>
  </w:abstractNum>
  <w:abstractNum w:abstractNumId="52">
    <w:nsid w:val="68EBC550"/>
    <w:multiLevelType w:val="hybridMultilevel"/>
    <w:lvl w:ilvl="0">
      <w:lvlJc w:val="left"/>
      <w:lvlText w:val="%1."/>
      <w:numFmt w:val="decimal"/>
      <w:start w:val="12"/>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53">
    <w:nsid w:val="2DF6D648"/>
    <w:multiLevelType w:val="hybridMultilevel"/>
    <w:lvl w:ilvl="0">
      <w:lvlJc w:val="left"/>
      <w:lvlText w:val="%1."/>
      <w:numFmt w:val="decimal"/>
      <w:start w:val="15"/>
    </w:lvl>
  </w:abstractNum>
  <w:abstractNum w:abstractNumId="54">
    <w:nsid w:val="46B7D447"/>
    <w:multiLevelType w:val="hybridMultilevel"/>
    <w:lvl w:ilvl="0">
      <w:lvlJc w:val="left"/>
      <w:lvlText w:val="(%1)"/>
      <w:numFmt w:val="lowerLetter"/>
      <w:start w:val="1"/>
    </w:lvl>
  </w:abstractNum>
  <w:abstractNum w:abstractNumId="55">
    <w:nsid w:val="4A2AC315"/>
    <w:multiLevelType w:val="hybridMultilevel"/>
    <w:lvl w:ilvl="0">
      <w:lvlJc w:val="left"/>
      <w:lvlText w:val="%1."/>
      <w:numFmt w:val="decimal"/>
      <w:start w:val="3"/>
    </w:lvl>
    <w:lvl w:ilvl="1">
      <w:lvlJc w:val="left"/>
      <w:lvlText w:val="(%2)"/>
      <w:numFmt w:val="lowerLetter"/>
      <w:start w:val="1"/>
    </w:lvl>
  </w:abstractNum>
  <w:abstractNum w:abstractNumId="56">
    <w:nsid w:val="39EE015C"/>
    <w:multiLevelType w:val="hybridMultilevel"/>
    <w:lvl w:ilvl="0">
      <w:lvlJc w:val="left"/>
      <w:lvlText w:val="%1."/>
      <w:numFmt w:val="decimal"/>
      <w:start w:val="4"/>
    </w:lvl>
    <w:lvl w:ilvl="1">
      <w:lvlJc w:val="left"/>
      <w:lvlText w:val="(%2)"/>
      <w:numFmt w:val="lowerLetter"/>
      <w:start w:val="1"/>
    </w:lvl>
  </w:abstractNum>
  <w:abstractNum w:abstractNumId="57">
    <w:nsid w:val="57FC4FBB"/>
    <w:multiLevelType w:val="hybridMultilevel"/>
    <w:lvl w:ilvl="0">
      <w:lvlJc w:val="left"/>
      <w:lvlText w:val="%1."/>
      <w:numFmt w:val="lowerLetter"/>
      <w:start w:val="1"/>
    </w:lvl>
  </w:abstractNum>
  <w:abstractNum w:abstractNumId="58">
    <w:nsid w:val="CC1016F"/>
    <w:multiLevelType w:val="hybridMultilevel"/>
    <w:lvl w:ilvl="0">
      <w:lvlJc w:val="left"/>
      <w:lvlText w:val="·"/>
      <w:numFmt w:val="bullet"/>
      <w:start w:val="1"/>
    </w:lvl>
    <w:lvl w:ilvl="1">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64">
    <w:nsid w:val="7055A5F5"/>
    <w:multiLevelType w:val="hybridMultilevel"/>
    <w:lvl w:ilvl="0">
      <w:lvlJc w:val="left"/>
      <w:lvlText w:val="(%1)"/>
      <w:numFmt w:val="lowerLetter"/>
      <w:start w:val="4"/>
    </w:lvl>
    <w:lvl w:ilvl="1">
      <w:lvlJc w:val="left"/>
      <w:lvlText w:val="(%2)"/>
      <w:numFmt w:val="lowerRoman"/>
      <w:start w:val="1"/>
    </w:lvl>
  </w:abstractNum>
  <w:abstractNum w:abstractNumId="65">
    <w:nsid w:val="5FB8370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66">
    <w:nsid w:val="50801EE1"/>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lowerLetter"/>
      <w:start w:val="9"/>
    </w:lvl>
  </w:abstractNum>
  <w:abstractNum w:abstractNumId="67">
    <w:nsid w:val="488AC1A"/>
    <w:multiLevelType w:val="hybridMultilevel"/>
    <w:lvl w:ilvl="0">
      <w:lvlJc w:val="left"/>
      <w:lvlText w:val="%1"/>
      <w:numFmt w:val="lowerLetter"/>
      <w:start w:val="1"/>
    </w:lvl>
    <w:lvl w:ilvl="1">
      <w:lvlJc w:val="left"/>
      <w:lvlText w:val="(%2)"/>
      <w:numFmt w:val="lowerRoman"/>
      <w:start w:val="2"/>
    </w:lvl>
  </w:abstractNum>
  <w:abstractNum w:abstractNumId="68">
    <w:nsid w:val="5FB8011C"/>
    <w:multiLevelType w:val="hybridMultilevel"/>
    <w:lvl w:ilvl="0">
      <w:lvlJc w:val="left"/>
      <w:lvlText w:val="(%1)"/>
      <w:numFmt w:val="lowerLetter"/>
      <w:start w:val="4"/>
    </w:lvl>
    <w:lvl w:ilvl="1">
      <w:lvlJc w:val="left"/>
      <w:lvlText w:val="(%2)"/>
      <w:numFmt w:val="lowerRoman"/>
      <w:start w:val="1"/>
    </w:lvl>
  </w:abstractNum>
  <w:abstractNum w:abstractNumId="69">
    <w:nsid w:val="6AA78F7F"/>
    <w:multiLevelType w:val="hybridMultilevel"/>
    <w:lvl w:ilvl="0">
      <w:lvlJc w:val="left"/>
      <w:lvlText w:val="%1"/>
      <w:numFmt w:val="decimal"/>
      <w:start w:val="1"/>
    </w:lvl>
    <w:lvl w:ilvl="1">
      <w:lvlJc w:val="left"/>
      <w:lvlText w:val="(%2)"/>
      <w:numFmt w:val="lowerLetter"/>
      <w:start w:val="5"/>
    </w:lvl>
  </w:abstractNum>
  <w:abstractNum w:abstractNumId="70">
    <w:nsid w:val="7672BD23"/>
    <w:multiLevelType w:val="hybridMultilevel"/>
    <w:lvl w:ilvl="0">
      <w:lvlJc w:val="left"/>
      <w:lvlText w:val="%1."/>
      <w:numFmt w:val="decimal"/>
      <w:start w:val="3"/>
    </w:lvl>
    <w:lvl w:ilvl="1">
      <w:lvlJc w:val="left"/>
      <w:lvlText w:val="%2"/>
      <w:numFmt w:val="lowerLetter"/>
      <w:start w:val="1"/>
    </w:lvl>
  </w:abstractNum>
  <w:abstractNum w:abstractNumId="71">
    <w:nsid w:val="6FC75AF8"/>
    <w:multiLevelType w:val="hybridMultilevel"/>
    <w:lvl w:ilvl="0">
      <w:lvlJc w:val="left"/>
      <w:lvlText w:val="%1."/>
      <w:numFmt w:val="decimal"/>
      <w:start w:val="5"/>
    </w:lvl>
    <w:lvl w:ilvl="1">
      <w:lvlJc w:val="left"/>
      <w:lvlText w:val="(%2)"/>
      <w:numFmt w:val="lowerLetter"/>
      <w:start w:val="1"/>
    </w:lvl>
  </w:abstractNum>
  <w:abstractNum w:abstractNumId="72">
    <w:nsid w:val="6A5F7029"/>
    <w:multiLevelType w:val="hybridMultilevel"/>
    <w:lvl w:ilvl="0">
      <w:lvlJc w:val="left"/>
      <w:lvlText w:val="%1."/>
      <w:numFmt w:val="decimal"/>
      <w:start w:val="18"/>
    </w:lvl>
    <w:lvl w:ilvl="1">
      <w:lvlJc w:val="left"/>
      <w:lvlText w:val="(%2)"/>
      <w:numFmt w:val="lowerLetter"/>
      <w:start w:val="1"/>
    </w:lvl>
    <w:lvl w:ilvl="2">
      <w:lvlJc w:val="left"/>
      <w:lvlText w:val="(%3)"/>
      <w:numFmt w:val="lowerLetter"/>
      <w:start w:val="2"/>
    </w:lvl>
  </w:abstractNum>
  <w:abstractNum w:abstractNumId="73">
    <w:nsid w:val="7D5E18F8"/>
    <w:multiLevelType w:val="hybridMultilevel"/>
    <w:lvl w:ilvl="0">
      <w:lvlJc w:val="left"/>
      <w:lvlText w:val="%1"/>
      <w:numFmt w:val="decimal"/>
      <w:start w:val="25"/>
    </w:lvl>
  </w:abstractNum>
  <w:abstractNum w:abstractNumId="74">
    <w:nsid w:val="5F3534A4"/>
    <w:multiLevelType w:val="hybridMultilevel"/>
    <w:lvl w:ilvl="0">
      <w:lvlJc w:val="left"/>
      <w:lvlText w:val="%1"/>
      <w:numFmt w:val="decimal"/>
      <w:start w:val="49"/>
    </w:lvl>
  </w:abstractNum>
  <w:abstractNum w:abstractNumId="75">
    <w:nsid w:val="73A1821B"/>
    <w:multiLevelType w:val="hybridMultilevel"/>
    <w:lvl w:ilvl="0">
      <w:lvlJc w:val="left"/>
      <w:lvlText w:val="%1"/>
      <w:numFmt w:val="decimal"/>
      <w:start w:val="52"/>
    </w:lvl>
  </w:abstractNum>
  <w:abstractNum w:abstractNumId="76">
    <w:nsid w:val="7DE67713"/>
    <w:multiLevelType w:val="hybridMultilevel"/>
    <w:lvl w:ilvl="0">
      <w:lvlJc w:val="left"/>
      <w:lvlText w:val="%1"/>
      <w:numFmt w:val="decimal"/>
      <w:start w:val="52"/>
    </w:lvl>
  </w:abstractNum>
  <w:abstractNum w:abstractNumId="77">
    <w:nsid w:val="555C55B5"/>
    <w:multiLevelType w:val="hybridMultilevel"/>
    <w:lvl w:ilvl="0">
      <w:lvlJc w:val="left"/>
      <w:lvlText w:val="%1"/>
      <w:numFmt w:val="decimal"/>
      <w:start w:val="85"/>
    </w:lvl>
  </w:abstractNum>
  <w:abstractNum w:abstractNumId="78">
    <w:nsid w:val="3FA62ACA"/>
    <w:multiLevelType w:val="hybridMultilevel"/>
    <w:lvl w:ilvl="0">
      <w:lvlJc w:val="left"/>
      <w:lvlText w:val="%1"/>
      <w:numFmt w:val="decimal"/>
      <w:start w:val="85"/>
    </w:lvl>
  </w:abstractNum>
  <w:abstractNum w:abstractNumId="79">
    <w:nsid w:val="14FCE74E"/>
    <w:multiLevelType w:val="hybridMultilevel"/>
    <w:lvl w:ilvl="0">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1"/>
      <w:numFmt w:val="decimal"/>
      <w:start w:val="26"/>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1"/>
      <w:numFmt w:val="decimal"/>
      <w:start w:val="28"/>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1"/>
      <w:numFmt w:val="decimal"/>
      <w:start w:val="30"/>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1"/>
      <w:numFmt w:val="decimal"/>
      <w:start w:val="34"/>
    </w:lvl>
  </w:abstractNum>
  <w:abstractNum w:abstractNumId="93">
    <w:nsid w:val="1CA0C5FA"/>
    <w:multiLevelType w:val="hybridMultilevel"/>
    <w:lvl w:ilvl="0">
      <w:lvlJc w:val="left"/>
      <w:lvlText w:val="%1"/>
      <w:numFmt w:val="decimal"/>
      <w:start w:val="36"/>
    </w:lvl>
  </w:abstractNum>
  <w:abstractNum w:abstractNumId="94">
    <w:nsid w:val="53584BCB"/>
    <w:multiLevelType w:val="hybridMultilevel"/>
    <w:lvl w:ilvl="0">
      <w:lvlJc w:val="left"/>
      <w:lvlText w:val="%1"/>
      <w:numFmt w:val="decimal"/>
      <w:start w:val="38"/>
    </w:lvl>
  </w:abstractNum>
  <w:abstractNum w:abstractNumId="95">
    <w:nsid w:val="415E286C"/>
    <w:multiLevelType w:val="hybridMultilevel"/>
    <w:lvl w:ilvl="0">
      <w:lvlJc w:val="left"/>
      <w:lvlText w:val="%1"/>
      <w:numFmt w:val="decimal"/>
      <w:start w:val="40"/>
    </w:lvl>
  </w:abstractNum>
  <w:abstractNum w:abstractNumId="96">
    <w:nsid w:val="7C58FD05"/>
    <w:multiLevelType w:val="hybridMultilevel"/>
    <w:lvl w:ilvl="0">
      <w:lvlJc w:val="left"/>
      <w:lvlText w:val="%1"/>
      <w:numFmt w:val="decimal"/>
      <w:start w:val="42"/>
    </w:lvl>
  </w:abstractNum>
  <w:abstractNum w:abstractNumId="97">
    <w:nsid w:val="23D86AAC"/>
    <w:multiLevelType w:val="hybridMultilevel"/>
    <w:lvl w:ilvl="0">
      <w:lvlJc w:val="left"/>
      <w:lvlText w:val="%1"/>
      <w:numFmt w:val="decimal"/>
      <w:start w:val="44"/>
    </w:lvl>
  </w:abstractNum>
  <w:abstractNum w:abstractNumId="98">
    <w:nsid w:val="45E6D486"/>
    <w:multiLevelType w:val="hybridMultilevel"/>
    <w:lvl w:ilvl="0">
      <w:lvlJc w:val="left"/>
      <w:lvlText w:val="(%1)"/>
      <w:numFmt w:val="decimal"/>
      <w:start w:val="1"/>
    </w:lvl>
  </w:abstractNum>
  <w:abstractNum w:abstractNumId="99">
    <w:nsid w:val="5C10FE21"/>
    <w:multiLevelType w:val="hybridMultilevel"/>
    <w:lvl w:ilvl="0">
      <w:lvlJc w:val="left"/>
      <w:lvlText w:val="(%1)"/>
      <w:numFmt w:val="decimal"/>
      <w:start w:val="1"/>
    </w:lvl>
  </w:abstractNum>
  <w:abstractNum w:abstractNumId="100">
    <w:nsid w:val="E7FFA2B"/>
    <w:multiLevelType w:val="hybridMultilevel"/>
    <w:lvl w:ilvl="0">
      <w:lvlJc w:val="left"/>
      <w:lvlText w:val="%1"/>
      <w:numFmt w:val="decimal"/>
      <w:start w:val="46"/>
    </w:lvl>
  </w:abstractNum>
  <w:abstractNum w:abstractNumId="101">
    <w:nsid w:val="3C5991AA"/>
    <w:multiLevelType w:val="hybridMultilevel"/>
    <w:lvl w:ilvl="0">
      <w:lvlJc w:val="left"/>
      <w:lvlText w:val="%1"/>
      <w:numFmt w:val="decimal"/>
      <w:start w:val="48"/>
    </w:lvl>
  </w:abstractNum>
  <w:abstractNum w:abstractNumId="102">
    <w:nsid w:val="4BD8591A"/>
    <w:multiLevelType w:val="hybridMultilevel"/>
    <w:lvl w:ilvl="0">
      <w:lvlJc w:val="left"/>
      <w:lvlText w:val="(%1)"/>
      <w:numFmt w:val="decimal"/>
      <w:start w:val="1"/>
    </w:lvl>
  </w:abstractNum>
  <w:abstractNum w:abstractNumId="103">
    <w:nsid w:val="78DF6A55"/>
    <w:multiLevelType w:val="hybridMultilevel"/>
    <w:lvl w:ilvl="0">
      <w:lvlJc w:val="left"/>
      <w:lvlText w:val="(%1)"/>
      <w:numFmt w:val="decimal"/>
      <w:start w:val="1"/>
    </w:lvl>
  </w:abstractNum>
  <w:abstractNum w:abstractNumId="104">
    <w:nsid w:val="39B7AAA2"/>
    <w:multiLevelType w:val="hybridMultilevel"/>
    <w:lvl w:ilvl="0">
      <w:lvlJc w:val="left"/>
      <w:lvlText w:val="%1"/>
      <w:numFmt w:val="decimal"/>
      <w:start w:val="64"/>
    </w:lvl>
  </w:abstractNum>
  <w:abstractNum w:abstractNumId="105">
    <w:nsid w:val="2B0D8DBE"/>
    <w:multiLevelType w:val="hybridMultilevel"/>
    <w:lvl w:ilvl="0">
      <w:lvlJc w:val="left"/>
      <w:lvlText w:val="(%1)"/>
      <w:numFmt w:val="lowerLetter"/>
      <w:start w:val="1"/>
    </w:lvl>
  </w:abstractNum>
  <w:abstractNum w:abstractNumId="106">
    <w:nsid w:val="6C80EC70"/>
    <w:multiLevelType w:val="hybridMultilevel"/>
    <w:lvl w:ilvl="0">
      <w:lvlJc w:val="left"/>
      <w:lvlText w:val="(%1)"/>
      <w:numFmt w:val="decimal"/>
      <w:start w:val="1"/>
    </w:lvl>
  </w:abstractNum>
  <w:abstractNum w:abstractNumId="107">
    <w:nsid w:val="379E21B5"/>
    <w:multiLevelType w:val="hybridMultilevel"/>
    <w:lvl w:ilvl="0">
      <w:lvlJc w:val="left"/>
      <w:lvlText w:val="(%1)"/>
      <w:numFmt w:val="decimal"/>
      <w:start w:val="1"/>
    </w:lvl>
  </w:abstractNum>
  <w:abstractNum w:abstractNumId="108">
    <w:nsid w:val="69E373"/>
    <w:multiLevelType w:val="hybridMultilevel"/>
    <w:lvl w:ilvl="0">
      <w:lvlJc w:val="left"/>
      <w:lvlText w:val="%1"/>
      <w:numFmt w:val="decimal"/>
      <w:start w:val="74"/>
    </w:lvl>
  </w:abstractNum>
  <w:abstractNum w:abstractNumId="109">
    <w:nsid w:val="2C27173B"/>
    <w:multiLevelType w:val="hybridMultilevel"/>
    <w:lvl w:ilvl="0">
      <w:lvlJc w:val="left"/>
      <w:lvlText w:val="(%1)"/>
      <w:numFmt w:val="decimal"/>
      <w:start w:val="1"/>
    </w:lvl>
  </w:abstractNum>
  <w:abstractNum w:abstractNumId="110">
    <w:nsid w:val="4C9B0904"/>
    <w:multiLevelType w:val="hybridMultilevel"/>
    <w:lvl w:ilvl="0">
      <w:lvlJc w:val="left"/>
      <w:lvlText w:val="%1"/>
      <w:numFmt w:val="decimal"/>
      <w:start w:val="76"/>
    </w:lvl>
  </w:abstractNum>
  <w:abstractNum w:abstractNumId="111">
    <w:nsid w:val="6AA7B75C"/>
    <w:multiLevelType w:val="hybridMultilevel"/>
    <w:lvl w:ilvl="0">
      <w:lvlJc w:val="left"/>
      <w:lvlText w:val="%1"/>
      <w:numFmt w:val="decimal"/>
      <w:start w:val="78"/>
    </w:lvl>
  </w:abstractNum>
  <w:abstractNum w:abstractNumId="112">
    <w:nsid w:val="1DF029D3"/>
    <w:multiLevelType w:val="hybridMultilevel"/>
    <w:lvl w:ilvl="0">
      <w:lvlJc w:val="left"/>
      <w:lvlText w:val="(%1)"/>
      <w:numFmt w:val="lowerLetter"/>
      <w:start w:val="2"/>
    </w:lvl>
  </w:abstractNum>
  <w:abstractNum w:abstractNumId="113">
    <w:nsid w:val="5675FF36"/>
    <w:multiLevelType w:val="hybridMultilevel"/>
    <w:lvl w:ilvl="0">
      <w:lvlJc w:val="left"/>
      <w:lvlText w:val="%1"/>
      <w:numFmt w:val="decimal"/>
      <w:start w:val="80"/>
    </w:lvl>
  </w:abstractNum>
  <w:abstractNum w:abstractNumId="114">
    <w:nsid w:val="3DD15094"/>
    <w:multiLevelType w:val="hybridMultilevel"/>
    <w:lvl w:ilvl="0">
      <w:lvlJc w:val="left"/>
      <w:lvlText w:val="(%1)"/>
      <w:numFmt w:val="lowerLetter"/>
      <w:start w:val="1"/>
    </w:lvl>
  </w:abstractNum>
  <w:abstractNum w:abstractNumId="115">
    <w:nsid w:val="3DB012B3"/>
    <w:multiLevelType w:val="hybridMultilevel"/>
    <w:lvl w:ilvl="0">
      <w:lvlJc w:val="left"/>
      <w:lvlText w:val="(%1)"/>
      <w:numFmt w:val="lowerLetter"/>
      <w:start w:val="1"/>
    </w:lvl>
  </w:abstractNum>
  <w:abstractNum w:abstractNumId="116">
    <w:nsid w:val="2708C9AF"/>
    <w:multiLevelType w:val="hybridMultilevel"/>
    <w:lvl w:ilvl="0">
      <w:lvlJc w:val="left"/>
      <w:lvlText w:val="%1"/>
      <w:numFmt w:val="decimal"/>
      <w:start w:val="82"/>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decimal"/>
      <w:start w:val="84"/>
    </w:lvl>
  </w:abstractNum>
  <w:abstractNum w:abstractNumId="119">
    <w:nsid w:val="4F97E3E4"/>
    <w:multiLevelType w:val="hybridMultilevel"/>
    <w:lvl w:ilvl="0">
      <w:lvlJc w:val="left"/>
      <w:lvlText w:val="%1"/>
      <w:numFmt w:val="decimal"/>
      <w:start w:val="86"/>
    </w:lvl>
  </w:abstractNum>
  <w:abstractNum w:abstractNumId="120">
    <w:nsid w:val="53B0A9E"/>
    <w:multiLevelType w:val="hybridMultilevel"/>
    <w:lvl w:ilvl="0">
      <w:lvlJc w:val="left"/>
      <w:lvlText w:val="1"/>
      <w:numFmt w:val="bullet"/>
      <w:start w:val="1"/>
    </w:lvl>
  </w:abstractNum>
  <w:abstractNum w:abstractNumId="121">
    <w:nsid w:val="34FD6B4F"/>
    <w:multiLevelType w:val="hybridMultilevel"/>
    <w:lvl w:ilvl="0">
      <w:lvlJc w:val="left"/>
      <w:lvlText w:val="2"/>
      <w:numFmt w:val="bullet"/>
      <w:start w:val="1"/>
    </w:lvl>
  </w:abstractNum>
  <w:abstractNum w:abstractNumId="122">
    <w:nsid w:val="5915FF32"/>
    <w:multiLevelType w:val="hybridMultilevel"/>
    <w:lvl w:ilvl="0">
      <w:lvlJc w:val="left"/>
      <w:lvlText w:val="%1"/>
      <w:numFmt w:val="decimal"/>
      <w:start w:val="88"/>
    </w:lvl>
  </w:abstractNum>
  <w:abstractNum w:abstractNumId="123">
    <w:nsid w:val="56438D15"/>
    <w:multiLevelType w:val="hybridMultilevel"/>
    <w:lvl w:ilvl="0">
      <w:lvlJc w:val="left"/>
      <w:lvlText w:val="%1."/>
      <w:numFmt w:val="decimal"/>
      <w:start w:val="1"/>
    </w:lvl>
    <w:lvl w:ilvl="1">
      <w:lvlJc w:val="left"/>
      <w:lvlText w:val="(%2)"/>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2019-12-06T03:49:47Z</dcterms:created>
  <dcterms:modified xsi:type="dcterms:W3CDTF">2019-12-06T03:49:47Z</dcterms:modified>
</cp:coreProperties>
</file>