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Nettles Michelle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MANPOWERGROUP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ManpowerGroup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MAN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02/11/2025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74"/>
        <w:spacing w:after="0"/>
        <w:rPr>
          <w:sz w:val="20"/>
          <w:szCs w:val="20"/>
          <w:color w:val="auto"/>
        </w:rPr>
      </w:pPr>
      <w:r>
        <w:rPr>
          <w:rFonts w:ascii="Times New Roman" w:cs="Times New Roman" w:eastAsia="Times New Roman" w:hAnsi="Times New Roman"/>
          <w:sz w:val="17"/>
          <w:szCs w:val="17"/>
          <w:color w:val="0000FF"/>
        </w:rPr>
        <w:t>Chief People &amp; Legal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MILWAUKEE   WI</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53212</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6"/>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4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74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0000FF"/>
              </w:rPr>
              <w:t>02/11/2025</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w w:val="84"/>
              </w:rPr>
              <w:t>A</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5,108</w:t>
            </w:r>
          </w:p>
        </w:tc>
        <w:tc>
          <w:tcPr>
            <w:tcW w:w="6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34,651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02/11/2025</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2,123</w:t>
            </w:r>
          </w:p>
        </w:tc>
        <w:tc>
          <w:tcPr>
            <w:tcW w:w="6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55.69</w:t>
            </w:r>
            <w:r>
              <w:rPr>
                <w:rFonts w:ascii="Times New Roman" w:cs="Times New Roman" w:eastAsia="Times New Roman" w:hAnsi="Times New Roman"/>
                <w:sz w:val="21"/>
                <w:szCs w:val="21"/>
                <w:color w:val="008000"/>
                <w:w w:val="99"/>
                <w:vertAlign w:val="superscript"/>
              </w:rPr>
              <w:t>(3)</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32,528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4"/>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0" w:type="dxa"/>
            <w:vAlign w:val="bottom"/>
            <w:gridSpan w:val="12"/>
          </w:tcPr>
          <w:p>
            <w:pPr>
              <w:jc w:val="center"/>
              <w:ind w:left="3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5,108</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5"/>
                <w:szCs w:val="5"/>
                <w:color w:val="auto"/>
              </w:rPr>
            </w:pPr>
          </w:p>
        </w:tc>
        <w:tc>
          <w:tcPr>
            <w:tcW w:w="98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rPr>
              <w:t>02/11/2025</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50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5,108</w:t>
            </w: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vested on February 11, 2025 and were settled in shares of ManpowerGroup common stock on a 1 for 1 basis upon vesting.</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tax withholding obligations on shares acquired on settlement of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closing price on the New York Stock Exchange on February 10, 2025.</w:t>
      </w: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Shannon Kobylarczyk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084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4580" cy="8255"/>
                    </a:xfrm>
                    <a:prstGeom prst="rect">
                      <a:avLst/>
                    </a:prstGeom>
                    <a:noFill/>
                  </pic:spPr>
                </pic:pic>
              </a:graphicData>
            </a:graphic>
          </wp:anchor>
        </w:drawing>
      </w:r>
    </w:p>
    <w:p>
      <w:pPr>
        <w:spacing w:after="0" w:line="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(pursuant to Power of Attorney 02/13/2025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filed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6343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color w:val="auto"/>
        </w:rPr>
        <w:t>Exhibit 24.1</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 Executing Forms 3, 4 and 5 and 144</w:t>
      </w:r>
    </w:p>
    <w:p>
      <w:pPr>
        <w:spacing w:after="0" w:line="21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Know all by these present, that the undersigned constitutes and appoints each of Jonas Prising, John T. McGinnis,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Shannon Kobylarczyk, signing singly, her true and lawful attorney-in-fact to:</w:t>
      </w:r>
    </w:p>
    <w:p>
      <w:pPr>
        <w:spacing w:after="0" w:line="203" w:lineRule="exact"/>
        <w:rPr>
          <w:sz w:val="20"/>
          <w:szCs w:val="20"/>
          <w:color w:val="auto"/>
        </w:rPr>
      </w:pPr>
    </w:p>
    <w:p>
      <w:pPr>
        <w:ind w:left="1800" w:right="700" w:hanging="734"/>
        <w:spacing w:after="0" w:line="262" w:lineRule="auto"/>
        <w:tabs>
          <w:tab w:leader="none" w:pos="1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Forms 3, 4 and 5 in accordance with Section 16(a) of the Securities Exchange Act of 1934 and the rules thereunder;</w:t>
      </w:r>
    </w:p>
    <w:p>
      <w:pPr>
        <w:spacing w:after="0" w:line="174" w:lineRule="exact"/>
        <w:rPr>
          <w:rFonts w:ascii="Times New Roman" w:cs="Times New Roman" w:eastAsia="Times New Roman" w:hAnsi="Times New Roman"/>
          <w:sz w:val="21"/>
          <w:szCs w:val="21"/>
          <w:color w:val="auto"/>
        </w:rPr>
      </w:pPr>
    </w:p>
    <w:p>
      <w:pPr>
        <w:ind w:left="1800" w:right="440" w:hanging="734"/>
        <w:spacing w:after="0" w:line="262" w:lineRule="auto"/>
        <w:tabs>
          <w:tab w:leader="none" w:pos="1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notices on Form 144 in accordance with Rule 144 under the Securities Act of 1933;</w:t>
      </w:r>
    </w:p>
    <w:p>
      <w:pPr>
        <w:spacing w:after="0" w:line="174" w:lineRule="exact"/>
        <w:rPr>
          <w:rFonts w:ascii="Times New Roman" w:cs="Times New Roman" w:eastAsia="Times New Roman" w:hAnsi="Times New Roman"/>
          <w:sz w:val="21"/>
          <w:szCs w:val="21"/>
          <w:color w:val="auto"/>
        </w:rPr>
      </w:pPr>
    </w:p>
    <w:p>
      <w:pPr>
        <w:jc w:val="both"/>
        <w:ind w:left="1800" w:right="160" w:hanging="734"/>
        <w:spacing w:after="0" w:line="247" w:lineRule="auto"/>
        <w:tabs>
          <w:tab w:leader="none" w:pos="1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90" w:lineRule="exact"/>
        <w:rPr>
          <w:rFonts w:ascii="Times New Roman" w:cs="Times New Roman" w:eastAsia="Times New Roman" w:hAnsi="Times New Roman"/>
          <w:sz w:val="21"/>
          <w:szCs w:val="21"/>
          <w:color w:val="auto"/>
        </w:rPr>
      </w:pPr>
    </w:p>
    <w:p>
      <w:pPr>
        <w:ind w:left="1800" w:right="160" w:hanging="734"/>
        <w:spacing w:after="0" w:line="239" w:lineRule="auto"/>
        <w:tabs>
          <w:tab w:leader="none" w:pos="1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or her discretion.</w:t>
      </w:r>
    </w:p>
    <w:p>
      <w:pPr>
        <w:spacing w:after="0" w:line="202" w:lineRule="exact"/>
        <w:rPr>
          <w:sz w:val="20"/>
          <w:szCs w:val="20"/>
          <w:color w:val="auto"/>
        </w:rPr>
      </w:pPr>
    </w:p>
    <w:p>
      <w:pPr>
        <w:ind w:right="60" w:firstLine="731"/>
        <w:spacing w:after="0" w:line="236"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216" w:lineRule="exact"/>
        <w:rPr>
          <w:sz w:val="20"/>
          <w:szCs w:val="20"/>
          <w:color w:val="auto"/>
        </w:rPr>
      </w:pPr>
    </w:p>
    <w:p>
      <w:pPr>
        <w:ind w:right="140" w:firstLine="731"/>
        <w:spacing w:after="0" w:line="219"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effective as of the 22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day of January 2025.</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u w:val="single" w:color="auto"/>
          <w:color w:val="auto"/>
        </w:rPr>
        <w:t>/s/ Michelle S. Nettles</w:t>
      </w:r>
    </w:p>
    <w:p>
      <w:pPr>
        <w:spacing w:after="0" w:line="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color w:val="auto"/>
        </w:rPr>
        <w:t>Michelle S. Nettles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735965</wp:posOffset>
            </wp:positionV>
            <wp:extent cx="699262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sectPr>
      <w:pgSz w:w="11900" w:h="16838" w:orient="portrait"/>
      <w:cols w:equalWidth="0" w:num="1">
        <w:col w:w="10980"/>
      </w:cols>
      <w:pgMar w:left="460" w:top="77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85150" TargetMode="External"/><Relationship Id="rId14"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2025-02-13T15:54:08Z</dcterms:created>
  <dcterms:modified xsi:type="dcterms:W3CDTF">2025-02-13T15:54:08Z</dcterms:modified>
</cp:coreProperties>
</file>