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Report (Date of earliest event reported): October 21, 2013</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MANPOWERGROUP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w w:val="86"/>
              </w:rPr>
              <w:t>Wisconsin</w:t>
            </w:r>
          </w:p>
        </w:tc>
        <w:tc>
          <w:tcPr>
            <w:tcW w:w="2940" w:type="dxa"/>
            <w:vAlign w:val="bottom"/>
            <w:tcBorders>
              <w:bottom w:val="single" w:sz="8" w:color="auto"/>
            </w:tcBorders>
          </w:tcPr>
          <w:p>
            <w:pPr>
              <w:jc w:val="right"/>
              <w:ind w:right="1255"/>
              <w:spacing w:after="0"/>
              <w:rPr>
                <w:sz w:val="20"/>
                <w:szCs w:val="20"/>
                <w:color w:val="auto"/>
              </w:rPr>
            </w:pPr>
            <w:r>
              <w:rPr>
                <w:rFonts w:ascii="Arial" w:cs="Arial" w:eastAsia="Arial" w:hAnsi="Arial"/>
                <w:sz w:val="13"/>
                <w:szCs w:val="13"/>
                <w:b w:val="1"/>
                <w:bCs w:val="1"/>
                <w:color w:val="auto"/>
              </w:rPr>
              <w:t>1-10686</w:t>
            </w:r>
          </w:p>
        </w:tc>
        <w:tc>
          <w:tcPr>
            <w:tcW w:w="3720" w:type="dxa"/>
            <w:vAlign w:val="bottom"/>
            <w:tcBorders>
              <w:bottom w:val="single" w:sz="8" w:color="auto"/>
            </w:tcBorders>
          </w:tcPr>
          <w:p>
            <w:pPr>
              <w:jc w:val="right"/>
              <w:ind w:right="1475"/>
              <w:spacing w:after="0"/>
              <w:rPr>
                <w:sz w:val="20"/>
                <w:szCs w:val="20"/>
                <w:color w:val="auto"/>
              </w:rPr>
            </w:pPr>
            <w:r>
              <w:rPr>
                <w:rFonts w:ascii="Arial" w:cs="Arial" w:eastAsia="Arial" w:hAnsi="Arial"/>
                <w:sz w:val="13"/>
                <w:szCs w:val="13"/>
                <w:b w:val="1"/>
                <w:bCs w:val="1"/>
                <w:color w:val="auto"/>
              </w:rPr>
              <w:t>39-1672779</w:t>
            </w:r>
          </w:p>
        </w:tc>
      </w:tr>
      <w:tr>
        <w:trPr>
          <w:trHeight w:val="168"/>
        </w:trPr>
        <w:tc>
          <w:tcPr>
            <w:tcW w:w="4800" w:type="dxa"/>
            <w:vAlign w:val="bottom"/>
          </w:tcPr>
          <w:p>
            <w:pPr>
              <w:jc w:val="center"/>
              <w:ind w:right="95"/>
              <w:spacing w:after="0"/>
              <w:rPr>
                <w:sz w:val="20"/>
                <w:szCs w:val="20"/>
                <w:color w:val="auto"/>
              </w:rPr>
            </w:pPr>
            <w:r>
              <w:rPr>
                <w:rFonts w:ascii="Arial" w:cs="Arial" w:eastAsia="Arial" w:hAnsi="Arial"/>
                <w:sz w:val="13"/>
                <w:szCs w:val="13"/>
                <w:b w:val="1"/>
                <w:bCs w:val="1"/>
                <w:color w:val="auto"/>
                <w:w w:val="91"/>
              </w:rPr>
              <w:t>(State or other jurisdiction of incorporation)</w:t>
            </w:r>
          </w:p>
        </w:tc>
        <w:tc>
          <w:tcPr>
            <w:tcW w:w="2940" w:type="dxa"/>
            <w:vAlign w:val="bottom"/>
          </w:tcPr>
          <w:p>
            <w:pPr>
              <w:jc w:val="center"/>
              <w:ind w:right="75"/>
              <w:spacing w:after="0"/>
              <w:rPr>
                <w:sz w:val="20"/>
                <w:szCs w:val="20"/>
                <w:color w:val="auto"/>
              </w:rPr>
            </w:pPr>
            <w:r>
              <w:rPr>
                <w:rFonts w:ascii="Arial" w:cs="Arial" w:eastAsia="Arial" w:hAnsi="Arial"/>
                <w:sz w:val="13"/>
                <w:szCs w:val="13"/>
                <w:b w:val="1"/>
                <w:bCs w:val="1"/>
                <w:color w:val="auto"/>
                <w:w w:val="91"/>
              </w:rPr>
              <w:t>(Commission File Number)</w:t>
            </w:r>
          </w:p>
        </w:tc>
        <w:tc>
          <w:tcPr>
            <w:tcW w:w="3720" w:type="dxa"/>
            <w:vAlign w:val="bottom"/>
          </w:tcPr>
          <w:p>
            <w:pPr>
              <w:ind w:left="920"/>
              <w:spacing w:after="0"/>
              <w:rPr>
                <w:sz w:val="20"/>
                <w:szCs w:val="20"/>
                <w:color w:val="auto"/>
              </w:rPr>
            </w:pPr>
            <w:r>
              <w:rPr>
                <w:rFonts w:ascii="Arial" w:cs="Arial" w:eastAsia="Arial" w:hAnsi="Arial"/>
                <w:sz w:val="13"/>
                <w:szCs w:val="13"/>
                <w:b w:val="1"/>
                <w:bCs w:val="1"/>
                <w:color w:val="auto"/>
              </w:rPr>
              <w:t>(IRS Employer Identification No.)</w:t>
            </w:r>
          </w:p>
        </w:tc>
      </w:tr>
      <w:tr>
        <w:trPr>
          <w:trHeight w:val="485"/>
        </w:trPr>
        <w:tc>
          <w:tcPr>
            <w:tcW w:w="4800" w:type="dxa"/>
            <w:vAlign w:val="bottom"/>
          </w:tcPr>
          <w:p>
            <w:pPr>
              <w:jc w:val="center"/>
              <w:ind w:left="1295"/>
              <w:spacing w:after="0"/>
              <w:rPr>
                <w:sz w:val="20"/>
                <w:szCs w:val="20"/>
                <w:color w:val="auto"/>
              </w:rPr>
            </w:pPr>
            <w:r>
              <w:rPr>
                <w:rFonts w:ascii="Arial" w:cs="Arial" w:eastAsia="Arial" w:hAnsi="Arial"/>
                <w:sz w:val="13"/>
                <w:szCs w:val="13"/>
                <w:b w:val="1"/>
                <w:bCs w:val="1"/>
                <w:color w:val="auto"/>
                <w:w w:val="91"/>
              </w:rPr>
              <w:t>100 Manpower Place</w:t>
            </w:r>
          </w:p>
        </w:tc>
        <w:tc>
          <w:tcPr>
            <w:tcW w:w="29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9"/>
        </w:trPr>
        <w:tc>
          <w:tcPr>
            <w:tcW w:w="4800" w:type="dxa"/>
            <w:vAlign w:val="bottom"/>
            <w:tcBorders>
              <w:bottom w:val="single" w:sz="8" w:color="auto"/>
            </w:tcBorders>
          </w:tcPr>
          <w:p>
            <w:pPr>
              <w:jc w:val="center"/>
              <w:ind w:left="1295"/>
              <w:spacing w:after="0"/>
              <w:rPr>
                <w:sz w:val="20"/>
                <w:szCs w:val="20"/>
                <w:color w:val="auto"/>
              </w:rPr>
            </w:pPr>
            <w:r>
              <w:rPr>
                <w:rFonts w:ascii="Arial" w:cs="Arial" w:eastAsia="Arial" w:hAnsi="Arial"/>
                <w:sz w:val="13"/>
                <w:szCs w:val="13"/>
                <w:b w:val="1"/>
                <w:bCs w:val="1"/>
                <w:color w:val="auto"/>
                <w:w w:val="90"/>
              </w:rPr>
              <w:t>Milwaukee, Wisconsin</w:t>
            </w:r>
          </w:p>
        </w:tc>
        <w:tc>
          <w:tcPr>
            <w:tcW w:w="29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53212</w:t>
            </w:r>
          </w:p>
        </w:tc>
      </w:tr>
      <w:tr>
        <w:trPr>
          <w:trHeight w:val="168"/>
        </w:trPr>
        <w:tc>
          <w:tcPr>
            <w:tcW w:w="4800" w:type="dxa"/>
            <w:vAlign w:val="bottom"/>
          </w:tcPr>
          <w:p>
            <w:pPr>
              <w:jc w:val="center"/>
              <w:ind w:left="1295"/>
              <w:spacing w:after="0"/>
              <w:rPr>
                <w:sz w:val="20"/>
                <w:szCs w:val="20"/>
                <w:color w:val="auto"/>
              </w:rPr>
            </w:pPr>
            <w:r>
              <w:rPr>
                <w:rFonts w:ascii="Arial" w:cs="Arial" w:eastAsia="Arial" w:hAnsi="Arial"/>
                <w:sz w:val="13"/>
                <w:szCs w:val="13"/>
                <w:b w:val="1"/>
                <w:bCs w:val="1"/>
                <w:color w:val="auto"/>
                <w:w w:val="88"/>
              </w:rPr>
              <w:t>(Address of principal executive offices)</w:t>
            </w:r>
          </w:p>
        </w:tc>
        <w:tc>
          <w:tcPr>
            <w:tcW w:w="2940" w:type="dxa"/>
            <w:vAlign w:val="bottom"/>
          </w:tcPr>
          <w:p>
            <w:pPr>
              <w:spacing w:after="0"/>
              <w:rPr>
                <w:sz w:val="14"/>
                <w:szCs w:val="14"/>
                <w:color w:val="auto"/>
              </w:rPr>
            </w:pPr>
          </w:p>
        </w:tc>
        <w:tc>
          <w:tcPr>
            <w:tcW w:w="3720" w:type="dxa"/>
            <w:vAlign w:val="bottom"/>
          </w:tcPr>
          <w:p>
            <w:pPr>
              <w:ind w:left="760"/>
              <w:spacing w:after="0"/>
              <w:rPr>
                <w:sz w:val="20"/>
                <w:szCs w:val="20"/>
                <w:color w:val="auto"/>
              </w:rPr>
            </w:pPr>
            <w:r>
              <w:rPr>
                <w:rFonts w:ascii="Arial" w:cs="Arial" w:eastAsia="Arial" w:hAnsi="Arial"/>
                <w:sz w:val="13"/>
                <w:szCs w:val="13"/>
                <w:b w:val="1"/>
                <w:bCs w:val="1"/>
                <w:color w:val="auto"/>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(414) 961-1000</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420"/>
        <w:spacing w:after="0"/>
        <w:rPr>
          <w:sz w:val="20"/>
          <w:szCs w:val="20"/>
          <w:color w:val="auto"/>
        </w:rPr>
      </w:pPr>
      <w:r>
        <w:rPr>
          <w:rFonts w:ascii="Arial" w:cs="Arial" w:eastAsia="Arial" w:hAnsi="Arial"/>
          <w:sz w:val="13"/>
          <w:szCs w:val="13"/>
          <w:color w:val="auto"/>
        </w:rPr>
        <w:t>Written communications pursuant to Rule 425 under the Securities Act (17 CFR 230.425)</w:t>
      </w:r>
    </w:p>
    <w:p>
      <w:pPr>
        <w:spacing w:after="0" w:line="183" w:lineRule="exact"/>
        <w:rPr>
          <w:sz w:val="24"/>
          <w:szCs w:val="24"/>
          <w:color w:val="auto"/>
        </w:rPr>
      </w:pPr>
    </w:p>
    <w:p>
      <w:pPr>
        <w:ind w:left="420"/>
        <w:spacing w:after="0"/>
        <w:rPr>
          <w:sz w:val="20"/>
          <w:szCs w:val="20"/>
          <w:color w:val="auto"/>
        </w:rPr>
      </w:pPr>
      <w:r>
        <w:rPr>
          <w:rFonts w:ascii="Arial" w:cs="Arial" w:eastAsia="Arial" w:hAnsi="Arial"/>
          <w:sz w:val="13"/>
          <w:szCs w:val="13"/>
          <w:color w:val="auto"/>
        </w:rPr>
        <w:t>Soliciting material pursuant to Rule 14a-12 under the Securities Act (17 CFR 240.14a-12)</w:t>
      </w:r>
    </w:p>
    <w:p>
      <w:pPr>
        <w:spacing w:after="0" w:line="183" w:lineRule="exact"/>
        <w:rPr>
          <w:sz w:val="24"/>
          <w:szCs w:val="24"/>
          <w:color w:val="auto"/>
        </w:rPr>
      </w:pPr>
    </w:p>
    <w:p>
      <w:pPr>
        <w:ind w:left="420"/>
        <w:spacing w:after="0"/>
        <w:rPr>
          <w:sz w:val="20"/>
          <w:szCs w:val="20"/>
          <w:color w:val="auto"/>
        </w:rPr>
      </w:pPr>
      <w:r>
        <w:rPr>
          <w:rFonts w:ascii="Arial" w:cs="Arial" w:eastAsia="Arial" w:hAnsi="Arial"/>
          <w:sz w:val="13"/>
          <w:szCs w:val="13"/>
          <w:color w:val="auto"/>
        </w:rPr>
        <w:t>Pre-commencement communications pursuant to Rule 14d-2(b) under the Exchange Act (17 CFR 240.14d-2(b))</w:t>
      </w:r>
    </w:p>
    <w:p>
      <w:pPr>
        <w:spacing w:after="0" w:line="183" w:lineRule="exact"/>
        <w:rPr>
          <w:sz w:val="24"/>
          <w:szCs w:val="24"/>
          <w:color w:val="auto"/>
        </w:rPr>
      </w:pPr>
    </w:p>
    <w:p>
      <w:pPr>
        <w:ind w:left="420"/>
        <w:spacing w:after="0"/>
        <w:rPr>
          <w:sz w:val="20"/>
          <w:szCs w:val="20"/>
          <w:color w:val="auto"/>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729107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188" w:right="21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1.01  Entry into a Material Definitive Agreement</w:t>
      </w:r>
    </w:p>
    <w:p>
      <w:pPr>
        <w:spacing w:after="0" w:line="168" w:lineRule="exact"/>
        <w:rPr>
          <w:sz w:val="20"/>
          <w:szCs w:val="20"/>
          <w:color w:val="auto"/>
        </w:rPr>
      </w:pPr>
    </w:p>
    <w:p>
      <w:pPr>
        <w:ind w:right="520"/>
        <w:spacing w:after="0" w:line="275" w:lineRule="auto"/>
        <w:rPr>
          <w:sz w:val="20"/>
          <w:szCs w:val="20"/>
          <w:color w:val="auto"/>
        </w:rPr>
      </w:pPr>
      <w:r>
        <w:rPr>
          <w:rFonts w:ascii="Arial" w:cs="Arial" w:eastAsia="Arial" w:hAnsi="Arial"/>
          <w:sz w:val="13"/>
          <w:szCs w:val="13"/>
          <w:color w:val="auto"/>
        </w:rPr>
        <w:t>On October 15, 2013, ManpowerGroup Inc. (the “Company”) amended and restated its Five Year Credit Agreement (the “Amended and Restated Agreement”) with a syndicate of lenders and Citibank, N.A., as Administrative Agent for the lenders.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The Amended and Restated Agreement amends the Company’s Five Year Credit Agreement dated October 5, 2011 to, among other things:</w:t>
      </w:r>
    </w:p>
    <w:p>
      <w:pPr>
        <w:spacing w:after="0" w:line="164" w:lineRule="exact"/>
        <w:rPr>
          <w:sz w:val="20"/>
          <w:szCs w:val="20"/>
          <w:color w:val="auto"/>
        </w:rPr>
      </w:pPr>
    </w:p>
    <w:p>
      <w:pPr>
        <w:ind w:left="940" w:hanging="472"/>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Decrease the revolving commitments from $800.0 million to $600.0 million,</w:t>
      </w:r>
    </w:p>
    <w:p>
      <w:pPr>
        <w:spacing w:after="0" w:line="163" w:lineRule="exact"/>
        <w:rPr>
          <w:rFonts w:ascii="Arial" w:cs="Arial" w:eastAsia="Arial" w:hAnsi="Arial"/>
          <w:sz w:val="13"/>
          <w:szCs w:val="13"/>
          <w:color w:val="auto"/>
        </w:rPr>
      </w:pPr>
    </w:p>
    <w:p>
      <w:pPr>
        <w:ind w:left="940" w:right="280" w:hanging="472"/>
        <w:spacing w:after="0" w:line="275" w:lineRule="auto"/>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Permit an increase in the aggregate revolving commitments during the term of the Amended and Restated Agreement from $600.0 million up to $800.0 million upon the Company’s request and the satisfaction of various conditions,</w:t>
      </w:r>
    </w:p>
    <w:p>
      <w:pPr>
        <w:spacing w:after="0" w:line="127" w:lineRule="exact"/>
        <w:rPr>
          <w:rFonts w:ascii="Arial" w:cs="Arial" w:eastAsia="Arial" w:hAnsi="Arial"/>
          <w:sz w:val="13"/>
          <w:szCs w:val="13"/>
          <w:color w:val="auto"/>
        </w:rPr>
      </w:pPr>
    </w:p>
    <w:p>
      <w:pPr>
        <w:ind w:left="940" w:hanging="472"/>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Revise the termination date of the facility from October 5, 2016 to October 15, 2018,</w:t>
      </w:r>
    </w:p>
    <w:p>
      <w:pPr>
        <w:spacing w:after="0" w:line="163" w:lineRule="exact"/>
        <w:rPr>
          <w:rFonts w:ascii="Arial" w:cs="Arial" w:eastAsia="Arial" w:hAnsi="Arial"/>
          <w:sz w:val="13"/>
          <w:szCs w:val="13"/>
          <w:color w:val="auto"/>
        </w:rPr>
      </w:pPr>
    </w:p>
    <w:p>
      <w:pPr>
        <w:ind w:left="940" w:right="400" w:hanging="472"/>
        <w:spacing w:after="0" w:line="275" w:lineRule="auto"/>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Permit the termination date of the facility to be extended by an additional year twice during the term of the Amended and Restated Agreement upon the Company’s request and the satisfaction of various conditions, and</w:t>
      </w:r>
    </w:p>
    <w:p>
      <w:pPr>
        <w:spacing w:after="0" w:line="127" w:lineRule="exact"/>
        <w:rPr>
          <w:rFonts w:ascii="Arial" w:cs="Arial" w:eastAsia="Arial" w:hAnsi="Arial"/>
          <w:sz w:val="13"/>
          <w:szCs w:val="13"/>
          <w:color w:val="auto"/>
        </w:rPr>
      </w:pPr>
    </w:p>
    <w:p>
      <w:pPr>
        <w:ind w:left="940" w:hanging="472"/>
        <w:spacing w:after="0" w:line="275" w:lineRule="auto"/>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Reduce the applicable margin and the applicable percentage at certain debt ratings, however there were no changes to the applicable margin or the applicable percentage at the Company’s debt ratings as of the date of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color w:val="auto"/>
        </w:rPr>
        <w:t>The remaining material terms and conditions of the Amended and Restated Agreement are substantially similar to the material terms and conditions of the Company’s Five Year Credit Agreement dated October 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394335</wp:posOffset>
            </wp:positionV>
            <wp:extent cx="729107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1" w:right="2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Item 2.02  Results of Operations and Financial Condition</w:t>
      </w:r>
    </w:p>
    <w:p>
      <w:pPr>
        <w:spacing w:after="0" w:line="168" w:lineRule="exact"/>
        <w:rPr>
          <w:sz w:val="20"/>
          <w:szCs w:val="20"/>
          <w:color w:val="auto"/>
        </w:rPr>
      </w:pPr>
    </w:p>
    <w:p>
      <w:pPr>
        <w:jc w:val="both"/>
        <w:ind w:right="40"/>
        <w:spacing w:after="0" w:line="263" w:lineRule="auto"/>
        <w:rPr>
          <w:sz w:val="20"/>
          <w:szCs w:val="20"/>
          <w:color w:val="auto"/>
        </w:rPr>
      </w:pPr>
      <w:r>
        <w:rPr>
          <w:rFonts w:ascii="Arial" w:cs="Arial" w:eastAsia="Arial" w:hAnsi="Arial"/>
          <w:sz w:val="13"/>
          <w:szCs w:val="13"/>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On October 21, 2013, we issued a press release announcing our results of operations for the three- and nine-month periods ended September 30, 2013. A copy of the press release is attached hereto as Exhibit 99.1 and is incorporated herein 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60" w:type="dxa"/>
            <w:vAlign w:val="bottom"/>
          </w:tcPr>
          <w:p>
            <w:pPr>
              <w:spacing w:after="0"/>
              <w:rPr>
                <w:sz w:val="20"/>
                <w:szCs w:val="20"/>
                <w:color w:val="auto"/>
              </w:rPr>
            </w:pPr>
            <w:r>
              <w:rPr>
                <w:rFonts w:ascii="Arial" w:cs="Arial" w:eastAsia="Arial" w:hAnsi="Arial"/>
                <w:sz w:val="13"/>
                <w:szCs w:val="13"/>
                <w:b w:val="1"/>
                <w:bCs w:val="1"/>
                <w:color w:val="auto"/>
              </w:rPr>
              <w:t>Item 9.01.</w:t>
            </w:r>
          </w:p>
        </w:tc>
        <w:tc>
          <w:tcPr>
            <w:tcW w:w="10500" w:type="dxa"/>
            <w:vAlign w:val="bottom"/>
          </w:tcPr>
          <w:p>
            <w:pPr>
              <w:ind w:left="320"/>
              <w:spacing w:after="0"/>
              <w:rPr>
                <w:sz w:val="20"/>
                <w:szCs w:val="20"/>
                <w:color w:val="auto"/>
              </w:rPr>
            </w:pPr>
            <w:r>
              <w:rPr>
                <w:rFonts w:ascii="Arial" w:cs="Arial" w:eastAsia="Arial" w:hAnsi="Arial"/>
                <w:sz w:val="13"/>
                <w:szCs w:val="13"/>
                <w:b w:val="1"/>
                <w:bCs w:val="1"/>
                <w:color w:val="auto"/>
              </w:rPr>
              <w:t>Exhibits</w:t>
            </w:r>
            <w:r>
              <w:rPr>
                <w:rFonts w:ascii="Arial" w:cs="Arial" w:eastAsia="Arial" w:hAnsi="Arial"/>
                <w:sz w:val="13"/>
                <w:szCs w:val="13"/>
                <w:color w:val="auto"/>
              </w:rPr>
              <w:t>.</w:t>
            </w:r>
          </w:p>
        </w:tc>
      </w:tr>
      <w:tr>
        <w:trPr>
          <w:trHeight w:val="334"/>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1050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Description</w:t>
            </w:r>
          </w:p>
        </w:tc>
      </w:tr>
      <w:tr>
        <w:trPr>
          <w:trHeight w:val="148"/>
        </w:trPr>
        <w:tc>
          <w:tcPr>
            <w:tcW w:w="960" w:type="dxa"/>
            <w:vAlign w:val="bottom"/>
          </w:tcPr>
          <w:p>
            <w:pPr>
              <w:spacing w:after="0" w:line="148" w:lineRule="exact"/>
              <w:rPr>
                <w:sz w:val="20"/>
                <w:szCs w:val="20"/>
                <w:color w:val="auto"/>
              </w:rPr>
            </w:pPr>
            <w:r>
              <w:rPr>
                <w:rFonts w:ascii="Arial" w:cs="Arial" w:eastAsia="Arial" w:hAnsi="Arial"/>
                <w:sz w:val="13"/>
                <w:szCs w:val="13"/>
                <w:color w:val="auto"/>
              </w:rPr>
              <w:t>99.1</w:t>
            </w:r>
          </w:p>
        </w:tc>
        <w:tc>
          <w:tcPr>
            <w:tcW w:w="10500" w:type="dxa"/>
            <w:vAlign w:val="bottom"/>
          </w:tcPr>
          <w:p>
            <w:pPr>
              <w:ind w:left="1260"/>
              <w:spacing w:after="0" w:line="148" w:lineRule="exact"/>
              <w:rPr>
                <w:sz w:val="20"/>
                <w:szCs w:val="20"/>
                <w:color w:val="auto"/>
              </w:rPr>
            </w:pPr>
            <w:r>
              <w:rPr>
                <w:rFonts w:ascii="Arial" w:cs="Arial" w:eastAsia="Arial" w:hAnsi="Arial"/>
                <w:sz w:val="13"/>
                <w:szCs w:val="13"/>
                <w:color w:val="auto"/>
              </w:rPr>
              <w:t>Press Release dated October 21, 2013</w:t>
            </w:r>
          </w:p>
        </w:tc>
      </w:tr>
      <w:tr>
        <w:trPr>
          <w:trHeight w:val="164"/>
        </w:trPr>
        <w:tc>
          <w:tcPr>
            <w:tcW w:w="960" w:type="dxa"/>
            <w:vAlign w:val="bottom"/>
          </w:tcPr>
          <w:p>
            <w:pPr>
              <w:spacing w:after="0"/>
              <w:rPr>
                <w:sz w:val="20"/>
                <w:szCs w:val="20"/>
                <w:color w:val="auto"/>
              </w:rPr>
            </w:pPr>
            <w:r>
              <w:rPr>
                <w:rFonts w:ascii="Arial" w:cs="Arial" w:eastAsia="Arial" w:hAnsi="Arial"/>
                <w:sz w:val="13"/>
                <w:szCs w:val="13"/>
                <w:color w:val="auto"/>
              </w:rPr>
              <w:t>99.2</w:t>
            </w:r>
          </w:p>
        </w:tc>
        <w:tc>
          <w:tcPr>
            <w:tcW w:w="10500" w:type="dxa"/>
            <w:vAlign w:val="bottom"/>
          </w:tcPr>
          <w:p>
            <w:pPr>
              <w:ind w:left="1260"/>
              <w:spacing w:after="0"/>
              <w:rPr>
                <w:sz w:val="20"/>
                <w:szCs w:val="20"/>
                <w:color w:val="auto"/>
              </w:rPr>
            </w:pPr>
            <w:r>
              <w:rPr>
                <w:rFonts w:ascii="Arial" w:cs="Arial" w:eastAsia="Arial" w:hAnsi="Arial"/>
                <w:sz w:val="13"/>
                <w:szCs w:val="13"/>
                <w:color w:val="auto"/>
              </w:rPr>
              <w:t>Presentation materials for October 21, 2013 conference call</w:t>
            </w:r>
          </w:p>
        </w:tc>
      </w:tr>
      <w:tr>
        <w:trPr>
          <w:trHeight w:val="652"/>
        </w:trPr>
        <w:tc>
          <w:tcPr>
            <w:tcW w:w="960" w:type="dxa"/>
            <w:vAlign w:val="bottom"/>
            <w:tcBorders>
              <w:bottom w:val="single" w:sz="8" w:color="808080"/>
            </w:tcBorders>
          </w:tcPr>
          <w:p>
            <w:pPr>
              <w:spacing w:after="0"/>
              <w:rPr>
                <w:sz w:val="24"/>
                <w:szCs w:val="24"/>
                <w:color w:val="auto"/>
              </w:rPr>
            </w:pPr>
          </w:p>
        </w:tc>
        <w:tc>
          <w:tcPr>
            <w:tcW w:w="10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59" w:right="219" w:bottom="1440" w:gutter="0" w:footer="0" w:header="0"/>
        </w:sectPr>
      </w:pPr>
    </w:p>
    <w:bookmarkStart w:id="3" w:name="page4"/>
    <w:bookmarkEnd w:id="3"/>
    <w:p>
      <w:pPr>
        <w:ind w:left="5320"/>
        <w:spacing w:after="0"/>
        <w:rPr>
          <w:sz w:val="20"/>
          <w:szCs w:val="20"/>
          <w:color w:val="auto"/>
        </w:rPr>
      </w:pPr>
      <w:r>
        <w:rPr>
          <w:rFonts w:ascii="Arial" w:cs="Arial" w:eastAsia="Arial" w:hAnsi="Arial"/>
          <w:sz w:val="13"/>
          <w:szCs w:val="13"/>
          <w:b w:val="1"/>
          <w:bCs w:val="1"/>
          <w:color w:val="auto"/>
        </w:rPr>
        <w:t>SIGNATURES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MANPOWERGROUP INC.</w:t>
      </w:r>
    </w:p>
    <w:p>
      <w:pPr>
        <w:spacing w:after="0" w:line="164" w:lineRule="exact"/>
        <w:rPr>
          <w:sz w:val="20"/>
          <w:szCs w:val="20"/>
          <w:color w:val="auto"/>
        </w:rPr>
      </w:pPr>
    </w:p>
    <w:p>
      <w:pPr>
        <w:spacing w:after="0"/>
        <w:tabs>
          <w:tab w:leader="none" w:pos="4820" w:val="left"/>
          <w:tab w:leader="none" w:pos="5160" w:val="left"/>
        </w:tabs>
        <w:rPr>
          <w:sz w:val="20"/>
          <w:szCs w:val="20"/>
          <w:color w:val="auto"/>
        </w:rPr>
      </w:pPr>
      <w:r>
        <w:rPr>
          <w:rFonts w:ascii="Arial" w:cs="Arial" w:eastAsia="Arial" w:hAnsi="Arial"/>
          <w:sz w:val="13"/>
          <w:szCs w:val="13"/>
          <w:color w:val="auto"/>
        </w:rPr>
        <w:t>Dated: October 21, 2013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10160</wp:posOffset>
            </wp:positionV>
            <wp:extent cx="16967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6720" cy="1270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Michael J. Van Handel</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Executive Vice President and</w:t>
      </w:r>
    </w:p>
    <w:p>
      <w:pPr>
        <w:spacing w:after="0" w:line="7"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72910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239"/>
          </w:cols>
          <w:pgMar w:left="220" w:top="41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8"/>
        </w:trPr>
        <w:tc>
          <w:tcPr>
            <w:tcW w:w="1420" w:type="dxa"/>
            <w:vAlign w:val="bottom"/>
          </w:tcPr>
          <w:p>
            <w:pPr>
              <w:spacing w:after="0"/>
              <w:rPr>
                <w:sz w:val="14"/>
                <w:szCs w:val="14"/>
                <w:color w:val="auto"/>
              </w:rPr>
            </w:pPr>
          </w:p>
        </w:tc>
        <w:tc>
          <w:tcPr>
            <w:tcW w:w="10040" w:type="dxa"/>
            <w:vAlign w:val="bottom"/>
          </w:tcPr>
          <w:p>
            <w:pPr>
              <w:ind w:left="3800"/>
              <w:spacing w:after="0"/>
              <w:rPr>
                <w:sz w:val="20"/>
                <w:szCs w:val="20"/>
                <w:color w:val="auto"/>
              </w:rPr>
            </w:pPr>
            <w:r>
              <w:rPr>
                <w:rFonts w:ascii="Arial" w:cs="Arial" w:eastAsia="Arial" w:hAnsi="Arial"/>
                <w:sz w:val="13"/>
                <w:szCs w:val="13"/>
                <w:b w:val="1"/>
                <w:bCs w:val="1"/>
                <w:color w:val="auto"/>
              </w:rPr>
              <w:t>EXHIBIT INDEX</w:t>
            </w:r>
          </w:p>
        </w:tc>
      </w:tr>
      <w:tr>
        <w:trPr>
          <w:trHeight w:val="334"/>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1004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rPr>
              <w:t>Description</w:t>
            </w:r>
          </w:p>
        </w:tc>
      </w:tr>
      <w:tr>
        <w:trPr>
          <w:trHeight w:val="148"/>
        </w:trPr>
        <w:tc>
          <w:tcPr>
            <w:tcW w:w="1420" w:type="dxa"/>
            <w:vAlign w:val="bottom"/>
          </w:tcPr>
          <w:p>
            <w:pPr>
              <w:spacing w:after="0" w:line="148" w:lineRule="exact"/>
              <w:rPr>
                <w:sz w:val="20"/>
                <w:szCs w:val="20"/>
                <w:color w:val="auto"/>
              </w:rPr>
            </w:pPr>
            <w:r>
              <w:rPr>
                <w:rFonts w:ascii="Arial" w:cs="Arial" w:eastAsia="Arial" w:hAnsi="Arial"/>
                <w:sz w:val="13"/>
                <w:szCs w:val="13"/>
                <w:color w:val="auto"/>
              </w:rPr>
              <w:t>99.1</w:t>
            </w:r>
          </w:p>
        </w:tc>
        <w:tc>
          <w:tcPr>
            <w:tcW w:w="10040" w:type="dxa"/>
            <w:vAlign w:val="bottom"/>
          </w:tcPr>
          <w:p>
            <w:pPr>
              <w:ind w:left="800"/>
              <w:spacing w:after="0" w:line="148" w:lineRule="exact"/>
              <w:rPr>
                <w:sz w:val="20"/>
                <w:szCs w:val="20"/>
                <w:color w:val="auto"/>
              </w:rPr>
            </w:pPr>
            <w:r>
              <w:rPr>
                <w:rFonts w:ascii="Arial" w:cs="Arial" w:eastAsia="Arial" w:hAnsi="Arial"/>
                <w:sz w:val="13"/>
                <w:szCs w:val="13"/>
                <w:color w:val="auto"/>
              </w:rPr>
              <w:t>Press Release dated October 21, 2013</w:t>
            </w:r>
          </w:p>
        </w:tc>
      </w:tr>
      <w:tr>
        <w:trPr>
          <w:trHeight w:val="164"/>
        </w:trPr>
        <w:tc>
          <w:tcPr>
            <w:tcW w:w="1420" w:type="dxa"/>
            <w:vAlign w:val="bottom"/>
          </w:tcPr>
          <w:p>
            <w:pPr>
              <w:spacing w:after="0"/>
              <w:rPr>
                <w:sz w:val="20"/>
                <w:szCs w:val="20"/>
                <w:color w:val="auto"/>
              </w:rPr>
            </w:pPr>
            <w:r>
              <w:rPr>
                <w:rFonts w:ascii="Arial" w:cs="Arial" w:eastAsia="Arial" w:hAnsi="Arial"/>
                <w:sz w:val="13"/>
                <w:szCs w:val="13"/>
                <w:color w:val="auto"/>
              </w:rPr>
              <w:t>99.2</w:t>
            </w:r>
          </w:p>
        </w:tc>
        <w:tc>
          <w:tcPr>
            <w:tcW w:w="10040" w:type="dxa"/>
            <w:vAlign w:val="bottom"/>
          </w:tcPr>
          <w:p>
            <w:pPr>
              <w:ind w:left="800"/>
              <w:spacing w:after="0"/>
              <w:rPr>
                <w:sz w:val="20"/>
                <w:szCs w:val="20"/>
                <w:color w:val="auto"/>
              </w:rPr>
            </w:pPr>
            <w:r>
              <w:rPr>
                <w:rFonts w:ascii="Arial" w:cs="Arial" w:eastAsia="Arial" w:hAnsi="Arial"/>
                <w:sz w:val="13"/>
                <w:szCs w:val="13"/>
                <w:color w:val="auto"/>
              </w:rPr>
              <w:t>Presentation materials for October 21, 2013 conference call</w:t>
            </w:r>
          </w:p>
        </w:tc>
      </w:tr>
    </w:tbl>
    <w:p>
      <w:pPr>
        <w:sectPr>
          <w:pgSz w:w="11900" w:h="16838" w:orient="portrait"/>
          <w:cols w:equalWidth="0" w:num="1">
            <w:col w:w="11460"/>
          </w:cols>
          <w:pgMar w:left="220" w:top="411"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646430" cy="354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430" cy="35433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Mike Van Handel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+1.414.906.6305</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michael.vanhandel@manpowergroup.com</w:t>
      </w:r>
    </w:p>
    <w:p>
      <w:pPr>
        <w:spacing w:after="0" w:line="194" w:lineRule="exact"/>
        <w:rPr>
          <w:sz w:val="20"/>
          <w:szCs w:val="20"/>
          <w:color w:val="auto"/>
        </w:rPr>
      </w:pPr>
    </w:p>
    <w:p>
      <w:pPr>
        <w:sectPr>
          <w:pgSz w:w="11900" w:h="16838" w:orient="portrait"/>
          <w:cols w:equalWidth="0" w:num="2">
            <w:col w:w="2420" w:space="720"/>
            <w:col w:w="8320"/>
          </w:cols>
          <w:pgMar w:left="220" w:top="120" w:right="2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ManpowerGroup Reports 3</w:t>
      </w:r>
      <w:r>
        <w:rPr>
          <w:rFonts w:ascii="Arial" w:cs="Arial" w:eastAsia="Arial" w:hAnsi="Arial"/>
          <w:sz w:val="8"/>
          <w:szCs w:val="8"/>
          <w:b w:val="1"/>
          <w:bCs w:val="1"/>
          <w:color w:val="auto"/>
        </w:rPr>
        <w:t>rd</w:t>
      </w:r>
      <w:r>
        <w:rPr>
          <w:rFonts w:ascii="Arial" w:cs="Arial" w:eastAsia="Arial" w:hAnsi="Arial"/>
          <w:sz w:val="12"/>
          <w:szCs w:val="12"/>
          <w:b w:val="1"/>
          <w:bCs w:val="1"/>
          <w:color w:val="auto"/>
        </w:rPr>
        <w:t xml:space="preserve"> Quarter 2013 Results</w:t>
      </w:r>
    </w:p>
    <w:p>
      <w:pPr>
        <w:sectPr>
          <w:pgSz w:w="11900" w:h="16838" w:orient="portrait"/>
          <w:cols w:equalWidth="0" w:num="1">
            <w:col w:w="11460"/>
          </w:cols>
          <w:pgMar w:left="220" w:top="120" w:right="219" w:bottom="1440" w:gutter="0" w:footer="0" w:header="0"/>
          <w:type w:val="continuous"/>
        </w:sectPr>
      </w:pPr>
    </w:p>
    <w:p>
      <w:pPr>
        <w:spacing w:after="0" w:line="195" w:lineRule="exact"/>
        <w:rPr>
          <w:sz w:val="20"/>
          <w:szCs w:val="20"/>
          <w:color w:val="auto"/>
        </w:rPr>
      </w:pPr>
    </w:p>
    <w:p>
      <w:pPr>
        <w:ind w:right="460"/>
        <w:spacing w:after="0" w:line="282" w:lineRule="auto"/>
        <w:rPr>
          <w:sz w:val="20"/>
          <w:szCs w:val="20"/>
          <w:color w:val="auto"/>
        </w:rPr>
      </w:pPr>
      <w:r>
        <w:rPr>
          <w:rFonts w:ascii="Arial" w:cs="Arial" w:eastAsia="Arial" w:hAnsi="Arial"/>
          <w:sz w:val="12"/>
          <w:szCs w:val="12"/>
          <w:b w:val="1"/>
          <w:bCs w:val="1"/>
          <w:color w:val="auto"/>
        </w:rPr>
        <w:t xml:space="preserve">MILWAUKEE, October 21, 2013 -- </w:t>
      </w:r>
      <w:r>
        <w:rPr>
          <w:rFonts w:ascii="Arial" w:cs="Arial" w:eastAsia="Arial" w:hAnsi="Arial"/>
          <w:sz w:val="12"/>
          <w:szCs w:val="12"/>
          <w:color w:val="auto"/>
        </w:rPr>
        <w:t>ManpowerGroup (NYSE: MAN) today reported that earnings per diluted share for the three months ended September 30, 2013 were $1.18 compared to 79 cents in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year period. Net earnings in the quarter were $94.7 million compared to $63.1 million a year earlier. Revenues for the third quarter were $5.2 billion, which is in line with the prior year period.</w:t>
      </w:r>
    </w:p>
    <w:p>
      <w:pPr>
        <w:spacing w:after="0" w:line="1" w:lineRule="exact"/>
        <w:rPr>
          <w:sz w:val="20"/>
          <w:szCs w:val="20"/>
          <w:color w:val="auto"/>
        </w:rPr>
      </w:pPr>
    </w:p>
    <w:p>
      <w:pPr>
        <w:ind w:right="320"/>
        <w:spacing w:after="0" w:line="272" w:lineRule="auto"/>
        <w:rPr>
          <w:sz w:val="20"/>
          <w:szCs w:val="20"/>
          <w:color w:val="auto"/>
        </w:rPr>
      </w:pPr>
      <w:r>
        <w:rPr>
          <w:rFonts w:ascii="Arial" w:cs="Arial" w:eastAsia="Arial" w:hAnsi="Arial"/>
          <w:sz w:val="12"/>
          <w:szCs w:val="12"/>
          <w:color w:val="auto"/>
        </w:rPr>
        <w:t>Included in the current year third quarter results is a restructuring charge, primarily related to office consolidations and severance costs, of $8.1 million ($6.2 million after tax or 8 cents per diluted share). Excluding these charges, earnings per diluted share in the quarter were $1.26. Net earnings in the third quarter were not materially impacted by changes in foreign currencies compared to the prior year period.</w:t>
      </w:r>
    </w:p>
    <w:p>
      <w:pPr>
        <w:ind w:right="460"/>
        <w:spacing w:after="0" w:line="251" w:lineRule="auto"/>
        <w:rPr>
          <w:sz w:val="20"/>
          <w:szCs w:val="20"/>
          <w:color w:val="auto"/>
        </w:rPr>
      </w:pPr>
      <w:r>
        <w:rPr>
          <w:rFonts w:ascii="Arial" w:cs="Arial" w:eastAsia="Arial" w:hAnsi="Arial"/>
          <w:sz w:val="13"/>
          <w:szCs w:val="13"/>
          <w:color w:val="auto"/>
        </w:rPr>
        <w:t>Jeffrey A. Joerres, ManpowerGroup Chairman and CEO, said, “We continue to experience positive momentum in all of the established strategic focus areas. Our strong results for the third quarter were driven by more positive revenue trends and operational leverage achieved through our re-calibration efforts. Our European operations’ revenue experienced slow but steadily improving trends throughout the quarter. Our team across the world remains positive and all of our brands are well positioned as we enter the fourth quarter.</w:t>
      </w:r>
    </w:p>
    <w:p>
      <w:pPr>
        <w:spacing w:after="0" w:line="1" w:lineRule="exact"/>
        <w:rPr>
          <w:sz w:val="20"/>
          <w:szCs w:val="20"/>
          <w:color w:val="auto"/>
        </w:rPr>
      </w:pPr>
    </w:p>
    <w:p>
      <w:pPr>
        <w:ind w:right="780"/>
        <w:spacing w:after="0" w:line="251" w:lineRule="auto"/>
        <w:rPr>
          <w:sz w:val="20"/>
          <w:szCs w:val="20"/>
          <w:color w:val="auto"/>
        </w:rPr>
      </w:pPr>
      <w:r>
        <w:rPr>
          <w:rFonts w:ascii="Arial" w:cs="Arial" w:eastAsia="Arial" w:hAnsi="Arial"/>
          <w:sz w:val="13"/>
          <w:szCs w:val="13"/>
          <w:color w:val="auto"/>
        </w:rPr>
        <w:t>“We are anticipating the fourth quarter of 2013 diluted earnings per share to be in the range of $1.18 to $1.26, which includes an estimated unfavorable currency impact of 1 cent. This is before considering anticipated restructuring charges of $12 million to $17 million,” Joerres stated.</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3"/>
          <w:szCs w:val="13"/>
          <w:color w:val="auto"/>
        </w:rPr>
        <w:t>Earnings per diluted share for the nine months ended September 30, 2013 were $2.36 compared to $1.79 per diluted share in 2012. Net earnings were $186.8 million compared to $144.3 million in the prior year. Revenues for the nine-month period were $15.0 billion, a decrease of 3 percent from the prior year in reported U.S. dollars and in constant currency. Earnings for the nine month period in 2013 include restructuring costs of 58 cents per diluted share. Earnings in the prior year nine month period include restructuring costs and legal settlement costs of 25 cents per diluted share. Additionally, 2013 nine month results were unfavorably impacted 2 cents per diluted share due to changes in foreign currencies compared to the prior year.</w:t>
      </w:r>
    </w:p>
    <w:p>
      <w:pPr>
        <w:spacing w:after="0" w:line="1"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 xml:space="preserve">In conjunction with its third quarter earnings release, ManpowerGroup will broadcast its conference call live over the Internet on October 21, 2013 at 7:30 a.m. CDT (8:30 a.m. EDT). Interested parties are invited to listen to the webcast and view the presentation by logging on to </w:t>
      </w:r>
      <w:r>
        <w:rPr>
          <w:rFonts w:ascii="Arial" w:cs="Arial" w:eastAsia="Arial" w:hAnsi="Arial"/>
          <w:sz w:val="13"/>
          <w:szCs w:val="13"/>
          <w:u w:val="single" w:color="auto"/>
          <w:color w:val="auto"/>
        </w:rPr>
        <w:t>http://www.manpowergroup.com/investors</w:t>
      </w:r>
      <w:r>
        <w:rPr>
          <w:rFonts w:ascii="Arial" w:cs="Arial" w:eastAsia="Arial" w:hAnsi="Arial"/>
          <w:sz w:val="13"/>
          <w:szCs w:val="13"/>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Supplemental financial information referenced in the conference call can be found at </w:t>
      </w:r>
      <w:r>
        <w:rPr>
          <w:rFonts w:ascii="Arial" w:cs="Arial" w:eastAsia="Arial" w:hAnsi="Arial"/>
          <w:sz w:val="13"/>
          <w:szCs w:val="13"/>
          <w:u w:val="single" w:color="auto"/>
          <w:color w:val="auto"/>
        </w:rPr>
        <w:t>http://www.manpowergroup.com/investors</w:t>
      </w:r>
      <w:r>
        <w:rPr>
          <w:rFonts w:ascii="Arial" w:cs="Arial" w:eastAsia="Arial" w:hAnsi="Arial"/>
          <w:sz w:val="13"/>
          <w:szCs w:val="13"/>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ManpowerGroup</w:t>
      </w:r>
      <w:r>
        <w:rPr>
          <w:rFonts w:ascii="Arial" w:cs="Arial" w:eastAsia="Arial" w:hAnsi="Arial"/>
          <w:sz w:val="13"/>
          <w:szCs w:val="13"/>
          <w:color w:val="auto"/>
        </w:rPr>
        <w:t>™</w:t>
      </w:r>
    </w:p>
    <w:p>
      <w:pPr>
        <w:spacing w:after="0" w:line="19"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630,000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www.manpowergroup.com. Follow ManpowerGroup Chairman and CEO Jeff Joerres on Twitter: Twitter.com/manpowergroupjj</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9"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2012, which information is incorporated herein by reference. Any forward-looking statement in this release speaks only as of the date on which it is made. The company assumes no obligation to update or revise any forward-looking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29107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type w:val="continuous"/>
        </w:sectPr>
      </w:pPr>
    </w:p>
    <w:bookmarkStart w:id="6" w:name="page7"/>
    <w:bookmarkEnd w:id="6"/>
    <w:p>
      <w:pPr>
        <w:jc w:val="center"/>
        <w:ind w:right="98"/>
        <w:spacing w:after="0"/>
        <w:rPr>
          <w:sz w:val="20"/>
          <w:szCs w:val="20"/>
          <w:color w:val="auto"/>
        </w:rPr>
      </w:pPr>
      <w:r>
        <w:rPr>
          <w:rFonts w:ascii="Arial" w:cs="Arial" w:eastAsia="Arial" w:hAnsi="Arial"/>
          <w:sz w:val="16"/>
          <w:szCs w:val="16"/>
          <w:color w:val="auto"/>
        </w:rPr>
        <w:t>ManpowerGroup</w:t>
      </w:r>
    </w:p>
    <w:p>
      <w:pPr>
        <w:spacing w:after="0" w:line="10"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Results of Operations</w:t>
      </w:r>
    </w:p>
    <w:p>
      <w:pPr>
        <w:spacing w:after="0" w:line="5"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(In millions, except per share data)</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60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left="175"/>
              <w:spacing w:after="0"/>
              <w:rPr>
                <w:sz w:val="20"/>
                <w:szCs w:val="20"/>
                <w:color w:val="auto"/>
              </w:rPr>
            </w:pPr>
            <w:r>
              <w:rPr>
                <w:rFonts w:ascii="Arial" w:cs="Arial" w:eastAsia="Arial" w:hAnsi="Arial"/>
                <w:sz w:val="13"/>
                <w:szCs w:val="13"/>
                <w:b w:val="1"/>
                <w:bCs w:val="1"/>
                <w:color w:val="auto"/>
                <w:w w:val="91"/>
              </w:rPr>
              <w:t>Three Months Ended September 30</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3"/>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15"/>
              <w:spacing w:after="0" w:line="144" w:lineRule="exact"/>
              <w:rPr>
                <w:sz w:val="20"/>
                <w:szCs w:val="20"/>
                <w:color w:val="auto"/>
              </w:rPr>
            </w:pPr>
            <w:r>
              <w:rPr>
                <w:rFonts w:ascii="Arial" w:cs="Arial" w:eastAsia="Arial" w:hAnsi="Arial"/>
                <w:sz w:val="13"/>
                <w:szCs w:val="13"/>
                <w:b w:val="1"/>
                <w:bCs w:val="1"/>
                <w:color w:val="auto"/>
                <w:w w:val="93"/>
              </w:rPr>
              <w:t>Amount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Constant</w:t>
            </w:r>
          </w:p>
        </w:tc>
        <w:tc>
          <w:tcPr>
            <w:tcW w:w="100" w:type="dxa"/>
            <w:vAlign w:val="bottom"/>
          </w:tcPr>
          <w:p>
            <w:pPr>
              <w:spacing w:after="0"/>
              <w:rPr>
                <w:sz w:val="12"/>
                <w:szCs w:val="12"/>
                <w:color w:val="auto"/>
              </w:rPr>
            </w:pPr>
          </w:p>
        </w:tc>
      </w:tr>
      <w:tr>
        <w:trPr>
          <w:trHeight w:val="169"/>
        </w:trPr>
        <w:tc>
          <w:tcPr>
            <w:tcW w:w="60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2013</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ind w:left="195"/>
              <w:spacing w:after="0"/>
              <w:rPr>
                <w:sz w:val="20"/>
                <w:szCs w:val="20"/>
                <w:color w:val="auto"/>
              </w:rPr>
            </w:pPr>
            <w:r>
              <w:rPr>
                <w:rFonts w:ascii="Arial" w:cs="Arial" w:eastAsia="Arial" w:hAnsi="Arial"/>
                <w:sz w:val="13"/>
                <w:szCs w:val="13"/>
                <w:b w:val="1"/>
                <w:bCs w:val="1"/>
                <w:color w:val="auto"/>
                <w:w w:val="91"/>
              </w:rPr>
              <w:t>Reported</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00" w:type="dxa"/>
            <w:vAlign w:val="bottom"/>
          </w:tcPr>
          <w:p>
            <w:pPr>
              <w:spacing w:after="0"/>
              <w:rPr>
                <w:sz w:val="14"/>
                <w:szCs w:val="14"/>
                <w:color w:val="auto"/>
              </w:rPr>
            </w:pPr>
          </w:p>
        </w:tc>
      </w:tr>
      <w:tr>
        <w:trPr>
          <w:trHeight w:val="157"/>
        </w:trPr>
        <w:tc>
          <w:tcPr>
            <w:tcW w:w="6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3"/>
          </w:tcPr>
          <w:p>
            <w:pPr>
              <w:jc w:val="center"/>
              <w:ind w:right="435"/>
              <w:spacing w:after="0"/>
              <w:rPr>
                <w:sz w:val="20"/>
                <w:szCs w:val="20"/>
                <w:color w:val="auto"/>
              </w:rPr>
            </w:pPr>
            <w:r>
              <w:rPr>
                <w:rFonts w:ascii="Arial" w:cs="Arial" w:eastAsia="Arial" w:hAnsi="Arial"/>
                <w:sz w:val="13"/>
                <w:szCs w:val="13"/>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 (a)</w:t>
            </w:r>
          </w:p>
        </w:tc>
        <w:tc>
          <w:tcPr>
            <w:tcW w:w="740" w:type="dxa"/>
            <w:vAlign w:val="bottom"/>
            <w:shd w:val="clear" w:color="auto" w:fill="CCEEFF"/>
          </w:tcPr>
          <w:p>
            <w:pPr>
              <w:jc w:val="right"/>
              <w:ind w:right="595"/>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5,188.8</w:t>
            </w:r>
          </w:p>
        </w:tc>
        <w:tc>
          <w:tcPr>
            <w:tcW w:w="860" w:type="dxa"/>
            <w:vAlign w:val="bottom"/>
            <w:gridSpan w:val="2"/>
            <w:shd w:val="clear" w:color="auto" w:fill="CCEEFF"/>
          </w:tcPr>
          <w:p>
            <w:pPr>
              <w:jc w:val="right"/>
              <w:ind w:right="615"/>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5,172.3</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Cost of services</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4,335.2</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4,316.1</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0.4%</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-0.3%</w:t>
            </w:r>
          </w:p>
        </w:tc>
      </w:tr>
      <w:tr>
        <w:trPr>
          <w:trHeight w:val="20"/>
        </w:trPr>
        <w:tc>
          <w:tcPr>
            <w:tcW w:w="6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Gross profit</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853.6</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856.2</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737.6</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-6.3%</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-6.6%</w:t>
            </w:r>
          </w:p>
        </w:tc>
      </w:tr>
      <w:tr>
        <w:trPr>
          <w:trHeight w:val="20"/>
        </w:trPr>
        <w:tc>
          <w:tcPr>
            <w:tcW w:w="6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Operating profit</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162.4</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118.6</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37.1%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35.8%</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Interest and other expenses</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10.1</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87"/>
              </w:rPr>
              <w:t>-45.5%</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Earnings before income taxes</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157.0</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44.7%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45.4</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37.1%</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earnings</w:t>
            </w:r>
          </w:p>
        </w:tc>
        <w:tc>
          <w:tcPr>
            <w:tcW w:w="740" w:type="dxa"/>
            <w:vAlign w:val="bottom"/>
            <w:shd w:val="clear" w:color="auto" w:fill="CCEEFF"/>
          </w:tcPr>
          <w:p>
            <w:pPr>
              <w:jc w:val="right"/>
              <w:ind w:right="595"/>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94.7</w:t>
            </w:r>
          </w:p>
        </w:tc>
        <w:tc>
          <w:tcPr>
            <w:tcW w:w="860" w:type="dxa"/>
            <w:vAlign w:val="bottom"/>
            <w:gridSpan w:val="2"/>
            <w:shd w:val="clear" w:color="auto" w:fill="CCEEFF"/>
          </w:tcPr>
          <w:p>
            <w:pPr>
              <w:jc w:val="right"/>
              <w:ind w:right="615"/>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63.1</w:t>
            </w:r>
          </w:p>
        </w:tc>
        <w:tc>
          <w:tcPr>
            <w:tcW w:w="8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50.2%</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49.8%</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36"/>
        </w:trPr>
        <w:tc>
          <w:tcPr>
            <w:tcW w:w="6080" w:type="dxa"/>
            <w:vAlign w:val="bottom"/>
          </w:tcPr>
          <w:p>
            <w:pPr>
              <w:spacing w:after="0" w:line="136" w:lineRule="exact"/>
              <w:rPr>
                <w:sz w:val="20"/>
                <w:szCs w:val="20"/>
                <w:color w:val="auto"/>
              </w:rPr>
            </w:pPr>
            <w:r>
              <w:rPr>
                <w:rFonts w:ascii="Arial" w:cs="Arial" w:eastAsia="Arial" w:hAnsi="Arial"/>
                <w:sz w:val="13"/>
                <w:szCs w:val="13"/>
                <w:color w:val="auto"/>
              </w:rPr>
              <w:t>Net earnings per share - basic</w:t>
            </w:r>
          </w:p>
        </w:tc>
        <w:tc>
          <w:tcPr>
            <w:tcW w:w="740" w:type="dxa"/>
            <w:vAlign w:val="bottom"/>
          </w:tcPr>
          <w:p>
            <w:pPr>
              <w:jc w:val="right"/>
              <w:ind w:right="595"/>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1.21</w:t>
            </w:r>
          </w:p>
        </w:tc>
        <w:tc>
          <w:tcPr>
            <w:tcW w:w="860" w:type="dxa"/>
            <w:vAlign w:val="bottom"/>
            <w:gridSpan w:val="2"/>
          </w:tcPr>
          <w:p>
            <w:pPr>
              <w:jc w:val="right"/>
              <w:ind w:right="615"/>
              <w:spacing w:after="0" w:line="13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0.79</w:t>
            </w:r>
          </w:p>
        </w:tc>
        <w:tc>
          <w:tcPr>
            <w:tcW w:w="86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w w:val="97"/>
              </w:rPr>
              <w:t>53.2%</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6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earnings per share - diluted</w:t>
            </w:r>
          </w:p>
        </w:tc>
        <w:tc>
          <w:tcPr>
            <w:tcW w:w="740" w:type="dxa"/>
            <w:vAlign w:val="bottom"/>
            <w:shd w:val="clear" w:color="auto" w:fill="CCEEFF"/>
          </w:tcPr>
          <w:p>
            <w:pPr>
              <w:jc w:val="right"/>
              <w:ind w:right="595"/>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1.18</w:t>
            </w:r>
          </w:p>
        </w:tc>
        <w:tc>
          <w:tcPr>
            <w:tcW w:w="860" w:type="dxa"/>
            <w:vAlign w:val="bottom"/>
            <w:gridSpan w:val="2"/>
            <w:shd w:val="clear" w:color="auto" w:fill="CCEEFF"/>
          </w:tcPr>
          <w:p>
            <w:pPr>
              <w:jc w:val="right"/>
              <w:ind w:right="615"/>
              <w:spacing w:after="0" w:line="136"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0.79</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97"/>
              </w:rPr>
              <w:t>49.4%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49.4%</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36"/>
        </w:trPr>
        <w:tc>
          <w:tcPr>
            <w:tcW w:w="6080" w:type="dxa"/>
            <w:vAlign w:val="bottom"/>
          </w:tcPr>
          <w:p>
            <w:pPr>
              <w:spacing w:after="0" w:line="136" w:lineRule="exact"/>
              <w:rPr>
                <w:sz w:val="20"/>
                <w:szCs w:val="20"/>
                <w:color w:val="auto"/>
              </w:rPr>
            </w:pPr>
            <w:r>
              <w:rPr>
                <w:rFonts w:ascii="Arial" w:cs="Arial" w:eastAsia="Arial" w:hAnsi="Arial"/>
                <w:sz w:val="13"/>
                <w:szCs w:val="13"/>
                <w:color w:val="auto"/>
              </w:rPr>
              <w:t>Weighted average shares - basic</w:t>
            </w:r>
          </w:p>
        </w:tc>
        <w:tc>
          <w:tcPr>
            <w:tcW w:w="740" w:type="dxa"/>
            <w:vAlign w:val="bottom"/>
          </w:tcPr>
          <w:p>
            <w:pPr>
              <w:spacing w:after="0"/>
              <w:rPr>
                <w:sz w:val="11"/>
                <w:szCs w:val="11"/>
                <w:color w:val="auto"/>
              </w:rPr>
            </w:pPr>
          </w:p>
        </w:tc>
        <w:tc>
          <w:tcPr>
            <w:tcW w:w="54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78.4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79.5</w:t>
            </w:r>
          </w:p>
        </w:tc>
        <w:tc>
          <w:tcPr>
            <w:tcW w:w="86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-1.4%</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6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Weighted average shares - diluted</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80.0</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0.0%</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2" w:right="280" w:hanging="2"/>
        <w:spacing w:after="0" w:line="27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$6.6 million and $6.4 million for the three months ended September 30, 2013 and 2012, respectively. These fees are primarily based on revenues generated by the franchise offices, which were $285.4 million and $270.5 million for the three months ended September 30,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29107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7" w:right="219" w:bottom="1440" w:gutter="0" w:footer="0" w:header="0"/>
        </w:sectPr>
      </w:pPr>
    </w:p>
    <w:bookmarkStart w:id="7" w:name="page8"/>
    <w:bookmarkEnd w:id="7"/>
    <w:p>
      <w:pPr>
        <w:jc w:val="center"/>
        <w:ind w:right="98"/>
        <w:spacing w:after="0"/>
        <w:rPr>
          <w:sz w:val="20"/>
          <w:szCs w:val="20"/>
          <w:color w:val="auto"/>
        </w:rPr>
      </w:pPr>
      <w:r>
        <w:rPr>
          <w:rFonts w:ascii="Arial" w:cs="Arial" w:eastAsia="Arial" w:hAnsi="Arial"/>
          <w:sz w:val="16"/>
          <w:szCs w:val="16"/>
          <w:color w:val="auto"/>
        </w:rPr>
        <w:t>ManpowerGroup</w:t>
      </w:r>
    </w:p>
    <w:p>
      <w:pPr>
        <w:spacing w:after="0" w:line="7"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2880" w:type="dxa"/>
            <w:vAlign w:val="bottom"/>
            <w:gridSpan w:val="2"/>
          </w:tcPr>
          <w:p>
            <w:pPr>
              <w:jc w:val="right"/>
              <w:ind w:right="55"/>
              <w:spacing w:after="0"/>
              <w:rPr>
                <w:sz w:val="20"/>
                <w:szCs w:val="20"/>
                <w:color w:val="auto"/>
              </w:rPr>
            </w:pPr>
            <w:r>
              <w:rPr>
                <w:rFonts w:ascii="Arial" w:cs="Arial" w:eastAsia="Arial" w:hAnsi="Arial"/>
                <w:sz w:val="13"/>
                <w:szCs w:val="13"/>
                <w:color w:val="auto"/>
              </w:rPr>
              <w:t>Operating Unit Results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2880" w:type="dxa"/>
            <w:vAlign w:val="bottom"/>
            <w:gridSpan w:val="2"/>
          </w:tcPr>
          <w:p>
            <w:pPr>
              <w:jc w:val="right"/>
              <w:ind w:right="335"/>
              <w:spacing w:after="0"/>
              <w:rPr>
                <w:sz w:val="20"/>
                <w:szCs w:val="20"/>
                <w:color w:val="auto"/>
              </w:rPr>
            </w:pPr>
            <w:r>
              <w:rPr>
                <w:rFonts w:ascii="Arial" w:cs="Arial" w:eastAsia="Arial" w:hAnsi="Arial"/>
                <w:sz w:val="13"/>
                <w:szCs w:val="13"/>
                <w:color w:val="auto"/>
              </w:rPr>
              <w:t>(In millions)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4"/>
            <w:vMerge w:val="restart"/>
          </w:tcPr>
          <w:p>
            <w:pPr>
              <w:jc w:val="center"/>
              <w:ind w:left="15"/>
              <w:spacing w:after="0"/>
              <w:rPr>
                <w:sz w:val="20"/>
                <w:szCs w:val="20"/>
                <w:color w:val="auto"/>
              </w:rPr>
            </w:pPr>
            <w:r>
              <w:rPr>
                <w:rFonts w:ascii="Arial" w:cs="Arial" w:eastAsia="Arial" w:hAnsi="Arial"/>
                <w:sz w:val="13"/>
                <w:szCs w:val="13"/>
                <w:b w:val="1"/>
                <w:bCs w:val="1"/>
                <w:color w:val="auto"/>
                <w:w w:val="91"/>
              </w:rPr>
              <w:t>Three Months Ended 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left="215"/>
              <w:spacing w:after="0" w:line="144" w:lineRule="exact"/>
              <w:rPr>
                <w:sz w:val="20"/>
                <w:szCs w:val="20"/>
                <w:color w:val="auto"/>
              </w:rPr>
            </w:pPr>
            <w:r>
              <w:rPr>
                <w:rFonts w:ascii="Arial" w:cs="Arial" w:eastAsia="Arial" w:hAnsi="Arial"/>
                <w:sz w:val="13"/>
                <w:szCs w:val="13"/>
                <w:b w:val="1"/>
                <w:bCs w:val="1"/>
                <w:color w:val="auto"/>
                <w:w w:val="93"/>
              </w:rPr>
              <w:t>Amount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Constant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ind w:left="195"/>
              <w:spacing w:after="0"/>
              <w:rPr>
                <w:sz w:val="20"/>
                <w:szCs w:val="20"/>
                <w:color w:val="auto"/>
              </w:rPr>
            </w:pPr>
            <w:r>
              <w:rPr>
                <w:rFonts w:ascii="Arial" w:cs="Arial" w:eastAsia="Arial" w:hAnsi="Arial"/>
                <w:sz w:val="13"/>
                <w:szCs w:val="13"/>
                <w:b w:val="1"/>
                <w:bCs w:val="1"/>
                <w:color w:val="auto"/>
                <w:w w:val="91"/>
              </w:rPr>
              <w:t>Reported</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00" w:type="dxa"/>
            <w:vAlign w:val="bottom"/>
            <w:gridSpan w:val="3"/>
          </w:tcPr>
          <w:p>
            <w:pPr>
              <w:jc w:val="center"/>
              <w:ind w:right="435"/>
              <w:spacing w:after="0"/>
              <w:rPr>
                <w:sz w:val="20"/>
                <w:szCs w:val="20"/>
                <w:color w:val="auto"/>
              </w:rPr>
            </w:pPr>
            <w:r>
              <w:rPr>
                <w:rFonts w:ascii="Arial" w:cs="Arial" w:eastAsia="Arial" w:hAnsi="Arial"/>
                <w:sz w:val="13"/>
                <w:szCs w:val="13"/>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tcPr>
          <w:p>
            <w:pPr>
              <w:ind w:left="60"/>
              <w:spacing w:after="0"/>
              <w:rPr>
                <w:sz w:val="20"/>
                <w:szCs w:val="20"/>
                <w:color w:val="auto"/>
              </w:rPr>
            </w:pPr>
            <w:r>
              <w:rPr>
                <w:rFonts w:ascii="Arial" w:cs="Arial" w:eastAsia="Arial" w:hAnsi="Arial"/>
                <w:sz w:val="13"/>
                <w:szCs w:val="13"/>
                <w:color w:val="auto"/>
              </w:rPr>
              <w:t>Americas:</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United States (b)</w:t>
            </w:r>
          </w:p>
        </w:tc>
        <w:tc>
          <w:tcPr>
            <w:tcW w:w="2880" w:type="dxa"/>
            <w:vAlign w:val="bottom"/>
            <w:gridSpan w:val="2"/>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761.8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760.8</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3520" w:type="dxa"/>
            <w:vAlign w:val="bottom"/>
          </w:tcPr>
          <w:p>
            <w:pPr>
              <w:ind w:left="200"/>
              <w:spacing w:after="0"/>
              <w:rPr>
                <w:sz w:val="20"/>
                <w:szCs w:val="20"/>
                <w:color w:val="auto"/>
              </w:rPr>
            </w:pPr>
            <w:r>
              <w:rPr>
                <w:rFonts w:ascii="Arial" w:cs="Arial" w:eastAsia="Arial" w:hAnsi="Arial"/>
                <w:sz w:val="13"/>
                <w:szCs w:val="13"/>
                <w:color w:val="auto"/>
              </w:rPr>
              <w:t>Other Americas</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382.0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388.3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1,143.8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1,149.1</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-0.5%</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6"/>
        </w:trPr>
        <w:tc>
          <w:tcPr>
            <w:tcW w:w="352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Southern Europe:</w:t>
            </w:r>
          </w:p>
        </w:tc>
        <w:tc>
          <w:tcPr>
            <w:tcW w:w="256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France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1,420.7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1,392.0</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3520" w:type="dxa"/>
            <w:vAlign w:val="bottom"/>
          </w:tcPr>
          <w:p>
            <w:pPr>
              <w:ind w:left="200"/>
              <w:spacing w:after="0"/>
              <w:rPr>
                <w:sz w:val="20"/>
                <w:szCs w:val="20"/>
                <w:color w:val="auto"/>
              </w:rPr>
            </w:pPr>
            <w:r>
              <w:rPr>
                <w:rFonts w:ascii="Arial" w:cs="Arial" w:eastAsia="Arial" w:hAnsi="Arial"/>
                <w:sz w:val="13"/>
                <w:szCs w:val="13"/>
                <w:color w:val="auto"/>
              </w:rPr>
              <w:t>Italy</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269.7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246.8</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Southern Europe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227.9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20.4%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1,918.3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1,828.0</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Northern Europe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1,448.1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1,426.9</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3520" w:type="dxa"/>
            <w:vAlign w:val="bottom"/>
          </w:tcPr>
          <w:p>
            <w:pPr>
              <w:ind w:left="60"/>
              <w:spacing w:after="0"/>
              <w:rPr>
                <w:sz w:val="20"/>
                <w:szCs w:val="20"/>
                <w:color w:val="auto"/>
              </w:rPr>
            </w:pPr>
            <w:r>
              <w:rPr>
                <w:rFonts w:ascii="Arial" w:cs="Arial" w:eastAsia="Arial" w:hAnsi="Arial"/>
                <w:sz w:val="13"/>
                <w:szCs w:val="13"/>
                <w:color w:val="auto"/>
              </w:rPr>
              <w:t>APME</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601.4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688.2</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87"/>
              </w:rPr>
              <w:t>-12.6%</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Right Management</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80.1</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5,188.8</w:t>
            </w: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92"/>
              </w:rPr>
              <w:t>5,172.3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Unit Profit: (a)</w:t>
            </w:r>
          </w:p>
        </w:tc>
        <w:tc>
          <w:tcPr>
            <w:tcW w:w="2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520" w:type="dxa"/>
            <w:vAlign w:val="bottom"/>
          </w:tcPr>
          <w:p>
            <w:pPr>
              <w:ind w:left="60"/>
              <w:spacing w:after="0"/>
              <w:rPr>
                <w:sz w:val="20"/>
                <w:szCs w:val="20"/>
                <w:color w:val="auto"/>
              </w:rPr>
            </w:pPr>
            <w:r>
              <w:rPr>
                <w:rFonts w:ascii="Arial" w:cs="Arial" w:eastAsia="Arial" w:hAnsi="Arial"/>
                <w:sz w:val="13"/>
                <w:szCs w:val="13"/>
                <w:color w:val="auto"/>
              </w:rPr>
              <w:t>Americas:</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United States</w:t>
            </w:r>
          </w:p>
        </w:tc>
        <w:tc>
          <w:tcPr>
            <w:tcW w:w="2880" w:type="dxa"/>
            <w:vAlign w:val="bottom"/>
            <w:gridSpan w:val="2"/>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24.5</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39.8%</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57"/>
        </w:trPr>
        <w:tc>
          <w:tcPr>
            <w:tcW w:w="3520" w:type="dxa"/>
            <w:vAlign w:val="bottom"/>
          </w:tcPr>
          <w:p>
            <w:pPr>
              <w:ind w:left="200"/>
              <w:spacing w:after="0"/>
              <w:rPr>
                <w:sz w:val="20"/>
                <w:szCs w:val="20"/>
                <w:color w:val="auto"/>
              </w:rPr>
            </w:pPr>
            <w:r>
              <w:rPr>
                <w:rFonts w:ascii="Arial" w:cs="Arial" w:eastAsia="Arial" w:hAnsi="Arial"/>
                <w:sz w:val="13"/>
                <w:szCs w:val="13"/>
                <w:color w:val="auto"/>
              </w:rPr>
              <w:t>Other Americas</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10.9</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4.9%</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35.4</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29.1%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6"/>
        </w:trPr>
        <w:tc>
          <w:tcPr>
            <w:tcW w:w="352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Southern Europe:</w:t>
            </w:r>
          </w:p>
        </w:tc>
        <w:tc>
          <w:tcPr>
            <w:tcW w:w="256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France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36.4</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60.7%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57"/>
        </w:trPr>
        <w:tc>
          <w:tcPr>
            <w:tcW w:w="3520" w:type="dxa"/>
            <w:vAlign w:val="bottom"/>
          </w:tcPr>
          <w:p>
            <w:pPr>
              <w:ind w:left="200"/>
              <w:spacing w:after="0"/>
              <w:rPr>
                <w:sz w:val="20"/>
                <w:szCs w:val="20"/>
                <w:color w:val="auto"/>
              </w:rPr>
            </w:pPr>
            <w:r>
              <w:rPr>
                <w:rFonts w:ascii="Arial" w:cs="Arial" w:eastAsia="Arial" w:hAnsi="Arial"/>
                <w:sz w:val="13"/>
                <w:szCs w:val="13"/>
                <w:color w:val="auto"/>
              </w:rPr>
              <w:t>Italy</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14.4%</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Southern Europe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79.8%</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48.0</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52.5%</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Northern Europe</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42.5</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18.3%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3520" w:type="dxa"/>
            <w:vAlign w:val="bottom"/>
          </w:tcPr>
          <w:p>
            <w:pPr>
              <w:ind w:left="60"/>
              <w:spacing w:after="0"/>
              <w:rPr>
                <w:sz w:val="20"/>
                <w:szCs w:val="20"/>
                <w:color w:val="auto"/>
              </w:rPr>
            </w:pPr>
            <w:r>
              <w:rPr>
                <w:rFonts w:ascii="Arial" w:cs="Arial" w:eastAsia="Arial" w:hAnsi="Arial"/>
                <w:sz w:val="13"/>
                <w:szCs w:val="13"/>
                <w:color w:val="auto"/>
              </w:rPr>
              <w:t>APME</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20.8</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-7.2%</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Right Management</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7"/>
              </w:rPr>
              <w:t>-20.9%</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192.8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152.3</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Corporate expenses</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(24.5)</w:t>
            </w: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tcPr>
          <w:p>
            <w:pPr>
              <w:spacing w:after="0"/>
              <w:rPr>
                <w:sz w:val="20"/>
                <w:szCs w:val="20"/>
                <w:color w:val="auto"/>
              </w:rPr>
            </w:pPr>
            <w:r>
              <w:rPr>
                <w:rFonts w:ascii="Arial" w:cs="Arial" w:eastAsia="Arial" w:hAnsi="Arial"/>
                <w:sz w:val="13"/>
                <w:szCs w:val="13"/>
                <w:color w:val="auto"/>
              </w:rPr>
              <w:t>Intangible asset amortization expense</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(9.2)</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profit</w:t>
            </w:r>
          </w:p>
        </w:tc>
        <w:tc>
          <w:tcPr>
            <w:tcW w:w="2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162.4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118.6</w:t>
            </w:r>
          </w:p>
        </w:tc>
        <w:tc>
          <w:tcPr>
            <w:tcW w:w="8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37.1%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7"/>
        </w:trPr>
        <w:tc>
          <w:tcPr>
            <w:tcW w:w="3520" w:type="dxa"/>
            <w:vAlign w:val="bottom"/>
          </w:tcPr>
          <w:p>
            <w:pPr>
              <w:spacing w:after="0"/>
              <w:rPr>
                <w:sz w:val="20"/>
                <w:szCs w:val="20"/>
                <w:color w:val="auto"/>
              </w:rPr>
            </w:pPr>
            <w:r>
              <w:rPr>
                <w:rFonts w:ascii="Arial" w:cs="Arial" w:eastAsia="Arial" w:hAnsi="Arial"/>
                <w:sz w:val="13"/>
                <w:szCs w:val="13"/>
                <w:color w:val="auto"/>
              </w:rPr>
              <w:t>Interest and other expenses (c)</w:t>
            </w: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(10.1)</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before income taxes</w:t>
            </w:r>
          </w:p>
        </w:tc>
        <w:tc>
          <w:tcPr>
            <w:tcW w:w="25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 w:right="180" w:hanging="2"/>
        <w:spacing w:after="0" w:line="257"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39" w:lineRule="exact"/>
        <w:rPr>
          <w:rFonts w:ascii="Arial" w:cs="Arial" w:eastAsia="Arial" w:hAnsi="Arial"/>
          <w:sz w:val="13"/>
          <w:szCs w:val="13"/>
          <w:color w:val="auto"/>
        </w:rPr>
      </w:pPr>
    </w:p>
    <w:p>
      <w:pPr>
        <w:ind w:left="2" w:right="220" w:hanging="2"/>
        <w:spacing w:after="0" w:line="318" w:lineRule="auto"/>
        <w:tabs>
          <w:tab w:leader="none" w:pos="186"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United States, revenues from services include fees received from our franchise offices of $4.2 million and $3.9 million for the three months ended September 30, 2013 and 2012, respectively. These fees are primarily based on revenues generated by the franchise offices, which were $181.6 million and $175.8 million for the three months ended September 30, 2013 and 2012, respectively.</w:t>
      </w:r>
    </w:p>
    <w:p>
      <w:pPr>
        <w:spacing w:after="0" w:line="100"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6080" w:type="dxa"/>
            <w:vAlign w:val="bottom"/>
          </w:tcPr>
          <w:p>
            <w:pPr>
              <w:spacing w:after="0"/>
              <w:rPr>
                <w:sz w:val="20"/>
                <w:szCs w:val="20"/>
                <w:color w:val="auto"/>
              </w:rPr>
            </w:pPr>
            <w:r>
              <w:rPr>
                <w:rFonts w:ascii="Arial" w:cs="Arial" w:eastAsia="Arial" w:hAnsi="Arial"/>
                <w:sz w:val="13"/>
                <w:szCs w:val="13"/>
                <w:color w:val="auto"/>
              </w:rPr>
              <w:t>(c) The components of interest and other expenses were:</w:t>
            </w:r>
          </w:p>
        </w:tc>
        <w:tc>
          <w:tcPr>
            <w:tcW w:w="4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2012</w:t>
            </w:r>
          </w:p>
        </w:tc>
        <w:tc>
          <w:tcPr>
            <w:tcW w:w="282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57"/>
        </w:trPr>
        <w:tc>
          <w:tcPr>
            <w:tcW w:w="6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expense</w:t>
            </w: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500" w:type="dxa"/>
            <w:vAlign w:val="bottom"/>
            <w:gridSpan w:val="2"/>
            <w:shd w:val="clear" w:color="auto" w:fill="CCEEFF"/>
          </w:tcPr>
          <w:p>
            <w:pPr>
              <w:jc w:val="right"/>
              <w:ind w:right="2820"/>
              <w:spacing w:after="0"/>
              <w:rPr>
                <w:sz w:val="20"/>
                <w:szCs w:val="20"/>
                <w:color w:val="auto"/>
              </w:rPr>
            </w:pPr>
            <w:r>
              <w:rPr>
                <w:rFonts w:ascii="Arial" w:cs="Arial" w:eastAsia="Arial" w:hAnsi="Arial"/>
                <w:sz w:val="13"/>
                <w:szCs w:val="13"/>
                <w:color w:val="auto"/>
              </w:rPr>
              <w:t>10.3</w:t>
            </w:r>
          </w:p>
        </w:tc>
      </w:tr>
      <w:tr>
        <w:trPr>
          <w:trHeight w:val="157"/>
        </w:trPr>
        <w:tc>
          <w:tcPr>
            <w:tcW w:w="608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4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gridSpan w:val="2"/>
          </w:tcPr>
          <w:p>
            <w:pPr>
              <w:jc w:val="right"/>
              <w:ind w:right="2780"/>
              <w:spacing w:after="0"/>
              <w:rPr>
                <w:sz w:val="20"/>
                <w:szCs w:val="20"/>
                <w:color w:val="auto"/>
              </w:rPr>
            </w:pPr>
            <w:r>
              <w:rPr>
                <w:rFonts w:ascii="Arial" w:cs="Arial" w:eastAsia="Arial" w:hAnsi="Arial"/>
                <w:sz w:val="13"/>
                <w:szCs w:val="13"/>
                <w:color w:val="auto"/>
              </w:rPr>
              <w:t>(1.5)</w:t>
            </w:r>
          </w:p>
        </w:tc>
      </w:tr>
      <w:tr>
        <w:trPr>
          <w:trHeight w:val="157"/>
        </w:trPr>
        <w:tc>
          <w:tcPr>
            <w:tcW w:w="6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Foreign exchange (gain) loss</w:t>
            </w:r>
          </w:p>
        </w:tc>
        <w:tc>
          <w:tcPr>
            <w:tcW w:w="4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820" w:type="dxa"/>
            <w:vAlign w:val="bottom"/>
            <w:shd w:val="clear" w:color="auto" w:fill="CCEEFF"/>
          </w:tcPr>
          <w:p>
            <w:pPr>
              <w:spacing w:after="0"/>
              <w:rPr>
                <w:sz w:val="13"/>
                <w:szCs w:val="13"/>
                <w:color w:val="auto"/>
              </w:rPr>
            </w:pPr>
          </w:p>
        </w:tc>
      </w:tr>
      <w:tr>
        <w:trPr>
          <w:trHeight w:val="157"/>
        </w:trPr>
        <w:tc>
          <w:tcPr>
            <w:tcW w:w="6080" w:type="dxa"/>
            <w:vAlign w:val="bottom"/>
          </w:tcPr>
          <w:p>
            <w:pPr>
              <w:ind w:left="260"/>
              <w:spacing w:after="0"/>
              <w:rPr>
                <w:sz w:val="20"/>
                <w:szCs w:val="20"/>
                <w:color w:val="auto"/>
              </w:rPr>
            </w:pPr>
            <w:r>
              <w:rPr>
                <w:rFonts w:ascii="Arial" w:cs="Arial" w:eastAsia="Arial" w:hAnsi="Arial"/>
                <w:sz w:val="13"/>
                <w:szCs w:val="13"/>
                <w:color w:val="auto"/>
              </w:rPr>
              <w:t>Miscellaneous (income) expense, net</w:t>
            </w:r>
          </w:p>
        </w:tc>
        <w:tc>
          <w:tcPr>
            <w:tcW w:w="4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282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500" w:type="dxa"/>
            <w:vAlign w:val="bottom"/>
            <w:gridSpan w:val="2"/>
            <w:shd w:val="clear" w:color="auto" w:fill="CCEEFF"/>
          </w:tcPr>
          <w:p>
            <w:pPr>
              <w:jc w:val="right"/>
              <w:ind w:right="2820"/>
              <w:spacing w:after="0"/>
              <w:rPr>
                <w:sz w:val="20"/>
                <w:szCs w:val="20"/>
                <w:color w:val="auto"/>
              </w:rPr>
            </w:pPr>
            <w:r>
              <w:rPr>
                <w:rFonts w:ascii="Arial" w:cs="Arial" w:eastAsia="Arial" w:hAnsi="Arial"/>
                <w:sz w:val="13"/>
                <w:szCs w:val="13"/>
                <w:color w:val="auto"/>
              </w:rPr>
              <w:t>10.1</w:t>
            </w:r>
          </w:p>
        </w:tc>
      </w:tr>
      <w:tr>
        <w:trPr>
          <w:trHeight w:val="346"/>
        </w:trPr>
        <w:tc>
          <w:tcPr>
            <w:tcW w:w="60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2"/>
          </w:cols>
          <w:pgMar w:left="218" w:top="299" w:right="219" w:bottom="1440" w:gutter="0" w:footer="0" w:header="0"/>
        </w:sectPr>
      </w:pPr>
    </w:p>
    <w:bookmarkStart w:id="8" w:name="page9"/>
    <w:bookmarkEnd w:id="8"/>
    <w:p>
      <w:pPr>
        <w:jc w:val="center"/>
        <w:ind w:right="98"/>
        <w:spacing w:after="0"/>
        <w:rPr>
          <w:sz w:val="20"/>
          <w:szCs w:val="20"/>
          <w:color w:val="auto"/>
        </w:rPr>
      </w:pPr>
      <w:r>
        <w:rPr>
          <w:rFonts w:ascii="Arial" w:cs="Arial" w:eastAsia="Arial" w:hAnsi="Arial"/>
          <w:sz w:val="16"/>
          <w:szCs w:val="16"/>
          <w:color w:val="auto"/>
        </w:rPr>
        <w:t>ManpowerGroup</w:t>
      </w:r>
    </w:p>
    <w:p>
      <w:pPr>
        <w:spacing w:after="0" w:line="10"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Results of Operations</w:t>
      </w:r>
    </w:p>
    <w:p>
      <w:pPr>
        <w:spacing w:after="0" w:line="5"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(In millions, except per share data)</w:t>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left="15"/>
              <w:spacing w:after="0"/>
              <w:rPr>
                <w:sz w:val="20"/>
                <w:szCs w:val="20"/>
                <w:color w:val="auto"/>
              </w:rPr>
            </w:pPr>
            <w:r>
              <w:rPr>
                <w:rFonts w:ascii="Arial" w:cs="Arial" w:eastAsia="Arial" w:hAnsi="Arial"/>
                <w:sz w:val="13"/>
                <w:szCs w:val="13"/>
                <w:b w:val="1"/>
                <w:bCs w:val="1"/>
                <w:color w:val="auto"/>
                <w:w w:val="91"/>
              </w:rPr>
              <w:t>Nine Months Ended September 30</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3"/>
        </w:trPr>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Constant</w:t>
            </w:r>
          </w:p>
        </w:tc>
        <w:tc>
          <w:tcPr>
            <w:tcW w:w="100" w:type="dxa"/>
            <w:vAlign w:val="bottom"/>
          </w:tcPr>
          <w:p>
            <w:pPr>
              <w:spacing w:after="0"/>
              <w:rPr>
                <w:sz w:val="12"/>
                <w:szCs w:val="12"/>
                <w:color w:val="auto"/>
              </w:rPr>
            </w:pPr>
          </w:p>
        </w:tc>
      </w:tr>
      <w:tr>
        <w:trPr>
          <w:trHeight w:val="169"/>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00" w:type="dxa"/>
            <w:vAlign w:val="bottom"/>
          </w:tcPr>
          <w:p>
            <w:pPr>
              <w:spacing w:after="0"/>
              <w:rPr>
                <w:sz w:val="14"/>
                <w:szCs w:val="14"/>
                <w:color w:val="auto"/>
              </w:rPr>
            </w:pPr>
          </w:p>
        </w:tc>
      </w:tr>
      <w:tr>
        <w:trPr>
          <w:trHeight w:val="157"/>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left="615"/>
              <w:spacing w:after="0"/>
              <w:rPr>
                <w:sz w:val="20"/>
                <w:szCs w:val="20"/>
                <w:color w:val="auto"/>
              </w:rPr>
            </w:pPr>
            <w:r>
              <w:rPr>
                <w:rFonts w:ascii="Arial" w:cs="Arial" w:eastAsia="Arial" w:hAnsi="Arial"/>
                <w:sz w:val="13"/>
                <w:szCs w:val="13"/>
                <w:color w:val="auto"/>
                <w:w w:val="94"/>
              </w:rPr>
              <w:t>(Unaudited)</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08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 (a)</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14,998.4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15,475.4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Cost of services</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12,518.3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12,910.1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20"/>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Gross profit</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2,480.1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2,565.3</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2,135.2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2,258.5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20"/>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Operating profit</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344.9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Interest and other expenses</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33.2</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-17.8%</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Earnings before income taxes</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157"/>
        </w:trPr>
        <w:tc>
          <w:tcPr>
            <w:tcW w:w="60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26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130.9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129.3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0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earnings</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29.5%</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30.8%</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36"/>
        </w:trPr>
        <w:tc>
          <w:tcPr>
            <w:tcW w:w="6080" w:type="dxa"/>
            <w:vAlign w:val="bottom"/>
          </w:tcPr>
          <w:p>
            <w:pPr>
              <w:spacing w:after="0" w:line="136" w:lineRule="exact"/>
              <w:rPr>
                <w:sz w:val="20"/>
                <w:szCs w:val="20"/>
                <w:color w:val="auto"/>
              </w:rPr>
            </w:pPr>
            <w:r>
              <w:rPr>
                <w:rFonts w:ascii="Arial" w:cs="Arial" w:eastAsia="Arial" w:hAnsi="Arial"/>
                <w:sz w:val="13"/>
                <w:szCs w:val="13"/>
                <w:color w:val="auto"/>
              </w:rPr>
              <w:t>Net earnings per share - basic</w:t>
            </w:r>
          </w:p>
        </w:tc>
        <w:tc>
          <w:tcPr>
            <w:tcW w:w="260" w:type="dxa"/>
            <w:vAlign w:val="bottom"/>
          </w:tcPr>
          <w:p>
            <w:pPr>
              <w:jc w:val="right"/>
              <w:ind w:right="115"/>
              <w:spacing w:after="0" w:line="136"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2.41</w:t>
            </w:r>
          </w:p>
        </w:tc>
        <w:tc>
          <w:tcPr>
            <w:tcW w:w="3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1.81</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33.1%</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earnings per share - diluted</w:t>
            </w:r>
          </w:p>
        </w:tc>
        <w:tc>
          <w:tcPr>
            <w:tcW w:w="260" w:type="dxa"/>
            <w:vAlign w:val="bottom"/>
            <w:shd w:val="clear" w:color="auto" w:fill="CCEEFF"/>
          </w:tcPr>
          <w:p>
            <w:pPr>
              <w:jc w:val="right"/>
              <w:ind w:right="115"/>
              <w:spacing w:after="0" w:line="136" w:lineRule="exact"/>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2.36</w:t>
            </w:r>
          </w:p>
        </w:tc>
        <w:tc>
          <w:tcPr>
            <w:tcW w:w="3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1.79</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31.8%</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33.0%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36"/>
        </w:trPr>
        <w:tc>
          <w:tcPr>
            <w:tcW w:w="6080" w:type="dxa"/>
            <w:vAlign w:val="bottom"/>
          </w:tcPr>
          <w:p>
            <w:pPr>
              <w:spacing w:after="0" w:line="136" w:lineRule="exact"/>
              <w:rPr>
                <w:sz w:val="20"/>
                <w:szCs w:val="20"/>
                <w:color w:val="auto"/>
              </w:rPr>
            </w:pPr>
            <w:r>
              <w:rPr>
                <w:rFonts w:ascii="Arial" w:cs="Arial" w:eastAsia="Arial" w:hAnsi="Arial"/>
                <w:sz w:val="13"/>
                <w:szCs w:val="13"/>
                <w:color w:val="auto"/>
              </w:rPr>
              <w:t>Weighted average shares - basic</w:t>
            </w:r>
          </w:p>
        </w:tc>
        <w:tc>
          <w:tcPr>
            <w:tcW w:w="260" w:type="dxa"/>
            <w:vAlign w:val="bottom"/>
          </w:tcPr>
          <w:p>
            <w:pPr>
              <w:spacing w:after="0"/>
              <w:rPr>
                <w:sz w:val="11"/>
                <w:szCs w:val="11"/>
                <w:color w:val="auto"/>
              </w:rPr>
            </w:pPr>
          </w:p>
        </w:tc>
        <w:tc>
          <w:tcPr>
            <w:tcW w:w="10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77.6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79.9</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-2.9%</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Weighted average shares - diluted</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79.2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80.6</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-1.7%</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2" w:right="180" w:hanging="2"/>
        <w:spacing w:after="0" w:line="275" w:lineRule="auto"/>
        <w:tabs>
          <w:tab w:leader="none" w:pos="179"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$18.0 million and $17.9 million for the nine months ended September 30, 2013 and 2012, respectively. These fees are primarily based on revenues generated by the franchise offices, which were $792.4 million and $794.4 million for the nine months ended September 30,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29107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7" w:right="219" w:bottom="1440" w:gutter="0" w:footer="0" w:header="0"/>
        </w:sectPr>
      </w:pPr>
    </w:p>
    <w:bookmarkStart w:id="9" w:name="page10"/>
    <w:bookmarkEnd w:id="9"/>
    <w:p>
      <w:pPr>
        <w:jc w:val="center"/>
        <w:ind w:right="98"/>
        <w:spacing w:after="0"/>
        <w:rPr>
          <w:sz w:val="20"/>
          <w:szCs w:val="20"/>
          <w:color w:val="auto"/>
        </w:rPr>
      </w:pPr>
      <w:r>
        <w:rPr>
          <w:rFonts w:ascii="Arial" w:cs="Arial" w:eastAsia="Arial" w:hAnsi="Arial"/>
          <w:sz w:val="16"/>
          <w:szCs w:val="16"/>
          <w:color w:val="auto"/>
        </w:rPr>
        <w:t>ManpowerGroup</w:t>
      </w:r>
    </w:p>
    <w:p>
      <w:pPr>
        <w:spacing w:after="0" w:line="10"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Operating Unit Results</w:t>
      </w:r>
    </w:p>
    <w:p>
      <w:pPr>
        <w:spacing w:after="0" w:line="5" w:lineRule="exact"/>
        <w:rPr>
          <w:sz w:val="20"/>
          <w:szCs w:val="20"/>
          <w:color w:val="auto"/>
        </w:rPr>
      </w:pPr>
    </w:p>
    <w:tbl>
      <w:tblPr>
        <w:tblLayout w:type="fixed"/>
        <w:tblInd w:w="2"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2680" w:type="dxa"/>
            <w:vAlign w:val="bottom"/>
            <w:gridSpan w:val="2"/>
          </w:tcPr>
          <w:p>
            <w:pPr>
              <w:jc w:val="right"/>
              <w:ind w:right="275"/>
              <w:spacing w:after="0"/>
              <w:rPr>
                <w:sz w:val="20"/>
                <w:szCs w:val="20"/>
                <w:color w:val="auto"/>
              </w:rPr>
            </w:pPr>
            <w:r>
              <w:rPr>
                <w:rFonts w:ascii="Arial" w:cs="Arial" w:eastAsia="Arial" w:hAnsi="Arial"/>
                <w:sz w:val="13"/>
                <w:szCs w:val="13"/>
                <w:color w:val="auto"/>
              </w:rPr>
              <w:t>(In millions)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vMerge w:val="restart"/>
          </w:tcPr>
          <w:p>
            <w:pPr>
              <w:jc w:val="center"/>
              <w:ind w:left="15"/>
              <w:spacing w:after="0"/>
              <w:rPr>
                <w:sz w:val="20"/>
                <w:szCs w:val="20"/>
                <w:color w:val="auto"/>
              </w:rPr>
            </w:pPr>
            <w:r>
              <w:rPr>
                <w:rFonts w:ascii="Arial" w:cs="Arial" w:eastAsia="Arial" w:hAnsi="Arial"/>
                <w:sz w:val="13"/>
                <w:szCs w:val="13"/>
                <w:b w:val="1"/>
                <w:bCs w:val="1"/>
                <w:color w:val="auto"/>
                <w:w w:val="91"/>
              </w:rPr>
              <w:t>Nine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Constant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left="615"/>
              <w:spacing w:after="0"/>
              <w:rPr>
                <w:sz w:val="20"/>
                <w:szCs w:val="20"/>
                <w:color w:val="auto"/>
              </w:rPr>
            </w:pPr>
            <w:r>
              <w:rPr>
                <w:rFonts w:ascii="Arial" w:cs="Arial" w:eastAsia="Arial" w:hAnsi="Arial"/>
                <w:sz w:val="13"/>
                <w:szCs w:val="13"/>
                <w:color w:val="auto"/>
                <w:w w:val="94"/>
              </w:rPr>
              <w:t>(Unaudited)</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tcPr>
          <w:p>
            <w:pPr>
              <w:ind w:left="60"/>
              <w:spacing w:after="0"/>
              <w:rPr>
                <w:sz w:val="20"/>
                <w:szCs w:val="20"/>
                <w:color w:val="auto"/>
              </w:rPr>
            </w:pPr>
            <w:r>
              <w:rPr>
                <w:rFonts w:ascii="Arial" w:cs="Arial" w:eastAsia="Arial" w:hAnsi="Arial"/>
                <w:sz w:val="13"/>
                <w:szCs w:val="13"/>
                <w:color w:val="auto"/>
              </w:rPr>
              <w:t>Americas:</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United States (b)</w:t>
            </w:r>
          </w:p>
        </w:tc>
        <w:tc>
          <w:tcPr>
            <w:tcW w:w="2680" w:type="dxa"/>
            <w:vAlign w:val="bottom"/>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2,216.4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2,259.8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3660" w:type="dxa"/>
            <w:vAlign w:val="bottom"/>
          </w:tcPr>
          <w:p>
            <w:pPr>
              <w:ind w:left="200"/>
              <w:spacing w:after="0"/>
              <w:rPr>
                <w:sz w:val="20"/>
                <w:szCs w:val="20"/>
                <w:color w:val="auto"/>
              </w:rPr>
            </w:pPr>
            <w:r>
              <w:rPr>
                <w:rFonts w:ascii="Arial" w:cs="Arial" w:eastAsia="Arial" w:hAnsi="Arial"/>
                <w:sz w:val="13"/>
                <w:szCs w:val="13"/>
                <w:color w:val="auto"/>
              </w:rPr>
              <w:t>Other Americas</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1,156.1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3,372.5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3,439.8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Southern Europe:</w:t>
            </w:r>
          </w:p>
        </w:tc>
        <w:tc>
          <w:tcPr>
            <w:tcW w:w="24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France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3,886.5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4,111.4</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3660" w:type="dxa"/>
            <w:vAlign w:val="bottom"/>
          </w:tcPr>
          <w:p>
            <w:pPr>
              <w:ind w:left="200"/>
              <w:spacing w:after="0"/>
              <w:rPr>
                <w:sz w:val="20"/>
                <w:szCs w:val="20"/>
                <w:color w:val="auto"/>
              </w:rPr>
            </w:pPr>
            <w:r>
              <w:rPr>
                <w:rFonts w:ascii="Arial" w:cs="Arial" w:eastAsia="Arial" w:hAnsi="Arial"/>
                <w:sz w:val="13"/>
                <w:szCs w:val="13"/>
                <w:color w:val="auto"/>
              </w:rPr>
              <w:t>Italy</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806.0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2.2%</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Southern Europe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624.3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574.5</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5,316.8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5,474.2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Northern Europe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4,217.2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4,286.7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3660" w:type="dxa"/>
            <w:vAlign w:val="bottom"/>
          </w:tcPr>
          <w:p>
            <w:pPr>
              <w:ind w:left="60"/>
              <w:spacing w:after="0"/>
              <w:rPr>
                <w:sz w:val="20"/>
                <w:szCs w:val="20"/>
                <w:color w:val="auto"/>
              </w:rPr>
            </w:pPr>
            <w:r>
              <w:rPr>
                <w:rFonts w:ascii="Arial" w:cs="Arial" w:eastAsia="Arial" w:hAnsi="Arial"/>
                <w:sz w:val="13"/>
                <w:szCs w:val="13"/>
                <w:color w:val="auto"/>
              </w:rPr>
              <w:t>APME</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1,857.2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2,031.1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-8.6%</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Right Management</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14,998.4</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15,475.4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Unit Profit: (a)</w:t>
            </w:r>
          </w:p>
        </w:tc>
        <w:tc>
          <w:tcPr>
            <w:tcW w:w="2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60" w:type="dxa"/>
            <w:vAlign w:val="bottom"/>
          </w:tcPr>
          <w:p>
            <w:pPr>
              <w:ind w:left="60"/>
              <w:spacing w:after="0"/>
              <w:rPr>
                <w:sz w:val="20"/>
                <w:szCs w:val="20"/>
                <w:color w:val="auto"/>
              </w:rPr>
            </w:pPr>
            <w:r>
              <w:rPr>
                <w:rFonts w:ascii="Arial" w:cs="Arial" w:eastAsia="Arial" w:hAnsi="Arial"/>
                <w:sz w:val="13"/>
                <w:szCs w:val="13"/>
                <w:color w:val="auto"/>
              </w:rPr>
              <w:t>Americas:</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United States</w:t>
            </w:r>
          </w:p>
        </w:tc>
        <w:tc>
          <w:tcPr>
            <w:tcW w:w="2680" w:type="dxa"/>
            <w:vAlign w:val="bottom"/>
            <w:gridSpan w:val="2"/>
            <w:shd w:val="clear" w:color="auto" w:fill="CCEEFF"/>
          </w:tcPr>
          <w:p>
            <w:pPr>
              <w:jc w:val="right"/>
              <w:ind w:right="115"/>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39.1</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84.8%</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57"/>
        </w:trPr>
        <w:tc>
          <w:tcPr>
            <w:tcW w:w="3660" w:type="dxa"/>
            <w:vAlign w:val="bottom"/>
          </w:tcPr>
          <w:p>
            <w:pPr>
              <w:ind w:left="200"/>
              <w:spacing w:after="0"/>
              <w:rPr>
                <w:sz w:val="20"/>
                <w:szCs w:val="20"/>
                <w:color w:val="auto"/>
              </w:rPr>
            </w:pPr>
            <w:r>
              <w:rPr>
                <w:rFonts w:ascii="Arial" w:cs="Arial" w:eastAsia="Arial" w:hAnsi="Arial"/>
                <w:sz w:val="13"/>
                <w:szCs w:val="13"/>
                <w:color w:val="auto"/>
              </w:rPr>
              <w:t>Other Americas</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36.7</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-12.9%</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56"/>
        </w:trPr>
        <w:tc>
          <w:tcPr>
            <w:tcW w:w="3660" w:type="dxa"/>
            <w:vAlign w:val="bottom"/>
            <w:tcBorders>
              <w:top w:val="single" w:sz="8" w:color="CCEEFF"/>
            </w:tcBorders>
          </w:tcPr>
          <w:p>
            <w:pPr>
              <w:ind w:left="60"/>
              <w:spacing w:after="0"/>
              <w:rPr>
                <w:sz w:val="20"/>
                <w:szCs w:val="20"/>
                <w:color w:val="auto"/>
              </w:rPr>
            </w:pPr>
            <w:r>
              <w:rPr>
                <w:rFonts w:ascii="Arial" w:cs="Arial" w:eastAsia="Arial" w:hAnsi="Arial"/>
                <w:sz w:val="13"/>
                <w:szCs w:val="13"/>
                <w:color w:val="auto"/>
              </w:rPr>
              <w:t>Southern Europe:</w:t>
            </w:r>
          </w:p>
        </w:tc>
        <w:tc>
          <w:tcPr>
            <w:tcW w:w="24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France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93.9</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57"/>
        </w:trPr>
        <w:tc>
          <w:tcPr>
            <w:tcW w:w="3660" w:type="dxa"/>
            <w:vAlign w:val="bottom"/>
          </w:tcPr>
          <w:p>
            <w:pPr>
              <w:ind w:left="200"/>
              <w:spacing w:after="0"/>
              <w:rPr>
                <w:sz w:val="20"/>
                <w:szCs w:val="20"/>
                <w:color w:val="auto"/>
              </w:rPr>
            </w:pPr>
            <w:r>
              <w:rPr>
                <w:rFonts w:ascii="Arial" w:cs="Arial" w:eastAsia="Arial" w:hAnsi="Arial"/>
                <w:sz w:val="13"/>
                <w:szCs w:val="13"/>
                <w:color w:val="auto"/>
              </w:rPr>
              <w:t>Italy</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36.5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Southern Europe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-13.5%</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173.6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139.1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24.8%</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Northern Europe</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-25.1%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57"/>
        </w:trPr>
        <w:tc>
          <w:tcPr>
            <w:tcW w:w="3660" w:type="dxa"/>
            <w:vAlign w:val="bottom"/>
          </w:tcPr>
          <w:p>
            <w:pPr>
              <w:ind w:left="60"/>
              <w:spacing w:after="0"/>
              <w:rPr>
                <w:sz w:val="20"/>
                <w:szCs w:val="20"/>
                <w:color w:val="auto"/>
              </w:rPr>
            </w:pPr>
            <w:r>
              <w:rPr>
                <w:rFonts w:ascii="Arial" w:cs="Arial" w:eastAsia="Arial" w:hAnsi="Arial"/>
                <w:sz w:val="13"/>
                <w:szCs w:val="13"/>
                <w:color w:val="auto"/>
              </w:rPr>
              <w:t>APME</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62.2</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-12.8%</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Right Management</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168.6%</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440.1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407.9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Corporate expenses</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(73.7)</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Intangible asset amortization expense</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(27.4)</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profit</w:t>
            </w:r>
          </w:p>
        </w:tc>
        <w:tc>
          <w:tcPr>
            <w:tcW w:w="2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Interest and other expenses (c)</w:t>
            </w: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(33.2)</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before income taxes</w:t>
            </w:r>
          </w:p>
        </w:tc>
        <w:tc>
          <w:tcPr>
            <w:tcW w:w="24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 w:right="180" w:hanging="2"/>
        <w:spacing w:after="0" w:line="257" w:lineRule="auto"/>
        <w:tabs>
          <w:tab w:leader="none" w:pos="179"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39" w:lineRule="exact"/>
        <w:rPr>
          <w:rFonts w:ascii="Arial" w:cs="Arial" w:eastAsia="Arial" w:hAnsi="Arial"/>
          <w:sz w:val="13"/>
          <w:szCs w:val="13"/>
          <w:color w:val="auto"/>
        </w:rPr>
      </w:pPr>
    </w:p>
    <w:p>
      <w:pPr>
        <w:ind w:left="2" w:right="140" w:hanging="2"/>
        <w:spacing w:after="0" w:line="318" w:lineRule="auto"/>
        <w:tabs>
          <w:tab w:leader="none" w:pos="186"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the United States, revenues from services include fees received from our franchise offices of $11.2 million and $10.9 million for the nine months ended September 30, 2013 and 2012, respectively. These fees are primarily based on revenues generated by the franchise offices, which were $512.0 million and $520.8 million for the nine months ended September 30, 2013 and 2012, respectively.</w:t>
      </w:r>
    </w:p>
    <w:p>
      <w:pPr>
        <w:spacing w:after="0" w:line="100" w:lineRule="exact"/>
        <w:rPr>
          <w:sz w:val="20"/>
          <w:szCs w:val="20"/>
          <w:color w:val="auto"/>
        </w:rPr>
      </w:pPr>
    </w:p>
    <w:tbl>
      <w:tblPr>
        <w:tblLayout w:type="fixed"/>
        <w:tblInd w:w="2" w:type="dxa"/>
        <w:tblCellMar>
          <w:top w:w="0" w:type="dxa"/>
          <w:left w:w="0" w:type="dxa"/>
          <w:bottom w:w="0" w:type="dxa"/>
          <w:right w:w="0" w:type="dxa"/>
        </w:tblCellMar>
      </w:tblPr>
      <w:tr>
        <w:trPr>
          <w:trHeight w:val="169"/>
        </w:trPr>
        <w:tc>
          <w:tcPr>
            <w:tcW w:w="6080" w:type="dxa"/>
            <w:vAlign w:val="bottom"/>
          </w:tcPr>
          <w:p>
            <w:pPr>
              <w:spacing w:after="0"/>
              <w:rPr>
                <w:sz w:val="20"/>
                <w:szCs w:val="20"/>
                <w:color w:val="auto"/>
              </w:rPr>
            </w:pPr>
            <w:r>
              <w:rPr>
                <w:rFonts w:ascii="Arial" w:cs="Arial" w:eastAsia="Arial" w:hAnsi="Arial"/>
                <w:sz w:val="13"/>
                <w:szCs w:val="13"/>
                <w:color w:val="auto"/>
              </w:rPr>
              <w:t>(c) The components of interest and other expenses were:</w:t>
            </w:r>
          </w:p>
        </w:tc>
        <w:tc>
          <w:tcPr>
            <w:tcW w:w="4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2012</w:t>
            </w:r>
          </w:p>
        </w:tc>
        <w:tc>
          <w:tcPr>
            <w:tcW w:w="2820" w:type="dxa"/>
            <w:vAlign w:val="bottom"/>
          </w:tcPr>
          <w:p>
            <w:pPr>
              <w:spacing w:after="0"/>
              <w:rPr>
                <w:sz w:val="14"/>
                <w:szCs w:val="14"/>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57"/>
        </w:trPr>
        <w:tc>
          <w:tcPr>
            <w:tcW w:w="6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expense</w:t>
            </w: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28.9</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500" w:type="dxa"/>
            <w:vAlign w:val="bottom"/>
            <w:gridSpan w:val="2"/>
            <w:shd w:val="clear" w:color="auto" w:fill="CCEEFF"/>
          </w:tcPr>
          <w:p>
            <w:pPr>
              <w:jc w:val="right"/>
              <w:ind w:right="2820"/>
              <w:spacing w:after="0"/>
              <w:rPr>
                <w:sz w:val="20"/>
                <w:szCs w:val="20"/>
                <w:color w:val="auto"/>
              </w:rPr>
            </w:pPr>
            <w:r>
              <w:rPr>
                <w:rFonts w:ascii="Arial" w:cs="Arial" w:eastAsia="Arial" w:hAnsi="Arial"/>
                <w:sz w:val="13"/>
                <w:szCs w:val="13"/>
                <w:color w:val="auto"/>
              </w:rPr>
              <w:t>31.1</w:t>
            </w:r>
          </w:p>
        </w:tc>
      </w:tr>
      <w:tr>
        <w:trPr>
          <w:trHeight w:val="157"/>
        </w:trPr>
        <w:tc>
          <w:tcPr>
            <w:tcW w:w="608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4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500" w:type="dxa"/>
            <w:vAlign w:val="bottom"/>
            <w:gridSpan w:val="2"/>
          </w:tcPr>
          <w:p>
            <w:pPr>
              <w:jc w:val="right"/>
              <w:ind w:right="2780"/>
              <w:spacing w:after="0"/>
              <w:rPr>
                <w:sz w:val="20"/>
                <w:szCs w:val="20"/>
                <w:color w:val="auto"/>
              </w:rPr>
            </w:pPr>
            <w:r>
              <w:rPr>
                <w:rFonts w:ascii="Arial" w:cs="Arial" w:eastAsia="Arial" w:hAnsi="Arial"/>
                <w:sz w:val="13"/>
                <w:szCs w:val="13"/>
                <w:color w:val="auto"/>
              </w:rPr>
              <w:t>(4.7)</w:t>
            </w:r>
          </w:p>
        </w:tc>
      </w:tr>
      <w:tr>
        <w:trPr>
          <w:trHeight w:val="157"/>
        </w:trPr>
        <w:tc>
          <w:tcPr>
            <w:tcW w:w="60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Foreign exchange losses</w:t>
            </w:r>
          </w:p>
        </w:tc>
        <w:tc>
          <w:tcPr>
            <w:tcW w:w="4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820" w:type="dxa"/>
            <w:vAlign w:val="bottom"/>
            <w:shd w:val="clear" w:color="auto" w:fill="CCEEFF"/>
          </w:tcPr>
          <w:p>
            <w:pPr>
              <w:spacing w:after="0"/>
              <w:rPr>
                <w:sz w:val="13"/>
                <w:szCs w:val="13"/>
                <w:color w:val="auto"/>
              </w:rPr>
            </w:pPr>
          </w:p>
        </w:tc>
      </w:tr>
      <w:tr>
        <w:trPr>
          <w:trHeight w:val="157"/>
        </w:trPr>
        <w:tc>
          <w:tcPr>
            <w:tcW w:w="6080" w:type="dxa"/>
            <w:vAlign w:val="bottom"/>
          </w:tcPr>
          <w:p>
            <w:pPr>
              <w:ind w:left="260"/>
              <w:spacing w:after="0"/>
              <w:rPr>
                <w:sz w:val="20"/>
                <w:szCs w:val="20"/>
                <w:color w:val="auto"/>
              </w:rPr>
            </w:pPr>
            <w:r>
              <w:rPr>
                <w:rFonts w:ascii="Arial" w:cs="Arial" w:eastAsia="Arial" w:hAnsi="Arial"/>
                <w:sz w:val="13"/>
                <w:szCs w:val="13"/>
                <w:color w:val="auto"/>
              </w:rPr>
              <w:t>Miscellaneous (income) expense, net</w:t>
            </w:r>
          </w:p>
        </w:tc>
        <w:tc>
          <w:tcPr>
            <w:tcW w:w="4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w:t>
            </w:r>
          </w:p>
        </w:tc>
        <w:tc>
          <w:tcPr>
            <w:tcW w:w="2820" w:type="dxa"/>
            <w:vAlign w:val="bottom"/>
          </w:tcPr>
          <w:p>
            <w:pPr>
              <w:spacing w:after="0"/>
              <w:rPr>
                <w:sz w:val="13"/>
                <w:szCs w:val="13"/>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500" w:type="dxa"/>
            <w:vAlign w:val="bottom"/>
            <w:gridSpan w:val="2"/>
            <w:shd w:val="clear" w:color="auto" w:fill="CCEEFF"/>
          </w:tcPr>
          <w:p>
            <w:pPr>
              <w:jc w:val="right"/>
              <w:ind w:right="2820"/>
              <w:spacing w:after="0"/>
              <w:rPr>
                <w:sz w:val="20"/>
                <w:szCs w:val="20"/>
                <w:color w:val="auto"/>
              </w:rPr>
            </w:pPr>
            <w:r>
              <w:rPr>
                <w:rFonts w:ascii="Arial" w:cs="Arial" w:eastAsia="Arial" w:hAnsi="Arial"/>
                <w:sz w:val="13"/>
                <w:szCs w:val="13"/>
                <w:color w:val="auto"/>
              </w:rPr>
              <w:t>33.2</w:t>
            </w:r>
          </w:p>
        </w:tc>
      </w:tr>
      <w:tr>
        <w:trPr>
          <w:trHeight w:val="346"/>
        </w:trPr>
        <w:tc>
          <w:tcPr>
            <w:tcW w:w="608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2"/>
          </w:cols>
          <w:pgMar w:left="218" w:top="299" w:right="21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6"/>
          <w:szCs w:val="16"/>
          <w:color w:val="auto"/>
        </w:rPr>
        <w:t>ManpowerGroup</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Consolidated Balance Sheets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Sep. 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 31</w:t>
            </w:r>
          </w:p>
        </w:tc>
      </w:tr>
      <w:tr>
        <w:trPr>
          <w:trHeight w:val="169"/>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r>
      <w:tr>
        <w:trPr>
          <w:trHeight w:val="157"/>
        </w:trPr>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5"/>
              <w:spacing w:after="0"/>
              <w:rPr>
                <w:sz w:val="20"/>
                <w:szCs w:val="20"/>
                <w:color w:val="auto"/>
              </w:rPr>
            </w:pPr>
            <w:r>
              <w:rPr>
                <w:rFonts w:ascii="Arial" w:cs="Arial" w:eastAsia="Arial" w:hAnsi="Arial"/>
                <w:sz w:val="13"/>
                <w:szCs w:val="13"/>
                <w:color w:val="auto"/>
                <w:w w:val="91"/>
              </w:rPr>
              <w:t>(Unaudited)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488.7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648.1</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Accounts receivable, net</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4,294.1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4,179.0</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158.9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Future income tax benefits</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60.6</w:t>
            </w:r>
          </w:p>
        </w:tc>
      </w:tr>
      <w:tr>
        <w:trPr>
          <w:trHeight w:val="156"/>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current assets</w:t>
            </w: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5,060.6</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Other assets: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Goodwill and other intangible assets, net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1,373.9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1,371.9</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395.3</w:t>
            </w: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assets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1,923.0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1,767.2</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Land, buildings, leasehold improvements and equipment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708.9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519.3</w:t>
            </w:r>
          </w:p>
        </w:tc>
        <w:tc>
          <w:tcPr>
            <w:tcW w:w="100" w:type="dxa"/>
            <w:vAlign w:val="bottom"/>
          </w:tcPr>
          <w:p>
            <w:pPr>
              <w:spacing w:after="0"/>
              <w:rPr>
                <w:sz w:val="13"/>
                <w:szCs w:val="13"/>
                <w:color w:val="auto"/>
              </w:rPr>
            </w:pPr>
          </w:p>
        </w:tc>
      </w:tr>
      <w:tr>
        <w:trPr>
          <w:trHeight w:val="156"/>
        </w:trPr>
        <w:tc>
          <w:tcPr>
            <w:tcW w:w="8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Net property and equipment</w:t>
            </w:r>
          </w:p>
        </w:tc>
        <w:tc>
          <w:tcPr>
            <w:tcW w:w="1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184.8</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360"/>
              <w:spacing w:after="0"/>
              <w:rPr>
                <w:sz w:val="20"/>
                <w:szCs w:val="20"/>
                <w:color w:val="auto"/>
              </w:rPr>
            </w:pPr>
            <w:r>
              <w:rPr>
                <w:rFonts w:ascii="Arial" w:cs="Arial" w:eastAsia="Arial" w:hAnsi="Arial"/>
                <w:sz w:val="13"/>
                <w:szCs w:val="13"/>
                <w:color w:val="auto"/>
              </w:rPr>
              <w:t>Total assets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7,106.1</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7,012.6</w:t>
            </w:r>
          </w:p>
        </w:tc>
        <w:tc>
          <w:tcPr>
            <w:tcW w:w="100" w:type="dxa"/>
            <w:vAlign w:val="bottom"/>
          </w:tcPr>
          <w:p>
            <w:pPr>
              <w:spacing w:after="0"/>
              <w:rPr>
                <w:sz w:val="13"/>
                <w:szCs w:val="13"/>
                <w:color w:val="auto"/>
              </w:rPr>
            </w:pP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6"/>
        </w:trPr>
        <w:tc>
          <w:tcPr>
            <w:tcW w:w="884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1,552.8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1,466.5</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Employee compensation payable</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216.4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524.8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533.8</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Accrued payroll taxes and insurance</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621.1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685.7</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Value added taxes payable</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505.3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472.5</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Short-term borrowings and current maturities of long-term debt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308.0</w:t>
            </w: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3,460.7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3,677.2</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Other liabilities: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Long-term debt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476.2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Other long-term liabilities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372.5</w:t>
            </w: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liabilities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852.0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spacing w:after="0"/>
              <w:rPr>
                <w:sz w:val="20"/>
                <w:szCs w:val="20"/>
                <w:color w:val="auto"/>
              </w:rPr>
            </w:pPr>
            <w:r>
              <w:rPr>
                <w:rFonts w:ascii="Arial" w:cs="Arial" w:eastAsia="Arial" w:hAnsi="Arial"/>
                <w:sz w:val="13"/>
                <w:szCs w:val="13"/>
                <w:b w:val="1"/>
                <w:bCs w:val="1"/>
                <w:color w:val="auto"/>
              </w:rPr>
              <w:t>Shareholders' equity:</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Common stock</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Capital in excess of par value</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2,966.1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2,873.2</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Retained earnings</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1,252.8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1,101.5</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Accumulated other comprehensive income</w:t>
            </w:r>
          </w:p>
        </w:tc>
        <w:tc>
          <w:tcPr>
            <w:tcW w:w="16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75.3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34.4</w:t>
            </w: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Treasury stock, at cost</w:t>
            </w: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(1,501.9)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(1,509.4)</w:t>
            </w:r>
          </w:p>
        </w:tc>
      </w:tr>
      <w:tr>
        <w:trPr>
          <w:trHeight w:val="156"/>
        </w:trPr>
        <w:tc>
          <w:tcPr>
            <w:tcW w:w="8840" w:type="dxa"/>
            <w:vAlign w:val="bottom"/>
            <w:tcBorders>
              <w:top w:val="single" w:sz="8" w:color="CCEEFF"/>
            </w:tcBorders>
          </w:tcPr>
          <w:p>
            <w:pPr>
              <w:ind w:left="200"/>
              <w:spacing w:after="0"/>
              <w:rPr>
                <w:sz w:val="20"/>
                <w:szCs w:val="20"/>
                <w:color w:val="auto"/>
              </w:rPr>
            </w:pPr>
            <w:r>
              <w:rPr>
                <w:rFonts w:ascii="Arial" w:cs="Arial" w:eastAsia="Arial" w:hAnsi="Arial"/>
                <w:sz w:val="13"/>
                <w:szCs w:val="13"/>
                <w:color w:val="auto"/>
              </w:rPr>
              <w:t>Total shareholders' equity</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2,793.4</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2,500.8</w:t>
            </w:r>
          </w:p>
        </w:tc>
        <w:tc>
          <w:tcPr>
            <w:tcW w:w="100" w:type="dxa"/>
            <w:vAlign w:val="bottom"/>
            <w:tcBorders>
              <w:top w:val="single" w:sz="8" w:color="CCEEFF"/>
            </w:tcBorders>
          </w:tcPr>
          <w:p>
            <w:pPr>
              <w:spacing w:after="0"/>
              <w:rPr>
                <w:sz w:val="13"/>
                <w:szCs w:val="13"/>
                <w:color w:val="auto"/>
              </w:rPr>
            </w:pPr>
          </w:p>
        </w:tc>
      </w:tr>
      <w:tr>
        <w:trPr>
          <w:trHeight w:val="196"/>
        </w:trPr>
        <w:tc>
          <w:tcPr>
            <w:tcW w:w="88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liabilities and shareholders' equity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7,106.1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7,012.6</w:t>
            </w:r>
          </w:p>
        </w:tc>
        <w:tc>
          <w:tcPr>
            <w:tcW w:w="100" w:type="dxa"/>
            <w:vAlign w:val="bottom"/>
            <w:shd w:val="clear" w:color="auto" w:fill="CCEEFF"/>
          </w:tcPr>
          <w:p>
            <w:pPr>
              <w:spacing w:after="0"/>
              <w:rPr>
                <w:sz w:val="17"/>
                <w:szCs w:val="17"/>
                <w:color w:val="auto"/>
              </w:rPr>
            </w:pPr>
          </w:p>
        </w:tc>
      </w:tr>
      <w:tr>
        <w:trPr>
          <w:trHeight w:val="454"/>
        </w:trPr>
        <w:tc>
          <w:tcPr>
            <w:tcW w:w="884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7" w:right="21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6"/>
          <w:szCs w:val="16"/>
          <w:color w:val="auto"/>
        </w:rPr>
        <w:t>ManpowerGroup</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Consolidated Statements of Cash Flows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4"/>
          </w:tcPr>
          <w:p>
            <w:pPr>
              <w:jc w:val="center"/>
              <w:ind w:left="375"/>
              <w:spacing w:after="0"/>
              <w:rPr>
                <w:sz w:val="20"/>
                <w:szCs w:val="20"/>
                <w:color w:val="auto"/>
              </w:rPr>
            </w:pPr>
            <w:r>
              <w:rPr>
                <w:rFonts w:ascii="Arial" w:cs="Arial" w:eastAsia="Arial" w:hAnsi="Arial"/>
                <w:sz w:val="13"/>
                <w:szCs w:val="13"/>
                <w:b w:val="1"/>
                <w:bCs w:val="1"/>
                <w:color w:val="auto"/>
                <w:w w:val="92"/>
              </w:rPr>
              <w:t>Nine Months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8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3"/>
                <w:szCs w:val="13"/>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8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w w:val="82"/>
              </w:rPr>
              <w:t>2012</w:t>
            </w:r>
          </w:p>
        </w:tc>
        <w:tc>
          <w:tcPr>
            <w:tcW w:w="100" w:type="dxa"/>
            <w:vAlign w:val="bottom"/>
          </w:tcPr>
          <w:p>
            <w:pPr>
              <w:spacing w:after="0"/>
              <w:rPr>
                <w:sz w:val="13"/>
                <w:szCs w:val="13"/>
                <w:color w:val="auto"/>
              </w:rPr>
            </w:pPr>
          </w:p>
        </w:tc>
      </w:tr>
      <w:tr>
        <w:trPr>
          <w:trHeight w:val="156"/>
        </w:trPr>
        <w:tc>
          <w:tcPr>
            <w:tcW w:w="8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4"/>
          </w:tcPr>
          <w:p>
            <w:pPr>
              <w:jc w:val="center"/>
              <w:ind w:left="375"/>
              <w:spacing w:after="0"/>
              <w:rPr>
                <w:sz w:val="20"/>
                <w:szCs w:val="20"/>
                <w:color w:val="auto"/>
              </w:rPr>
            </w:pPr>
            <w:r>
              <w:rPr>
                <w:rFonts w:ascii="Arial" w:cs="Arial" w:eastAsia="Arial" w:hAnsi="Arial"/>
                <w:sz w:val="13"/>
                <w:szCs w:val="13"/>
                <w:color w:val="auto"/>
                <w:w w:val="94"/>
              </w:rPr>
              <w:t>(Unaudited)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Net earnings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186.8</w:t>
            </w:r>
          </w:p>
        </w:tc>
        <w:tc>
          <w:tcPr>
            <w:tcW w:w="520" w:type="dxa"/>
            <w:vAlign w:val="bottom"/>
            <w:gridSpan w:val="2"/>
          </w:tcPr>
          <w:p>
            <w:pPr>
              <w:jc w:val="right"/>
              <w:ind w:right="295"/>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144.3</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earnings to net cash provided by (used in) operating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70.9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7"/>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w:t>
            </w:r>
          </w:p>
        </w:tc>
      </w:tr>
      <w:tr>
        <w:trPr>
          <w:trHeight w:val="157"/>
        </w:trPr>
        <w:tc>
          <w:tcPr>
            <w:tcW w:w="8840" w:type="dxa"/>
            <w:vAlign w:val="bottom"/>
          </w:tcPr>
          <w:p>
            <w:pPr>
              <w:ind w:left="200"/>
              <w:spacing w:after="0"/>
              <w:rPr>
                <w:sz w:val="20"/>
                <w:szCs w:val="20"/>
                <w:color w:val="auto"/>
              </w:rPr>
            </w:pPr>
            <w:r>
              <w:rPr>
                <w:rFonts w:ascii="Arial" w:cs="Arial" w:eastAsia="Arial" w:hAnsi="Arial"/>
                <w:sz w:val="13"/>
                <w:szCs w:val="13"/>
                <w:color w:val="auto"/>
              </w:rPr>
              <w:t>Provision for doubtful accounts</w:t>
            </w: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18.0</w:t>
            </w:r>
          </w:p>
        </w:tc>
      </w:tr>
      <w:tr>
        <w:trPr>
          <w:trHeight w:val="157"/>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Share-based compensation</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w:t>
            </w:r>
          </w:p>
        </w:tc>
      </w:tr>
      <w:tr>
        <w:trPr>
          <w:trHeight w:val="157"/>
        </w:trPr>
        <w:tc>
          <w:tcPr>
            <w:tcW w:w="8840" w:type="dxa"/>
            <w:vAlign w:val="bottom"/>
          </w:tcPr>
          <w:p>
            <w:pPr>
              <w:ind w:left="200"/>
              <w:spacing w:after="0"/>
              <w:rPr>
                <w:sz w:val="20"/>
                <w:szCs w:val="20"/>
                <w:color w:val="auto"/>
              </w:rPr>
            </w:pPr>
            <w:r>
              <w:rPr>
                <w:rFonts w:ascii="Arial" w:cs="Arial" w:eastAsia="Arial" w:hAnsi="Arial"/>
                <w:sz w:val="13"/>
                <w:szCs w:val="13"/>
                <w:color w:val="auto"/>
              </w:rPr>
              <w:t>Excess tax benefit on exercise of share-based awards</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 excluding the impact of acquisitions: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180"/>
              <w:spacing w:after="0"/>
              <w:rPr>
                <w:sz w:val="20"/>
                <w:szCs w:val="20"/>
                <w:color w:val="auto"/>
              </w:rPr>
            </w:pPr>
            <w:r>
              <w:rPr>
                <w:rFonts w:ascii="Arial" w:cs="Arial" w:eastAsia="Arial" w:hAnsi="Arial"/>
                <w:sz w:val="13"/>
                <w:szCs w:val="13"/>
                <w:color w:val="auto"/>
              </w:rPr>
              <w:t>Accounts receivable</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(128.8)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(197.7)</w:t>
            </w:r>
          </w:p>
        </w:tc>
      </w:tr>
      <w:tr>
        <w:trPr>
          <w:trHeight w:val="157"/>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(8.9)</w:t>
            </w:r>
          </w:p>
        </w:tc>
      </w:tr>
      <w:tr>
        <w:trPr>
          <w:trHeight w:val="157"/>
        </w:trPr>
        <w:tc>
          <w:tcPr>
            <w:tcW w:w="8840" w:type="dxa"/>
            <w:vAlign w:val="bottom"/>
          </w:tcPr>
          <w:p>
            <w:pPr>
              <w:ind w:left="200"/>
              <w:spacing w:after="0"/>
              <w:rPr>
                <w:sz w:val="20"/>
                <w:szCs w:val="20"/>
                <w:color w:val="auto"/>
              </w:rPr>
            </w:pPr>
            <w:r>
              <w:rPr>
                <w:rFonts w:ascii="Arial" w:cs="Arial" w:eastAsia="Arial" w:hAnsi="Arial"/>
                <w:sz w:val="13"/>
                <w:szCs w:val="13"/>
                <w:color w:val="auto"/>
              </w:rPr>
              <w:t>Other liabilities</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(57.2)</w:t>
            </w:r>
          </w:p>
        </w:tc>
      </w:tr>
      <w:tr>
        <w:trPr>
          <w:trHeight w:val="20"/>
        </w:trPr>
        <w:tc>
          <w:tcPr>
            <w:tcW w:w="8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Cash provided by (used in) operating activities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(14.6)</w:t>
            </w:r>
          </w:p>
        </w:tc>
      </w:tr>
      <w:tr>
        <w:trPr>
          <w:trHeight w:val="156"/>
        </w:trPr>
        <w:tc>
          <w:tcPr>
            <w:tcW w:w="884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Capital expenditures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(48.6)</w:t>
            </w: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Acquisitions of businesses, net of cash acquired</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(46.0)</w:t>
            </w:r>
          </w:p>
        </w:tc>
      </w:tr>
      <w:tr>
        <w:trPr>
          <w:trHeight w:val="157"/>
        </w:trPr>
        <w:tc>
          <w:tcPr>
            <w:tcW w:w="8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Proceeds from sales of property and equipment</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380"/>
              <w:spacing w:after="0"/>
              <w:rPr>
                <w:sz w:val="20"/>
                <w:szCs w:val="20"/>
                <w:color w:val="auto"/>
              </w:rPr>
            </w:pPr>
            <w:r>
              <w:rPr>
                <w:rFonts w:ascii="Arial" w:cs="Arial" w:eastAsia="Arial" w:hAnsi="Arial"/>
                <w:sz w:val="13"/>
                <w:szCs w:val="13"/>
                <w:color w:val="auto"/>
              </w:rPr>
              <w:t>Cash used in investing activities</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(92.2)</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Net change in short-term borrowings</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(8.4)</w:t>
            </w: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Proceeds from long-term debt</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751.6</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Repayments of long-term debt</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(268.7)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(702.2)</w:t>
            </w: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Proceeds from share-based awards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3"/>
                <w:szCs w:val="13"/>
                <w:color w:val="auto"/>
              </w:rPr>
            </w:pP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Other share-based award transactions, net</w:t>
            </w: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r>
      <w:tr>
        <w:trPr>
          <w:trHeight w:val="157"/>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Repurchases of common stock</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(44.2)</w:t>
            </w:r>
          </w:p>
        </w:tc>
      </w:tr>
      <w:tr>
        <w:trPr>
          <w:trHeight w:val="157"/>
        </w:trPr>
        <w:tc>
          <w:tcPr>
            <w:tcW w:w="8840" w:type="dxa"/>
            <w:vAlign w:val="bottom"/>
          </w:tcPr>
          <w:p>
            <w:pPr>
              <w:ind w:left="60"/>
              <w:spacing w:after="0"/>
              <w:rPr>
                <w:sz w:val="20"/>
                <w:szCs w:val="20"/>
                <w:color w:val="auto"/>
              </w:rPr>
            </w:pPr>
            <w:r>
              <w:rPr>
                <w:rFonts w:ascii="Arial" w:cs="Arial" w:eastAsia="Arial" w:hAnsi="Arial"/>
                <w:sz w:val="13"/>
                <w:szCs w:val="13"/>
                <w:color w:val="auto"/>
              </w:rPr>
              <w:t>Dividends paid</w:t>
            </w: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(34.3)</w:t>
            </w:r>
          </w:p>
        </w:tc>
      </w:tr>
      <w:tr>
        <w:trPr>
          <w:trHeight w:val="20"/>
        </w:trPr>
        <w:tc>
          <w:tcPr>
            <w:tcW w:w="8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Cash used in financing activities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(37.5)</w:t>
            </w:r>
          </w:p>
        </w:tc>
      </w:tr>
      <w:tr>
        <w:trPr>
          <w:trHeight w:val="156"/>
        </w:trPr>
        <w:tc>
          <w:tcPr>
            <w:tcW w:w="88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Effect of exchange rate changes on cash</w:t>
            </w: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Change in cash and cash equivalents</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(135.9)</w:t>
            </w:r>
          </w:p>
        </w:tc>
      </w:tr>
      <w:tr>
        <w:trPr>
          <w:trHeight w:val="157"/>
        </w:trPr>
        <w:tc>
          <w:tcPr>
            <w:tcW w:w="884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580.5</w:t>
            </w:r>
          </w:p>
        </w:tc>
        <w:tc>
          <w:tcPr>
            <w:tcW w:w="100" w:type="dxa"/>
            <w:vAlign w:val="bottom"/>
          </w:tcPr>
          <w:p>
            <w:pPr>
              <w:spacing w:after="0"/>
              <w:rPr>
                <w:sz w:val="13"/>
                <w:szCs w:val="13"/>
                <w:color w:val="auto"/>
              </w:rPr>
            </w:pPr>
          </w:p>
        </w:tc>
      </w:tr>
      <w:tr>
        <w:trPr>
          <w:trHeight w:val="196"/>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444.6</w:t>
            </w:r>
          </w:p>
        </w:tc>
        <w:tc>
          <w:tcPr>
            <w:tcW w:w="100" w:type="dxa"/>
            <w:vAlign w:val="bottom"/>
            <w:tcBorders>
              <w:bottom w:val="single" w:sz="8" w:color="CCEEFF"/>
            </w:tcBorders>
            <w:shd w:val="clear" w:color="auto" w:fill="CCEEFF"/>
          </w:tcPr>
          <w:p>
            <w:pPr>
              <w:spacing w:after="0"/>
              <w:rPr>
                <w:sz w:val="17"/>
                <w:szCs w:val="17"/>
                <w:color w:val="auto"/>
              </w:rPr>
            </w:pPr>
          </w:p>
        </w:tc>
      </w:tr>
    </w:tbl>
    <w:p>
      <w:pPr>
        <w:sectPr>
          <w:pgSz w:w="11900" w:h="16838" w:orient="portrait"/>
          <w:cols w:equalWidth="0" w:num="1">
            <w:col w:w="11460"/>
          </w:cols>
          <w:pgMar w:left="220" w:top="407"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27305</wp:posOffset>
            </wp:positionV>
            <wp:extent cx="7291070" cy="4795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135255</wp:posOffset>
            </wp:positionH>
            <wp:positionV relativeFrom="page">
              <wp:posOffset>157480</wp:posOffset>
            </wp:positionV>
            <wp:extent cx="7291070" cy="4795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795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2019-12-06T05:23:51Z</dcterms:created>
  <dcterms:modified xsi:type="dcterms:W3CDTF">2019-12-06T05:23:51Z</dcterms:modified>
</cp:coreProperties>
</file>