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January 31, 2017</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MANPOWERGROUP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Wisconsin</w:t>
            </w:r>
          </w:p>
        </w:tc>
        <w:tc>
          <w:tcPr>
            <w:tcW w:w="2960" w:type="dxa"/>
            <w:vAlign w:val="bottom"/>
          </w:tcPr>
          <w:p>
            <w:pPr>
              <w:jc w:val="right"/>
              <w:ind w:right="1200"/>
              <w:spacing w:after="0"/>
              <w:rPr>
                <w:sz w:val="20"/>
                <w:szCs w:val="20"/>
                <w:color w:val="auto"/>
              </w:rPr>
            </w:pPr>
            <w:r>
              <w:rPr>
                <w:rFonts w:ascii="Arial" w:cs="Arial" w:eastAsia="Arial" w:hAnsi="Arial"/>
                <w:sz w:val="16"/>
                <w:szCs w:val="16"/>
                <w:b w:val="1"/>
                <w:bCs w:val="1"/>
                <w:color w:val="auto"/>
              </w:rPr>
              <w:t>1-10686</w:t>
            </w:r>
          </w:p>
        </w:tc>
        <w:tc>
          <w:tcPr>
            <w:tcW w:w="3660" w:type="dxa"/>
            <w:vAlign w:val="bottom"/>
          </w:tcPr>
          <w:p>
            <w:pPr>
              <w:jc w:val="right"/>
              <w:ind w:right="1360"/>
              <w:spacing w:after="0"/>
              <w:rPr>
                <w:sz w:val="20"/>
                <w:szCs w:val="20"/>
                <w:color w:val="auto"/>
              </w:rPr>
            </w:pPr>
            <w:r>
              <w:rPr>
                <w:rFonts w:ascii="Arial" w:cs="Arial" w:eastAsia="Arial" w:hAnsi="Arial"/>
                <w:sz w:val="16"/>
                <w:szCs w:val="16"/>
                <w:b w:val="1"/>
                <w:bCs w:val="1"/>
                <w:color w:val="auto"/>
              </w:rPr>
              <w:t>39-1672779</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(State or other jurisdiction of incorporation)</w:t>
            </w:r>
          </w:p>
        </w:tc>
        <w:tc>
          <w:tcPr>
            <w:tcW w:w="296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748"/>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0"/>
              </w:rPr>
              <w:t>100 Manpower Place</w:t>
            </w: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1"/>
              </w:rPr>
              <w:t>Milwaukee, Wisconsin</w:t>
            </w:r>
          </w:p>
        </w:tc>
        <w:tc>
          <w:tcPr>
            <w:tcW w:w="2960" w:type="dxa"/>
            <w:vAlign w:val="bottom"/>
          </w:tcPr>
          <w:p>
            <w:pPr>
              <w:spacing w:after="0"/>
              <w:rPr>
                <w:sz w:val="20"/>
                <w:szCs w:val="20"/>
                <w:color w:val="auto"/>
              </w:rPr>
            </w:pPr>
          </w:p>
        </w:tc>
        <w:tc>
          <w:tcPr>
            <w:tcW w:w="3660" w:type="dxa"/>
            <w:vAlign w:val="bottom"/>
          </w:tcPr>
          <w:p>
            <w:pPr>
              <w:jc w:val="right"/>
              <w:ind w:right="2420"/>
              <w:spacing w:after="0"/>
              <w:rPr>
                <w:sz w:val="20"/>
                <w:szCs w:val="20"/>
                <w:color w:val="auto"/>
              </w:rPr>
            </w:pPr>
            <w:r>
              <w:rPr>
                <w:rFonts w:ascii="Arial" w:cs="Arial" w:eastAsia="Arial" w:hAnsi="Arial"/>
                <w:sz w:val="16"/>
                <w:szCs w:val="16"/>
                <w:b w:val="1"/>
                <w:bCs w:val="1"/>
                <w:color w:val="auto"/>
              </w:rPr>
              <w:t>53212</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60" w:type="dxa"/>
            <w:vAlign w:val="bottom"/>
          </w:tcPr>
          <w:p>
            <w:pPr>
              <w:spacing w:after="0"/>
              <w:rPr>
                <w:sz w:val="18"/>
                <w:szCs w:val="18"/>
                <w:color w:val="auto"/>
              </w:rPr>
            </w:pPr>
          </w:p>
        </w:tc>
        <w:tc>
          <w:tcPr>
            <w:tcW w:w="3660" w:type="dxa"/>
            <w:vAlign w:val="bottom"/>
          </w:tcPr>
          <w:p>
            <w:pPr>
              <w:jc w:val="center"/>
              <w:ind w:right="1640"/>
              <w:spacing w:after="0"/>
              <w:rPr>
                <w:sz w:val="20"/>
                <w:szCs w:val="20"/>
                <w:color w:val="auto"/>
              </w:rPr>
            </w:pPr>
            <w:r>
              <w:rPr>
                <w:rFonts w:ascii="Arial" w:cs="Arial" w:eastAsia="Arial" w:hAnsi="Arial"/>
                <w:sz w:val="16"/>
                <w:szCs w:val="16"/>
                <w:b w:val="1"/>
                <w:bCs w:val="1"/>
                <w:color w:val="auto"/>
                <w:w w:val="93"/>
              </w:rPr>
              <w:t>(Zip Code)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5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Securities Act (17 CFR 240.14a-12)</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40"/>
          </w:cols>
          <w:pgMar w:left="240" w:top="1008"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6"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5" w:lineRule="exact"/>
        <w:rPr>
          <w:sz w:val="20"/>
          <w:szCs w:val="20"/>
          <w:color w:val="auto"/>
        </w:rPr>
      </w:pPr>
    </w:p>
    <w:p>
      <w:pPr>
        <w:ind w:right="420"/>
        <w:spacing w:after="0" w:line="279" w:lineRule="auto"/>
        <w:rPr>
          <w:sz w:val="20"/>
          <w:szCs w:val="20"/>
          <w:color w:val="auto"/>
        </w:rPr>
      </w:pPr>
      <w:r>
        <w:rPr>
          <w:rFonts w:ascii="Arial" w:cs="Arial" w:eastAsia="Arial" w:hAnsi="Arial"/>
          <w:sz w:val="16"/>
          <w:szCs w:val="16"/>
          <w:color w:val="auto"/>
        </w:rPr>
        <w:t>On January 31, 2017, we issued a press release announcing our results of operations for the three months and year ended December 31, 2016. A copy of the press release is attached hereto as Exhibit 99.1 and is incorporated herein by reference.</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8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260" w:type="dxa"/>
            <w:vAlign w:val="bottom"/>
          </w:tcPr>
          <w:p>
            <w:pPr>
              <w:ind w:left="38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531"/>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10260" w:type="dxa"/>
            <w:vAlign w:val="bottom"/>
          </w:tcPr>
          <w:p>
            <w:pPr>
              <w:ind w:left="114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6"/>
                <w:szCs w:val="16"/>
                <w:color w:val="auto"/>
              </w:rPr>
              <w:t>99.1</w:t>
            </w:r>
          </w:p>
        </w:tc>
        <w:tc>
          <w:tcPr>
            <w:tcW w:w="10260" w:type="dxa"/>
            <w:vAlign w:val="bottom"/>
          </w:tcPr>
          <w:p>
            <w:pPr>
              <w:ind w:left="1140"/>
              <w:spacing w:after="0"/>
              <w:rPr>
                <w:sz w:val="20"/>
                <w:szCs w:val="20"/>
                <w:color w:val="auto"/>
              </w:rPr>
            </w:pPr>
            <w:r>
              <w:rPr>
                <w:rFonts w:ascii="Arial" w:cs="Arial" w:eastAsia="Arial" w:hAnsi="Arial"/>
                <w:sz w:val="16"/>
                <w:szCs w:val="16"/>
                <w:color w:val="auto"/>
              </w:rPr>
              <w:t>Press Release dated January 31, 2017</w:t>
            </w:r>
          </w:p>
        </w:tc>
      </w:tr>
      <w:tr>
        <w:trPr>
          <w:trHeight w:val="241"/>
        </w:trPr>
        <w:tc>
          <w:tcPr>
            <w:tcW w:w="1180" w:type="dxa"/>
            <w:vAlign w:val="bottom"/>
          </w:tcPr>
          <w:p>
            <w:pPr>
              <w:ind w:left="20"/>
              <w:spacing w:after="0"/>
              <w:rPr>
                <w:sz w:val="20"/>
                <w:szCs w:val="20"/>
                <w:color w:val="auto"/>
              </w:rPr>
            </w:pPr>
            <w:r>
              <w:rPr>
                <w:rFonts w:ascii="Arial" w:cs="Arial" w:eastAsia="Arial" w:hAnsi="Arial"/>
                <w:sz w:val="16"/>
                <w:szCs w:val="16"/>
                <w:color w:val="auto"/>
              </w:rPr>
              <w:t>99.2</w:t>
            </w:r>
          </w:p>
        </w:tc>
        <w:tc>
          <w:tcPr>
            <w:tcW w:w="10260" w:type="dxa"/>
            <w:vAlign w:val="bottom"/>
          </w:tcPr>
          <w:p>
            <w:pPr>
              <w:ind w:left="1140"/>
              <w:spacing w:after="0"/>
              <w:rPr>
                <w:sz w:val="20"/>
                <w:szCs w:val="20"/>
                <w:color w:val="auto"/>
              </w:rPr>
            </w:pPr>
            <w:r>
              <w:rPr>
                <w:rFonts w:ascii="Arial" w:cs="Arial" w:eastAsia="Arial" w:hAnsi="Arial"/>
                <w:sz w:val="16"/>
                <w:szCs w:val="16"/>
                <w:color w:val="auto"/>
              </w:rPr>
              <w:t>Presentation materials for January 31, 2017 conference call</w:t>
            </w:r>
          </w:p>
        </w:tc>
      </w:tr>
    </w:tbl>
    <w:p>
      <w:pPr>
        <w:sectPr>
          <w:pgSz w:w="11900" w:h="16838" w:orient="portrait"/>
          <w:cols w:equalWidth="0" w:num="1">
            <w:col w:w="11440"/>
          </w:cols>
          <w:pgMar w:left="240" w:top="726"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MANPOWERGROUP INC.</w:t>
      </w:r>
    </w:p>
    <w:p>
      <w:pPr>
        <w:spacing w:after="0" w:line="299" w:lineRule="exact"/>
        <w:rPr>
          <w:sz w:val="20"/>
          <w:szCs w:val="20"/>
          <w:color w:val="auto"/>
        </w:rPr>
      </w:pPr>
    </w:p>
    <w:p>
      <w:pPr>
        <w:ind w:left="20"/>
        <w:spacing w:after="0"/>
        <w:tabs>
          <w:tab w:leader="none" w:pos="3700" w:val="left"/>
          <w:tab w:leader="none" w:pos="4360" w:val="left"/>
        </w:tabs>
        <w:rPr>
          <w:sz w:val="20"/>
          <w:szCs w:val="20"/>
          <w:color w:val="auto"/>
        </w:rPr>
      </w:pPr>
      <w:r>
        <w:rPr>
          <w:rFonts w:ascii="Arial" w:cs="Arial" w:eastAsia="Arial" w:hAnsi="Arial"/>
          <w:sz w:val="16"/>
          <w:szCs w:val="16"/>
          <w:color w:val="auto"/>
        </w:rPr>
        <w:t>Dated: January 31,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29210</wp:posOffset>
            </wp:positionV>
            <wp:extent cx="19532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John T. McGinnis</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Executive Vice President and</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300"/>
          </w:cols>
          <w:pgMar w:left="240" w:top="919"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560" w:type="dxa"/>
            <w:vAlign w:val="bottom"/>
          </w:tcPr>
          <w:p>
            <w:pPr>
              <w:spacing w:after="0"/>
              <w:rPr>
                <w:sz w:val="18"/>
                <w:szCs w:val="18"/>
                <w:color w:val="auto"/>
              </w:rPr>
            </w:pPr>
          </w:p>
        </w:tc>
        <w:tc>
          <w:tcPr>
            <w:tcW w:w="9880" w:type="dxa"/>
            <w:vAlign w:val="bottom"/>
          </w:tcPr>
          <w:p>
            <w:pPr>
              <w:ind w:left="3540"/>
              <w:spacing w:after="0"/>
              <w:rPr>
                <w:sz w:val="20"/>
                <w:szCs w:val="20"/>
                <w:color w:val="auto"/>
              </w:rPr>
            </w:pPr>
            <w:r>
              <w:rPr>
                <w:rFonts w:ascii="Arial" w:cs="Arial" w:eastAsia="Arial" w:hAnsi="Arial"/>
                <w:sz w:val="16"/>
                <w:szCs w:val="16"/>
                <w:b w:val="1"/>
                <w:bCs w:val="1"/>
                <w:color w:val="auto"/>
              </w:rPr>
              <w:t>EXHIBIT INDEX</w:t>
            </w:r>
          </w:p>
        </w:tc>
      </w:tr>
      <w:tr>
        <w:trPr>
          <w:trHeight w:val="531"/>
        </w:trPr>
        <w:tc>
          <w:tcPr>
            <w:tcW w:w="156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9880" w:type="dxa"/>
            <w:vAlign w:val="bottom"/>
          </w:tcPr>
          <w:p>
            <w:pPr>
              <w:ind w:left="76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56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6"/>
                <w:szCs w:val="16"/>
                <w:color w:val="auto"/>
              </w:rPr>
              <w:t>99.1</w:t>
            </w:r>
          </w:p>
        </w:tc>
        <w:tc>
          <w:tcPr>
            <w:tcW w:w="9880" w:type="dxa"/>
            <w:vAlign w:val="bottom"/>
          </w:tcPr>
          <w:p>
            <w:pPr>
              <w:ind w:left="760"/>
              <w:spacing w:after="0"/>
              <w:rPr>
                <w:sz w:val="20"/>
                <w:szCs w:val="20"/>
                <w:color w:val="auto"/>
              </w:rPr>
            </w:pPr>
            <w:r>
              <w:rPr>
                <w:rFonts w:ascii="Arial" w:cs="Arial" w:eastAsia="Arial" w:hAnsi="Arial"/>
                <w:sz w:val="16"/>
                <w:szCs w:val="16"/>
                <w:color w:val="auto"/>
              </w:rPr>
              <w:t>Press Release dated January 31, 2017</w:t>
            </w:r>
          </w:p>
        </w:tc>
      </w:tr>
      <w:tr>
        <w:trPr>
          <w:trHeight w:val="241"/>
        </w:trPr>
        <w:tc>
          <w:tcPr>
            <w:tcW w:w="1560" w:type="dxa"/>
            <w:vAlign w:val="bottom"/>
          </w:tcPr>
          <w:p>
            <w:pPr>
              <w:ind w:left="20"/>
              <w:spacing w:after="0"/>
              <w:rPr>
                <w:sz w:val="20"/>
                <w:szCs w:val="20"/>
                <w:color w:val="auto"/>
              </w:rPr>
            </w:pPr>
            <w:r>
              <w:rPr>
                <w:rFonts w:ascii="Arial" w:cs="Arial" w:eastAsia="Arial" w:hAnsi="Arial"/>
                <w:sz w:val="16"/>
                <w:szCs w:val="16"/>
                <w:color w:val="auto"/>
              </w:rPr>
              <w:t>99.2</w:t>
            </w:r>
          </w:p>
        </w:tc>
        <w:tc>
          <w:tcPr>
            <w:tcW w:w="9880" w:type="dxa"/>
            <w:vAlign w:val="bottom"/>
          </w:tcPr>
          <w:p>
            <w:pPr>
              <w:ind w:left="760"/>
              <w:spacing w:after="0"/>
              <w:rPr>
                <w:sz w:val="20"/>
                <w:szCs w:val="20"/>
                <w:color w:val="auto"/>
              </w:rPr>
            </w:pPr>
            <w:r>
              <w:rPr>
                <w:rFonts w:ascii="Arial" w:cs="Arial" w:eastAsia="Arial" w:hAnsi="Arial"/>
                <w:sz w:val="16"/>
                <w:szCs w:val="16"/>
                <w:color w:val="auto"/>
              </w:rPr>
              <w:t>Presentation materials for January 31, 2017 conference call</w:t>
            </w:r>
          </w:p>
        </w:tc>
      </w:tr>
    </w:tbl>
    <w:p>
      <w:pPr>
        <w:sectPr>
          <w:pgSz w:w="11900" w:h="16838" w:orient="portrait"/>
          <w:cols w:equalWidth="0" w:num="1">
            <w:col w:w="11440"/>
          </w:cols>
          <w:pgMar w:left="240" w:top="91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080135" cy="589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135" cy="58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0"/>
        <w:spacing w:after="0"/>
        <w:tabs>
          <w:tab w:leader="none" w:pos="328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10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Jack McGinnis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+1.414.906.7977</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jack.mcginnis@manpowergroup.com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4</w:t>
      </w:r>
      <w:r>
        <w:rPr>
          <w:rFonts w:ascii="Arial" w:cs="Arial" w:eastAsia="Arial" w:hAnsi="Arial"/>
          <w:sz w:val="25"/>
          <w:szCs w:val="25"/>
          <w:b w:val="1"/>
          <w:bCs w:val="1"/>
          <w:color w:val="auto"/>
          <w:vertAlign w:val="superscript"/>
        </w:rPr>
        <w:t>th</w:t>
      </w:r>
      <w:r>
        <w:rPr>
          <w:rFonts w:ascii="Arial" w:cs="Arial" w:eastAsia="Arial" w:hAnsi="Arial"/>
          <w:sz w:val="19"/>
          <w:szCs w:val="19"/>
          <w:b w:val="1"/>
          <w:bCs w:val="1"/>
          <w:color w:val="auto"/>
        </w:rPr>
        <w:t xml:space="preserve"> Quarter and Full Year 2016 Results</w:t>
      </w:r>
    </w:p>
    <w:p>
      <w:pPr>
        <w:spacing w:after="0" w:line="175" w:lineRule="exact"/>
        <w:rPr>
          <w:sz w:val="20"/>
          <w:szCs w:val="20"/>
          <w:color w:val="auto"/>
        </w:rPr>
      </w:pPr>
    </w:p>
    <w:p>
      <w:pPr>
        <w:ind w:right="300"/>
        <w:spacing w:after="0" w:line="379" w:lineRule="auto"/>
        <w:rPr>
          <w:sz w:val="20"/>
          <w:szCs w:val="20"/>
          <w:color w:val="auto"/>
        </w:rPr>
      </w:pPr>
      <w:r>
        <w:rPr>
          <w:rFonts w:ascii="Arial" w:cs="Arial" w:eastAsia="Arial" w:hAnsi="Arial"/>
          <w:sz w:val="17"/>
          <w:szCs w:val="17"/>
          <w:b w:val="1"/>
          <w:bCs w:val="1"/>
          <w:color w:val="auto"/>
        </w:rPr>
        <w:t xml:space="preserve">MILWAUKEE, January 31, 2017 -- </w:t>
      </w:r>
      <w:r>
        <w:rPr>
          <w:rFonts w:ascii="Arial" w:cs="Arial" w:eastAsia="Arial" w:hAnsi="Arial"/>
          <w:sz w:val="17"/>
          <w:szCs w:val="17"/>
          <w:color w:val="auto"/>
        </w:rPr>
        <w:t>ManpowerGroup (NYSE: MAN) today reported net earnings of $1.87 per diluted share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December 31, 2016 compared to $1.66 per diluted share in the prior year period. The net earnings in the quarter were $127.4 million compared to $123.9 million a year earlier. Revenues for the fourth quarter totaled $5.0 billion, which was equal to the year earlier period.</w:t>
      </w:r>
    </w:p>
    <w:p>
      <w:pPr>
        <w:spacing w:after="0" w:line="1" w:lineRule="exact"/>
        <w:rPr>
          <w:sz w:val="20"/>
          <w:szCs w:val="20"/>
          <w:color w:val="auto"/>
        </w:rPr>
      </w:pPr>
    </w:p>
    <w:p>
      <w:pPr>
        <w:ind w:right="40" w:firstLine="555"/>
        <w:spacing w:after="0" w:line="349" w:lineRule="auto"/>
        <w:rPr>
          <w:sz w:val="20"/>
          <w:szCs w:val="20"/>
          <w:color w:val="auto"/>
        </w:rPr>
      </w:pPr>
      <w:r>
        <w:rPr>
          <w:rFonts w:ascii="Arial" w:cs="Arial" w:eastAsia="Arial" w:hAnsi="Arial"/>
          <w:sz w:val="18"/>
          <w:szCs w:val="18"/>
          <w:color w:val="auto"/>
        </w:rPr>
        <w:t>Financial results in the quarter were significantly impacted by the stronger U.S. dollar relative to several foreign currencies compared to the prior year period. On a constant currency basis, revenues increased 3% and net earnings per diluted share increased 17%. Earnings per share were negatively impacted 7 cents by changes in foreign currencies compared to the prior year. The quarter included a favorable impact due to an insurance settlement which increased earnings per share by 7 cents.</w:t>
      </w:r>
    </w:p>
    <w:p>
      <w:pPr>
        <w:spacing w:after="0" w:line="2" w:lineRule="exact"/>
        <w:rPr>
          <w:sz w:val="20"/>
          <w:szCs w:val="20"/>
          <w:color w:val="auto"/>
        </w:rPr>
      </w:pPr>
    </w:p>
    <w:p>
      <w:pPr>
        <w:ind w:right="120" w:firstLine="555"/>
        <w:spacing w:after="0" w:line="370" w:lineRule="auto"/>
        <w:rPr>
          <w:sz w:val="20"/>
          <w:szCs w:val="20"/>
          <w:color w:val="auto"/>
        </w:rPr>
      </w:pPr>
      <w:r>
        <w:rPr>
          <w:rFonts w:ascii="Arial" w:cs="Arial" w:eastAsia="Arial" w:hAnsi="Arial"/>
          <w:sz w:val="17"/>
          <w:szCs w:val="17"/>
          <w:color w:val="auto"/>
        </w:rPr>
        <w:t>Jonas Prising, ManpowerGroup Chairman &amp; CEO, said: "We are very pleased with our strong performance in the 4th quarter, with improving top line growth and strong bottom line performance, capping off a solid year, despite the uneven and slow growth environment in 2016.</w:t>
      </w:r>
    </w:p>
    <w:p>
      <w:pPr>
        <w:ind w:right="60" w:firstLine="555"/>
        <w:spacing w:after="0" w:line="349" w:lineRule="auto"/>
        <w:rPr>
          <w:sz w:val="20"/>
          <w:szCs w:val="20"/>
          <w:color w:val="auto"/>
        </w:rPr>
      </w:pPr>
      <w:r>
        <w:rPr>
          <w:rFonts w:ascii="Arial" w:cs="Arial" w:eastAsia="Arial" w:hAnsi="Arial"/>
          <w:sz w:val="18"/>
          <w:szCs w:val="18"/>
          <w:color w:val="auto"/>
        </w:rPr>
        <w:t>“Our clients appreciate the breadth, global scale and innovation of our services and solutions, helping them reach their business objectives in an uncertain environment. The workforce solutions we provide to our clients also help millions of individuals enhance their employability and skills. Those are the fundamental drivers of our confidence in our continued business progress and our passion for sustainable and meaningful employment wherever we are in the world. We look forward to building on our progress in 2017, helping our clients and candidates win in the changing world of work.</w:t>
      </w:r>
    </w:p>
    <w:p>
      <w:pPr>
        <w:spacing w:after="0" w:line="3" w:lineRule="exact"/>
        <w:rPr>
          <w:sz w:val="20"/>
          <w:szCs w:val="20"/>
          <w:color w:val="auto"/>
        </w:rPr>
      </w:pPr>
    </w:p>
    <w:p>
      <w:pPr>
        <w:ind w:right="300" w:firstLine="555"/>
        <w:spacing w:after="0" w:line="349" w:lineRule="auto"/>
        <w:rPr>
          <w:sz w:val="20"/>
          <w:szCs w:val="20"/>
          <w:color w:val="auto"/>
        </w:rPr>
      </w:pPr>
      <w:r>
        <w:rPr>
          <w:rFonts w:ascii="Arial" w:cs="Arial" w:eastAsia="Arial" w:hAnsi="Arial"/>
          <w:sz w:val="18"/>
          <w:szCs w:val="18"/>
          <w:color w:val="auto"/>
        </w:rPr>
        <w:t>“We are anticipating diluted earnings per share in the first quarter 2017 to be in the range of $1.06 to $1.14 which includes an estimated unfavorable currency impact of 5 cents.” Prising stated.</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earnings per diluted share for the year ended December 31, 2016 was $6.27 compared</w:t>
      </w:r>
    </w:p>
    <w:p>
      <w:pPr>
        <w:sectPr>
          <w:pgSz w:w="11900" w:h="16838" w:orient="portrait"/>
          <w:cols w:equalWidth="0" w:num="1">
            <w:col w:w="11440"/>
          </w:cols>
          <w:pgMar w:left="240" w:top="533" w:right="219" w:bottom="1440" w:gutter="0" w:footer="0" w:header="0"/>
        </w:sectPr>
      </w:pPr>
    </w:p>
    <w:bookmarkStart w:id="5" w:name="page6"/>
    <w:bookmarkEnd w:id="5"/>
    <w:p>
      <w:pPr>
        <w:ind w:right="360"/>
        <w:spacing w:after="0" w:line="349" w:lineRule="auto"/>
        <w:rPr>
          <w:sz w:val="20"/>
          <w:szCs w:val="20"/>
          <w:color w:val="auto"/>
        </w:rPr>
      </w:pPr>
      <w:r>
        <w:rPr>
          <w:rFonts w:ascii="Arial" w:cs="Arial" w:eastAsia="Arial" w:hAnsi="Arial"/>
          <w:sz w:val="18"/>
          <w:szCs w:val="18"/>
          <w:color w:val="auto"/>
        </w:rPr>
        <w:t>to $5.40 per diluted share in 2015. Net earnings were $443.7 million compared to $419.2 million in the prior year. Revenues for the year were $19.7 billion, an increase of 2% in U.S. dollars from the prior year and an increase of 4% in constant currency.</w:t>
      </w:r>
    </w:p>
    <w:p>
      <w:pPr>
        <w:spacing w:after="0" w:line="1" w:lineRule="exact"/>
        <w:rPr>
          <w:sz w:val="20"/>
          <w:szCs w:val="20"/>
          <w:color w:val="auto"/>
        </w:rPr>
      </w:pPr>
    </w:p>
    <w:p>
      <w:pPr>
        <w:ind w:left="560" w:right="20"/>
        <w:spacing w:after="0" w:line="392" w:lineRule="auto"/>
        <w:rPr>
          <w:sz w:val="20"/>
          <w:szCs w:val="20"/>
          <w:color w:val="auto"/>
        </w:rPr>
      </w:pPr>
      <w:r>
        <w:rPr>
          <w:rFonts w:ascii="Arial" w:cs="Arial" w:eastAsia="Arial" w:hAnsi="Arial"/>
          <w:sz w:val="17"/>
          <w:szCs w:val="17"/>
          <w:color w:val="auto"/>
        </w:rPr>
        <w:t>2016 earnings were unfavorably impacted by 15 cents per diluted share due to changes in foreign currencies compared to the prior year. In conjunction with its fourth quarter and full year earnings release, ManpowerGroup will broadcast its conference call live over the Internet</w:t>
      </w:r>
    </w:p>
    <w:p>
      <w:pPr>
        <w:spacing w:after="0" w:line="1" w:lineRule="exact"/>
        <w:rPr>
          <w:sz w:val="20"/>
          <w:szCs w:val="20"/>
          <w:color w:val="auto"/>
        </w:rPr>
      </w:pPr>
    </w:p>
    <w:p>
      <w:pPr>
        <w:spacing w:after="0" w:line="370" w:lineRule="auto"/>
        <w:rPr>
          <w:sz w:val="20"/>
          <w:szCs w:val="20"/>
          <w:color w:val="auto"/>
        </w:rPr>
      </w:pPr>
      <w:r>
        <w:rPr>
          <w:rFonts w:ascii="Arial" w:cs="Arial" w:eastAsia="Arial" w:hAnsi="Arial"/>
          <w:sz w:val="18"/>
          <w:szCs w:val="18"/>
          <w:color w:val="auto"/>
        </w:rPr>
        <w:t xml:space="preserve">on January 31, 2017 at 7:30 a.m. CST (8:30 a.m. EST). Interested parties are invited to listen to the webcast and view the presentation by logging on to </w:t>
      </w:r>
      <w:r>
        <w:rPr>
          <w:rFonts w:ascii="Arial" w:cs="Arial" w:eastAsia="Arial" w:hAnsi="Arial"/>
          <w:sz w:val="18"/>
          <w:szCs w:val="18"/>
          <w:u w:val="single" w:color="auto"/>
          <w:color w:val="0000FF"/>
        </w:rPr>
        <w:t>http://investor.manpower.com/</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http://investor.manpower.com/</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ManpowerGroup® (NYSE: MAN) is the world’s workforce expert, creating innovative workforce solutions for nearly 70 years. As workforce experts, we connect more than 600,000 people to meaningful work across a wide range of skills and industries every day. Through our ManpowerGroup family of brands - Manpower®, Experis®, Right Management® and ManpowerGroup® Solutions - we help more than 400,000 clients in 80 countries and territories address their critical talent needs, providing comprehensive solutions to resource, manage and develop talent. In 2016, ManpowerGroup was named one of the World’s Most Ethical Companies for the sixth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6"/>
          <w:szCs w:val="16"/>
          <w:u w:val="single" w:color="auto"/>
          <w:color w:val="0000FF"/>
        </w:rPr>
        <w:t>www.manpowergroup.com</w:t>
      </w:r>
      <w:r>
        <w:rPr>
          <w:rFonts w:ascii="Arial" w:cs="Arial" w:eastAsia="Arial" w:hAnsi="Arial"/>
          <w:sz w:val="16"/>
          <w:szCs w:val="16"/>
          <w:color w:val="auto"/>
        </w:rPr>
        <w:t>.</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6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2015, which information is incorporated herein by reference.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380"/>
          </w:cols>
          <w:pgMar w:left="240" w:top="595" w:right="2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w w:val="94"/>
              </w:rPr>
              <w:t>Three Months Ended December 31</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40"/>
              <w:spacing w:after="0"/>
              <w:rPr>
                <w:sz w:val="20"/>
                <w:szCs w:val="20"/>
                <w:color w:val="auto"/>
              </w:rPr>
            </w:pPr>
            <w:r>
              <w:rPr>
                <w:rFonts w:ascii="Arial" w:cs="Arial" w:eastAsia="Arial" w:hAnsi="Arial"/>
                <w:sz w:val="16"/>
                <w:szCs w:val="16"/>
                <w:b w:val="1"/>
                <w:bCs w:val="1"/>
                <w:color w:val="auto"/>
                <w:w w:val="89"/>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2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42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1"/>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4,956.1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4,953.9</w:t>
            </w:r>
          </w:p>
        </w:tc>
        <w:tc>
          <w:tcPr>
            <w:tcW w:w="1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4,115.1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4,102.8</w:t>
            </w:r>
          </w:p>
        </w:tc>
        <w:tc>
          <w:tcPr>
            <w:tcW w:w="204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0.3 %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841.0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851.1</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629.0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670.0</w:t>
            </w:r>
          </w:p>
        </w:tc>
        <w:tc>
          <w:tcPr>
            <w:tcW w:w="204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-6.1 %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181.1</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17.1 %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180.1</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56.2</w:t>
            </w:r>
          </w:p>
        </w:tc>
        <w:tc>
          <w:tcPr>
            <w:tcW w:w="204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23.7 %</w:t>
            </w: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123.9</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1.67</w:t>
            </w:r>
          </w:p>
        </w:tc>
        <w:tc>
          <w:tcPr>
            <w:tcW w:w="204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13.2 %</w:t>
            </w:r>
          </w:p>
        </w:tc>
        <w:tc>
          <w:tcPr>
            <w:tcW w:w="106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1.66</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12.7 %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16.9 %</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74.1</w:t>
            </w:r>
          </w:p>
        </w:tc>
        <w:tc>
          <w:tcPr>
            <w:tcW w:w="204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-8.9 %</w:t>
            </w:r>
          </w:p>
        </w:tc>
        <w:tc>
          <w:tcPr>
            <w:tcW w:w="106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74.9</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-8.7 %</w:t>
            </w:r>
          </w:p>
        </w:tc>
        <w:tc>
          <w:tcPr>
            <w:tcW w:w="1060" w:type="dxa"/>
            <w:vAlign w:val="bottom"/>
            <w:tcBorders>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left="20" w:right="340" w:firstLine="2"/>
        <w:spacing w:after="0" w:line="265" w:lineRule="auto"/>
        <w:tabs>
          <w:tab w:leader="none" w:pos="238"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$6.1 million for both the three months ended December 31, 2016 and 2015. These fees are primarily based on revenues generated by the franchise offices, which were $257.8 million and $269.7 million for the three months ended December 31, 2016 and 2015, respectively.</w:t>
      </w:r>
    </w:p>
    <w:p>
      <w:pPr>
        <w:sectPr>
          <w:pgSz w:w="11900" w:h="16838" w:orient="portrait"/>
          <w:cols w:equalWidth="0" w:num="1">
            <w:col w:w="11260"/>
          </w:cols>
          <w:pgMar w:left="420" w:top="679"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w w:val="94"/>
              </w:rPr>
              <w:t>Three Months Ended December 31</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684.7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748.5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378.2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391.8</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-3.5 %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8.3 %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1,140.3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1,228.6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1,175.4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312.3</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-2.1 %</w:t>
            </w:r>
          </w:p>
        </w:tc>
        <w:tc>
          <w:tcPr>
            <w:tcW w:w="106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359.8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1,912.2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1,847.5</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3.5 %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1,316.7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629.6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579.2</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8.7 %</w:t>
            </w:r>
          </w:p>
        </w:tc>
        <w:tc>
          <w:tcPr>
            <w:tcW w:w="1060" w:type="dxa"/>
            <w:vAlign w:val="bottom"/>
          </w:tcPr>
          <w:p>
            <w:pPr>
              <w:jc w:val="right"/>
              <w:spacing w:after="0"/>
              <w:rPr>
                <w:sz w:val="20"/>
                <w:szCs w:val="20"/>
                <w:color w:val="auto"/>
              </w:rPr>
            </w:pPr>
            <w:r>
              <w:rPr>
                <w:rFonts w:ascii="Arial" w:cs="Arial" w:eastAsia="Arial" w:hAnsi="Arial"/>
                <w:sz w:val="16"/>
                <w:szCs w:val="16"/>
                <w:color w:val="auto"/>
              </w:rPr>
              <w:t>4.7 %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-16.5 %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4,956.1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4,953.9</w:t>
            </w:r>
          </w:p>
        </w:tc>
        <w:tc>
          <w:tcPr>
            <w:tcW w:w="100" w:type="dxa"/>
            <w:vAlign w:val="bottom"/>
            <w:tcBorders>
              <w:bottom w:val="single" w:sz="8" w:color="CCEEFF"/>
            </w:tcBorders>
          </w:tcPr>
          <w:p>
            <w:pPr>
              <w:spacing w:after="0"/>
              <w:rPr>
                <w:sz w:val="23"/>
                <w:szCs w:val="23"/>
                <w:color w:val="auto"/>
              </w:rPr>
            </w:pPr>
          </w:p>
        </w:tc>
        <w:tc>
          <w:tcPr>
            <w:tcW w:w="1900" w:type="dxa"/>
            <w:vAlign w:val="bottom"/>
            <w:tcBorders>
              <w:bottom w:val="single" w:sz="8" w:color="CCEEFF"/>
            </w:tcBorders>
          </w:tcPr>
          <w:p>
            <w:pPr>
              <w:jc w:val="right"/>
              <w:ind w:right="6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16.5</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-13.6 %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19.6</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11.1 %</w:t>
            </w:r>
          </w:p>
        </w:tc>
        <w:tc>
          <w:tcPr>
            <w:tcW w:w="1060" w:type="dxa"/>
            <w:vAlign w:val="bottom"/>
          </w:tcPr>
          <w:p>
            <w:pPr>
              <w:jc w:val="right"/>
              <w:spacing w:after="0"/>
              <w:rPr>
                <w:sz w:val="20"/>
                <w:szCs w:val="20"/>
                <w:color w:val="auto"/>
              </w:rPr>
            </w:pPr>
            <w:r>
              <w:rPr>
                <w:rFonts w:ascii="Arial" w:cs="Arial" w:eastAsia="Arial" w:hAnsi="Arial"/>
                <w:sz w:val="16"/>
                <w:szCs w:val="16"/>
                <w:color w:val="auto"/>
              </w:rPr>
              <w:t>12.6 %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22.1 %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101.9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97.1</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5.0 %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35.3 %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18.1</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18.0 %</w:t>
            </w:r>
          </w:p>
        </w:tc>
        <w:tc>
          <w:tcPr>
            <w:tcW w:w="1060" w:type="dxa"/>
            <w:vAlign w:val="bottom"/>
          </w:tcPr>
          <w:p>
            <w:pPr>
              <w:jc w:val="right"/>
              <w:spacing w:after="0"/>
              <w:rPr>
                <w:sz w:val="20"/>
                <w:szCs w:val="20"/>
                <w:color w:val="auto"/>
              </w:rPr>
            </w:pPr>
            <w:r>
              <w:rPr>
                <w:rFonts w:ascii="Arial" w:cs="Arial" w:eastAsia="Arial" w:hAnsi="Arial"/>
                <w:sz w:val="16"/>
                <w:szCs w:val="16"/>
                <w:color w:val="auto"/>
              </w:rPr>
              <w:t>13.9 %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16.2 %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237.6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217.3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17.1 %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180.1</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260" w:hanging="9"/>
        <w:spacing w:after="0" w:line="265"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$4.0 million and $3.7 million for the three months ended December 31, 2016 and 2015, respectively. These fees are primarily based on revenues generated by the franchise offices, which were $174.5 million for both the three months ended December 31, 2016 and 2015.</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 (gain)</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 (income),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92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2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2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900" w:type="dxa"/>
            <w:vAlign w:val="bottom"/>
          </w:tcPr>
          <w:p>
            <w:pPr>
              <w:jc w:val="right"/>
              <w:ind w:right="78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28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19,654.1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19,329.9</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16,320.3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16,034.1</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1.8 %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3,333.8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3,295.8</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1.2 %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2,583.0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2,606.9</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-0.9 %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688.9</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701.3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660.7</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257.6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241.5</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6.7 %</w:t>
            </w:r>
          </w:p>
        </w:tc>
        <w:tc>
          <w:tcPr>
            <w:tcW w:w="104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443.7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419.2</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5.8 %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5.46</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15.9 %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5.40</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16.1 %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76.8</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-8.8 %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77.7</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-8.9 %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120" w:hanging="9"/>
        <w:spacing w:after="0" w:line="265" w:lineRule="auto"/>
        <w:tabs>
          <w:tab w:leader="none" w:pos="23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$23.3 million and $24.2 million for the years ended December 31, 2016 and 2015, respectively. These fees are primarily based on revenues generated by the franchise offices, which were $1,019.9 million and $1,082.3 million for the years ended December 31, 2016 and 2015, respectively.</w:t>
      </w:r>
    </w:p>
    <w:p>
      <w:pPr>
        <w:sectPr>
          <w:pgSz w:w="11900" w:h="16838" w:orient="portrait"/>
          <w:cols w:equalWidth="0" w:num="1">
            <w:col w:w="11240"/>
          </w:cols>
          <w:pgMar w:left="340" w:top="679"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90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2,836.8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3,005.8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1,460.4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1,486.2</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-1.7 %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14.1 %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4,297.2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4,492.0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4,837.4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4,661.3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1,167.7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1,226.1</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-4.8 %</w:t>
            </w:r>
          </w:p>
        </w:tc>
        <w:tc>
          <w:tcPr>
            <w:tcW w:w="1060" w:type="dxa"/>
            <w:vAlign w:val="bottom"/>
          </w:tcPr>
          <w:p>
            <w:pPr>
              <w:jc w:val="right"/>
              <w:spacing w:after="0"/>
              <w:rPr>
                <w:sz w:val="20"/>
                <w:szCs w:val="20"/>
                <w:color w:val="auto"/>
              </w:rPr>
            </w:pPr>
            <w:r>
              <w:rPr>
                <w:rFonts w:ascii="Arial" w:cs="Arial" w:eastAsia="Arial" w:hAnsi="Arial"/>
                <w:sz w:val="16"/>
                <w:szCs w:val="16"/>
                <w:color w:val="auto"/>
              </w:rPr>
              <w:t>-4.5 %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1,492.5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1,404.1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7,497.6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7,291.5</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2.8 %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5,129.1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5,033.7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2,471.3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2,239.1</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10.4 %</w:t>
            </w:r>
          </w:p>
        </w:tc>
        <w:tc>
          <w:tcPr>
            <w:tcW w:w="106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273.6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19,654.1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19,329.9</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1.7 %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-5.9 %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10.4 %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70.9</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11.6 %</w:t>
            </w:r>
          </w:p>
        </w:tc>
        <w:tc>
          <w:tcPr>
            <w:tcW w:w="1060" w:type="dxa"/>
            <w:vAlign w:val="bottom"/>
          </w:tcPr>
          <w:p>
            <w:pPr>
              <w:jc w:val="right"/>
              <w:spacing w:after="0"/>
              <w:rPr>
                <w:sz w:val="20"/>
                <w:szCs w:val="20"/>
                <w:color w:val="auto"/>
              </w:rPr>
            </w:pPr>
            <w:r>
              <w:rPr>
                <w:rFonts w:ascii="Arial" w:cs="Arial" w:eastAsia="Arial" w:hAnsi="Arial"/>
                <w:sz w:val="16"/>
                <w:szCs w:val="16"/>
                <w:color w:val="auto"/>
              </w:rPr>
              <w:t>11.6 %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376.9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369.6</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2.0 %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19.6 %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79.3</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11.5 %</w:t>
            </w:r>
          </w:p>
        </w:tc>
        <w:tc>
          <w:tcPr>
            <w:tcW w:w="1060" w:type="dxa"/>
            <w:vAlign w:val="bottom"/>
          </w:tcPr>
          <w:p>
            <w:pPr>
              <w:jc w:val="right"/>
              <w:spacing w:after="0"/>
              <w:rPr>
                <w:sz w:val="20"/>
                <w:szCs w:val="20"/>
                <w:color w:val="auto"/>
              </w:rPr>
            </w:pPr>
            <w:r>
              <w:rPr>
                <w:rFonts w:ascii="Arial" w:cs="Arial" w:eastAsia="Arial" w:hAnsi="Arial"/>
                <w:sz w:val="16"/>
                <w:szCs w:val="16"/>
                <w:color w:val="auto"/>
              </w:rPr>
              <w:t>9.1 %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16.7 %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879.6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832.7</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750.8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688.9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660.7</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240" w:hanging="9"/>
        <w:spacing w:after="0" w:line="265" w:lineRule="auto"/>
        <w:tabs>
          <w:tab w:leader="none" w:pos="23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$15.1 million and $15.2 million for the years ended December 31, 2016 and 2015, respectively. These fees are primarily based on revenues generated by the franchise offices, which were $686.0 million and $714.1 million for the years ended December 31, 2016 and 2015,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36.0</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 (gain)</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 (income),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28.2</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Balance Sheets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 31</w:t>
            </w:r>
          </w:p>
        </w:tc>
        <w:tc>
          <w:tcPr>
            <w:tcW w:w="340" w:type="dxa"/>
            <w:vAlign w:val="bottom"/>
          </w:tcPr>
          <w:p>
            <w:pPr>
              <w:spacing w:after="0"/>
              <w:rPr>
                <w:sz w:val="18"/>
                <w:szCs w:val="18"/>
                <w:color w:val="auto"/>
              </w:rPr>
            </w:pPr>
          </w:p>
        </w:tc>
        <w:tc>
          <w:tcPr>
            <w:tcW w:w="880" w:type="dxa"/>
            <w:vAlign w:val="bottom"/>
          </w:tcPr>
          <w:p>
            <w:pPr>
              <w:jc w:val="right"/>
              <w:ind w:right="280"/>
              <w:spacing w:after="0"/>
              <w:rPr>
                <w:sz w:val="20"/>
                <w:szCs w:val="20"/>
                <w:color w:val="auto"/>
              </w:rPr>
            </w:pPr>
            <w:r>
              <w:rPr>
                <w:rFonts w:ascii="Arial" w:cs="Arial" w:eastAsia="Arial" w:hAnsi="Arial"/>
                <w:sz w:val="16"/>
                <w:szCs w:val="16"/>
                <w:b w:val="1"/>
                <w:bCs w:val="1"/>
                <w:color w:val="auto"/>
                <w:w w:val="89"/>
              </w:rPr>
              <w:t>Dec. 31</w:t>
            </w:r>
          </w:p>
        </w:tc>
      </w:tr>
      <w:tr>
        <w:trPr>
          <w:trHeight w:val="241"/>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2015</w:t>
            </w:r>
          </w:p>
        </w:tc>
      </w:tr>
      <w:tr>
        <w:trPr>
          <w:trHeight w:val="28"/>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598.5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730.5</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4,413.1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4,243.0</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119.0</w:t>
            </w:r>
          </w:p>
        </w:tc>
      </w:tr>
      <w:tr>
        <w:trPr>
          <w:trHeight w:val="217"/>
        </w:trPr>
        <w:tc>
          <w:tcPr>
            <w:tcW w:w="866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5,132.9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5,092.5</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1,239.9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1,257.4</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326.5</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759.7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694.0</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2,277.9</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46290" cy="153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3035"/>
                    </a:xfrm>
                    <a:prstGeom prst="rect">
                      <a:avLst/>
                    </a:prstGeom>
                    <a:noFill/>
                  </pic:spPr>
                </pic:pic>
              </a:graphicData>
            </a:graphic>
          </wp:anchor>
        </w:drawing>
      </w:r>
    </w:p>
    <w:p>
      <w:pPr>
        <w:sectPr>
          <w:pgSz w:w="11900" w:h="16838" w:orient="portrait"/>
          <w:cols w:equalWidth="0" w:num="1">
            <w:col w:w="11240"/>
          </w:cols>
          <w:pgMar w:left="340" w:top="679" w:right="319" w:bottom="1440" w:gutter="0" w:footer="0" w:header="0"/>
        </w:sectPr>
      </w:pP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Land, buildings, leasehold improvements and equipment</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property and equipment</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567.0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585.4</w:t>
            </w:r>
          </w:p>
        </w:tc>
      </w:tr>
      <w:tr>
        <w:trPr>
          <w:trHeight w:val="241"/>
        </w:trPr>
        <w:tc>
          <w:tcPr>
            <w:tcW w:w="3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419.7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438.3</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147.1</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7,574.2</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389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8935" cy="762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940" w:space="720"/>
            <w:col w:w="2580"/>
          </w:cols>
          <w:pgMar w:left="340" w:top="679"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LIABILITIES AND SHAREHOLDERS' EQUITY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1,659.2</w:t>
            </w: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Employee compensation payable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211.4</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483.7</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Accrued payroll taxes and insurance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649.2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613.8</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438.7</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Short-term borrowings and current maturities of long-term debt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44.2</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3,658.8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3,451.0</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810.9</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683.4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563.1</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1,469.0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1,374.0</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ManpowerGroup shareholders'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in excess of par value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3,186.7</w:t>
            </w: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2,291.3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1,966.0</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(286.0)</w:t>
            </w:r>
          </w:p>
        </w:tc>
      </w:tr>
      <w:tr>
        <w:trPr>
          <w:trHeight w:val="245"/>
        </w:trPr>
        <w:tc>
          <w:tcPr>
            <w:tcW w:w="8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Treasury stock, at cost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(2,243.2)</w:t>
            </w:r>
          </w:p>
        </w:tc>
      </w:tr>
      <w:tr>
        <w:trPr>
          <w:trHeight w:val="245"/>
        </w:trPr>
        <w:tc>
          <w:tcPr>
            <w:tcW w:w="8660" w:type="dxa"/>
            <w:vAlign w:val="bottom"/>
            <w:tcBorders>
              <w:bottom w:val="single" w:sz="8" w:color="CCEEFF"/>
            </w:tcBorders>
            <w:shd w:val="clear" w:color="auto" w:fill="CCEEFF"/>
          </w:tcPr>
          <w:p>
            <w:pPr>
              <w:jc w:val="right"/>
              <w:ind w:right="5460"/>
              <w:spacing w:after="0"/>
              <w:rPr>
                <w:sz w:val="20"/>
                <w:szCs w:val="20"/>
                <w:color w:val="auto"/>
              </w:rPr>
            </w:pPr>
            <w:r>
              <w:rPr>
                <w:rFonts w:ascii="Arial" w:cs="Arial" w:eastAsia="Arial" w:hAnsi="Arial"/>
                <w:sz w:val="16"/>
                <w:szCs w:val="16"/>
                <w:color w:val="auto"/>
              </w:rPr>
              <w:t>Total ManpowerGroup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2,624.7</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67.8</w:t>
            </w:r>
          </w:p>
        </w:tc>
      </w:tr>
      <w:tr>
        <w:trPr>
          <w:trHeight w:val="245"/>
        </w:trPr>
        <w:tc>
          <w:tcPr>
            <w:tcW w:w="8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2,692.5</w:t>
            </w:r>
          </w:p>
        </w:tc>
      </w:tr>
      <w:tr>
        <w:trPr>
          <w:trHeight w:val="235"/>
        </w:trPr>
        <w:tc>
          <w:tcPr>
            <w:tcW w:w="8660" w:type="dxa"/>
            <w:vAlign w:val="bottom"/>
          </w:tcPr>
          <w:p>
            <w:pPr>
              <w:jc w:val="right"/>
              <w:ind w:right="5440"/>
              <w:spacing w:after="0"/>
              <w:rPr>
                <w:sz w:val="20"/>
                <w:szCs w:val="20"/>
                <w:color w:val="auto"/>
              </w:rPr>
            </w:pPr>
            <w:r>
              <w:rPr>
                <w:rFonts w:ascii="Arial" w:cs="Arial" w:eastAsia="Arial" w:hAnsi="Arial"/>
                <w:sz w:val="16"/>
                <w:szCs w:val="16"/>
                <w:color w:val="auto"/>
              </w:rPr>
              <w:t>Total liabilities and shareholders' equity</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7,574.2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7,517.5</w:t>
            </w:r>
          </w:p>
        </w:tc>
      </w:tr>
      <w:tr>
        <w:trPr>
          <w:trHeight w:val="20"/>
        </w:trPr>
        <w:tc>
          <w:tcPr>
            <w:tcW w:w="8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center"/>
              <w:ind w:left="460"/>
              <w:spacing w:after="0"/>
              <w:rPr>
                <w:sz w:val="20"/>
                <w:szCs w:val="20"/>
                <w:color w:val="auto"/>
              </w:rPr>
            </w:pPr>
            <w:r>
              <w:rPr>
                <w:rFonts w:ascii="Arial" w:cs="Arial" w:eastAsia="Arial" w:hAnsi="Arial"/>
                <w:sz w:val="16"/>
                <w:szCs w:val="16"/>
                <w:b w:val="1"/>
                <w:bCs w:val="1"/>
                <w:color w:val="auto"/>
                <w:w w:val="90"/>
              </w:rPr>
              <w:t>Year Ended</w:t>
            </w:r>
          </w:p>
        </w:tc>
        <w:tc>
          <w:tcPr>
            <w:tcW w:w="820" w:type="dxa"/>
            <w:vAlign w:val="bottom"/>
          </w:tcPr>
          <w:p>
            <w:pPr>
              <w:spacing w:after="0"/>
              <w:rPr>
                <w:sz w:val="18"/>
                <w:szCs w:val="18"/>
                <w:color w:val="auto"/>
              </w:rPr>
            </w:pPr>
          </w:p>
        </w:tc>
      </w:tr>
      <w:tr>
        <w:trPr>
          <w:trHeight w:val="24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center"/>
              <w:ind w:left="480"/>
              <w:spacing w:after="0"/>
              <w:rPr>
                <w:sz w:val="20"/>
                <w:szCs w:val="20"/>
                <w:color w:val="auto"/>
              </w:rPr>
            </w:pPr>
            <w:r>
              <w:rPr>
                <w:rFonts w:ascii="Arial" w:cs="Arial" w:eastAsia="Arial" w:hAnsi="Arial"/>
                <w:sz w:val="16"/>
                <w:szCs w:val="16"/>
                <w:b w:val="1"/>
                <w:bCs w:val="1"/>
                <w:color w:val="auto"/>
                <w:w w:val="90"/>
              </w:rPr>
              <w:t>December 31</w:t>
            </w:r>
          </w:p>
        </w:tc>
        <w:tc>
          <w:tcPr>
            <w:tcW w:w="820" w:type="dxa"/>
            <w:vAlign w:val="bottom"/>
          </w:tcPr>
          <w:p>
            <w:pPr>
              <w:spacing w:after="0"/>
              <w:rPr>
                <w:sz w:val="20"/>
                <w:szCs w:val="20"/>
                <w:color w:val="auto"/>
              </w:rPr>
            </w:pP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8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80"/>
              <w:spacing w:after="0"/>
              <w:rPr>
                <w:sz w:val="20"/>
                <w:szCs w:val="20"/>
                <w:color w:val="auto"/>
              </w:rPr>
            </w:pPr>
            <w:r>
              <w:rPr>
                <w:rFonts w:ascii="Arial" w:cs="Arial" w:eastAsia="Arial" w:hAnsi="Arial"/>
                <w:sz w:val="16"/>
                <w:szCs w:val="16"/>
                <w:b w:val="1"/>
                <w:bCs w:val="1"/>
                <w:color w:val="auto"/>
                <w:w w:val="95"/>
              </w:rPr>
              <w:t>2015</w:t>
            </w: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center"/>
              <w:ind w:left="480"/>
              <w:spacing w:after="0"/>
              <w:rPr>
                <w:sz w:val="20"/>
                <w:szCs w:val="20"/>
                <w:color w:val="auto"/>
              </w:rPr>
            </w:pPr>
            <w:r>
              <w:rPr>
                <w:rFonts w:ascii="Arial" w:cs="Arial" w:eastAsia="Arial" w:hAnsi="Arial"/>
                <w:sz w:val="16"/>
                <w:szCs w:val="16"/>
                <w:color w:val="auto"/>
                <w:w w:val="93"/>
              </w:rPr>
              <w:t>(Unaudited)</w:t>
            </w:r>
          </w:p>
        </w:tc>
        <w:tc>
          <w:tcPr>
            <w:tcW w:w="82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443.7</w:t>
            </w:r>
          </w:p>
        </w:tc>
        <w:tc>
          <w:tcPr>
            <w:tcW w:w="120" w:type="dxa"/>
            <w:vAlign w:val="bottom"/>
          </w:tcPr>
          <w:p>
            <w:pPr>
              <w:spacing w:after="0"/>
              <w:rPr>
                <w:sz w:val="18"/>
                <w:szCs w:val="18"/>
                <w:color w:val="auto"/>
              </w:rPr>
            </w:pP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419.2</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77.7</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91.2</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Excess tax benefit on exercise of share-based awards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(317.2)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(369.8)</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w:t>
            </w:r>
          </w:p>
        </w:tc>
      </w:tr>
      <w:tr>
        <w:trPr>
          <w:trHeight w:val="245"/>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342.8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312.9</w:t>
            </w:r>
          </w:p>
        </w:tc>
      </w:tr>
      <w:tr>
        <w:trPr>
          <w:trHeight w:val="25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511.5</w:t>
            </w:r>
          </w:p>
        </w:tc>
      </w:tr>
      <w:tr>
        <w:trPr>
          <w:trHeight w:val="20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r>
      <w:tr>
        <w:trPr>
          <w:trHeight w:val="217"/>
        </w:trPr>
        <w:tc>
          <w:tcPr>
            <w:tcW w:w="8800" w:type="dxa"/>
            <w:vAlign w:val="bottom"/>
          </w:tcPr>
          <w:p>
            <w:pPr>
              <w:ind w:left="100"/>
              <w:spacing w:after="0"/>
              <w:rPr>
                <w:sz w:val="20"/>
                <w:szCs w:val="20"/>
                <w:color w:val="auto"/>
              </w:rPr>
            </w:pPr>
            <w:r>
              <w:rPr>
                <w:rFonts w:ascii="Arial" w:cs="Arial" w:eastAsia="Arial" w:hAnsi="Arial"/>
                <w:sz w:val="16"/>
                <w:szCs w:val="16"/>
                <w:color w:val="auto"/>
              </w:rPr>
              <w:t>Acquisitions of businesses, net of cash 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(260.5)</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investments,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change in short-term borrowings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4.1</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long-term debt</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454.0</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for debt issuance costs</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Payments of contingent consideration for acquisitions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share-based awards and other equity transactions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104.1</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Other share-based award transactions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(580.2)</w:t>
            </w:r>
          </w:p>
        </w:tc>
      </w:tr>
      <w:tr>
        <w:trPr>
          <w:trHeight w:val="245"/>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w:t>
            </w:r>
          </w:p>
        </w:tc>
      </w:tr>
      <w:tr>
        <w:trPr>
          <w:trHeight w:val="24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w:t>
            </w:r>
          </w:p>
        </w:tc>
      </w:tr>
      <w:tr>
        <w:trPr>
          <w:trHeight w:val="245"/>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cash and cash equivalents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w:t>
            </w:r>
          </w:p>
        </w:tc>
      </w:tr>
      <w:tr>
        <w:trPr>
          <w:trHeight w:val="245"/>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730.5</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699.2</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598.5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730.5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79"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2019-12-05T17:58:17Z</dcterms:created>
  <dcterms:modified xsi:type="dcterms:W3CDTF">2019-12-05T17:58:17Z</dcterms:modified>
</cp:coreProperties>
</file>