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3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2" w:lineRule="exact"/>
        <w:rPr>
          <w:sz w:val="24"/>
          <w:szCs w:val="24"/>
          <w:color w:val="auto"/>
        </w:rPr>
      </w:pPr>
    </w:p>
    <w:p>
      <w:pPr>
        <w:spacing w:after="0" w:line="207" w:lineRule="exact"/>
        <w:tabs>
          <w:tab w:leader="none" w:pos="31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MANPOWERGROUP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1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-836295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354965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p>
      <w:pPr>
        <w:ind w:left="892" w:hanging="446"/>
        <w:spacing w:after="0"/>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892" w:hanging="446"/>
        <w:spacing w:after="0"/>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52" w:hanging="452"/>
        <w:spacing w:after="0"/>
        <w:tabs>
          <w:tab w:leader="none" w:pos="452"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52" w:hanging="452"/>
        <w:spacing w:after="0" w:line="332" w:lineRule="auto"/>
        <w:tabs>
          <w:tab w:leader="none" w:pos="452" w:val="left"/>
        </w:tabs>
        <w:numPr>
          <w:ilvl w:val="0"/>
          <w:numId w:val="6"/>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240.0-11(a)(2)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892" w:hanging="446"/>
        <w:spacing w:after="0"/>
        <w:tabs>
          <w:tab w:leader="none" w:pos="892" w:val="left"/>
        </w:tabs>
        <w:numPr>
          <w:ilvl w:val="1"/>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892" w:hanging="446"/>
        <w:spacing w:after="0"/>
        <w:tabs>
          <w:tab w:leader="none" w:pos="892" w:val="left"/>
        </w:tabs>
        <w:numPr>
          <w:ilvl w:val="1"/>
          <w:numId w:val="7"/>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892" w:hanging="446"/>
        <w:spacing w:after="0"/>
        <w:tabs>
          <w:tab w:leader="none" w:pos="892" w:val="left"/>
        </w:tabs>
        <w:numPr>
          <w:ilvl w:val="1"/>
          <w:numId w:val="7"/>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892" w:hanging="446"/>
        <w:spacing w:after="0"/>
        <w:tabs>
          <w:tab w:leader="none" w:pos="892" w:val="left"/>
        </w:tabs>
        <w:numPr>
          <w:ilvl w:val="1"/>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-3058160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-1205865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-674370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379730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534035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560070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12"/>
          </w:cols>
          <w:pgMar w:left="248" w:top="131" w:right="6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40"/>
        <w:spacing w:after="0"/>
        <w:rPr>
          <w:sz w:val="20"/>
          <w:szCs w:val="20"/>
          <w:color w:val="auto"/>
        </w:rPr>
      </w:pPr>
      <w:r>
        <w:rPr>
          <w:rFonts w:ascii="Arial" w:cs="Arial" w:eastAsia="Arial" w:hAnsi="Arial"/>
          <w:sz w:val="65"/>
          <w:szCs w:val="65"/>
          <w:color w:val="5D89B4"/>
        </w:rPr>
        <w:t>Notice of</w:t>
      </w:r>
    </w:p>
    <w:p>
      <w:pPr>
        <w:spacing w:after="0" w:line="180" w:lineRule="auto"/>
        <w:tabs>
          <w:tab w:leader="none" w:pos="3820" w:val="left"/>
        </w:tabs>
        <w:rPr>
          <w:sz w:val="20"/>
          <w:szCs w:val="20"/>
          <w:color w:val="auto"/>
        </w:rPr>
      </w:pPr>
      <w:r>
        <w:rPr>
          <w:rFonts w:ascii="Arial" w:cs="Arial" w:eastAsia="Arial" w:hAnsi="Arial"/>
          <w:sz w:val="86"/>
          <w:szCs w:val="86"/>
          <w:color w:val="5D89B4"/>
          <w:vertAlign w:val="subscript"/>
        </w:rPr>
        <w:t>2017</w:t>
      </w:r>
      <w:r>
        <w:rPr>
          <w:sz w:val="20"/>
          <w:szCs w:val="20"/>
          <w:color w:val="auto"/>
        </w:rPr>
        <w:tab/>
      </w:r>
      <w:r>
        <w:rPr>
          <w:rFonts w:ascii="Arial" w:cs="Arial" w:eastAsia="Arial" w:hAnsi="Arial"/>
          <w:sz w:val="50"/>
          <w:szCs w:val="50"/>
          <w:color w:val="5D89B4"/>
        </w:rPr>
        <w:t>Annual Meeting</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65"/>
          <w:szCs w:val="65"/>
          <w:color w:val="5D89B4"/>
        </w:rPr>
        <w:t>of Shareholders</w:t>
      </w:r>
    </w:p>
    <w:p>
      <w:pPr>
        <w:ind w:left="3840"/>
        <w:spacing w:after="0"/>
        <w:rPr>
          <w:sz w:val="20"/>
          <w:szCs w:val="20"/>
          <w:color w:val="auto"/>
        </w:rPr>
      </w:pPr>
      <w:r>
        <w:rPr>
          <w:rFonts w:ascii="Arial" w:cs="Arial" w:eastAsia="Arial" w:hAnsi="Arial"/>
          <w:sz w:val="64"/>
          <w:szCs w:val="64"/>
          <w:color w:val="5D89B4"/>
        </w:rPr>
        <w:t>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3172460</wp:posOffset>
            </wp:positionV>
            <wp:extent cx="2512695" cy="454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12695" cy="45466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MANPOWERGROUP INC.</w:t>
      </w:r>
    </w:p>
    <w:p>
      <w:pPr>
        <w:jc w:val="center"/>
        <w:spacing w:after="0" w:line="236" w:lineRule="auto"/>
        <w:rPr>
          <w:sz w:val="20"/>
          <w:szCs w:val="20"/>
          <w:color w:val="auto"/>
        </w:rPr>
      </w:pPr>
      <w:r>
        <w:rPr>
          <w:rFonts w:ascii="Arial" w:cs="Arial" w:eastAsia="Arial" w:hAnsi="Arial"/>
          <w:sz w:val="20"/>
          <w:szCs w:val="20"/>
          <w:b w:val="1"/>
          <w:bCs w:val="1"/>
          <w:color w:val="auto"/>
        </w:rPr>
        <w:t>100 MANPOWER PLACE</w:t>
      </w:r>
    </w:p>
    <w:p>
      <w:pPr>
        <w:jc w:val="center"/>
        <w:spacing w:after="0"/>
        <w:rPr>
          <w:sz w:val="20"/>
          <w:szCs w:val="20"/>
          <w:color w:val="auto"/>
        </w:rPr>
      </w:pPr>
      <w:r>
        <w:rPr>
          <w:rFonts w:ascii="Arial" w:cs="Arial" w:eastAsia="Arial" w:hAnsi="Arial"/>
          <w:sz w:val="20"/>
          <w:szCs w:val="20"/>
          <w:b w:val="1"/>
          <w:bCs w:val="1"/>
          <w:color w:val="auto"/>
        </w:rPr>
        <w:t>MILWAUKEE, WISCONSIN 53212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41"/>
          <w:szCs w:val="41"/>
          <w:color w:val="5D89B4"/>
        </w:rPr>
        <w:t>Notice of Annual Meeting of Shareholders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shd w:val="clear" w:color="auto" w:fill="BECFE1"/>
          </w:tcPr>
          <w:p>
            <w:pPr>
              <w:ind w:left="1160"/>
              <w:spacing w:after="0"/>
              <w:rPr>
                <w:sz w:val="20"/>
                <w:szCs w:val="20"/>
                <w:color w:val="auto"/>
              </w:rPr>
            </w:pPr>
            <w:r>
              <w:rPr>
                <w:rFonts w:ascii="Arial" w:cs="Arial" w:eastAsia="Arial" w:hAnsi="Arial"/>
                <w:sz w:val="18"/>
                <w:szCs w:val="18"/>
                <w:b w:val="1"/>
                <w:bCs w:val="1"/>
                <w:color w:val="auto"/>
              </w:rPr>
              <w:t>May 2, 2017</w:t>
            </w:r>
          </w:p>
        </w:tc>
        <w:tc>
          <w:tcPr>
            <w:tcW w:w="4960" w:type="dxa"/>
            <w:vAlign w:val="bottom"/>
            <w:shd w:val="clear" w:color="auto" w:fill="BECFE1"/>
          </w:tcPr>
          <w:p>
            <w:pPr>
              <w:ind w:left="400"/>
              <w:spacing w:after="0"/>
              <w:rPr>
                <w:sz w:val="20"/>
                <w:szCs w:val="20"/>
                <w:color w:val="auto"/>
              </w:rPr>
            </w:pPr>
            <w:r>
              <w:rPr>
                <w:rFonts w:ascii="Arial" w:cs="Arial" w:eastAsia="Arial" w:hAnsi="Arial"/>
                <w:sz w:val="18"/>
                <w:szCs w:val="18"/>
                <w:b w:val="1"/>
                <w:bCs w:val="1"/>
                <w:color w:val="auto"/>
              </w:rPr>
              <w:t>International Headquarters of ManpowerGroup</w:t>
            </w:r>
          </w:p>
        </w:tc>
        <w:tc>
          <w:tcPr>
            <w:tcW w:w="3620" w:type="dxa"/>
            <w:vAlign w:val="bottom"/>
            <w:shd w:val="clear" w:color="auto" w:fill="BECFE1"/>
          </w:tcPr>
          <w:p>
            <w:pPr>
              <w:ind w:left="560"/>
              <w:spacing w:after="0"/>
              <w:rPr>
                <w:sz w:val="20"/>
                <w:szCs w:val="20"/>
                <w:color w:val="auto"/>
              </w:rPr>
            </w:pPr>
            <w:r>
              <w:rPr>
                <w:rFonts w:ascii="Arial" w:cs="Arial" w:eastAsia="Arial" w:hAnsi="Arial"/>
                <w:sz w:val="18"/>
                <w:szCs w:val="18"/>
                <w:b w:val="1"/>
                <w:bCs w:val="1"/>
                <w:color w:val="auto"/>
              </w:rPr>
              <w:t>Record Date</w:t>
            </w:r>
          </w:p>
        </w:tc>
      </w:tr>
      <w:tr>
        <w:trPr>
          <w:trHeight w:val="203"/>
        </w:trPr>
        <w:tc>
          <w:tcPr>
            <w:tcW w:w="2840" w:type="dxa"/>
            <w:vAlign w:val="bottom"/>
            <w:shd w:val="clear" w:color="auto" w:fill="BECFE1"/>
          </w:tcPr>
          <w:p>
            <w:pPr>
              <w:ind w:left="1160"/>
              <w:spacing w:after="0" w:line="202" w:lineRule="exact"/>
              <w:rPr>
                <w:sz w:val="20"/>
                <w:szCs w:val="20"/>
                <w:color w:val="auto"/>
              </w:rPr>
            </w:pPr>
            <w:r>
              <w:rPr>
                <w:rFonts w:ascii="Arial" w:cs="Arial" w:eastAsia="Arial" w:hAnsi="Arial"/>
                <w:sz w:val="18"/>
                <w:szCs w:val="18"/>
                <w:color w:val="auto"/>
              </w:rPr>
              <w:t>10:00 a.m. CDT</w:t>
            </w:r>
          </w:p>
        </w:tc>
        <w:tc>
          <w:tcPr>
            <w:tcW w:w="4960" w:type="dxa"/>
            <w:vAlign w:val="bottom"/>
            <w:shd w:val="clear" w:color="auto" w:fill="BECFE1"/>
          </w:tcPr>
          <w:p>
            <w:pPr>
              <w:ind w:left="400"/>
              <w:spacing w:after="0" w:line="202" w:lineRule="exact"/>
              <w:rPr>
                <w:sz w:val="20"/>
                <w:szCs w:val="20"/>
                <w:color w:val="auto"/>
              </w:rPr>
            </w:pPr>
            <w:r>
              <w:rPr>
                <w:rFonts w:ascii="Arial" w:cs="Arial" w:eastAsia="Arial" w:hAnsi="Arial"/>
                <w:sz w:val="18"/>
                <w:szCs w:val="18"/>
                <w:color w:val="auto"/>
              </w:rPr>
              <w:t>100 Manpower Place</w:t>
            </w:r>
          </w:p>
        </w:tc>
        <w:tc>
          <w:tcPr>
            <w:tcW w:w="3620" w:type="dxa"/>
            <w:vAlign w:val="bottom"/>
            <w:shd w:val="clear" w:color="auto" w:fill="BECFE1"/>
          </w:tcPr>
          <w:p>
            <w:pPr>
              <w:ind w:left="560"/>
              <w:spacing w:after="0" w:line="202" w:lineRule="exact"/>
              <w:rPr>
                <w:sz w:val="20"/>
                <w:szCs w:val="20"/>
                <w:color w:val="auto"/>
              </w:rPr>
            </w:pPr>
            <w:r>
              <w:rPr>
                <w:rFonts w:ascii="Arial" w:cs="Arial" w:eastAsia="Arial" w:hAnsi="Arial"/>
                <w:sz w:val="18"/>
                <w:szCs w:val="18"/>
                <w:color w:val="auto"/>
              </w:rPr>
              <w:t>The close of business</w:t>
            </w:r>
          </w:p>
        </w:tc>
      </w:tr>
      <w:tr>
        <w:trPr>
          <w:trHeight w:val="203"/>
        </w:trPr>
        <w:tc>
          <w:tcPr>
            <w:tcW w:w="2840" w:type="dxa"/>
            <w:vAlign w:val="bottom"/>
            <w:shd w:val="clear" w:color="auto" w:fill="BECFE1"/>
          </w:tcPr>
          <w:p>
            <w:pPr>
              <w:spacing w:after="0"/>
              <w:rPr>
                <w:sz w:val="17"/>
                <w:szCs w:val="17"/>
                <w:color w:val="auto"/>
              </w:rPr>
            </w:pPr>
          </w:p>
        </w:tc>
        <w:tc>
          <w:tcPr>
            <w:tcW w:w="4960" w:type="dxa"/>
            <w:vAlign w:val="bottom"/>
            <w:shd w:val="clear" w:color="auto" w:fill="BECFE1"/>
          </w:tcPr>
          <w:p>
            <w:pPr>
              <w:ind w:left="400"/>
              <w:spacing w:after="0" w:line="203" w:lineRule="exact"/>
              <w:rPr>
                <w:sz w:val="20"/>
                <w:szCs w:val="20"/>
                <w:color w:val="auto"/>
              </w:rPr>
            </w:pPr>
            <w:r>
              <w:rPr>
                <w:rFonts w:ascii="Arial" w:cs="Arial" w:eastAsia="Arial" w:hAnsi="Arial"/>
                <w:sz w:val="18"/>
                <w:szCs w:val="18"/>
                <w:color w:val="auto"/>
              </w:rPr>
              <w:t>Milwaukee, Wisconsin 53212</w:t>
            </w:r>
          </w:p>
        </w:tc>
        <w:tc>
          <w:tcPr>
            <w:tcW w:w="3620" w:type="dxa"/>
            <w:vAlign w:val="bottom"/>
            <w:shd w:val="clear" w:color="auto" w:fill="BECFE1"/>
          </w:tcPr>
          <w:p>
            <w:pPr>
              <w:ind w:left="560"/>
              <w:spacing w:after="0" w:line="203" w:lineRule="exact"/>
              <w:rPr>
                <w:sz w:val="20"/>
                <w:szCs w:val="20"/>
                <w:color w:val="auto"/>
              </w:rPr>
            </w:pPr>
            <w:r>
              <w:rPr>
                <w:rFonts w:ascii="Arial" w:cs="Arial" w:eastAsia="Arial" w:hAnsi="Arial"/>
                <w:sz w:val="18"/>
                <w:szCs w:val="18"/>
                <w:color w:val="auto"/>
              </w:rPr>
              <w:t>February 21, 2017</w:t>
            </w:r>
          </w:p>
        </w:tc>
      </w:tr>
    </w:tbl>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Items of Business:</w:t>
      </w:r>
    </w:p>
    <w:p>
      <w:pPr>
        <w:spacing w:after="0" w:line="13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20"/>
          <w:szCs w:val="20"/>
          <w:b w:val="1"/>
          <w:bCs w:val="1"/>
          <w:color w:val="5D89B4"/>
        </w:rPr>
      </w:pPr>
      <w:r>
        <w:rPr>
          <w:rFonts w:ascii="Arial" w:cs="Arial" w:eastAsia="Arial" w:hAnsi="Arial"/>
          <w:sz w:val="20"/>
          <w:szCs w:val="20"/>
          <w:color w:val="auto"/>
        </w:rPr>
        <w:t>To elect thirteen individuals nominated by the Board of Directors of ManpowerGroup to serve until 2018 as directors;</w:t>
      </w:r>
    </w:p>
    <w:p>
      <w:pPr>
        <w:spacing w:after="0" w:line="202" w:lineRule="exact"/>
        <w:rPr>
          <w:rFonts w:ascii="Arial" w:cs="Arial" w:eastAsia="Arial" w:hAnsi="Arial"/>
          <w:sz w:val="20"/>
          <w:szCs w:val="20"/>
          <w:b w:val="1"/>
          <w:bCs w:val="1"/>
          <w:color w:val="5D89B4"/>
        </w:rPr>
      </w:pPr>
    </w:p>
    <w:p>
      <w:pPr>
        <w:ind w:left="460" w:hanging="452"/>
        <w:spacing w:after="0"/>
        <w:tabs>
          <w:tab w:leader="none" w:pos="460" w:val="left"/>
        </w:tabs>
        <w:numPr>
          <w:ilvl w:val="0"/>
          <w:numId w:val="8"/>
        </w:numPr>
        <w:rPr>
          <w:rFonts w:ascii="Arial" w:cs="Arial" w:eastAsia="Arial" w:hAnsi="Arial"/>
          <w:sz w:val="20"/>
          <w:szCs w:val="20"/>
          <w:b w:val="1"/>
          <w:bCs w:val="1"/>
          <w:color w:val="5D89B4"/>
        </w:rPr>
      </w:pPr>
      <w:r>
        <w:rPr>
          <w:rFonts w:ascii="Arial" w:cs="Arial" w:eastAsia="Arial" w:hAnsi="Arial"/>
          <w:sz w:val="20"/>
          <w:szCs w:val="20"/>
          <w:color w:val="auto"/>
        </w:rPr>
        <w:t>To ratify the appointment of Deloitte &amp; Touche LLP as our independent auditors for 2017;</w:t>
      </w:r>
    </w:p>
    <w:p>
      <w:pPr>
        <w:spacing w:after="0" w:line="202" w:lineRule="exact"/>
        <w:rPr>
          <w:rFonts w:ascii="Arial" w:cs="Arial" w:eastAsia="Arial" w:hAnsi="Arial"/>
          <w:sz w:val="20"/>
          <w:szCs w:val="20"/>
          <w:b w:val="1"/>
          <w:bCs w:val="1"/>
          <w:color w:val="5D89B4"/>
        </w:rPr>
      </w:pPr>
    </w:p>
    <w:p>
      <w:pPr>
        <w:ind w:left="460" w:hanging="452"/>
        <w:spacing w:after="0"/>
        <w:tabs>
          <w:tab w:leader="none" w:pos="460" w:val="left"/>
        </w:tabs>
        <w:numPr>
          <w:ilvl w:val="0"/>
          <w:numId w:val="8"/>
        </w:numPr>
        <w:rPr>
          <w:rFonts w:ascii="Arial" w:cs="Arial" w:eastAsia="Arial" w:hAnsi="Arial"/>
          <w:sz w:val="20"/>
          <w:szCs w:val="20"/>
          <w:b w:val="1"/>
          <w:bCs w:val="1"/>
          <w:color w:val="5D89B4"/>
        </w:rPr>
      </w:pPr>
      <w:r>
        <w:rPr>
          <w:rFonts w:ascii="Arial" w:cs="Arial" w:eastAsia="Arial" w:hAnsi="Arial"/>
          <w:sz w:val="20"/>
          <w:szCs w:val="20"/>
          <w:color w:val="auto"/>
        </w:rPr>
        <w:t>To hold an advisory vote on approval of the compensation of our named executive officers;</w:t>
      </w:r>
    </w:p>
    <w:p>
      <w:pPr>
        <w:spacing w:after="0" w:line="202" w:lineRule="exact"/>
        <w:rPr>
          <w:rFonts w:ascii="Arial" w:cs="Arial" w:eastAsia="Arial" w:hAnsi="Arial"/>
          <w:sz w:val="20"/>
          <w:szCs w:val="20"/>
          <w:b w:val="1"/>
          <w:bCs w:val="1"/>
          <w:color w:val="5D89B4"/>
        </w:rPr>
      </w:pPr>
    </w:p>
    <w:p>
      <w:pPr>
        <w:ind w:left="460" w:hanging="452"/>
        <w:spacing w:after="0"/>
        <w:tabs>
          <w:tab w:leader="none" w:pos="460" w:val="left"/>
        </w:tabs>
        <w:numPr>
          <w:ilvl w:val="0"/>
          <w:numId w:val="8"/>
        </w:numPr>
        <w:rPr>
          <w:rFonts w:ascii="Arial" w:cs="Arial" w:eastAsia="Arial" w:hAnsi="Arial"/>
          <w:sz w:val="20"/>
          <w:szCs w:val="20"/>
          <w:b w:val="1"/>
          <w:bCs w:val="1"/>
          <w:color w:val="5D89B4"/>
        </w:rPr>
      </w:pPr>
      <w:r>
        <w:rPr>
          <w:rFonts w:ascii="Arial" w:cs="Arial" w:eastAsia="Arial" w:hAnsi="Arial"/>
          <w:sz w:val="20"/>
          <w:szCs w:val="20"/>
          <w:color w:val="auto"/>
        </w:rPr>
        <w:t>To hold an advisory vote on the frequency of the advisory vote on the compensation of our named executive officers; and</w:t>
      </w:r>
    </w:p>
    <w:p>
      <w:pPr>
        <w:spacing w:after="0" w:line="202" w:lineRule="exact"/>
        <w:rPr>
          <w:rFonts w:ascii="Arial" w:cs="Arial" w:eastAsia="Arial" w:hAnsi="Arial"/>
          <w:sz w:val="20"/>
          <w:szCs w:val="20"/>
          <w:b w:val="1"/>
          <w:bCs w:val="1"/>
          <w:color w:val="5D89B4"/>
        </w:rPr>
      </w:pPr>
    </w:p>
    <w:p>
      <w:pPr>
        <w:ind w:left="460" w:hanging="452"/>
        <w:spacing w:after="0"/>
        <w:tabs>
          <w:tab w:leader="none" w:pos="460" w:val="left"/>
        </w:tabs>
        <w:numPr>
          <w:ilvl w:val="0"/>
          <w:numId w:val="8"/>
        </w:numPr>
        <w:rPr>
          <w:rFonts w:ascii="Arial" w:cs="Arial" w:eastAsia="Arial" w:hAnsi="Arial"/>
          <w:sz w:val="20"/>
          <w:szCs w:val="20"/>
          <w:b w:val="1"/>
          <w:bCs w:val="1"/>
          <w:color w:val="5D89B4"/>
        </w:rPr>
      </w:pPr>
      <w:r>
        <w:rPr>
          <w:rFonts w:ascii="Arial" w:cs="Arial" w:eastAsia="Arial" w:hAnsi="Arial"/>
          <w:sz w:val="20"/>
          <w:szCs w:val="20"/>
          <w:color w:val="auto"/>
        </w:rPr>
        <w:t>To transact such other business as may properly come before the meeting.</w:t>
      </w:r>
    </w:p>
    <w:p>
      <w:pPr>
        <w:spacing w:after="0" w:line="156"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b w:val="1"/>
          <w:bCs w:val="1"/>
          <w:color w:val="auto"/>
        </w:rPr>
        <w:t>Holders of a majority of the outstanding shares must be present in person or by proxy in order for the annual meeting to be held. As allowed under the Securities and Exchange Commission’s rules, we have elected to furnish our proxy materials over the Internet. Accordingly, we have mailed to our shareholders of record and beneficial owners a Notice of Internet Availability of Proxy Materials (the “Notice”) containing instructions on how to access the attached proxy statement and our Annual Report on Form 10-K via the Internet and how to vote online.</w:t>
      </w:r>
    </w:p>
    <w:p>
      <w:pPr>
        <w:spacing w:after="0" w:line="136"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b w:val="1"/>
          <w:bCs w:val="1"/>
          <w:color w:val="auto"/>
        </w:rPr>
        <w:t>Whether or not you expect to attend the annual meeting in person, you are urged to vote by a telephone vote, by voting electronically via the Internet or, as applicable, by completing and mailing the proxy card. Instructions for telephonic voting and electronic voting via the Internet are contained in the Notice or, as applicable, on the accompanying proxy card. If you attend the meeting and wish to vote your shares personally, you may do so by revoking your proxy at any time prior to the voting thereof. In addition, you may revoke your proxy at any time before it is voted by advising the Secretary of ManpowerGroup in writing (including executing a later-dated proxy or voting via the Internet) or by telephone of such revocation.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76465" cy="4673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467360"/>
                    </a:xfrm>
                    <a:prstGeom prst="rect">
                      <a:avLst/>
                    </a:prstGeom>
                    <a:noFill/>
                  </pic:spPr>
                </pic:pic>
              </a:graphicData>
            </a:graphic>
          </wp:anchor>
        </w:drawing>
      </w:r>
    </w:p>
    <w:p>
      <w:pPr>
        <w:spacing w:after="0" w:line="213" w:lineRule="exact"/>
        <w:rPr>
          <w:sz w:val="20"/>
          <w:szCs w:val="20"/>
          <w:color w:val="auto"/>
        </w:rPr>
      </w:pPr>
    </w:p>
    <w:p>
      <w:pPr>
        <w:ind w:left="260" w:right="380"/>
        <w:spacing w:after="0" w:line="253" w:lineRule="auto"/>
        <w:rPr>
          <w:sz w:val="20"/>
          <w:szCs w:val="20"/>
          <w:color w:val="auto"/>
        </w:rPr>
      </w:pPr>
      <w:r>
        <w:rPr>
          <w:rFonts w:ascii="Arial" w:cs="Arial" w:eastAsia="Arial" w:hAnsi="Arial"/>
          <w:sz w:val="18"/>
          <w:szCs w:val="18"/>
          <w:b w:val="1"/>
          <w:bCs w:val="1"/>
          <w:color w:val="5D89B4"/>
        </w:rPr>
        <w:t xml:space="preserve">Important Notice Regarding the Availability of Proxy Materials for the Annual Meeting of Shareholders to be held on May 2, 2017: </w:t>
      </w:r>
      <w:r>
        <w:rPr>
          <w:rFonts w:ascii="Arial" w:cs="Arial" w:eastAsia="Arial" w:hAnsi="Arial"/>
          <w:sz w:val="18"/>
          <w:szCs w:val="18"/>
          <w:color w:val="000000"/>
        </w:rPr>
        <w:t>The annual report and proxy statement of ManpowerGroup are available for review on the Internet. Instructions on how to access</w:t>
      </w:r>
      <w:r>
        <w:rPr>
          <w:rFonts w:ascii="Arial" w:cs="Arial" w:eastAsia="Arial" w:hAnsi="Arial"/>
          <w:sz w:val="18"/>
          <w:szCs w:val="18"/>
          <w:b w:val="1"/>
          <w:bCs w:val="1"/>
          <w:color w:val="5D89B4"/>
        </w:rPr>
        <w:t xml:space="preserve"> </w:t>
      </w:r>
      <w:r>
        <w:rPr>
          <w:rFonts w:ascii="Arial" w:cs="Arial" w:eastAsia="Arial" w:hAnsi="Arial"/>
          <w:sz w:val="18"/>
          <w:szCs w:val="18"/>
          <w:color w:val="000000"/>
        </w:rPr>
        <w:t>and review the materials on the Internet can be found on the Notice and the accompanying proxy card.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Richard Buchband, Secretary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 2017</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0" w:type="dxa"/>
            <w:vAlign w:val="bottom"/>
            <w:shd w:val="clear" w:color="auto" w:fill="5D89B4"/>
          </w:tcPr>
          <w:p>
            <w:pPr>
              <w:spacing w:after="0"/>
              <w:rPr>
                <w:sz w:val="24"/>
                <w:szCs w:val="24"/>
                <w:color w:val="auto"/>
              </w:rPr>
            </w:pPr>
          </w:p>
        </w:tc>
        <w:tc>
          <w:tcPr>
            <w:tcW w:w="160" w:type="dxa"/>
            <w:vAlign w:val="bottom"/>
            <w:shd w:val="clear" w:color="auto" w:fill="5D89B4"/>
          </w:tcPr>
          <w:p>
            <w:pPr>
              <w:spacing w:after="0"/>
              <w:rPr>
                <w:sz w:val="24"/>
                <w:szCs w:val="24"/>
                <w:color w:val="auto"/>
              </w:rPr>
            </w:pPr>
          </w:p>
        </w:tc>
        <w:tc>
          <w:tcPr>
            <w:tcW w:w="820" w:type="dxa"/>
            <w:vAlign w:val="bottom"/>
            <w:shd w:val="clear" w:color="auto" w:fill="5D89B4"/>
          </w:tcPr>
          <w:p>
            <w:pPr>
              <w:spacing w:after="0"/>
              <w:rPr>
                <w:sz w:val="24"/>
                <w:szCs w:val="24"/>
                <w:color w:val="auto"/>
              </w:rPr>
            </w:pPr>
          </w:p>
        </w:tc>
        <w:tc>
          <w:tcPr>
            <w:tcW w:w="160" w:type="dxa"/>
            <w:vAlign w:val="bottom"/>
            <w:shd w:val="clear" w:color="auto" w:fill="5D89B4"/>
          </w:tcPr>
          <w:p>
            <w:pPr>
              <w:spacing w:after="0"/>
              <w:rPr>
                <w:sz w:val="24"/>
                <w:szCs w:val="24"/>
                <w:color w:val="auto"/>
              </w:rPr>
            </w:pPr>
          </w:p>
        </w:tc>
        <w:tc>
          <w:tcPr>
            <w:tcW w:w="280" w:type="dxa"/>
            <w:vAlign w:val="bottom"/>
            <w:tcBorders>
              <w:right w:val="single" w:sz="8" w:color="5D89B4"/>
            </w:tcBorders>
            <w:shd w:val="clear" w:color="auto" w:fill="5D89B4"/>
          </w:tcPr>
          <w:p>
            <w:pPr>
              <w:spacing w:after="0"/>
              <w:rPr>
                <w:sz w:val="24"/>
                <w:szCs w:val="24"/>
                <w:color w:val="auto"/>
              </w:rPr>
            </w:pPr>
          </w:p>
        </w:tc>
        <w:tc>
          <w:tcPr>
            <w:tcW w:w="200" w:type="dxa"/>
            <w:vAlign w:val="bottom"/>
            <w:shd w:val="clear" w:color="auto" w:fill="5D89B4"/>
          </w:tcPr>
          <w:p>
            <w:pPr>
              <w:spacing w:after="0"/>
              <w:rPr>
                <w:sz w:val="24"/>
                <w:szCs w:val="24"/>
                <w:color w:val="auto"/>
              </w:rPr>
            </w:pPr>
          </w:p>
        </w:tc>
        <w:tc>
          <w:tcPr>
            <w:tcW w:w="260" w:type="dxa"/>
            <w:vAlign w:val="bottom"/>
            <w:shd w:val="clear" w:color="auto" w:fill="5D89B4"/>
          </w:tcPr>
          <w:p>
            <w:pPr>
              <w:spacing w:after="0"/>
              <w:rPr>
                <w:sz w:val="24"/>
                <w:szCs w:val="24"/>
                <w:color w:val="auto"/>
              </w:rPr>
            </w:pPr>
          </w:p>
        </w:tc>
        <w:tc>
          <w:tcPr>
            <w:tcW w:w="80" w:type="dxa"/>
            <w:vAlign w:val="bottom"/>
            <w:shd w:val="clear" w:color="auto" w:fill="5D89B4"/>
          </w:tcPr>
          <w:p>
            <w:pPr>
              <w:spacing w:after="0"/>
              <w:rPr>
                <w:sz w:val="24"/>
                <w:szCs w:val="24"/>
                <w:color w:val="auto"/>
              </w:rPr>
            </w:pPr>
          </w:p>
        </w:tc>
        <w:tc>
          <w:tcPr>
            <w:tcW w:w="40" w:type="dxa"/>
            <w:vAlign w:val="bottom"/>
            <w:shd w:val="clear" w:color="auto" w:fill="5D89B4"/>
          </w:tcPr>
          <w:p>
            <w:pPr>
              <w:spacing w:after="0"/>
              <w:rPr>
                <w:sz w:val="24"/>
                <w:szCs w:val="24"/>
                <w:color w:val="auto"/>
              </w:rPr>
            </w:pPr>
          </w:p>
        </w:tc>
        <w:tc>
          <w:tcPr>
            <w:tcW w:w="20" w:type="dxa"/>
            <w:vAlign w:val="bottom"/>
            <w:shd w:val="clear" w:color="auto" w:fill="5D89B4"/>
          </w:tcPr>
          <w:p>
            <w:pPr>
              <w:spacing w:after="0"/>
              <w:rPr>
                <w:sz w:val="24"/>
                <w:szCs w:val="24"/>
                <w:color w:val="auto"/>
              </w:rPr>
            </w:pPr>
          </w:p>
        </w:tc>
        <w:tc>
          <w:tcPr>
            <w:tcW w:w="100" w:type="dxa"/>
            <w:vAlign w:val="bottom"/>
            <w:shd w:val="clear" w:color="auto" w:fill="5D89B4"/>
          </w:tcPr>
          <w:p>
            <w:pPr>
              <w:spacing w:after="0"/>
              <w:rPr>
                <w:sz w:val="24"/>
                <w:szCs w:val="24"/>
                <w:color w:val="auto"/>
              </w:rPr>
            </w:pPr>
          </w:p>
        </w:tc>
        <w:tc>
          <w:tcPr>
            <w:tcW w:w="20" w:type="dxa"/>
            <w:vAlign w:val="bottom"/>
            <w:shd w:val="clear" w:color="auto" w:fill="5D89B4"/>
          </w:tcPr>
          <w:p>
            <w:pPr>
              <w:spacing w:after="0"/>
              <w:rPr>
                <w:sz w:val="24"/>
                <w:szCs w:val="24"/>
                <w:color w:val="auto"/>
              </w:rPr>
            </w:pPr>
          </w:p>
        </w:tc>
        <w:tc>
          <w:tcPr>
            <w:tcW w:w="100" w:type="dxa"/>
            <w:vAlign w:val="bottom"/>
            <w:shd w:val="clear" w:color="auto" w:fill="5D89B4"/>
          </w:tcPr>
          <w:p>
            <w:pPr>
              <w:spacing w:after="0"/>
              <w:rPr>
                <w:sz w:val="24"/>
                <w:szCs w:val="24"/>
                <w:color w:val="auto"/>
              </w:rPr>
            </w:pPr>
          </w:p>
        </w:tc>
        <w:tc>
          <w:tcPr>
            <w:tcW w:w="100" w:type="dxa"/>
            <w:vAlign w:val="bottom"/>
            <w:shd w:val="clear" w:color="auto" w:fill="5D89B4"/>
          </w:tcPr>
          <w:p>
            <w:pPr>
              <w:spacing w:after="0"/>
              <w:rPr>
                <w:sz w:val="24"/>
                <w:szCs w:val="24"/>
                <w:color w:val="auto"/>
              </w:rPr>
            </w:pPr>
          </w:p>
        </w:tc>
        <w:tc>
          <w:tcPr>
            <w:tcW w:w="40" w:type="dxa"/>
            <w:vAlign w:val="bottom"/>
            <w:shd w:val="clear" w:color="auto" w:fill="5D89B4"/>
          </w:tcPr>
          <w:p>
            <w:pPr>
              <w:spacing w:after="0"/>
              <w:rPr>
                <w:sz w:val="24"/>
                <w:szCs w:val="24"/>
                <w:color w:val="auto"/>
              </w:rPr>
            </w:pPr>
          </w:p>
        </w:tc>
        <w:tc>
          <w:tcPr>
            <w:tcW w:w="20" w:type="dxa"/>
            <w:vAlign w:val="bottom"/>
            <w:shd w:val="clear" w:color="auto" w:fill="5D89B4"/>
          </w:tcPr>
          <w:p>
            <w:pPr>
              <w:spacing w:after="0"/>
              <w:rPr>
                <w:sz w:val="24"/>
                <w:szCs w:val="24"/>
                <w:color w:val="auto"/>
              </w:rPr>
            </w:pPr>
          </w:p>
        </w:tc>
        <w:tc>
          <w:tcPr>
            <w:tcW w:w="60" w:type="dxa"/>
            <w:vAlign w:val="bottom"/>
            <w:shd w:val="clear" w:color="auto" w:fill="5D89B4"/>
          </w:tcPr>
          <w:p>
            <w:pPr>
              <w:spacing w:after="0"/>
              <w:rPr>
                <w:sz w:val="24"/>
                <w:szCs w:val="24"/>
                <w:color w:val="auto"/>
              </w:rPr>
            </w:pPr>
          </w:p>
        </w:tc>
        <w:tc>
          <w:tcPr>
            <w:tcW w:w="20" w:type="dxa"/>
            <w:vAlign w:val="bottom"/>
            <w:shd w:val="clear" w:color="auto" w:fill="5D89B4"/>
          </w:tcPr>
          <w:p>
            <w:pPr>
              <w:spacing w:after="0"/>
              <w:rPr>
                <w:sz w:val="24"/>
                <w:szCs w:val="24"/>
                <w:color w:val="auto"/>
              </w:rPr>
            </w:pPr>
          </w:p>
        </w:tc>
        <w:tc>
          <w:tcPr>
            <w:tcW w:w="380" w:type="dxa"/>
            <w:vAlign w:val="bottom"/>
            <w:shd w:val="clear" w:color="auto" w:fill="5D89B4"/>
          </w:tcPr>
          <w:p>
            <w:pPr>
              <w:spacing w:after="0"/>
              <w:rPr>
                <w:sz w:val="24"/>
                <w:szCs w:val="24"/>
                <w:color w:val="auto"/>
              </w:rPr>
            </w:pPr>
          </w:p>
        </w:tc>
        <w:tc>
          <w:tcPr>
            <w:tcW w:w="120" w:type="dxa"/>
            <w:vAlign w:val="bottom"/>
            <w:shd w:val="clear" w:color="auto" w:fill="5D89B4"/>
          </w:tcPr>
          <w:p>
            <w:pPr>
              <w:spacing w:after="0"/>
              <w:rPr>
                <w:sz w:val="24"/>
                <w:szCs w:val="24"/>
                <w:color w:val="auto"/>
              </w:rPr>
            </w:pPr>
          </w:p>
        </w:tc>
        <w:tc>
          <w:tcPr>
            <w:tcW w:w="240" w:type="dxa"/>
            <w:vAlign w:val="bottom"/>
            <w:shd w:val="clear" w:color="auto" w:fill="5D89B4"/>
          </w:tcPr>
          <w:p>
            <w:pPr>
              <w:spacing w:after="0"/>
              <w:rPr>
                <w:sz w:val="24"/>
                <w:szCs w:val="24"/>
                <w:color w:val="auto"/>
              </w:rPr>
            </w:pPr>
          </w:p>
        </w:tc>
        <w:tc>
          <w:tcPr>
            <w:tcW w:w="40" w:type="dxa"/>
            <w:vAlign w:val="bottom"/>
            <w:shd w:val="clear" w:color="auto" w:fill="5D89B4"/>
          </w:tcPr>
          <w:p>
            <w:pPr>
              <w:spacing w:after="0"/>
              <w:rPr>
                <w:sz w:val="24"/>
                <w:szCs w:val="24"/>
                <w:color w:val="auto"/>
              </w:rPr>
            </w:pPr>
          </w:p>
        </w:tc>
        <w:tc>
          <w:tcPr>
            <w:tcW w:w="60" w:type="dxa"/>
            <w:vAlign w:val="bottom"/>
            <w:shd w:val="clear" w:color="auto" w:fill="5D89B4"/>
          </w:tcPr>
          <w:p>
            <w:pPr>
              <w:spacing w:after="0"/>
              <w:rPr>
                <w:sz w:val="24"/>
                <w:szCs w:val="24"/>
                <w:color w:val="auto"/>
              </w:rPr>
            </w:pPr>
          </w:p>
        </w:tc>
        <w:tc>
          <w:tcPr>
            <w:tcW w:w="40" w:type="dxa"/>
            <w:vAlign w:val="bottom"/>
            <w:shd w:val="clear" w:color="auto" w:fill="5D89B4"/>
          </w:tcPr>
          <w:p>
            <w:pPr>
              <w:spacing w:after="0"/>
              <w:rPr>
                <w:sz w:val="24"/>
                <w:szCs w:val="24"/>
                <w:color w:val="auto"/>
              </w:rPr>
            </w:pPr>
          </w:p>
        </w:tc>
        <w:tc>
          <w:tcPr>
            <w:tcW w:w="40" w:type="dxa"/>
            <w:vAlign w:val="bottom"/>
            <w:shd w:val="clear" w:color="auto" w:fill="5D89B4"/>
          </w:tcPr>
          <w:p>
            <w:pPr>
              <w:spacing w:after="0"/>
              <w:rPr>
                <w:sz w:val="24"/>
                <w:szCs w:val="24"/>
                <w:color w:val="auto"/>
              </w:rPr>
            </w:pPr>
          </w:p>
        </w:tc>
        <w:tc>
          <w:tcPr>
            <w:tcW w:w="100" w:type="dxa"/>
            <w:vAlign w:val="bottom"/>
            <w:shd w:val="clear" w:color="auto" w:fill="5D89B4"/>
          </w:tcPr>
          <w:p>
            <w:pPr>
              <w:spacing w:after="0"/>
              <w:rPr>
                <w:sz w:val="24"/>
                <w:szCs w:val="24"/>
                <w:color w:val="auto"/>
              </w:rPr>
            </w:pPr>
          </w:p>
        </w:tc>
        <w:tc>
          <w:tcPr>
            <w:tcW w:w="100" w:type="dxa"/>
            <w:vAlign w:val="bottom"/>
            <w:shd w:val="clear" w:color="auto" w:fill="5D89B4"/>
          </w:tcPr>
          <w:p>
            <w:pPr>
              <w:spacing w:after="0"/>
              <w:rPr>
                <w:sz w:val="24"/>
                <w:szCs w:val="24"/>
                <w:color w:val="auto"/>
              </w:rPr>
            </w:pPr>
          </w:p>
        </w:tc>
        <w:tc>
          <w:tcPr>
            <w:tcW w:w="60" w:type="dxa"/>
            <w:vAlign w:val="bottom"/>
            <w:shd w:val="clear" w:color="auto" w:fill="5D89B4"/>
          </w:tcPr>
          <w:p>
            <w:pPr>
              <w:spacing w:after="0"/>
              <w:rPr>
                <w:sz w:val="24"/>
                <w:szCs w:val="24"/>
                <w:color w:val="auto"/>
              </w:rPr>
            </w:pPr>
          </w:p>
        </w:tc>
        <w:tc>
          <w:tcPr>
            <w:tcW w:w="20" w:type="dxa"/>
            <w:vAlign w:val="bottom"/>
            <w:shd w:val="clear" w:color="auto" w:fill="5D89B4"/>
          </w:tcPr>
          <w:p>
            <w:pPr>
              <w:spacing w:after="0"/>
              <w:rPr>
                <w:sz w:val="24"/>
                <w:szCs w:val="24"/>
                <w:color w:val="auto"/>
              </w:rPr>
            </w:pPr>
          </w:p>
        </w:tc>
        <w:tc>
          <w:tcPr>
            <w:tcW w:w="80" w:type="dxa"/>
            <w:vAlign w:val="bottom"/>
            <w:shd w:val="clear" w:color="auto" w:fill="5D89B4"/>
          </w:tcPr>
          <w:p>
            <w:pPr>
              <w:spacing w:after="0"/>
              <w:rPr>
                <w:sz w:val="24"/>
                <w:szCs w:val="24"/>
                <w:color w:val="auto"/>
              </w:rPr>
            </w:pPr>
          </w:p>
        </w:tc>
        <w:tc>
          <w:tcPr>
            <w:tcW w:w="160" w:type="dxa"/>
            <w:vAlign w:val="bottom"/>
            <w:shd w:val="clear" w:color="auto" w:fill="5D89B4"/>
          </w:tcPr>
          <w:p>
            <w:pPr>
              <w:spacing w:after="0"/>
              <w:rPr>
                <w:sz w:val="24"/>
                <w:szCs w:val="24"/>
                <w:color w:val="auto"/>
              </w:rPr>
            </w:pPr>
          </w:p>
        </w:tc>
        <w:tc>
          <w:tcPr>
            <w:tcW w:w="60" w:type="dxa"/>
            <w:vAlign w:val="bottom"/>
            <w:shd w:val="clear" w:color="auto" w:fill="5D89B4"/>
          </w:tcPr>
          <w:p>
            <w:pPr>
              <w:spacing w:after="0"/>
              <w:rPr>
                <w:sz w:val="24"/>
                <w:szCs w:val="24"/>
                <w:color w:val="auto"/>
              </w:rPr>
            </w:pPr>
          </w:p>
        </w:tc>
        <w:tc>
          <w:tcPr>
            <w:tcW w:w="280" w:type="dxa"/>
            <w:vAlign w:val="bottom"/>
            <w:shd w:val="clear" w:color="auto" w:fill="5D89B4"/>
          </w:tcPr>
          <w:p>
            <w:pPr>
              <w:spacing w:after="0"/>
              <w:rPr>
                <w:sz w:val="24"/>
                <w:szCs w:val="24"/>
                <w:color w:val="auto"/>
              </w:rPr>
            </w:pPr>
          </w:p>
        </w:tc>
        <w:tc>
          <w:tcPr>
            <w:tcW w:w="360" w:type="dxa"/>
            <w:vAlign w:val="bottom"/>
            <w:shd w:val="clear" w:color="auto" w:fill="5D89B4"/>
          </w:tcPr>
          <w:p>
            <w:pPr>
              <w:spacing w:after="0"/>
              <w:rPr>
                <w:sz w:val="24"/>
                <w:szCs w:val="24"/>
                <w:color w:val="auto"/>
              </w:rPr>
            </w:pPr>
          </w:p>
        </w:tc>
        <w:tc>
          <w:tcPr>
            <w:tcW w:w="60" w:type="dxa"/>
            <w:vAlign w:val="bottom"/>
            <w:shd w:val="clear" w:color="auto" w:fill="5D89B4"/>
          </w:tcPr>
          <w:p>
            <w:pPr>
              <w:spacing w:after="0"/>
              <w:rPr>
                <w:sz w:val="24"/>
                <w:szCs w:val="24"/>
                <w:color w:val="auto"/>
              </w:rPr>
            </w:pPr>
          </w:p>
        </w:tc>
        <w:tc>
          <w:tcPr>
            <w:tcW w:w="180" w:type="dxa"/>
            <w:vAlign w:val="bottom"/>
            <w:shd w:val="clear" w:color="auto" w:fill="5D89B4"/>
          </w:tcPr>
          <w:p>
            <w:pPr>
              <w:spacing w:after="0"/>
              <w:rPr>
                <w:sz w:val="24"/>
                <w:szCs w:val="24"/>
                <w:color w:val="auto"/>
              </w:rPr>
            </w:pPr>
          </w:p>
        </w:tc>
        <w:tc>
          <w:tcPr>
            <w:tcW w:w="480" w:type="dxa"/>
            <w:vAlign w:val="bottom"/>
            <w:shd w:val="clear" w:color="auto" w:fill="5D89B4"/>
          </w:tcPr>
          <w:p>
            <w:pPr>
              <w:spacing w:after="0"/>
              <w:rPr>
                <w:sz w:val="24"/>
                <w:szCs w:val="24"/>
                <w:color w:val="auto"/>
              </w:rPr>
            </w:pPr>
          </w:p>
        </w:tc>
        <w:tc>
          <w:tcPr>
            <w:tcW w:w="160" w:type="dxa"/>
            <w:vAlign w:val="bottom"/>
            <w:shd w:val="clear" w:color="auto" w:fill="5D89B4"/>
          </w:tcPr>
          <w:p>
            <w:pPr>
              <w:spacing w:after="0"/>
              <w:rPr>
                <w:sz w:val="24"/>
                <w:szCs w:val="24"/>
                <w:color w:val="auto"/>
              </w:rPr>
            </w:pPr>
          </w:p>
        </w:tc>
        <w:tc>
          <w:tcPr>
            <w:tcW w:w="1340" w:type="dxa"/>
            <w:vAlign w:val="bottom"/>
            <w:shd w:val="clear" w:color="auto" w:fill="5D89B4"/>
          </w:tcPr>
          <w:p>
            <w:pPr>
              <w:spacing w:after="0"/>
              <w:rPr>
                <w:sz w:val="24"/>
                <w:szCs w:val="24"/>
                <w:color w:val="auto"/>
              </w:rPr>
            </w:pPr>
          </w:p>
        </w:tc>
        <w:tc>
          <w:tcPr>
            <w:tcW w:w="1620" w:type="dxa"/>
            <w:vAlign w:val="bottom"/>
            <w:shd w:val="clear" w:color="auto" w:fill="5D89B4"/>
          </w:tcPr>
          <w:p>
            <w:pPr>
              <w:spacing w:after="0"/>
              <w:rPr>
                <w:sz w:val="24"/>
                <w:szCs w:val="24"/>
                <w:color w:val="auto"/>
              </w:rPr>
            </w:pPr>
          </w:p>
        </w:tc>
        <w:tc>
          <w:tcPr>
            <w:tcW w:w="420" w:type="dxa"/>
            <w:vAlign w:val="bottom"/>
            <w:shd w:val="clear" w:color="auto" w:fill="5D89B4"/>
          </w:tcPr>
          <w:p>
            <w:pPr>
              <w:spacing w:after="0"/>
              <w:rPr>
                <w:sz w:val="24"/>
                <w:szCs w:val="24"/>
                <w:color w:val="auto"/>
              </w:rPr>
            </w:pPr>
          </w:p>
        </w:tc>
        <w:tc>
          <w:tcPr>
            <w:tcW w:w="440" w:type="dxa"/>
            <w:vAlign w:val="bottom"/>
            <w:shd w:val="clear" w:color="auto" w:fill="5D89B4"/>
          </w:tcPr>
          <w:p>
            <w:pPr>
              <w:spacing w:after="0"/>
              <w:rPr>
                <w:sz w:val="24"/>
                <w:szCs w:val="24"/>
                <w:color w:val="auto"/>
              </w:rPr>
            </w:pPr>
          </w:p>
        </w:tc>
        <w:tc>
          <w:tcPr>
            <w:tcW w:w="260" w:type="dxa"/>
            <w:vAlign w:val="bottom"/>
            <w:shd w:val="clear" w:color="auto" w:fill="5D89B4"/>
          </w:tcPr>
          <w:p>
            <w:pPr>
              <w:spacing w:after="0"/>
              <w:rPr>
                <w:sz w:val="24"/>
                <w:szCs w:val="24"/>
                <w:color w:val="auto"/>
              </w:rPr>
            </w:pPr>
          </w:p>
        </w:tc>
        <w:tc>
          <w:tcPr>
            <w:tcW w:w="1760" w:type="dxa"/>
            <w:vAlign w:val="bottom"/>
            <w:gridSpan w:val="2"/>
            <w:shd w:val="clear" w:color="auto" w:fill="5D89B4"/>
          </w:tcPr>
          <w:p>
            <w:pPr>
              <w:jc w:val="right"/>
              <w:ind w:right="19"/>
              <w:spacing w:after="0"/>
              <w:rPr>
                <w:sz w:val="20"/>
                <w:szCs w:val="20"/>
                <w:color w:val="auto"/>
              </w:rPr>
            </w:pPr>
            <w:r>
              <w:rPr>
                <w:rFonts w:ascii="Arial" w:cs="Arial" w:eastAsia="Arial" w:hAnsi="Arial"/>
                <w:sz w:val="18"/>
                <w:szCs w:val="18"/>
                <w:color w:val="FFFFFF"/>
              </w:rPr>
              <w:t>Table of Contents</w:t>
            </w:r>
          </w:p>
        </w:tc>
      </w:tr>
      <w:tr>
        <w:trPr>
          <w:trHeight w:val="81"/>
        </w:trPr>
        <w:tc>
          <w:tcPr>
            <w:tcW w:w="80" w:type="dxa"/>
            <w:vAlign w:val="bottom"/>
            <w:shd w:val="clear" w:color="auto" w:fill="5D89B4"/>
          </w:tcPr>
          <w:p>
            <w:pPr>
              <w:spacing w:after="0"/>
              <w:rPr>
                <w:sz w:val="7"/>
                <w:szCs w:val="7"/>
                <w:color w:val="auto"/>
              </w:rPr>
            </w:pPr>
          </w:p>
        </w:tc>
        <w:tc>
          <w:tcPr>
            <w:tcW w:w="160" w:type="dxa"/>
            <w:vAlign w:val="bottom"/>
            <w:shd w:val="clear" w:color="auto" w:fill="5D89B4"/>
          </w:tcPr>
          <w:p>
            <w:pPr>
              <w:spacing w:after="0"/>
              <w:rPr>
                <w:sz w:val="7"/>
                <w:szCs w:val="7"/>
                <w:color w:val="auto"/>
              </w:rPr>
            </w:pPr>
          </w:p>
        </w:tc>
        <w:tc>
          <w:tcPr>
            <w:tcW w:w="820" w:type="dxa"/>
            <w:vAlign w:val="bottom"/>
            <w:shd w:val="clear" w:color="auto" w:fill="5D89B4"/>
          </w:tcPr>
          <w:p>
            <w:pPr>
              <w:spacing w:after="0"/>
              <w:rPr>
                <w:sz w:val="7"/>
                <w:szCs w:val="7"/>
                <w:color w:val="auto"/>
              </w:rPr>
            </w:pPr>
          </w:p>
        </w:tc>
        <w:tc>
          <w:tcPr>
            <w:tcW w:w="160" w:type="dxa"/>
            <w:vAlign w:val="bottom"/>
            <w:shd w:val="clear" w:color="auto" w:fill="5D89B4"/>
          </w:tcPr>
          <w:p>
            <w:pPr>
              <w:spacing w:after="0"/>
              <w:rPr>
                <w:sz w:val="7"/>
                <w:szCs w:val="7"/>
                <w:color w:val="auto"/>
              </w:rPr>
            </w:pPr>
          </w:p>
        </w:tc>
        <w:tc>
          <w:tcPr>
            <w:tcW w:w="280" w:type="dxa"/>
            <w:vAlign w:val="bottom"/>
            <w:tcBorders>
              <w:right w:val="single" w:sz="8" w:color="5D89B4"/>
            </w:tcBorders>
            <w:shd w:val="clear" w:color="auto" w:fill="5D89B4"/>
          </w:tcPr>
          <w:p>
            <w:pPr>
              <w:spacing w:after="0"/>
              <w:rPr>
                <w:sz w:val="7"/>
                <w:szCs w:val="7"/>
                <w:color w:val="auto"/>
              </w:rPr>
            </w:pPr>
          </w:p>
        </w:tc>
        <w:tc>
          <w:tcPr>
            <w:tcW w:w="200" w:type="dxa"/>
            <w:vAlign w:val="bottom"/>
            <w:shd w:val="clear" w:color="auto" w:fill="5D89B4"/>
          </w:tcPr>
          <w:p>
            <w:pPr>
              <w:spacing w:after="0"/>
              <w:rPr>
                <w:sz w:val="7"/>
                <w:szCs w:val="7"/>
                <w:color w:val="auto"/>
              </w:rPr>
            </w:pPr>
          </w:p>
        </w:tc>
        <w:tc>
          <w:tcPr>
            <w:tcW w:w="260" w:type="dxa"/>
            <w:vAlign w:val="bottom"/>
            <w:shd w:val="clear" w:color="auto" w:fill="5D89B4"/>
          </w:tcPr>
          <w:p>
            <w:pPr>
              <w:spacing w:after="0"/>
              <w:rPr>
                <w:sz w:val="7"/>
                <w:szCs w:val="7"/>
                <w:color w:val="auto"/>
              </w:rPr>
            </w:pPr>
          </w:p>
        </w:tc>
        <w:tc>
          <w:tcPr>
            <w:tcW w:w="80" w:type="dxa"/>
            <w:vAlign w:val="bottom"/>
            <w:shd w:val="clear" w:color="auto" w:fill="5D89B4"/>
          </w:tcPr>
          <w:p>
            <w:pPr>
              <w:spacing w:after="0"/>
              <w:rPr>
                <w:sz w:val="7"/>
                <w:szCs w:val="7"/>
                <w:color w:val="auto"/>
              </w:rPr>
            </w:pPr>
          </w:p>
        </w:tc>
        <w:tc>
          <w:tcPr>
            <w:tcW w:w="40" w:type="dxa"/>
            <w:vAlign w:val="bottom"/>
            <w:shd w:val="clear" w:color="auto" w:fill="5D89B4"/>
          </w:tcPr>
          <w:p>
            <w:pPr>
              <w:spacing w:after="0"/>
              <w:rPr>
                <w:sz w:val="7"/>
                <w:szCs w:val="7"/>
                <w:color w:val="auto"/>
              </w:rPr>
            </w:pPr>
          </w:p>
        </w:tc>
        <w:tc>
          <w:tcPr>
            <w:tcW w:w="20" w:type="dxa"/>
            <w:vAlign w:val="bottom"/>
            <w:shd w:val="clear" w:color="auto" w:fill="5D89B4"/>
          </w:tcPr>
          <w:p>
            <w:pPr>
              <w:spacing w:after="0"/>
              <w:rPr>
                <w:sz w:val="7"/>
                <w:szCs w:val="7"/>
                <w:color w:val="auto"/>
              </w:rPr>
            </w:pPr>
          </w:p>
        </w:tc>
        <w:tc>
          <w:tcPr>
            <w:tcW w:w="100" w:type="dxa"/>
            <w:vAlign w:val="bottom"/>
            <w:shd w:val="clear" w:color="auto" w:fill="5D89B4"/>
          </w:tcPr>
          <w:p>
            <w:pPr>
              <w:spacing w:after="0"/>
              <w:rPr>
                <w:sz w:val="7"/>
                <w:szCs w:val="7"/>
                <w:color w:val="auto"/>
              </w:rPr>
            </w:pPr>
          </w:p>
        </w:tc>
        <w:tc>
          <w:tcPr>
            <w:tcW w:w="20" w:type="dxa"/>
            <w:vAlign w:val="bottom"/>
            <w:shd w:val="clear" w:color="auto" w:fill="5D89B4"/>
          </w:tcPr>
          <w:p>
            <w:pPr>
              <w:spacing w:after="0"/>
              <w:rPr>
                <w:sz w:val="7"/>
                <w:szCs w:val="7"/>
                <w:color w:val="auto"/>
              </w:rPr>
            </w:pPr>
          </w:p>
        </w:tc>
        <w:tc>
          <w:tcPr>
            <w:tcW w:w="100" w:type="dxa"/>
            <w:vAlign w:val="bottom"/>
            <w:shd w:val="clear" w:color="auto" w:fill="5D89B4"/>
          </w:tcPr>
          <w:p>
            <w:pPr>
              <w:spacing w:after="0"/>
              <w:rPr>
                <w:sz w:val="7"/>
                <w:szCs w:val="7"/>
                <w:color w:val="auto"/>
              </w:rPr>
            </w:pPr>
          </w:p>
        </w:tc>
        <w:tc>
          <w:tcPr>
            <w:tcW w:w="100" w:type="dxa"/>
            <w:vAlign w:val="bottom"/>
            <w:shd w:val="clear" w:color="auto" w:fill="5D89B4"/>
          </w:tcPr>
          <w:p>
            <w:pPr>
              <w:spacing w:after="0"/>
              <w:rPr>
                <w:sz w:val="7"/>
                <w:szCs w:val="7"/>
                <w:color w:val="auto"/>
              </w:rPr>
            </w:pPr>
          </w:p>
        </w:tc>
        <w:tc>
          <w:tcPr>
            <w:tcW w:w="40" w:type="dxa"/>
            <w:vAlign w:val="bottom"/>
            <w:shd w:val="clear" w:color="auto" w:fill="5D89B4"/>
          </w:tcPr>
          <w:p>
            <w:pPr>
              <w:spacing w:after="0"/>
              <w:rPr>
                <w:sz w:val="7"/>
                <w:szCs w:val="7"/>
                <w:color w:val="auto"/>
              </w:rPr>
            </w:pPr>
          </w:p>
        </w:tc>
        <w:tc>
          <w:tcPr>
            <w:tcW w:w="20" w:type="dxa"/>
            <w:vAlign w:val="bottom"/>
            <w:shd w:val="clear" w:color="auto" w:fill="5D89B4"/>
          </w:tcPr>
          <w:p>
            <w:pPr>
              <w:spacing w:after="0"/>
              <w:rPr>
                <w:sz w:val="7"/>
                <w:szCs w:val="7"/>
                <w:color w:val="auto"/>
              </w:rPr>
            </w:pPr>
          </w:p>
        </w:tc>
        <w:tc>
          <w:tcPr>
            <w:tcW w:w="60" w:type="dxa"/>
            <w:vAlign w:val="bottom"/>
            <w:shd w:val="clear" w:color="auto" w:fill="5D89B4"/>
          </w:tcPr>
          <w:p>
            <w:pPr>
              <w:spacing w:after="0"/>
              <w:rPr>
                <w:sz w:val="7"/>
                <w:szCs w:val="7"/>
                <w:color w:val="auto"/>
              </w:rPr>
            </w:pPr>
          </w:p>
        </w:tc>
        <w:tc>
          <w:tcPr>
            <w:tcW w:w="20" w:type="dxa"/>
            <w:vAlign w:val="bottom"/>
            <w:shd w:val="clear" w:color="auto" w:fill="5D89B4"/>
          </w:tcPr>
          <w:p>
            <w:pPr>
              <w:spacing w:after="0"/>
              <w:rPr>
                <w:sz w:val="7"/>
                <w:szCs w:val="7"/>
                <w:color w:val="auto"/>
              </w:rPr>
            </w:pPr>
          </w:p>
        </w:tc>
        <w:tc>
          <w:tcPr>
            <w:tcW w:w="380" w:type="dxa"/>
            <w:vAlign w:val="bottom"/>
            <w:shd w:val="clear" w:color="auto" w:fill="5D89B4"/>
          </w:tcPr>
          <w:p>
            <w:pPr>
              <w:spacing w:after="0"/>
              <w:rPr>
                <w:sz w:val="7"/>
                <w:szCs w:val="7"/>
                <w:color w:val="auto"/>
              </w:rPr>
            </w:pPr>
          </w:p>
        </w:tc>
        <w:tc>
          <w:tcPr>
            <w:tcW w:w="120" w:type="dxa"/>
            <w:vAlign w:val="bottom"/>
            <w:shd w:val="clear" w:color="auto" w:fill="5D89B4"/>
          </w:tcPr>
          <w:p>
            <w:pPr>
              <w:spacing w:after="0"/>
              <w:rPr>
                <w:sz w:val="7"/>
                <w:szCs w:val="7"/>
                <w:color w:val="auto"/>
              </w:rPr>
            </w:pPr>
          </w:p>
        </w:tc>
        <w:tc>
          <w:tcPr>
            <w:tcW w:w="240" w:type="dxa"/>
            <w:vAlign w:val="bottom"/>
            <w:shd w:val="clear" w:color="auto" w:fill="5D89B4"/>
          </w:tcPr>
          <w:p>
            <w:pPr>
              <w:spacing w:after="0"/>
              <w:rPr>
                <w:sz w:val="7"/>
                <w:szCs w:val="7"/>
                <w:color w:val="auto"/>
              </w:rPr>
            </w:pPr>
          </w:p>
        </w:tc>
        <w:tc>
          <w:tcPr>
            <w:tcW w:w="40" w:type="dxa"/>
            <w:vAlign w:val="bottom"/>
            <w:shd w:val="clear" w:color="auto" w:fill="5D89B4"/>
          </w:tcPr>
          <w:p>
            <w:pPr>
              <w:spacing w:after="0"/>
              <w:rPr>
                <w:sz w:val="7"/>
                <w:szCs w:val="7"/>
                <w:color w:val="auto"/>
              </w:rPr>
            </w:pPr>
          </w:p>
        </w:tc>
        <w:tc>
          <w:tcPr>
            <w:tcW w:w="60" w:type="dxa"/>
            <w:vAlign w:val="bottom"/>
            <w:shd w:val="clear" w:color="auto" w:fill="5D89B4"/>
          </w:tcPr>
          <w:p>
            <w:pPr>
              <w:spacing w:after="0"/>
              <w:rPr>
                <w:sz w:val="7"/>
                <w:szCs w:val="7"/>
                <w:color w:val="auto"/>
              </w:rPr>
            </w:pPr>
          </w:p>
        </w:tc>
        <w:tc>
          <w:tcPr>
            <w:tcW w:w="40" w:type="dxa"/>
            <w:vAlign w:val="bottom"/>
            <w:shd w:val="clear" w:color="auto" w:fill="5D89B4"/>
          </w:tcPr>
          <w:p>
            <w:pPr>
              <w:spacing w:after="0"/>
              <w:rPr>
                <w:sz w:val="7"/>
                <w:szCs w:val="7"/>
                <w:color w:val="auto"/>
              </w:rPr>
            </w:pPr>
          </w:p>
        </w:tc>
        <w:tc>
          <w:tcPr>
            <w:tcW w:w="40" w:type="dxa"/>
            <w:vAlign w:val="bottom"/>
            <w:shd w:val="clear" w:color="auto" w:fill="5D89B4"/>
          </w:tcPr>
          <w:p>
            <w:pPr>
              <w:spacing w:after="0"/>
              <w:rPr>
                <w:sz w:val="7"/>
                <w:szCs w:val="7"/>
                <w:color w:val="auto"/>
              </w:rPr>
            </w:pPr>
          </w:p>
        </w:tc>
        <w:tc>
          <w:tcPr>
            <w:tcW w:w="100" w:type="dxa"/>
            <w:vAlign w:val="bottom"/>
            <w:shd w:val="clear" w:color="auto" w:fill="5D89B4"/>
          </w:tcPr>
          <w:p>
            <w:pPr>
              <w:spacing w:after="0"/>
              <w:rPr>
                <w:sz w:val="7"/>
                <w:szCs w:val="7"/>
                <w:color w:val="auto"/>
              </w:rPr>
            </w:pPr>
          </w:p>
        </w:tc>
        <w:tc>
          <w:tcPr>
            <w:tcW w:w="100" w:type="dxa"/>
            <w:vAlign w:val="bottom"/>
            <w:shd w:val="clear" w:color="auto" w:fill="5D89B4"/>
          </w:tcPr>
          <w:p>
            <w:pPr>
              <w:spacing w:after="0"/>
              <w:rPr>
                <w:sz w:val="7"/>
                <w:szCs w:val="7"/>
                <w:color w:val="auto"/>
              </w:rPr>
            </w:pPr>
          </w:p>
        </w:tc>
        <w:tc>
          <w:tcPr>
            <w:tcW w:w="60" w:type="dxa"/>
            <w:vAlign w:val="bottom"/>
            <w:shd w:val="clear" w:color="auto" w:fill="5D89B4"/>
          </w:tcPr>
          <w:p>
            <w:pPr>
              <w:spacing w:after="0"/>
              <w:rPr>
                <w:sz w:val="7"/>
                <w:szCs w:val="7"/>
                <w:color w:val="auto"/>
              </w:rPr>
            </w:pPr>
          </w:p>
        </w:tc>
        <w:tc>
          <w:tcPr>
            <w:tcW w:w="20" w:type="dxa"/>
            <w:vAlign w:val="bottom"/>
            <w:shd w:val="clear" w:color="auto" w:fill="5D89B4"/>
          </w:tcPr>
          <w:p>
            <w:pPr>
              <w:spacing w:after="0"/>
              <w:rPr>
                <w:sz w:val="7"/>
                <w:szCs w:val="7"/>
                <w:color w:val="auto"/>
              </w:rPr>
            </w:pPr>
          </w:p>
        </w:tc>
        <w:tc>
          <w:tcPr>
            <w:tcW w:w="80" w:type="dxa"/>
            <w:vAlign w:val="bottom"/>
            <w:shd w:val="clear" w:color="auto" w:fill="5D89B4"/>
          </w:tcPr>
          <w:p>
            <w:pPr>
              <w:spacing w:after="0"/>
              <w:rPr>
                <w:sz w:val="7"/>
                <w:szCs w:val="7"/>
                <w:color w:val="auto"/>
              </w:rPr>
            </w:pPr>
          </w:p>
        </w:tc>
        <w:tc>
          <w:tcPr>
            <w:tcW w:w="160" w:type="dxa"/>
            <w:vAlign w:val="bottom"/>
            <w:shd w:val="clear" w:color="auto" w:fill="5D89B4"/>
          </w:tcPr>
          <w:p>
            <w:pPr>
              <w:spacing w:after="0"/>
              <w:rPr>
                <w:sz w:val="7"/>
                <w:szCs w:val="7"/>
                <w:color w:val="auto"/>
              </w:rPr>
            </w:pPr>
          </w:p>
        </w:tc>
        <w:tc>
          <w:tcPr>
            <w:tcW w:w="60" w:type="dxa"/>
            <w:vAlign w:val="bottom"/>
            <w:shd w:val="clear" w:color="auto" w:fill="5D89B4"/>
          </w:tcPr>
          <w:p>
            <w:pPr>
              <w:spacing w:after="0"/>
              <w:rPr>
                <w:sz w:val="7"/>
                <w:szCs w:val="7"/>
                <w:color w:val="auto"/>
              </w:rPr>
            </w:pPr>
          </w:p>
        </w:tc>
        <w:tc>
          <w:tcPr>
            <w:tcW w:w="280" w:type="dxa"/>
            <w:vAlign w:val="bottom"/>
            <w:shd w:val="clear" w:color="auto" w:fill="5D89B4"/>
          </w:tcPr>
          <w:p>
            <w:pPr>
              <w:spacing w:after="0"/>
              <w:rPr>
                <w:sz w:val="7"/>
                <w:szCs w:val="7"/>
                <w:color w:val="auto"/>
              </w:rPr>
            </w:pPr>
          </w:p>
        </w:tc>
        <w:tc>
          <w:tcPr>
            <w:tcW w:w="360" w:type="dxa"/>
            <w:vAlign w:val="bottom"/>
            <w:shd w:val="clear" w:color="auto" w:fill="5D89B4"/>
          </w:tcPr>
          <w:p>
            <w:pPr>
              <w:spacing w:after="0"/>
              <w:rPr>
                <w:sz w:val="7"/>
                <w:szCs w:val="7"/>
                <w:color w:val="auto"/>
              </w:rPr>
            </w:pPr>
          </w:p>
        </w:tc>
        <w:tc>
          <w:tcPr>
            <w:tcW w:w="60" w:type="dxa"/>
            <w:vAlign w:val="bottom"/>
            <w:shd w:val="clear" w:color="auto" w:fill="5D89B4"/>
          </w:tcPr>
          <w:p>
            <w:pPr>
              <w:spacing w:after="0"/>
              <w:rPr>
                <w:sz w:val="7"/>
                <w:szCs w:val="7"/>
                <w:color w:val="auto"/>
              </w:rPr>
            </w:pPr>
          </w:p>
        </w:tc>
        <w:tc>
          <w:tcPr>
            <w:tcW w:w="180" w:type="dxa"/>
            <w:vAlign w:val="bottom"/>
            <w:shd w:val="clear" w:color="auto" w:fill="5D89B4"/>
          </w:tcPr>
          <w:p>
            <w:pPr>
              <w:spacing w:after="0"/>
              <w:rPr>
                <w:sz w:val="7"/>
                <w:szCs w:val="7"/>
                <w:color w:val="auto"/>
              </w:rPr>
            </w:pPr>
          </w:p>
        </w:tc>
        <w:tc>
          <w:tcPr>
            <w:tcW w:w="480" w:type="dxa"/>
            <w:vAlign w:val="bottom"/>
            <w:shd w:val="clear" w:color="auto" w:fill="5D89B4"/>
          </w:tcPr>
          <w:p>
            <w:pPr>
              <w:spacing w:after="0"/>
              <w:rPr>
                <w:sz w:val="7"/>
                <w:szCs w:val="7"/>
                <w:color w:val="auto"/>
              </w:rPr>
            </w:pPr>
          </w:p>
        </w:tc>
        <w:tc>
          <w:tcPr>
            <w:tcW w:w="160" w:type="dxa"/>
            <w:vAlign w:val="bottom"/>
            <w:shd w:val="clear" w:color="auto" w:fill="5D89B4"/>
          </w:tcPr>
          <w:p>
            <w:pPr>
              <w:spacing w:after="0"/>
              <w:rPr>
                <w:sz w:val="7"/>
                <w:szCs w:val="7"/>
                <w:color w:val="auto"/>
              </w:rPr>
            </w:pPr>
          </w:p>
        </w:tc>
        <w:tc>
          <w:tcPr>
            <w:tcW w:w="1340" w:type="dxa"/>
            <w:vAlign w:val="bottom"/>
            <w:shd w:val="clear" w:color="auto" w:fill="5D89B4"/>
          </w:tcPr>
          <w:p>
            <w:pPr>
              <w:spacing w:after="0"/>
              <w:rPr>
                <w:sz w:val="7"/>
                <w:szCs w:val="7"/>
                <w:color w:val="auto"/>
              </w:rPr>
            </w:pPr>
          </w:p>
        </w:tc>
        <w:tc>
          <w:tcPr>
            <w:tcW w:w="1620" w:type="dxa"/>
            <w:vAlign w:val="bottom"/>
            <w:shd w:val="clear" w:color="auto" w:fill="5D89B4"/>
          </w:tcPr>
          <w:p>
            <w:pPr>
              <w:spacing w:after="0"/>
              <w:rPr>
                <w:sz w:val="7"/>
                <w:szCs w:val="7"/>
                <w:color w:val="auto"/>
              </w:rPr>
            </w:pPr>
          </w:p>
        </w:tc>
        <w:tc>
          <w:tcPr>
            <w:tcW w:w="420" w:type="dxa"/>
            <w:vAlign w:val="bottom"/>
            <w:shd w:val="clear" w:color="auto" w:fill="5D89B4"/>
          </w:tcPr>
          <w:p>
            <w:pPr>
              <w:spacing w:after="0"/>
              <w:rPr>
                <w:sz w:val="7"/>
                <w:szCs w:val="7"/>
                <w:color w:val="auto"/>
              </w:rPr>
            </w:pPr>
          </w:p>
        </w:tc>
        <w:tc>
          <w:tcPr>
            <w:tcW w:w="440" w:type="dxa"/>
            <w:vAlign w:val="bottom"/>
            <w:shd w:val="clear" w:color="auto" w:fill="5D89B4"/>
          </w:tcPr>
          <w:p>
            <w:pPr>
              <w:spacing w:after="0"/>
              <w:rPr>
                <w:sz w:val="7"/>
                <w:szCs w:val="7"/>
                <w:color w:val="auto"/>
              </w:rPr>
            </w:pPr>
          </w:p>
        </w:tc>
        <w:tc>
          <w:tcPr>
            <w:tcW w:w="260" w:type="dxa"/>
            <w:vAlign w:val="bottom"/>
            <w:shd w:val="clear" w:color="auto" w:fill="5D89B4"/>
          </w:tcPr>
          <w:p>
            <w:pPr>
              <w:spacing w:after="0"/>
              <w:rPr>
                <w:sz w:val="7"/>
                <w:szCs w:val="7"/>
                <w:color w:val="auto"/>
              </w:rPr>
            </w:pPr>
          </w:p>
        </w:tc>
        <w:tc>
          <w:tcPr>
            <w:tcW w:w="580" w:type="dxa"/>
            <w:vAlign w:val="bottom"/>
            <w:shd w:val="clear" w:color="auto" w:fill="5D89B4"/>
          </w:tcPr>
          <w:p>
            <w:pPr>
              <w:spacing w:after="0"/>
              <w:rPr>
                <w:sz w:val="7"/>
                <w:szCs w:val="7"/>
                <w:color w:val="auto"/>
              </w:rPr>
            </w:pPr>
          </w:p>
        </w:tc>
        <w:tc>
          <w:tcPr>
            <w:tcW w:w="1180" w:type="dxa"/>
            <w:vAlign w:val="bottom"/>
            <w:shd w:val="clear" w:color="auto" w:fill="5D89B4"/>
          </w:tcPr>
          <w:p>
            <w:pPr>
              <w:spacing w:after="0"/>
              <w:rPr>
                <w:sz w:val="7"/>
                <w:szCs w:val="7"/>
                <w:color w:val="auto"/>
              </w:rPr>
            </w:pPr>
          </w:p>
        </w:tc>
      </w:tr>
      <w:tr>
        <w:trPr>
          <w:trHeight w:val="732"/>
        </w:trPr>
        <w:tc>
          <w:tcPr>
            <w:tcW w:w="9660" w:type="dxa"/>
            <w:vAlign w:val="bottom"/>
            <w:gridSpan w:val="43"/>
          </w:tcPr>
          <w:p>
            <w:pPr>
              <w:spacing w:after="0"/>
              <w:rPr>
                <w:sz w:val="20"/>
                <w:szCs w:val="20"/>
                <w:color w:val="auto"/>
              </w:rPr>
            </w:pPr>
            <w:r>
              <w:rPr>
                <w:rFonts w:ascii="Arial" w:cs="Arial" w:eastAsia="Arial" w:hAnsi="Arial"/>
                <w:sz w:val="41"/>
                <w:szCs w:val="41"/>
                <w:color w:val="5D89B4"/>
              </w:rPr>
              <w:t>Table of Contents</w:t>
            </w: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9"/>
        </w:trPr>
        <w:tc>
          <w:tcPr>
            <w:tcW w:w="80" w:type="dxa"/>
            <w:vAlign w:val="bottom"/>
          </w:tcPr>
          <w:p>
            <w:pPr>
              <w:spacing w:after="0"/>
              <w:rPr>
                <w:sz w:val="24"/>
                <w:szCs w:val="24"/>
                <w:color w:val="auto"/>
              </w:rPr>
            </w:pPr>
          </w:p>
        </w:tc>
        <w:tc>
          <w:tcPr>
            <w:tcW w:w="9580" w:type="dxa"/>
            <w:vAlign w:val="bottom"/>
            <w:gridSpan w:val="42"/>
          </w:tcPr>
          <w:p>
            <w:pPr>
              <w:spacing w:after="0"/>
              <w:rPr>
                <w:rFonts w:ascii="Arial" w:cs="Arial" w:eastAsia="Arial" w:hAnsi="Arial"/>
                <w:sz w:val="16"/>
                <w:szCs w:val="16"/>
                <w:b w:val="1"/>
                <w:bCs w:val="1"/>
                <w:color w:val="0000EE"/>
              </w:rPr>
            </w:pPr>
            <w:hyperlink w:anchor="page7">
              <w:r>
                <w:rPr>
                  <w:rFonts w:ascii="Arial" w:cs="Arial" w:eastAsia="Arial" w:hAnsi="Arial"/>
                  <w:sz w:val="16"/>
                  <w:szCs w:val="16"/>
                  <w:b w:val="1"/>
                  <w:bCs w:val="1"/>
                  <w:color w:val="0000EE"/>
                </w:rPr>
                <w:t>CORPORATE GOVERNANCE DOCUMENTS</w:t>
              </w:r>
            </w:hyperlink>
          </w:p>
        </w:tc>
        <w:tc>
          <w:tcPr>
            <w:tcW w:w="1760" w:type="dxa"/>
            <w:vAlign w:val="bottom"/>
            <w:gridSpan w:val="2"/>
          </w:tcPr>
          <w:p>
            <w:pPr>
              <w:jc w:val="right"/>
              <w:ind w:right="139"/>
              <w:spacing w:after="0"/>
              <w:rPr>
                <w:sz w:val="20"/>
                <w:szCs w:val="20"/>
                <w:color w:val="auto"/>
              </w:rPr>
            </w:pPr>
            <w:r>
              <w:rPr>
                <w:rFonts w:ascii="Arial" w:cs="Arial" w:eastAsia="Arial" w:hAnsi="Arial"/>
                <w:sz w:val="16"/>
                <w:szCs w:val="16"/>
                <w:color w:val="auto"/>
              </w:rPr>
              <w:t>2</w:t>
            </w:r>
          </w:p>
        </w:tc>
      </w:tr>
      <w:tr>
        <w:trPr>
          <w:trHeight w:val="196"/>
        </w:trPr>
        <w:tc>
          <w:tcPr>
            <w:tcW w:w="80" w:type="dxa"/>
            <w:vAlign w:val="bottom"/>
            <w:tcBorders>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82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280" w:type="dxa"/>
            <w:vAlign w:val="bottom"/>
            <w:tcBorders>
              <w:top w:val="single" w:sz="8" w:color="0000EE"/>
              <w:bottom w:val="single" w:sz="8" w:color="5D89B4"/>
            </w:tcBorders>
          </w:tcPr>
          <w:p>
            <w:pPr>
              <w:spacing w:after="0"/>
              <w:rPr>
                <w:sz w:val="17"/>
                <w:szCs w:val="17"/>
                <w:color w:val="auto"/>
              </w:rPr>
            </w:pPr>
          </w:p>
        </w:tc>
        <w:tc>
          <w:tcPr>
            <w:tcW w:w="2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80" w:type="dxa"/>
            <w:vAlign w:val="bottom"/>
            <w:tcBorders>
              <w:bottom w:val="single" w:sz="8" w:color="5D89B4"/>
            </w:tcBorders>
          </w:tcPr>
          <w:p>
            <w:pPr>
              <w:spacing w:after="0"/>
              <w:rPr>
                <w:sz w:val="17"/>
                <w:szCs w:val="17"/>
                <w:color w:val="auto"/>
              </w:rPr>
            </w:pPr>
          </w:p>
        </w:tc>
        <w:tc>
          <w:tcPr>
            <w:tcW w:w="3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2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80" w:type="dxa"/>
            <w:vAlign w:val="bottom"/>
            <w:tcBorders>
              <w:bottom w:val="single" w:sz="8" w:color="5D89B4"/>
            </w:tcBorders>
          </w:tcPr>
          <w:p>
            <w:pPr>
              <w:spacing w:after="0"/>
              <w:rPr>
                <w:sz w:val="17"/>
                <w:szCs w:val="17"/>
                <w:color w:val="auto"/>
              </w:rPr>
            </w:pPr>
          </w:p>
        </w:tc>
        <w:tc>
          <w:tcPr>
            <w:tcW w:w="11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9580" w:type="dxa"/>
            <w:vAlign w:val="bottom"/>
            <w:gridSpan w:val="42"/>
          </w:tcPr>
          <w:p>
            <w:pPr>
              <w:spacing w:after="0" w:line="155" w:lineRule="exact"/>
              <w:rPr>
                <w:rFonts w:ascii="Arial" w:cs="Arial" w:eastAsia="Arial" w:hAnsi="Arial"/>
                <w:sz w:val="16"/>
                <w:szCs w:val="16"/>
                <w:b w:val="1"/>
                <w:bCs w:val="1"/>
                <w:color w:val="0000EE"/>
              </w:rPr>
            </w:pPr>
            <w:hyperlink w:anchor="page8">
              <w:r>
                <w:rPr>
                  <w:rFonts w:ascii="Arial" w:cs="Arial" w:eastAsia="Arial" w:hAnsi="Arial"/>
                  <w:sz w:val="16"/>
                  <w:szCs w:val="16"/>
                  <w:b w:val="1"/>
                  <w:bCs w:val="1"/>
                  <w:color w:val="0000EE"/>
                </w:rPr>
                <w:t>SECURITY OWNERSHIP OF CERTAIN BENEFICIAL OWNERS</w:t>
              </w:r>
            </w:hyperlink>
          </w:p>
        </w:tc>
        <w:tc>
          <w:tcPr>
            <w:tcW w:w="1760" w:type="dxa"/>
            <w:vAlign w:val="bottom"/>
            <w:gridSpan w:val="2"/>
          </w:tcPr>
          <w:p>
            <w:pPr>
              <w:jc w:val="right"/>
              <w:ind w:right="139"/>
              <w:spacing w:after="0" w:line="155" w:lineRule="exact"/>
              <w:rPr>
                <w:sz w:val="20"/>
                <w:szCs w:val="20"/>
                <w:color w:val="auto"/>
              </w:rPr>
            </w:pPr>
            <w:r>
              <w:rPr>
                <w:rFonts w:ascii="Arial" w:cs="Arial" w:eastAsia="Arial" w:hAnsi="Arial"/>
                <w:sz w:val="16"/>
                <w:szCs w:val="16"/>
                <w:color w:val="auto"/>
              </w:rPr>
              <w:t>3</w:t>
            </w:r>
          </w:p>
        </w:tc>
      </w:tr>
      <w:tr>
        <w:trPr>
          <w:trHeight w:val="196"/>
        </w:trPr>
        <w:tc>
          <w:tcPr>
            <w:tcW w:w="80" w:type="dxa"/>
            <w:vAlign w:val="bottom"/>
            <w:tcBorders>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82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280" w:type="dxa"/>
            <w:vAlign w:val="bottom"/>
            <w:tcBorders>
              <w:top w:val="single" w:sz="8" w:color="0000EE"/>
              <w:bottom w:val="single" w:sz="8" w:color="5D89B4"/>
            </w:tcBorders>
          </w:tcPr>
          <w:p>
            <w:pPr>
              <w:spacing w:after="0"/>
              <w:rPr>
                <w:sz w:val="17"/>
                <w:szCs w:val="17"/>
                <w:color w:val="auto"/>
              </w:rPr>
            </w:pPr>
          </w:p>
        </w:tc>
        <w:tc>
          <w:tcPr>
            <w:tcW w:w="2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80" w:type="dxa"/>
            <w:vAlign w:val="bottom"/>
            <w:tcBorders>
              <w:top w:val="single" w:sz="8" w:color="0000EE"/>
              <w:bottom w:val="single" w:sz="8" w:color="5D89B4"/>
            </w:tcBorders>
          </w:tcPr>
          <w:p>
            <w:pPr>
              <w:spacing w:after="0"/>
              <w:rPr>
                <w:sz w:val="17"/>
                <w:szCs w:val="17"/>
                <w:color w:val="auto"/>
              </w:rPr>
            </w:pPr>
          </w:p>
        </w:tc>
        <w:tc>
          <w:tcPr>
            <w:tcW w:w="3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2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80" w:type="dxa"/>
            <w:vAlign w:val="bottom"/>
            <w:tcBorders>
              <w:bottom w:val="single" w:sz="8" w:color="5D89B4"/>
            </w:tcBorders>
          </w:tcPr>
          <w:p>
            <w:pPr>
              <w:spacing w:after="0"/>
              <w:rPr>
                <w:sz w:val="17"/>
                <w:szCs w:val="17"/>
                <w:color w:val="auto"/>
              </w:rPr>
            </w:pPr>
          </w:p>
        </w:tc>
        <w:tc>
          <w:tcPr>
            <w:tcW w:w="11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3220" w:type="dxa"/>
            <w:vAlign w:val="bottom"/>
            <w:tcBorders>
              <w:bottom w:val="single" w:sz="8" w:color="0000EE"/>
            </w:tcBorders>
            <w:gridSpan w:val="20"/>
          </w:tcPr>
          <w:p>
            <w:pPr>
              <w:spacing w:after="0" w:line="155" w:lineRule="exact"/>
              <w:rPr>
                <w:rFonts w:ascii="Arial" w:cs="Arial" w:eastAsia="Arial" w:hAnsi="Arial"/>
                <w:sz w:val="16"/>
                <w:szCs w:val="16"/>
                <w:b w:val="1"/>
                <w:bCs w:val="1"/>
                <w:color w:val="0000EE"/>
              </w:rPr>
            </w:pPr>
            <w:hyperlink w:anchor="page9">
              <w:r>
                <w:rPr>
                  <w:rFonts w:ascii="Arial" w:cs="Arial" w:eastAsia="Arial" w:hAnsi="Arial"/>
                  <w:sz w:val="16"/>
                  <w:szCs w:val="16"/>
                  <w:b w:val="1"/>
                  <w:bCs w:val="1"/>
                  <w:color w:val="0000EE"/>
                </w:rPr>
                <w:t>PROPOSAL 1. ELECTION OF DIRECTORS</w:t>
              </w:r>
            </w:hyperlink>
          </w:p>
        </w:tc>
        <w:tc>
          <w:tcPr>
            <w:tcW w:w="6360" w:type="dxa"/>
            <w:vAlign w:val="bottom"/>
            <w:gridSpan w:val="22"/>
          </w:tcPr>
          <w:p>
            <w:pPr>
              <w:spacing w:after="0"/>
              <w:rPr>
                <w:sz w:val="13"/>
                <w:szCs w:val="13"/>
                <w:color w:val="auto"/>
              </w:rPr>
            </w:pPr>
          </w:p>
        </w:tc>
        <w:tc>
          <w:tcPr>
            <w:tcW w:w="1760" w:type="dxa"/>
            <w:vAlign w:val="bottom"/>
            <w:gridSpan w:val="2"/>
          </w:tcPr>
          <w:p>
            <w:pPr>
              <w:jc w:val="right"/>
              <w:ind w:right="139"/>
              <w:spacing w:after="0" w:line="155" w:lineRule="exact"/>
              <w:rPr>
                <w:sz w:val="20"/>
                <w:szCs w:val="20"/>
                <w:color w:val="auto"/>
              </w:rPr>
            </w:pPr>
            <w:r>
              <w:rPr>
                <w:rFonts w:ascii="Arial" w:cs="Arial" w:eastAsia="Arial" w:hAnsi="Arial"/>
                <w:sz w:val="16"/>
                <w:szCs w:val="16"/>
                <w:color w:val="auto"/>
              </w:rPr>
              <w:t>4</w:t>
            </w: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20" w:type="dxa"/>
            <w:vAlign w:val="bottom"/>
            <w:gridSpan w:val="41"/>
          </w:tcPr>
          <w:p>
            <w:pPr>
              <w:spacing w:after="0" w:line="169" w:lineRule="exact"/>
              <w:rPr>
                <w:rFonts w:ascii="Arial" w:cs="Arial" w:eastAsia="Arial" w:hAnsi="Arial"/>
                <w:sz w:val="16"/>
                <w:szCs w:val="16"/>
                <w:color w:val="0000EE"/>
              </w:rPr>
            </w:pPr>
            <w:hyperlink w:anchor="page10">
              <w:r>
                <w:rPr>
                  <w:rFonts w:ascii="Arial" w:cs="Arial" w:eastAsia="Arial" w:hAnsi="Arial"/>
                  <w:sz w:val="16"/>
                  <w:szCs w:val="16"/>
                  <w:color w:val="0000EE"/>
                </w:rPr>
                <w:t>Director Biographies</w:t>
              </w:r>
            </w:hyperlink>
          </w:p>
        </w:tc>
        <w:tc>
          <w:tcPr>
            <w:tcW w:w="1760" w:type="dxa"/>
            <w:vAlign w:val="bottom"/>
            <w:gridSpan w:val="2"/>
          </w:tcPr>
          <w:p>
            <w:pPr>
              <w:jc w:val="right"/>
              <w:ind w:right="139"/>
              <w:spacing w:after="0" w:line="169" w:lineRule="exact"/>
              <w:rPr>
                <w:sz w:val="20"/>
                <w:szCs w:val="20"/>
                <w:color w:val="auto"/>
              </w:rPr>
            </w:pPr>
            <w:r>
              <w:rPr>
                <w:rFonts w:ascii="Arial" w:cs="Arial" w:eastAsia="Arial" w:hAnsi="Arial"/>
                <w:sz w:val="16"/>
                <w:szCs w:val="16"/>
                <w:color w:val="auto"/>
              </w:rPr>
              <w:t>5</w:t>
            </w:r>
          </w:p>
        </w:tc>
      </w:tr>
      <w:tr>
        <w:trPr>
          <w:trHeight w:val="20"/>
        </w:trPr>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20" w:type="dxa"/>
            <w:vAlign w:val="bottom"/>
            <w:tcBorders>
              <w:bottom w:val="single" w:sz="8" w:color="0000EE"/>
            </w:tcBorders>
            <w:gridSpan w:val="30"/>
          </w:tcPr>
          <w:p>
            <w:pPr>
              <w:spacing w:after="0" w:line="169" w:lineRule="exact"/>
              <w:rPr>
                <w:rFonts w:ascii="Arial" w:cs="Arial" w:eastAsia="Arial" w:hAnsi="Arial"/>
                <w:sz w:val="16"/>
                <w:szCs w:val="16"/>
                <w:color w:val="0000EE"/>
              </w:rPr>
            </w:pPr>
            <w:hyperlink w:anchor="page17">
              <w:r>
                <w:rPr>
                  <w:rFonts w:ascii="Arial" w:cs="Arial" w:eastAsia="Arial" w:hAnsi="Arial"/>
                  <w:sz w:val="16"/>
                  <w:szCs w:val="16"/>
                  <w:color w:val="0000EE"/>
                </w:rPr>
                <w:t>Board Independence and Related Party Transactions</w:t>
              </w:r>
            </w:hyperlink>
          </w:p>
        </w:tc>
        <w:tc>
          <w:tcPr>
            <w:tcW w:w="5600" w:type="dxa"/>
            <w:vAlign w:val="bottom"/>
            <w:gridSpan w:val="11"/>
          </w:tcPr>
          <w:p>
            <w:pPr>
              <w:spacing w:after="0"/>
              <w:rPr>
                <w:sz w:val="14"/>
                <w:szCs w:val="14"/>
                <w:color w:val="auto"/>
              </w:rPr>
            </w:pPr>
          </w:p>
        </w:tc>
        <w:tc>
          <w:tcPr>
            <w:tcW w:w="1760" w:type="dxa"/>
            <w:vAlign w:val="bottom"/>
            <w:gridSpan w:val="2"/>
          </w:tcPr>
          <w:p>
            <w:pPr>
              <w:jc w:val="right"/>
              <w:ind w:right="139"/>
              <w:spacing w:after="0" w:line="169" w:lineRule="exact"/>
              <w:rPr>
                <w:sz w:val="20"/>
                <w:szCs w:val="20"/>
                <w:color w:val="auto"/>
              </w:rPr>
            </w:pPr>
            <w:r>
              <w:rPr>
                <w:rFonts w:ascii="Arial" w:cs="Arial" w:eastAsia="Arial" w:hAnsi="Arial"/>
                <w:sz w:val="16"/>
                <w:szCs w:val="16"/>
                <w:color w:val="auto"/>
              </w:rPr>
              <w:t>12</w:t>
            </w: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tcBorders>
              <w:bottom w:val="single" w:sz="8" w:color="0000EE"/>
            </w:tcBorders>
            <w:gridSpan w:val="18"/>
          </w:tcPr>
          <w:p>
            <w:pPr>
              <w:spacing w:after="0" w:line="169" w:lineRule="exact"/>
              <w:rPr>
                <w:rFonts w:ascii="Arial" w:cs="Arial" w:eastAsia="Arial" w:hAnsi="Arial"/>
                <w:sz w:val="16"/>
                <w:szCs w:val="16"/>
                <w:color w:val="0000EE"/>
              </w:rPr>
            </w:pPr>
            <w:hyperlink w:anchor="page18">
              <w:r>
                <w:rPr>
                  <w:rFonts w:ascii="Arial" w:cs="Arial" w:eastAsia="Arial" w:hAnsi="Arial"/>
                  <w:sz w:val="16"/>
                  <w:szCs w:val="16"/>
                  <w:color w:val="0000EE"/>
                </w:rPr>
                <w:t>Meetings and Committees of the Board</w:t>
              </w:r>
            </w:hyperlink>
          </w:p>
        </w:tc>
        <w:tc>
          <w:tcPr>
            <w:tcW w:w="6600" w:type="dxa"/>
            <w:vAlign w:val="bottom"/>
            <w:gridSpan w:val="23"/>
          </w:tcPr>
          <w:p>
            <w:pPr>
              <w:spacing w:after="0"/>
              <w:rPr>
                <w:sz w:val="14"/>
                <w:szCs w:val="14"/>
                <w:color w:val="auto"/>
              </w:rPr>
            </w:pPr>
          </w:p>
        </w:tc>
        <w:tc>
          <w:tcPr>
            <w:tcW w:w="1760" w:type="dxa"/>
            <w:vAlign w:val="bottom"/>
            <w:gridSpan w:val="2"/>
          </w:tcPr>
          <w:p>
            <w:pPr>
              <w:jc w:val="right"/>
              <w:ind w:right="139"/>
              <w:spacing w:after="0" w:line="169" w:lineRule="exact"/>
              <w:rPr>
                <w:sz w:val="20"/>
                <w:szCs w:val="20"/>
                <w:color w:val="auto"/>
              </w:rPr>
            </w:pPr>
            <w:r>
              <w:rPr>
                <w:rFonts w:ascii="Arial" w:cs="Arial" w:eastAsia="Arial" w:hAnsi="Arial"/>
                <w:sz w:val="16"/>
                <w:szCs w:val="16"/>
                <w:color w:val="auto"/>
              </w:rPr>
              <w:t>13</w:t>
            </w: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100" w:type="dxa"/>
            <w:vAlign w:val="bottom"/>
            <w:tcBorders>
              <w:bottom w:val="single" w:sz="8" w:color="0000EE"/>
            </w:tcBorders>
            <w:gridSpan w:val="31"/>
          </w:tcPr>
          <w:p>
            <w:pPr>
              <w:spacing w:after="0" w:line="169" w:lineRule="exact"/>
              <w:rPr>
                <w:rFonts w:ascii="Arial" w:cs="Arial" w:eastAsia="Arial" w:hAnsi="Arial"/>
                <w:sz w:val="16"/>
                <w:szCs w:val="16"/>
                <w:color w:val="0000EE"/>
              </w:rPr>
            </w:pPr>
            <w:hyperlink w:anchor="page21">
              <w:r>
                <w:rPr>
                  <w:rFonts w:ascii="Arial" w:cs="Arial" w:eastAsia="Arial" w:hAnsi="Arial"/>
                  <w:sz w:val="16"/>
                  <w:szCs w:val="16"/>
                  <w:color w:val="0000EE"/>
                </w:rPr>
                <w:t>Board Composition and Qualifications of Board Members</w:t>
              </w:r>
            </w:hyperlink>
          </w:p>
        </w:tc>
        <w:tc>
          <w:tcPr>
            <w:tcW w:w="5320" w:type="dxa"/>
            <w:vAlign w:val="bottom"/>
            <w:gridSpan w:val="10"/>
          </w:tcPr>
          <w:p>
            <w:pPr>
              <w:spacing w:after="0"/>
              <w:rPr>
                <w:sz w:val="14"/>
                <w:szCs w:val="14"/>
                <w:color w:val="auto"/>
              </w:rPr>
            </w:pPr>
          </w:p>
        </w:tc>
        <w:tc>
          <w:tcPr>
            <w:tcW w:w="1760" w:type="dxa"/>
            <w:vAlign w:val="bottom"/>
            <w:gridSpan w:val="2"/>
          </w:tcPr>
          <w:p>
            <w:pPr>
              <w:jc w:val="right"/>
              <w:ind w:right="139"/>
              <w:spacing w:after="0" w:line="169" w:lineRule="exact"/>
              <w:rPr>
                <w:sz w:val="20"/>
                <w:szCs w:val="20"/>
                <w:color w:val="auto"/>
              </w:rPr>
            </w:pPr>
            <w:r>
              <w:rPr>
                <w:rFonts w:ascii="Arial" w:cs="Arial" w:eastAsia="Arial" w:hAnsi="Arial"/>
                <w:sz w:val="16"/>
                <w:szCs w:val="16"/>
                <w:color w:val="auto"/>
              </w:rPr>
              <w:t>16</w:t>
            </w: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Borders>
              <w:bottom w:val="single" w:sz="8" w:color="0000EE"/>
            </w:tcBorders>
            <w:gridSpan w:val="9"/>
          </w:tcPr>
          <w:p>
            <w:pPr>
              <w:spacing w:after="0" w:line="169" w:lineRule="exact"/>
              <w:rPr>
                <w:rFonts w:ascii="Arial" w:cs="Arial" w:eastAsia="Arial" w:hAnsi="Arial"/>
                <w:sz w:val="16"/>
                <w:szCs w:val="16"/>
                <w:color w:val="0000EE"/>
                <w:w w:val="99"/>
              </w:rPr>
            </w:pPr>
            <w:hyperlink w:anchor="page22">
              <w:r>
                <w:rPr>
                  <w:rFonts w:ascii="Arial" w:cs="Arial" w:eastAsia="Arial" w:hAnsi="Arial"/>
                  <w:sz w:val="16"/>
                  <w:szCs w:val="16"/>
                  <w:color w:val="0000EE"/>
                  <w:w w:val="99"/>
                </w:rPr>
                <w:t>Board Diversity and Tenure</w:t>
              </w:r>
            </w:hyperlink>
          </w:p>
        </w:tc>
        <w:tc>
          <w:tcPr>
            <w:tcW w:w="7460" w:type="dxa"/>
            <w:vAlign w:val="bottom"/>
            <w:gridSpan w:val="32"/>
          </w:tcPr>
          <w:p>
            <w:pPr>
              <w:spacing w:after="0"/>
              <w:rPr>
                <w:sz w:val="14"/>
                <w:szCs w:val="14"/>
                <w:color w:val="auto"/>
              </w:rPr>
            </w:pPr>
          </w:p>
        </w:tc>
        <w:tc>
          <w:tcPr>
            <w:tcW w:w="1760" w:type="dxa"/>
            <w:vAlign w:val="bottom"/>
            <w:gridSpan w:val="2"/>
          </w:tcPr>
          <w:p>
            <w:pPr>
              <w:jc w:val="right"/>
              <w:ind w:right="139"/>
              <w:spacing w:after="0" w:line="169" w:lineRule="exact"/>
              <w:rPr>
                <w:sz w:val="20"/>
                <w:szCs w:val="20"/>
                <w:color w:val="auto"/>
              </w:rPr>
            </w:pPr>
            <w:r>
              <w:rPr>
                <w:rFonts w:ascii="Arial" w:cs="Arial" w:eastAsia="Arial" w:hAnsi="Arial"/>
                <w:sz w:val="16"/>
                <w:szCs w:val="16"/>
                <w:color w:val="auto"/>
              </w:rPr>
              <w:t>17</w:t>
            </w: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20" w:type="dxa"/>
            <w:vAlign w:val="bottom"/>
            <w:gridSpan w:val="41"/>
          </w:tcPr>
          <w:p>
            <w:pPr>
              <w:spacing w:after="0" w:line="169" w:lineRule="exact"/>
              <w:rPr>
                <w:rFonts w:ascii="Arial" w:cs="Arial" w:eastAsia="Arial" w:hAnsi="Arial"/>
                <w:sz w:val="16"/>
                <w:szCs w:val="16"/>
                <w:color w:val="0000EE"/>
              </w:rPr>
            </w:pPr>
            <w:hyperlink w:anchor="page22">
              <w:r>
                <w:rPr>
                  <w:rFonts w:ascii="Arial" w:cs="Arial" w:eastAsia="Arial" w:hAnsi="Arial"/>
                  <w:sz w:val="16"/>
                  <w:szCs w:val="16"/>
                  <w:color w:val="0000EE"/>
                </w:rPr>
                <w:t>Other Information</w:t>
              </w:r>
            </w:hyperlink>
          </w:p>
        </w:tc>
        <w:tc>
          <w:tcPr>
            <w:tcW w:w="1760" w:type="dxa"/>
            <w:vAlign w:val="bottom"/>
            <w:gridSpan w:val="2"/>
          </w:tcPr>
          <w:p>
            <w:pPr>
              <w:jc w:val="right"/>
              <w:ind w:right="139"/>
              <w:spacing w:after="0" w:line="169" w:lineRule="exact"/>
              <w:rPr>
                <w:sz w:val="20"/>
                <w:szCs w:val="20"/>
                <w:color w:val="auto"/>
              </w:rPr>
            </w:pPr>
            <w:r>
              <w:rPr>
                <w:rFonts w:ascii="Arial" w:cs="Arial" w:eastAsia="Arial" w:hAnsi="Arial"/>
                <w:sz w:val="16"/>
                <w:szCs w:val="16"/>
                <w:color w:val="auto"/>
              </w:rPr>
              <w:t>17</w:t>
            </w:r>
          </w:p>
        </w:tc>
      </w:tr>
      <w:tr>
        <w:trPr>
          <w:trHeight w:val="20"/>
        </w:trPr>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20" w:type="dxa"/>
            <w:vAlign w:val="bottom"/>
            <w:gridSpan w:val="41"/>
          </w:tcPr>
          <w:p>
            <w:pPr>
              <w:spacing w:after="0" w:line="169" w:lineRule="exact"/>
              <w:rPr>
                <w:rFonts w:ascii="Arial" w:cs="Arial" w:eastAsia="Arial" w:hAnsi="Arial"/>
                <w:sz w:val="16"/>
                <w:szCs w:val="16"/>
                <w:color w:val="0000EE"/>
              </w:rPr>
            </w:pPr>
            <w:hyperlink w:anchor="page22">
              <w:r>
                <w:rPr>
                  <w:rFonts w:ascii="Arial" w:cs="Arial" w:eastAsia="Arial" w:hAnsi="Arial"/>
                  <w:sz w:val="16"/>
                  <w:szCs w:val="16"/>
                  <w:color w:val="0000EE"/>
                </w:rPr>
                <w:t>Board Leadership Structure</w:t>
              </w:r>
            </w:hyperlink>
          </w:p>
        </w:tc>
        <w:tc>
          <w:tcPr>
            <w:tcW w:w="1760" w:type="dxa"/>
            <w:vAlign w:val="bottom"/>
            <w:gridSpan w:val="2"/>
          </w:tcPr>
          <w:p>
            <w:pPr>
              <w:jc w:val="right"/>
              <w:ind w:right="139"/>
              <w:spacing w:after="0" w:line="169" w:lineRule="exact"/>
              <w:rPr>
                <w:sz w:val="20"/>
                <w:szCs w:val="20"/>
                <w:color w:val="auto"/>
              </w:rPr>
            </w:pPr>
            <w:r>
              <w:rPr>
                <w:rFonts w:ascii="Arial" w:cs="Arial" w:eastAsia="Arial" w:hAnsi="Arial"/>
                <w:sz w:val="16"/>
                <w:szCs w:val="16"/>
                <w:color w:val="auto"/>
              </w:rPr>
              <w:t>17</w:t>
            </w: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w:anchor="page23">
              <w:r>
                <w:rPr>
                  <w:rFonts w:ascii="Arial" w:cs="Arial" w:eastAsia="Arial" w:hAnsi="Arial"/>
                  <w:sz w:val="16"/>
                  <w:szCs w:val="16"/>
                  <w:color w:val="0000EE"/>
                </w:rPr>
                <w:t>Board Oversight of Risk</w:t>
              </w:r>
            </w:hyperlink>
          </w:p>
        </w:tc>
        <w:tc>
          <w:tcPr>
            <w:tcW w:w="260" w:type="dxa"/>
            <w:vAlign w:val="bottom"/>
            <w:tcBorders>
              <w:top w:val="single" w:sz="8" w:color="0000EE"/>
            </w:tcBorders>
            <w:gridSpan w:val="5"/>
          </w:tcPr>
          <w:p>
            <w:pPr>
              <w:spacing w:after="0"/>
              <w:rPr>
                <w:sz w:val="14"/>
                <w:szCs w:val="14"/>
                <w:color w:val="auto"/>
              </w:rPr>
            </w:pPr>
          </w:p>
        </w:tc>
        <w:tc>
          <w:tcPr>
            <w:tcW w:w="7440" w:type="dxa"/>
            <w:vAlign w:val="bottom"/>
            <w:gridSpan w:val="31"/>
          </w:tcPr>
          <w:p>
            <w:pPr>
              <w:spacing w:after="0"/>
              <w:rPr>
                <w:sz w:val="14"/>
                <w:szCs w:val="14"/>
                <w:color w:val="auto"/>
              </w:rPr>
            </w:pPr>
          </w:p>
        </w:tc>
        <w:tc>
          <w:tcPr>
            <w:tcW w:w="1760" w:type="dxa"/>
            <w:vAlign w:val="bottom"/>
            <w:gridSpan w:val="2"/>
          </w:tcPr>
          <w:p>
            <w:pPr>
              <w:jc w:val="right"/>
              <w:ind w:right="139"/>
              <w:spacing w:after="0" w:line="169" w:lineRule="exact"/>
              <w:rPr>
                <w:sz w:val="20"/>
                <w:szCs w:val="20"/>
                <w:color w:val="auto"/>
              </w:rPr>
            </w:pPr>
            <w:r>
              <w:rPr>
                <w:rFonts w:ascii="Arial" w:cs="Arial" w:eastAsia="Arial" w:hAnsi="Arial"/>
                <w:sz w:val="16"/>
                <w:szCs w:val="16"/>
                <w:color w:val="auto"/>
              </w:rPr>
              <w:t>18</w:t>
            </w: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20" w:type="dxa"/>
            <w:vAlign w:val="bottom"/>
            <w:gridSpan w:val="41"/>
          </w:tcPr>
          <w:p>
            <w:pPr>
              <w:spacing w:after="0" w:line="169" w:lineRule="exact"/>
              <w:rPr>
                <w:rFonts w:ascii="Arial" w:cs="Arial" w:eastAsia="Arial" w:hAnsi="Arial"/>
                <w:sz w:val="16"/>
                <w:szCs w:val="16"/>
                <w:color w:val="0000EE"/>
              </w:rPr>
            </w:pPr>
            <w:hyperlink w:anchor="page24">
              <w:r>
                <w:rPr>
                  <w:rFonts w:ascii="Arial" w:cs="Arial" w:eastAsia="Arial" w:hAnsi="Arial"/>
                  <w:sz w:val="16"/>
                  <w:szCs w:val="16"/>
                  <w:color w:val="0000EE"/>
                </w:rPr>
                <w:t>Compensation Consultant</w:t>
              </w:r>
            </w:hyperlink>
          </w:p>
        </w:tc>
        <w:tc>
          <w:tcPr>
            <w:tcW w:w="1760" w:type="dxa"/>
            <w:vAlign w:val="bottom"/>
            <w:gridSpan w:val="2"/>
          </w:tcPr>
          <w:p>
            <w:pPr>
              <w:jc w:val="right"/>
              <w:ind w:right="139"/>
              <w:spacing w:after="0" w:line="169" w:lineRule="exact"/>
              <w:rPr>
                <w:sz w:val="20"/>
                <w:szCs w:val="20"/>
                <w:color w:val="auto"/>
              </w:rPr>
            </w:pPr>
            <w:r>
              <w:rPr>
                <w:rFonts w:ascii="Arial" w:cs="Arial" w:eastAsia="Arial" w:hAnsi="Arial"/>
                <w:sz w:val="16"/>
                <w:szCs w:val="16"/>
                <w:color w:val="auto"/>
              </w:rPr>
              <w:t>19</w:t>
            </w:r>
          </w:p>
        </w:tc>
      </w:tr>
      <w:tr>
        <w:trPr>
          <w:trHeight w:val="196"/>
        </w:trPr>
        <w:tc>
          <w:tcPr>
            <w:tcW w:w="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82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280" w:type="dxa"/>
            <w:vAlign w:val="bottom"/>
            <w:tcBorders>
              <w:top w:val="single" w:sz="8" w:color="0000EE"/>
              <w:bottom w:val="single" w:sz="8" w:color="5D89B4"/>
            </w:tcBorders>
          </w:tcPr>
          <w:p>
            <w:pPr>
              <w:spacing w:after="0"/>
              <w:rPr>
                <w:sz w:val="17"/>
                <w:szCs w:val="17"/>
                <w:color w:val="auto"/>
              </w:rPr>
            </w:pPr>
          </w:p>
        </w:tc>
        <w:tc>
          <w:tcPr>
            <w:tcW w:w="2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38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80" w:type="dxa"/>
            <w:vAlign w:val="bottom"/>
            <w:tcBorders>
              <w:bottom w:val="single" w:sz="8" w:color="5D89B4"/>
            </w:tcBorders>
          </w:tcPr>
          <w:p>
            <w:pPr>
              <w:spacing w:after="0"/>
              <w:rPr>
                <w:sz w:val="17"/>
                <w:szCs w:val="17"/>
                <w:color w:val="auto"/>
              </w:rPr>
            </w:pPr>
          </w:p>
        </w:tc>
        <w:tc>
          <w:tcPr>
            <w:tcW w:w="3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2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80" w:type="dxa"/>
            <w:vAlign w:val="bottom"/>
            <w:tcBorders>
              <w:bottom w:val="single" w:sz="8" w:color="5D89B4"/>
            </w:tcBorders>
          </w:tcPr>
          <w:p>
            <w:pPr>
              <w:spacing w:after="0"/>
              <w:rPr>
                <w:sz w:val="17"/>
                <w:szCs w:val="17"/>
                <w:color w:val="auto"/>
              </w:rPr>
            </w:pPr>
          </w:p>
        </w:tc>
        <w:tc>
          <w:tcPr>
            <w:tcW w:w="11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9580" w:type="dxa"/>
            <w:vAlign w:val="bottom"/>
            <w:gridSpan w:val="42"/>
          </w:tcPr>
          <w:p>
            <w:pPr>
              <w:spacing w:after="0" w:line="155" w:lineRule="exact"/>
              <w:rPr>
                <w:rFonts w:ascii="Arial" w:cs="Arial" w:eastAsia="Arial" w:hAnsi="Arial"/>
                <w:sz w:val="16"/>
                <w:szCs w:val="16"/>
                <w:b w:val="1"/>
                <w:bCs w:val="1"/>
                <w:color w:val="0000EE"/>
              </w:rPr>
            </w:pPr>
            <w:hyperlink w:anchor="page26">
              <w:r>
                <w:rPr>
                  <w:rFonts w:ascii="Arial" w:cs="Arial" w:eastAsia="Arial" w:hAnsi="Arial"/>
                  <w:sz w:val="16"/>
                  <w:szCs w:val="16"/>
                  <w:b w:val="1"/>
                  <w:bCs w:val="1"/>
                  <w:color w:val="0000EE"/>
                </w:rPr>
                <w:t>BENEFICIAL OWNERSHIP OF DIRECTORS AND EXECUTIVE OFFICERS</w:t>
              </w:r>
            </w:hyperlink>
          </w:p>
        </w:tc>
        <w:tc>
          <w:tcPr>
            <w:tcW w:w="1760" w:type="dxa"/>
            <w:vAlign w:val="bottom"/>
            <w:gridSpan w:val="2"/>
          </w:tcPr>
          <w:p>
            <w:pPr>
              <w:jc w:val="right"/>
              <w:ind w:right="139"/>
              <w:spacing w:after="0" w:line="155" w:lineRule="exact"/>
              <w:rPr>
                <w:sz w:val="20"/>
                <w:szCs w:val="20"/>
                <w:color w:val="auto"/>
              </w:rPr>
            </w:pPr>
            <w:r>
              <w:rPr>
                <w:rFonts w:ascii="Arial" w:cs="Arial" w:eastAsia="Arial" w:hAnsi="Arial"/>
                <w:sz w:val="16"/>
                <w:szCs w:val="16"/>
                <w:color w:val="auto"/>
              </w:rPr>
              <w:t>21</w:t>
            </w:r>
          </w:p>
        </w:tc>
      </w:tr>
      <w:tr>
        <w:trPr>
          <w:trHeight w:val="196"/>
        </w:trPr>
        <w:tc>
          <w:tcPr>
            <w:tcW w:w="80" w:type="dxa"/>
            <w:vAlign w:val="bottom"/>
            <w:tcBorders>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82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280" w:type="dxa"/>
            <w:vAlign w:val="bottom"/>
            <w:tcBorders>
              <w:top w:val="single" w:sz="8" w:color="0000EE"/>
              <w:bottom w:val="single" w:sz="8" w:color="5D89B4"/>
            </w:tcBorders>
          </w:tcPr>
          <w:p>
            <w:pPr>
              <w:spacing w:after="0"/>
              <w:rPr>
                <w:sz w:val="17"/>
                <w:szCs w:val="17"/>
                <w:color w:val="auto"/>
              </w:rPr>
            </w:pPr>
          </w:p>
        </w:tc>
        <w:tc>
          <w:tcPr>
            <w:tcW w:w="2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80" w:type="dxa"/>
            <w:vAlign w:val="bottom"/>
            <w:tcBorders>
              <w:top w:val="single" w:sz="8" w:color="0000EE"/>
              <w:bottom w:val="single" w:sz="8" w:color="5D89B4"/>
            </w:tcBorders>
          </w:tcPr>
          <w:p>
            <w:pPr>
              <w:spacing w:after="0"/>
              <w:rPr>
                <w:sz w:val="17"/>
                <w:szCs w:val="17"/>
                <w:color w:val="auto"/>
              </w:rPr>
            </w:pPr>
          </w:p>
        </w:tc>
        <w:tc>
          <w:tcPr>
            <w:tcW w:w="3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2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80" w:type="dxa"/>
            <w:vAlign w:val="bottom"/>
            <w:tcBorders>
              <w:bottom w:val="single" w:sz="8" w:color="5D89B4"/>
            </w:tcBorders>
          </w:tcPr>
          <w:p>
            <w:pPr>
              <w:spacing w:after="0"/>
              <w:rPr>
                <w:sz w:val="17"/>
                <w:szCs w:val="17"/>
                <w:color w:val="auto"/>
              </w:rPr>
            </w:pPr>
          </w:p>
        </w:tc>
        <w:tc>
          <w:tcPr>
            <w:tcW w:w="11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9580" w:type="dxa"/>
            <w:vAlign w:val="bottom"/>
            <w:gridSpan w:val="42"/>
          </w:tcPr>
          <w:p>
            <w:pPr>
              <w:spacing w:after="0" w:line="155" w:lineRule="exact"/>
              <w:rPr>
                <w:rFonts w:ascii="Arial" w:cs="Arial" w:eastAsia="Arial" w:hAnsi="Arial"/>
                <w:sz w:val="16"/>
                <w:szCs w:val="16"/>
                <w:b w:val="1"/>
                <w:bCs w:val="1"/>
                <w:color w:val="0000EE"/>
              </w:rPr>
            </w:pPr>
            <w:hyperlink w:anchor="page28">
              <w:r>
                <w:rPr>
                  <w:rFonts w:ascii="Arial" w:cs="Arial" w:eastAsia="Arial" w:hAnsi="Arial"/>
                  <w:sz w:val="16"/>
                  <w:szCs w:val="16"/>
                  <w:b w:val="1"/>
                  <w:bCs w:val="1"/>
                  <w:color w:val="0000EE"/>
                </w:rPr>
                <w:t>COMPENSATION DISCUSSION AND ANALYSIS</w:t>
              </w:r>
            </w:hyperlink>
          </w:p>
        </w:tc>
        <w:tc>
          <w:tcPr>
            <w:tcW w:w="1760" w:type="dxa"/>
            <w:vAlign w:val="bottom"/>
            <w:gridSpan w:val="2"/>
          </w:tcPr>
          <w:p>
            <w:pPr>
              <w:jc w:val="right"/>
              <w:ind w:right="139"/>
              <w:spacing w:after="0" w:line="155" w:lineRule="exact"/>
              <w:rPr>
                <w:sz w:val="20"/>
                <w:szCs w:val="20"/>
                <w:color w:val="auto"/>
              </w:rPr>
            </w:pPr>
            <w:r>
              <w:rPr>
                <w:rFonts w:ascii="Arial" w:cs="Arial" w:eastAsia="Arial" w:hAnsi="Arial"/>
                <w:sz w:val="16"/>
                <w:szCs w:val="16"/>
                <w:color w:val="auto"/>
              </w:rPr>
              <w:t>23</w:t>
            </w:r>
          </w:p>
        </w:tc>
      </w:tr>
      <w:tr>
        <w:trPr>
          <w:trHeight w:val="196"/>
        </w:trPr>
        <w:tc>
          <w:tcPr>
            <w:tcW w:w="80" w:type="dxa"/>
            <w:vAlign w:val="bottom"/>
            <w:tcBorders>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82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280" w:type="dxa"/>
            <w:vAlign w:val="bottom"/>
            <w:tcBorders>
              <w:top w:val="single" w:sz="8" w:color="0000EE"/>
              <w:bottom w:val="single" w:sz="8" w:color="5D89B4"/>
            </w:tcBorders>
          </w:tcPr>
          <w:p>
            <w:pPr>
              <w:spacing w:after="0"/>
              <w:rPr>
                <w:sz w:val="17"/>
                <w:szCs w:val="17"/>
                <w:color w:val="auto"/>
              </w:rPr>
            </w:pPr>
          </w:p>
        </w:tc>
        <w:tc>
          <w:tcPr>
            <w:tcW w:w="2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80" w:type="dxa"/>
            <w:vAlign w:val="bottom"/>
            <w:tcBorders>
              <w:bottom w:val="single" w:sz="8" w:color="5D89B4"/>
            </w:tcBorders>
          </w:tcPr>
          <w:p>
            <w:pPr>
              <w:spacing w:after="0"/>
              <w:rPr>
                <w:sz w:val="17"/>
                <w:szCs w:val="17"/>
                <w:color w:val="auto"/>
              </w:rPr>
            </w:pPr>
          </w:p>
        </w:tc>
        <w:tc>
          <w:tcPr>
            <w:tcW w:w="3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2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80" w:type="dxa"/>
            <w:vAlign w:val="bottom"/>
            <w:tcBorders>
              <w:bottom w:val="single" w:sz="8" w:color="5D89B4"/>
            </w:tcBorders>
          </w:tcPr>
          <w:p>
            <w:pPr>
              <w:spacing w:after="0"/>
              <w:rPr>
                <w:sz w:val="17"/>
                <w:szCs w:val="17"/>
                <w:color w:val="auto"/>
              </w:rPr>
            </w:pPr>
          </w:p>
        </w:tc>
        <w:tc>
          <w:tcPr>
            <w:tcW w:w="11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9580" w:type="dxa"/>
            <w:vAlign w:val="bottom"/>
            <w:gridSpan w:val="42"/>
          </w:tcPr>
          <w:p>
            <w:pPr>
              <w:spacing w:after="0" w:line="155" w:lineRule="exact"/>
              <w:rPr>
                <w:rFonts w:ascii="Arial" w:cs="Arial" w:eastAsia="Arial" w:hAnsi="Arial"/>
                <w:sz w:val="16"/>
                <w:szCs w:val="16"/>
                <w:b w:val="1"/>
                <w:bCs w:val="1"/>
                <w:color w:val="0000EE"/>
              </w:rPr>
            </w:pPr>
            <w:hyperlink w:anchor="page57">
              <w:r>
                <w:rPr>
                  <w:rFonts w:ascii="Arial" w:cs="Arial" w:eastAsia="Arial" w:hAnsi="Arial"/>
                  <w:sz w:val="16"/>
                  <w:szCs w:val="16"/>
                  <w:b w:val="1"/>
                  <w:bCs w:val="1"/>
                  <w:color w:val="0000EE"/>
                </w:rPr>
                <w:t>REPORT OF THE EXECUTIVE COMPENSATION AND HUMAN RESOURCES COMMITTEE OF THE BOARD OF DIRECTORS</w:t>
              </w:r>
            </w:hyperlink>
          </w:p>
        </w:tc>
        <w:tc>
          <w:tcPr>
            <w:tcW w:w="1760" w:type="dxa"/>
            <w:vAlign w:val="bottom"/>
            <w:gridSpan w:val="2"/>
          </w:tcPr>
          <w:p>
            <w:pPr>
              <w:jc w:val="right"/>
              <w:ind w:right="139"/>
              <w:spacing w:after="0" w:line="155" w:lineRule="exact"/>
              <w:rPr>
                <w:sz w:val="20"/>
                <w:szCs w:val="20"/>
                <w:color w:val="auto"/>
              </w:rPr>
            </w:pPr>
            <w:r>
              <w:rPr>
                <w:rFonts w:ascii="Arial" w:cs="Arial" w:eastAsia="Arial" w:hAnsi="Arial"/>
                <w:sz w:val="16"/>
                <w:szCs w:val="16"/>
                <w:color w:val="auto"/>
              </w:rPr>
              <w:t>52</w:t>
            </w:r>
          </w:p>
        </w:tc>
      </w:tr>
      <w:tr>
        <w:trPr>
          <w:trHeight w:val="196"/>
        </w:trPr>
        <w:tc>
          <w:tcPr>
            <w:tcW w:w="80" w:type="dxa"/>
            <w:vAlign w:val="bottom"/>
            <w:tcBorders>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82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280" w:type="dxa"/>
            <w:vAlign w:val="bottom"/>
            <w:tcBorders>
              <w:top w:val="single" w:sz="8" w:color="0000EE"/>
              <w:bottom w:val="single" w:sz="8" w:color="5D89B4"/>
            </w:tcBorders>
          </w:tcPr>
          <w:p>
            <w:pPr>
              <w:spacing w:after="0"/>
              <w:rPr>
                <w:sz w:val="17"/>
                <w:szCs w:val="17"/>
                <w:color w:val="auto"/>
              </w:rPr>
            </w:pPr>
          </w:p>
        </w:tc>
        <w:tc>
          <w:tcPr>
            <w:tcW w:w="2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80" w:type="dxa"/>
            <w:vAlign w:val="bottom"/>
            <w:tcBorders>
              <w:top w:val="single" w:sz="8" w:color="0000EE"/>
              <w:bottom w:val="single" w:sz="8" w:color="5D89B4"/>
            </w:tcBorders>
          </w:tcPr>
          <w:p>
            <w:pPr>
              <w:spacing w:after="0"/>
              <w:rPr>
                <w:sz w:val="17"/>
                <w:szCs w:val="17"/>
                <w:color w:val="auto"/>
              </w:rPr>
            </w:pPr>
          </w:p>
        </w:tc>
        <w:tc>
          <w:tcPr>
            <w:tcW w:w="3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1340" w:type="dxa"/>
            <w:vAlign w:val="bottom"/>
            <w:tcBorders>
              <w:top w:val="single" w:sz="8" w:color="0000EE"/>
              <w:bottom w:val="single" w:sz="8" w:color="5D89B4"/>
            </w:tcBorders>
          </w:tcPr>
          <w:p>
            <w:pPr>
              <w:spacing w:after="0"/>
              <w:rPr>
                <w:sz w:val="17"/>
                <w:szCs w:val="17"/>
                <w:color w:val="auto"/>
              </w:rPr>
            </w:pPr>
          </w:p>
        </w:tc>
        <w:tc>
          <w:tcPr>
            <w:tcW w:w="1620" w:type="dxa"/>
            <w:vAlign w:val="bottom"/>
            <w:tcBorders>
              <w:top w:val="single" w:sz="8" w:color="0000EE"/>
              <w:bottom w:val="single" w:sz="8" w:color="5D89B4"/>
            </w:tcBorders>
          </w:tcPr>
          <w:p>
            <w:pPr>
              <w:spacing w:after="0"/>
              <w:rPr>
                <w:sz w:val="17"/>
                <w:szCs w:val="17"/>
                <w:color w:val="auto"/>
              </w:rPr>
            </w:pPr>
          </w:p>
        </w:tc>
        <w:tc>
          <w:tcPr>
            <w:tcW w:w="420" w:type="dxa"/>
            <w:vAlign w:val="bottom"/>
            <w:tcBorders>
              <w:top w:val="single" w:sz="8" w:color="0000EE"/>
              <w:bottom w:val="single" w:sz="8" w:color="5D89B4"/>
            </w:tcBorders>
          </w:tcPr>
          <w:p>
            <w:pPr>
              <w:spacing w:after="0"/>
              <w:rPr>
                <w:sz w:val="17"/>
                <w:szCs w:val="17"/>
                <w:color w:val="auto"/>
              </w:rPr>
            </w:pPr>
          </w:p>
        </w:tc>
        <w:tc>
          <w:tcPr>
            <w:tcW w:w="440" w:type="dxa"/>
            <w:vAlign w:val="bottom"/>
            <w:tcBorders>
              <w:top w:val="single" w:sz="8" w:color="0000EE"/>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80" w:type="dxa"/>
            <w:vAlign w:val="bottom"/>
            <w:tcBorders>
              <w:bottom w:val="single" w:sz="8" w:color="5D89B4"/>
            </w:tcBorders>
          </w:tcPr>
          <w:p>
            <w:pPr>
              <w:spacing w:after="0"/>
              <w:rPr>
                <w:sz w:val="17"/>
                <w:szCs w:val="17"/>
                <w:color w:val="auto"/>
              </w:rPr>
            </w:pPr>
          </w:p>
        </w:tc>
        <w:tc>
          <w:tcPr>
            <w:tcW w:w="11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9580" w:type="dxa"/>
            <w:vAlign w:val="bottom"/>
            <w:gridSpan w:val="42"/>
          </w:tcPr>
          <w:p>
            <w:pPr>
              <w:spacing w:after="0" w:line="155" w:lineRule="exact"/>
              <w:rPr>
                <w:rFonts w:ascii="Arial" w:cs="Arial" w:eastAsia="Arial" w:hAnsi="Arial"/>
                <w:sz w:val="16"/>
                <w:szCs w:val="16"/>
                <w:b w:val="1"/>
                <w:bCs w:val="1"/>
                <w:color w:val="0000EE"/>
              </w:rPr>
            </w:pPr>
            <w:hyperlink w:anchor="page57">
              <w:r>
                <w:rPr>
                  <w:rFonts w:ascii="Arial" w:cs="Arial" w:eastAsia="Arial" w:hAnsi="Arial"/>
                  <w:sz w:val="16"/>
                  <w:szCs w:val="16"/>
                  <w:b w:val="1"/>
                  <w:bCs w:val="1"/>
                  <w:color w:val="0000EE"/>
                </w:rPr>
                <w:t>EXECUTIVE COMPENSATION AND HUMAN RESOURCES COMMITTEE INTERLOCKS AND INSIDER PARTICIPATION</w:t>
              </w:r>
            </w:hyperlink>
          </w:p>
        </w:tc>
        <w:tc>
          <w:tcPr>
            <w:tcW w:w="1760" w:type="dxa"/>
            <w:vAlign w:val="bottom"/>
            <w:gridSpan w:val="2"/>
          </w:tcPr>
          <w:p>
            <w:pPr>
              <w:jc w:val="right"/>
              <w:ind w:right="139"/>
              <w:spacing w:after="0" w:line="155" w:lineRule="exact"/>
              <w:rPr>
                <w:sz w:val="20"/>
                <w:szCs w:val="20"/>
                <w:color w:val="auto"/>
              </w:rPr>
            </w:pPr>
            <w:r>
              <w:rPr>
                <w:rFonts w:ascii="Arial" w:cs="Arial" w:eastAsia="Arial" w:hAnsi="Arial"/>
                <w:sz w:val="16"/>
                <w:szCs w:val="16"/>
                <w:color w:val="auto"/>
              </w:rPr>
              <w:t>52</w:t>
            </w:r>
          </w:p>
        </w:tc>
      </w:tr>
      <w:tr>
        <w:trPr>
          <w:trHeight w:val="196"/>
        </w:trPr>
        <w:tc>
          <w:tcPr>
            <w:tcW w:w="80" w:type="dxa"/>
            <w:vAlign w:val="bottom"/>
            <w:tcBorders>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82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280" w:type="dxa"/>
            <w:vAlign w:val="bottom"/>
            <w:tcBorders>
              <w:top w:val="single" w:sz="8" w:color="0000EE"/>
              <w:bottom w:val="single" w:sz="8" w:color="5D89B4"/>
            </w:tcBorders>
          </w:tcPr>
          <w:p>
            <w:pPr>
              <w:spacing w:after="0"/>
              <w:rPr>
                <w:sz w:val="17"/>
                <w:szCs w:val="17"/>
                <w:color w:val="auto"/>
              </w:rPr>
            </w:pPr>
          </w:p>
        </w:tc>
        <w:tc>
          <w:tcPr>
            <w:tcW w:w="2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80" w:type="dxa"/>
            <w:vAlign w:val="bottom"/>
            <w:tcBorders>
              <w:top w:val="single" w:sz="8" w:color="0000EE"/>
              <w:bottom w:val="single" w:sz="8" w:color="5D89B4"/>
            </w:tcBorders>
          </w:tcPr>
          <w:p>
            <w:pPr>
              <w:spacing w:after="0"/>
              <w:rPr>
                <w:sz w:val="17"/>
                <w:szCs w:val="17"/>
                <w:color w:val="auto"/>
              </w:rPr>
            </w:pPr>
          </w:p>
        </w:tc>
        <w:tc>
          <w:tcPr>
            <w:tcW w:w="3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1340" w:type="dxa"/>
            <w:vAlign w:val="bottom"/>
            <w:tcBorders>
              <w:top w:val="single" w:sz="8" w:color="0000EE"/>
              <w:bottom w:val="single" w:sz="8" w:color="5D89B4"/>
            </w:tcBorders>
          </w:tcPr>
          <w:p>
            <w:pPr>
              <w:spacing w:after="0"/>
              <w:rPr>
                <w:sz w:val="17"/>
                <w:szCs w:val="17"/>
                <w:color w:val="auto"/>
              </w:rPr>
            </w:pPr>
          </w:p>
        </w:tc>
        <w:tc>
          <w:tcPr>
            <w:tcW w:w="1620" w:type="dxa"/>
            <w:vAlign w:val="bottom"/>
            <w:tcBorders>
              <w:top w:val="single" w:sz="8" w:color="0000EE"/>
              <w:bottom w:val="single" w:sz="8" w:color="5D89B4"/>
            </w:tcBorders>
          </w:tcPr>
          <w:p>
            <w:pPr>
              <w:spacing w:after="0"/>
              <w:rPr>
                <w:sz w:val="17"/>
                <w:szCs w:val="17"/>
                <w:color w:val="auto"/>
              </w:rPr>
            </w:pPr>
          </w:p>
        </w:tc>
        <w:tc>
          <w:tcPr>
            <w:tcW w:w="420" w:type="dxa"/>
            <w:vAlign w:val="bottom"/>
            <w:tcBorders>
              <w:top w:val="single" w:sz="8" w:color="0000EE"/>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80" w:type="dxa"/>
            <w:vAlign w:val="bottom"/>
            <w:tcBorders>
              <w:bottom w:val="single" w:sz="8" w:color="5D89B4"/>
            </w:tcBorders>
          </w:tcPr>
          <w:p>
            <w:pPr>
              <w:spacing w:after="0"/>
              <w:rPr>
                <w:sz w:val="17"/>
                <w:szCs w:val="17"/>
                <w:color w:val="auto"/>
              </w:rPr>
            </w:pPr>
          </w:p>
        </w:tc>
        <w:tc>
          <w:tcPr>
            <w:tcW w:w="11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9580" w:type="dxa"/>
            <w:vAlign w:val="bottom"/>
            <w:gridSpan w:val="42"/>
          </w:tcPr>
          <w:p>
            <w:pPr>
              <w:spacing w:after="0" w:line="155" w:lineRule="exact"/>
              <w:rPr>
                <w:rFonts w:ascii="Arial" w:cs="Arial" w:eastAsia="Arial" w:hAnsi="Arial"/>
                <w:sz w:val="16"/>
                <w:szCs w:val="16"/>
                <w:b w:val="1"/>
                <w:bCs w:val="1"/>
                <w:color w:val="0000EE"/>
              </w:rPr>
            </w:pPr>
            <w:hyperlink w:anchor="page58">
              <w:r>
                <w:rPr>
                  <w:rFonts w:ascii="Arial" w:cs="Arial" w:eastAsia="Arial" w:hAnsi="Arial"/>
                  <w:sz w:val="16"/>
                  <w:szCs w:val="16"/>
                  <w:b w:val="1"/>
                  <w:bCs w:val="1"/>
                  <w:color w:val="0000EE"/>
                </w:rPr>
                <w:t>COMPENSATION POLICIES AND PRACTICES AS THEY RELATE TO RISK MANAGEMENT</w:t>
              </w:r>
            </w:hyperlink>
          </w:p>
        </w:tc>
        <w:tc>
          <w:tcPr>
            <w:tcW w:w="1760" w:type="dxa"/>
            <w:vAlign w:val="bottom"/>
            <w:gridSpan w:val="2"/>
          </w:tcPr>
          <w:p>
            <w:pPr>
              <w:jc w:val="right"/>
              <w:ind w:right="139"/>
              <w:spacing w:after="0" w:line="155" w:lineRule="exact"/>
              <w:rPr>
                <w:sz w:val="20"/>
                <w:szCs w:val="20"/>
                <w:color w:val="auto"/>
              </w:rPr>
            </w:pPr>
            <w:r>
              <w:rPr>
                <w:rFonts w:ascii="Arial" w:cs="Arial" w:eastAsia="Arial" w:hAnsi="Arial"/>
                <w:sz w:val="16"/>
                <w:szCs w:val="16"/>
                <w:color w:val="auto"/>
              </w:rPr>
              <w:t>53</w:t>
            </w:r>
          </w:p>
        </w:tc>
      </w:tr>
      <w:tr>
        <w:trPr>
          <w:trHeight w:val="196"/>
        </w:trPr>
        <w:tc>
          <w:tcPr>
            <w:tcW w:w="80" w:type="dxa"/>
            <w:vAlign w:val="bottom"/>
            <w:tcBorders>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82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280" w:type="dxa"/>
            <w:vAlign w:val="bottom"/>
            <w:tcBorders>
              <w:top w:val="single" w:sz="8" w:color="0000EE"/>
              <w:bottom w:val="single" w:sz="8" w:color="5D89B4"/>
            </w:tcBorders>
          </w:tcPr>
          <w:p>
            <w:pPr>
              <w:spacing w:after="0"/>
              <w:rPr>
                <w:sz w:val="17"/>
                <w:szCs w:val="17"/>
                <w:color w:val="auto"/>
              </w:rPr>
            </w:pPr>
          </w:p>
        </w:tc>
        <w:tc>
          <w:tcPr>
            <w:tcW w:w="2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80" w:type="dxa"/>
            <w:vAlign w:val="bottom"/>
            <w:tcBorders>
              <w:top w:val="single" w:sz="8" w:color="0000EE"/>
              <w:bottom w:val="single" w:sz="8" w:color="5D89B4"/>
            </w:tcBorders>
          </w:tcPr>
          <w:p>
            <w:pPr>
              <w:spacing w:after="0"/>
              <w:rPr>
                <w:sz w:val="17"/>
                <w:szCs w:val="17"/>
                <w:color w:val="auto"/>
              </w:rPr>
            </w:pPr>
          </w:p>
        </w:tc>
        <w:tc>
          <w:tcPr>
            <w:tcW w:w="3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1340" w:type="dxa"/>
            <w:vAlign w:val="bottom"/>
            <w:tcBorders>
              <w:top w:val="single" w:sz="8" w:color="0000EE"/>
              <w:bottom w:val="single" w:sz="8" w:color="5D89B4"/>
            </w:tcBorders>
          </w:tcPr>
          <w:p>
            <w:pPr>
              <w:spacing w:after="0"/>
              <w:rPr>
                <w:sz w:val="17"/>
                <w:szCs w:val="17"/>
                <w:color w:val="auto"/>
              </w:rPr>
            </w:pPr>
          </w:p>
        </w:tc>
        <w:tc>
          <w:tcPr>
            <w:tcW w:w="162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80" w:type="dxa"/>
            <w:vAlign w:val="bottom"/>
            <w:tcBorders>
              <w:bottom w:val="single" w:sz="8" w:color="5D89B4"/>
            </w:tcBorders>
          </w:tcPr>
          <w:p>
            <w:pPr>
              <w:spacing w:after="0"/>
              <w:rPr>
                <w:sz w:val="17"/>
                <w:szCs w:val="17"/>
                <w:color w:val="auto"/>
              </w:rPr>
            </w:pPr>
          </w:p>
        </w:tc>
        <w:tc>
          <w:tcPr>
            <w:tcW w:w="11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2000" w:type="dxa"/>
            <w:vAlign w:val="bottom"/>
            <w:tcBorders>
              <w:bottom w:val="single" w:sz="8" w:color="0000EE"/>
            </w:tcBorders>
            <w:gridSpan w:val="8"/>
          </w:tcPr>
          <w:p>
            <w:pPr>
              <w:spacing w:after="0" w:line="155" w:lineRule="exact"/>
              <w:rPr>
                <w:rFonts w:ascii="Arial" w:cs="Arial" w:eastAsia="Arial" w:hAnsi="Arial"/>
                <w:sz w:val="16"/>
                <w:szCs w:val="16"/>
                <w:b w:val="1"/>
                <w:bCs w:val="1"/>
                <w:color w:val="0000EE"/>
                <w:w w:val="99"/>
              </w:rPr>
            </w:pPr>
            <w:hyperlink w:anchor="page59">
              <w:r>
                <w:rPr>
                  <w:rFonts w:ascii="Arial" w:cs="Arial" w:eastAsia="Arial" w:hAnsi="Arial"/>
                  <w:sz w:val="16"/>
                  <w:szCs w:val="16"/>
                  <w:b w:val="1"/>
                  <w:bCs w:val="1"/>
                  <w:color w:val="0000EE"/>
                  <w:w w:val="99"/>
                </w:rPr>
                <w:t>COMPENSATION TABLES</w:t>
              </w:r>
            </w:hyperlink>
          </w:p>
        </w:tc>
        <w:tc>
          <w:tcPr>
            <w:tcW w:w="7580" w:type="dxa"/>
            <w:vAlign w:val="bottom"/>
            <w:gridSpan w:val="34"/>
          </w:tcPr>
          <w:p>
            <w:pPr>
              <w:spacing w:after="0"/>
              <w:rPr>
                <w:sz w:val="13"/>
                <w:szCs w:val="13"/>
                <w:color w:val="auto"/>
              </w:rPr>
            </w:pPr>
          </w:p>
        </w:tc>
        <w:tc>
          <w:tcPr>
            <w:tcW w:w="1760" w:type="dxa"/>
            <w:vAlign w:val="bottom"/>
            <w:gridSpan w:val="2"/>
          </w:tcPr>
          <w:p>
            <w:pPr>
              <w:jc w:val="right"/>
              <w:ind w:right="139"/>
              <w:spacing w:after="0" w:line="155" w:lineRule="exact"/>
              <w:rPr>
                <w:sz w:val="20"/>
                <w:szCs w:val="20"/>
                <w:color w:val="auto"/>
              </w:rPr>
            </w:pPr>
            <w:r>
              <w:rPr>
                <w:rFonts w:ascii="Arial" w:cs="Arial" w:eastAsia="Arial" w:hAnsi="Arial"/>
                <w:sz w:val="16"/>
                <w:szCs w:val="16"/>
                <w:color w:val="auto"/>
              </w:rPr>
              <w:t>54</w:t>
            </w: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tcBorders>
              <w:bottom w:val="single" w:sz="8" w:color="0000EE"/>
            </w:tcBorders>
            <w:gridSpan w:val="13"/>
          </w:tcPr>
          <w:p>
            <w:pPr>
              <w:spacing w:after="0" w:line="169" w:lineRule="exact"/>
              <w:rPr>
                <w:rFonts w:ascii="Arial" w:cs="Arial" w:eastAsia="Arial" w:hAnsi="Arial"/>
                <w:sz w:val="16"/>
                <w:szCs w:val="16"/>
                <w:color w:val="0000EE"/>
                <w:w w:val="99"/>
              </w:rPr>
            </w:pPr>
            <w:hyperlink w:anchor="page59">
              <w:r>
                <w:rPr>
                  <w:rFonts w:ascii="Arial" w:cs="Arial" w:eastAsia="Arial" w:hAnsi="Arial"/>
                  <w:sz w:val="16"/>
                  <w:szCs w:val="16"/>
                  <w:color w:val="0000EE"/>
                  <w:w w:val="99"/>
                </w:rPr>
                <w:t>Summary Compensation Table</w:t>
              </w:r>
            </w:hyperlink>
          </w:p>
        </w:tc>
        <w:tc>
          <w:tcPr>
            <w:tcW w:w="7200" w:type="dxa"/>
            <w:vAlign w:val="bottom"/>
            <w:gridSpan w:val="28"/>
          </w:tcPr>
          <w:p>
            <w:pPr>
              <w:spacing w:after="0"/>
              <w:rPr>
                <w:sz w:val="14"/>
                <w:szCs w:val="14"/>
                <w:color w:val="auto"/>
              </w:rPr>
            </w:pPr>
          </w:p>
        </w:tc>
        <w:tc>
          <w:tcPr>
            <w:tcW w:w="1760" w:type="dxa"/>
            <w:vAlign w:val="bottom"/>
            <w:gridSpan w:val="2"/>
          </w:tcPr>
          <w:p>
            <w:pPr>
              <w:jc w:val="right"/>
              <w:ind w:right="139"/>
              <w:spacing w:after="0" w:line="169" w:lineRule="exact"/>
              <w:rPr>
                <w:sz w:val="20"/>
                <w:szCs w:val="20"/>
                <w:color w:val="auto"/>
              </w:rPr>
            </w:pPr>
            <w:r>
              <w:rPr>
                <w:rFonts w:ascii="Arial" w:cs="Arial" w:eastAsia="Arial" w:hAnsi="Arial"/>
                <w:sz w:val="16"/>
                <w:szCs w:val="16"/>
                <w:color w:val="auto"/>
              </w:rPr>
              <w:t>54</w:t>
            </w: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tcBorders>
              <w:bottom w:val="single" w:sz="8" w:color="0000EE"/>
            </w:tcBorders>
            <w:gridSpan w:val="16"/>
          </w:tcPr>
          <w:p>
            <w:pPr>
              <w:spacing w:after="0" w:line="169" w:lineRule="exact"/>
              <w:rPr>
                <w:rFonts w:ascii="Arial" w:cs="Arial" w:eastAsia="Arial" w:hAnsi="Arial"/>
                <w:sz w:val="16"/>
                <w:szCs w:val="16"/>
                <w:color w:val="0000EE"/>
              </w:rPr>
            </w:pPr>
            <w:hyperlink w:anchor="page60">
              <w:r>
                <w:rPr>
                  <w:rFonts w:ascii="Arial" w:cs="Arial" w:eastAsia="Arial" w:hAnsi="Arial"/>
                  <w:sz w:val="16"/>
                  <w:szCs w:val="16"/>
                  <w:color w:val="0000EE"/>
                </w:rPr>
                <w:t>All Other Compensation in 2016</w:t>
              </w:r>
            </w:hyperlink>
          </w:p>
        </w:tc>
        <w:tc>
          <w:tcPr>
            <w:tcW w:w="7100" w:type="dxa"/>
            <w:vAlign w:val="bottom"/>
            <w:gridSpan w:val="25"/>
          </w:tcPr>
          <w:p>
            <w:pPr>
              <w:spacing w:after="0"/>
              <w:rPr>
                <w:sz w:val="14"/>
                <w:szCs w:val="14"/>
                <w:color w:val="auto"/>
              </w:rPr>
            </w:pPr>
          </w:p>
        </w:tc>
        <w:tc>
          <w:tcPr>
            <w:tcW w:w="1760" w:type="dxa"/>
            <w:vAlign w:val="bottom"/>
            <w:gridSpan w:val="2"/>
          </w:tcPr>
          <w:p>
            <w:pPr>
              <w:jc w:val="right"/>
              <w:ind w:right="139"/>
              <w:spacing w:after="0" w:line="169" w:lineRule="exact"/>
              <w:rPr>
                <w:sz w:val="20"/>
                <w:szCs w:val="20"/>
                <w:color w:val="auto"/>
              </w:rPr>
            </w:pPr>
            <w:r>
              <w:rPr>
                <w:rFonts w:ascii="Arial" w:cs="Arial" w:eastAsia="Arial" w:hAnsi="Arial"/>
                <w:sz w:val="16"/>
                <w:szCs w:val="16"/>
                <w:color w:val="auto"/>
              </w:rPr>
              <w:t>55</w:t>
            </w: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20" w:type="dxa"/>
            <w:vAlign w:val="bottom"/>
            <w:gridSpan w:val="41"/>
          </w:tcPr>
          <w:p>
            <w:pPr>
              <w:spacing w:after="0" w:line="169" w:lineRule="exact"/>
              <w:rPr>
                <w:rFonts w:ascii="Arial" w:cs="Arial" w:eastAsia="Arial" w:hAnsi="Arial"/>
                <w:sz w:val="16"/>
                <w:szCs w:val="16"/>
                <w:color w:val="0000EE"/>
              </w:rPr>
            </w:pPr>
            <w:hyperlink w:anchor="page61">
              <w:r>
                <w:rPr>
                  <w:rFonts w:ascii="Arial" w:cs="Arial" w:eastAsia="Arial" w:hAnsi="Arial"/>
                  <w:sz w:val="16"/>
                  <w:szCs w:val="16"/>
                  <w:color w:val="0000EE"/>
                </w:rPr>
                <w:t>Grants of Plan-Based Awards in 2016</w:t>
              </w:r>
            </w:hyperlink>
          </w:p>
        </w:tc>
        <w:tc>
          <w:tcPr>
            <w:tcW w:w="1760" w:type="dxa"/>
            <w:vAlign w:val="bottom"/>
            <w:gridSpan w:val="2"/>
          </w:tcPr>
          <w:p>
            <w:pPr>
              <w:jc w:val="right"/>
              <w:ind w:right="139"/>
              <w:spacing w:after="0" w:line="169" w:lineRule="exact"/>
              <w:rPr>
                <w:sz w:val="20"/>
                <w:szCs w:val="20"/>
                <w:color w:val="auto"/>
              </w:rPr>
            </w:pPr>
            <w:r>
              <w:rPr>
                <w:rFonts w:ascii="Arial" w:cs="Arial" w:eastAsia="Arial" w:hAnsi="Arial"/>
                <w:sz w:val="16"/>
                <w:szCs w:val="16"/>
                <w:color w:val="auto"/>
              </w:rPr>
              <w:t>56</w:t>
            </w:r>
          </w:p>
        </w:tc>
      </w:tr>
      <w:tr>
        <w:trPr>
          <w:trHeight w:val="20"/>
        </w:trPr>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20" w:type="dxa"/>
            <w:vAlign w:val="bottom"/>
            <w:gridSpan w:val="41"/>
          </w:tcPr>
          <w:p>
            <w:pPr>
              <w:spacing w:after="0" w:line="169" w:lineRule="exact"/>
              <w:rPr>
                <w:rFonts w:ascii="Arial" w:cs="Arial" w:eastAsia="Arial" w:hAnsi="Arial"/>
                <w:sz w:val="16"/>
                <w:szCs w:val="16"/>
                <w:color w:val="0000EE"/>
              </w:rPr>
            </w:pPr>
            <w:hyperlink w:anchor="page62">
              <w:r>
                <w:rPr>
                  <w:rFonts w:ascii="Arial" w:cs="Arial" w:eastAsia="Arial" w:hAnsi="Arial"/>
                  <w:sz w:val="16"/>
                  <w:szCs w:val="16"/>
                  <w:color w:val="0000EE"/>
                </w:rPr>
                <w:t>Compensation Agreements and Arrangements</w:t>
              </w:r>
            </w:hyperlink>
          </w:p>
        </w:tc>
        <w:tc>
          <w:tcPr>
            <w:tcW w:w="1760" w:type="dxa"/>
            <w:vAlign w:val="bottom"/>
            <w:gridSpan w:val="2"/>
          </w:tcPr>
          <w:p>
            <w:pPr>
              <w:jc w:val="right"/>
              <w:ind w:right="139"/>
              <w:spacing w:after="0" w:line="169" w:lineRule="exact"/>
              <w:rPr>
                <w:sz w:val="20"/>
                <w:szCs w:val="20"/>
                <w:color w:val="auto"/>
              </w:rPr>
            </w:pPr>
            <w:r>
              <w:rPr>
                <w:rFonts w:ascii="Arial" w:cs="Arial" w:eastAsia="Arial" w:hAnsi="Arial"/>
                <w:sz w:val="16"/>
                <w:szCs w:val="16"/>
                <w:color w:val="auto"/>
              </w:rPr>
              <w:t>57</w:t>
            </w: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40" w:type="dxa"/>
            <w:vAlign w:val="bottom"/>
            <w:tcBorders>
              <w:top w:val="single" w:sz="8" w:color="0000EE"/>
            </w:tcBorders>
            <w:gridSpan w:val="24"/>
          </w:tcPr>
          <w:p>
            <w:pPr>
              <w:spacing w:after="0" w:line="169" w:lineRule="exact"/>
              <w:rPr>
                <w:rFonts w:ascii="Arial" w:cs="Arial" w:eastAsia="Arial" w:hAnsi="Arial"/>
                <w:sz w:val="16"/>
                <w:szCs w:val="16"/>
                <w:color w:val="0000EE"/>
              </w:rPr>
            </w:pPr>
            <w:hyperlink w:anchor="page63">
              <w:r>
                <w:rPr>
                  <w:rFonts w:ascii="Arial" w:cs="Arial" w:eastAsia="Arial" w:hAnsi="Arial"/>
                  <w:sz w:val="16"/>
                  <w:szCs w:val="16"/>
                  <w:color w:val="0000EE"/>
                </w:rPr>
                <w:t>2016 Annual Incentive Awards</w:t>
              </w:r>
            </w:hyperlink>
          </w:p>
        </w:tc>
        <w:tc>
          <w:tcPr>
            <w:tcW w:w="6080" w:type="dxa"/>
            <w:vAlign w:val="bottom"/>
            <w:gridSpan w:val="17"/>
          </w:tcPr>
          <w:p>
            <w:pPr>
              <w:spacing w:after="0"/>
              <w:rPr>
                <w:sz w:val="14"/>
                <w:szCs w:val="14"/>
                <w:color w:val="auto"/>
              </w:rPr>
            </w:pPr>
          </w:p>
        </w:tc>
        <w:tc>
          <w:tcPr>
            <w:tcW w:w="1760" w:type="dxa"/>
            <w:vAlign w:val="bottom"/>
            <w:gridSpan w:val="2"/>
          </w:tcPr>
          <w:p>
            <w:pPr>
              <w:jc w:val="right"/>
              <w:ind w:right="139"/>
              <w:spacing w:after="0" w:line="169" w:lineRule="exact"/>
              <w:rPr>
                <w:sz w:val="20"/>
                <w:szCs w:val="20"/>
                <w:color w:val="auto"/>
              </w:rPr>
            </w:pPr>
            <w:r>
              <w:rPr>
                <w:rFonts w:ascii="Arial" w:cs="Arial" w:eastAsia="Arial" w:hAnsi="Arial"/>
                <w:sz w:val="16"/>
                <w:szCs w:val="16"/>
                <w:color w:val="auto"/>
              </w:rPr>
              <w:t>58</w:t>
            </w:r>
          </w:p>
        </w:tc>
      </w:tr>
      <w:tr>
        <w:trPr>
          <w:trHeight w:val="20"/>
        </w:trPr>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20" w:type="dxa"/>
            <w:vAlign w:val="bottom"/>
            <w:gridSpan w:val="41"/>
          </w:tcPr>
          <w:p>
            <w:pPr>
              <w:spacing w:after="0" w:line="169" w:lineRule="exact"/>
              <w:rPr>
                <w:rFonts w:ascii="Arial" w:cs="Arial" w:eastAsia="Arial" w:hAnsi="Arial"/>
                <w:sz w:val="16"/>
                <w:szCs w:val="16"/>
                <w:color w:val="0000EE"/>
              </w:rPr>
            </w:pPr>
            <w:hyperlink w:anchor="page65">
              <w:r>
                <w:rPr>
                  <w:rFonts w:ascii="Arial" w:cs="Arial" w:eastAsia="Arial" w:hAnsi="Arial"/>
                  <w:sz w:val="16"/>
                  <w:szCs w:val="16"/>
                  <w:color w:val="0000EE"/>
                </w:rPr>
                <w:t>Grants Under the 2011 Equity Incentive Plan</w:t>
              </w:r>
            </w:hyperlink>
          </w:p>
        </w:tc>
        <w:tc>
          <w:tcPr>
            <w:tcW w:w="1760" w:type="dxa"/>
            <w:vAlign w:val="bottom"/>
            <w:gridSpan w:val="2"/>
          </w:tcPr>
          <w:p>
            <w:pPr>
              <w:jc w:val="right"/>
              <w:ind w:right="139"/>
              <w:spacing w:after="0" w:line="169" w:lineRule="exact"/>
              <w:rPr>
                <w:sz w:val="20"/>
                <w:szCs w:val="20"/>
                <w:color w:val="auto"/>
              </w:rPr>
            </w:pPr>
            <w:r>
              <w:rPr>
                <w:rFonts w:ascii="Arial" w:cs="Arial" w:eastAsia="Arial" w:hAnsi="Arial"/>
                <w:sz w:val="16"/>
                <w:szCs w:val="16"/>
                <w:color w:val="auto"/>
              </w:rPr>
              <w:t>60</w:t>
            </w:r>
          </w:p>
        </w:tc>
      </w:tr>
      <w:tr>
        <w:trPr>
          <w:trHeight w:val="20"/>
        </w:trPr>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20" w:type="dxa"/>
            <w:vAlign w:val="bottom"/>
            <w:gridSpan w:val="41"/>
          </w:tcPr>
          <w:p>
            <w:pPr>
              <w:spacing w:after="0" w:line="169" w:lineRule="exact"/>
              <w:rPr>
                <w:rFonts w:ascii="Arial" w:cs="Arial" w:eastAsia="Arial" w:hAnsi="Arial"/>
                <w:sz w:val="16"/>
                <w:szCs w:val="16"/>
                <w:color w:val="0000EE"/>
              </w:rPr>
            </w:pPr>
            <w:hyperlink w:anchor="page66">
              <w:r>
                <w:rPr>
                  <w:rFonts w:ascii="Arial" w:cs="Arial" w:eastAsia="Arial" w:hAnsi="Arial"/>
                  <w:sz w:val="16"/>
                  <w:szCs w:val="16"/>
                  <w:color w:val="0000EE"/>
                </w:rPr>
                <w:t>Outstanding Equity Awards at December 31, 2016</w:t>
              </w:r>
            </w:hyperlink>
          </w:p>
        </w:tc>
        <w:tc>
          <w:tcPr>
            <w:tcW w:w="1760" w:type="dxa"/>
            <w:vAlign w:val="bottom"/>
            <w:gridSpan w:val="2"/>
          </w:tcPr>
          <w:p>
            <w:pPr>
              <w:jc w:val="right"/>
              <w:ind w:right="139"/>
              <w:spacing w:after="0" w:line="169" w:lineRule="exact"/>
              <w:rPr>
                <w:sz w:val="20"/>
                <w:szCs w:val="20"/>
                <w:color w:val="auto"/>
              </w:rPr>
            </w:pPr>
            <w:r>
              <w:rPr>
                <w:rFonts w:ascii="Arial" w:cs="Arial" w:eastAsia="Arial" w:hAnsi="Arial"/>
                <w:sz w:val="16"/>
                <w:szCs w:val="16"/>
                <w:color w:val="auto"/>
              </w:rPr>
              <w:t>61</w:t>
            </w: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0" w:type="dxa"/>
            <w:vAlign w:val="bottom"/>
            <w:tcBorders>
              <w:top w:val="single" w:sz="8" w:color="0000EE"/>
            </w:tcBorders>
            <w:gridSpan w:val="28"/>
          </w:tcPr>
          <w:p>
            <w:pPr>
              <w:spacing w:after="0" w:line="169" w:lineRule="exact"/>
              <w:rPr>
                <w:rFonts w:ascii="Arial" w:cs="Arial" w:eastAsia="Arial" w:hAnsi="Arial"/>
                <w:sz w:val="16"/>
                <w:szCs w:val="16"/>
                <w:color w:val="0000EE"/>
              </w:rPr>
            </w:pPr>
            <w:hyperlink w:anchor="page68">
              <w:r>
                <w:rPr>
                  <w:rFonts w:ascii="Arial" w:cs="Arial" w:eastAsia="Arial" w:hAnsi="Arial"/>
                  <w:sz w:val="16"/>
                  <w:szCs w:val="16"/>
                  <w:color w:val="0000EE"/>
                </w:rPr>
                <w:t>Option Exercises and Stock Vested in 2016</w:t>
              </w:r>
            </w:hyperlink>
          </w:p>
        </w:tc>
        <w:tc>
          <w:tcPr>
            <w:tcW w:w="5820" w:type="dxa"/>
            <w:vAlign w:val="bottom"/>
            <w:gridSpan w:val="13"/>
          </w:tcPr>
          <w:p>
            <w:pPr>
              <w:spacing w:after="0"/>
              <w:rPr>
                <w:sz w:val="14"/>
                <w:szCs w:val="14"/>
                <w:color w:val="auto"/>
              </w:rPr>
            </w:pPr>
          </w:p>
        </w:tc>
        <w:tc>
          <w:tcPr>
            <w:tcW w:w="1760" w:type="dxa"/>
            <w:vAlign w:val="bottom"/>
            <w:gridSpan w:val="2"/>
          </w:tcPr>
          <w:p>
            <w:pPr>
              <w:jc w:val="right"/>
              <w:ind w:right="139"/>
              <w:spacing w:after="0" w:line="169" w:lineRule="exact"/>
              <w:rPr>
                <w:sz w:val="20"/>
                <w:szCs w:val="20"/>
                <w:color w:val="auto"/>
              </w:rPr>
            </w:pPr>
            <w:r>
              <w:rPr>
                <w:rFonts w:ascii="Arial" w:cs="Arial" w:eastAsia="Arial" w:hAnsi="Arial"/>
                <w:sz w:val="16"/>
                <w:szCs w:val="16"/>
                <w:color w:val="auto"/>
              </w:rPr>
              <w:t>63</w:t>
            </w: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Borders>
              <w:top w:val="single" w:sz="8" w:color="0000EE"/>
              <w:bottom w:val="single" w:sz="8" w:color="0000EE"/>
            </w:tcBorders>
            <w:gridSpan w:val="6"/>
          </w:tcPr>
          <w:p>
            <w:pPr>
              <w:spacing w:after="0" w:line="169" w:lineRule="exact"/>
              <w:rPr>
                <w:rFonts w:ascii="Arial" w:cs="Arial" w:eastAsia="Arial" w:hAnsi="Arial"/>
                <w:sz w:val="16"/>
                <w:szCs w:val="16"/>
                <w:color w:val="0000EE"/>
              </w:rPr>
            </w:pPr>
            <w:hyperlink w:anchor="page69">
              <w:r>
                <w:rPr>
                  <w:rFonts w:ascii="Arial" w:cs="Arial" w:eastAsia="Arial" w:hAnsi="Arial"/>
                  <w:sz w:val="16"/>
                  <w:szCs w:val="16"/>
                  <w:color w:val="0000EE"/>
                </w:rPr>
                <w:t>Pension Benefits in 2016</w:t>
              </w:r>
            </w:hyperlink>
          </w:p>
        </w:tc>
        <w:tc>
          <w:tcPr>
            <w:tcW w:w="1300" w:type="dxa"/>
            <w:vAlign w:val="bottom"/>
            <w:tcBorders>
              <w:top w:val="single" w:sz="8" w:color="0000EE"/>
            </w:tcBorders>
            <w:gridSpan w:val="14"/>
          </w:tcPr>
          <w:p>
            <w:pPr>
              <w:spacing w:after="0"/>
              <w:rPr>
                <w:sz w:val="14"/>
                <w:szCs w:val="14"/>
                <w:color w:val="auto"/>
              </w:rPr>
            </w:pPr>
          </w:p>
        </w:tc>
        <w:tc>
          <w:tcPr>
            <w:tcW w:w="6320" w:type="dxa"/>
            <w:vAlign w:val="bottom"/>
            <w:gridSpan w:val="21"/>
          </w:tcPr>
          <w:p>
            <w:pPr>
              <w:spacing w:after="0"/>
              <w:rPr>
                <w:sz w:val="14"/>
                <w:szCs w:val="14"/>
                <w:color w:val="auto"/>
              </w:rPr>
            </w:pPr>
          </w:p>
        </w:tc>
        <w:tc>
          <w:tcPr>
            <w:tcW w:w="1760" w:type="dxa"/>
            <w:vAlign w:val="bottom"/>
            <w:gridSpan w:val="2"/>
          </w:tcPr>
          <w:p>
            <w:pPr>
              <w:jc w:val="right"/>
              <w:ind w:right="139"/>
              <w:spacing w:after="0" w:line="169" w:lineRule="exact"/>
              <w:rPr>
                <w:sz w:val="20"/>
                <w:szCs w:val="20"/>
                <w:color w:val="auto"/>
              </w:rPr>
            </w:pPr>
            <w:r>
              <w:rPr>
                <w:rFonts w:ascii="Arial" w:cs="Arial" w:eastAsia="Arial" w:hAnsi="Arial"/>
                <w:sz w:val="16"/>
                <w:szCs w:val="16"/>
                <w:color w:val="auto"/>
              </w:rPr>
              <w:t>64</w:t>
            </w: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20" w:type="dxa"/>
            <w:vAlign w:val="bottom"/>
            <w:gridSpan w:val="41"/>
          </w:tcPr>
          <w:p>
            <w:pPr>
              <w:spacing w:after="0" w:line="169" w:lineRule="exact"/>
              <w:rPr>
                <w:rFonts w:ascii="Arial" w:cs="Arial" w:eastAsia="Arial" w:hAnsi="Arial"/>
                <w:sz w:val="16"/>
                <w:szCs w:val="16"/>
                <w:color w:val="0000EE"/>
              </w:rPr>
            </w:pPr>
            <w:hyperlink w:anchor="page70">
              <w:r>
                <w:rPr>
                  <w:rFonts w:ascii="Arial" w:cs="Arial" w:eastAsia="Arial" w:hAnsi="Arial"/>
                  <w:sz w:val="16"/>
                  <w:szCs w:val="16"/>
                  <w:color w:val="0000EE"/>
                </w:rPr>
                <w:t>Nonqualified Deferred Compensation in 2016</w:t>
              </w:r>
            </w:hyperlink>
          </w:p>
        </w:tc>
        <w:tc>
          <w:tcPr>
            <w:tcW w:w="1760" w:type="dxa"/>
            <w:vAlign w:val="bottom"/>
            <w:gridSpan w:val="2"/>
          </w:tcPr>
          <w:p>
            <w:pPr>
              <w:jc w:val="right"/>
              <w:ind w:right="139"/>
              <w:spacing w:after="0" w:line="169" w:lineRule="exact"/>
              <w:rPr>
                <w:sz w:val="20"/>
                <w:szCs w:val="20"/>
                <w:color w:val="auto"/>
              </w:rPr>
            </w:pPr>
            <w:r>
              <w:rPr>
                <w:rFonts w:ascii="Arial" w:cs="Arial" w:eastAsia="Arial" w:hAnsi="Arial"/>
                <w:sz w:val="16"/>
                <w:szCs w:val="16"/>
                <w:color w:val="auto"/>
              </w:rPr>
              <w:t>65</w:t>
            </w:r>
          </w:p>
        </w:tc>
      </w:tr>
      <w:tr>
        <w:trPr>
          <w:trHeight w:val="20"/>
        </w:trPr>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gridSpan w:val="8"/>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8"/>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20" w:type="dxa"/>
            <w:vAlign w:val="bottom"/>
            <w:gridSpan w:val="41"/>
          </w:tcPr>
          <w:p>
            <w:pPr>
              <w:spacing w:after="0" w:line="169" w:lineRule="exact"/>
              <w:rPr>
                <w:rFonts w:ascii="Arial" w:cs="Arial" w:eastAsia="Arial" w:hAnsi="Arial"/>
                <w:sz w:val="16"/>
                <w:szCs w:val="16"/>
                <w:color w:val="0000EE"/>
              </w:rPr>
            </w:pPr>
            <w:hyperlink w:anchor="page72">
              <w:r>
                <w:rPr>
                  <w:rFonts w:ascii="Arial" w:cs="Arial" w:eastAsia="Arial" w:hAnsi="Arial"/>
                  <w:sz w:val="16"/>
                  <w:szCs w:val="16"/>
                  <w:color w:val="0000EE"/>
                </w:rPr>
                <w:t>Termination of Employment and Change of Control Arrangements</w:t>
              </w:r>
            </w:hyperlink>
          </w:p>
        </w:tc>
        <w:tc>
          <w:tcPr>
            <w:tcW w:w="1760" w:type="dxa"/>
            <w:vAlign w:val="bottom"/>
            <w:gridSpan w:val="2"/>
          </w:tcPr>
          <w:p>
            <w:pPr>
              <w:jc w:val="right"/>
              <w:ind w:right="139"/>
              <w:spacing w:after="0" w:line="169" w:lineRule="exact"/>
              <w:rPr>
                <w:sz w:val="20"/>
                <w:szCs w:val="20"/>
                <w:color w:val="auto"/>
              </w:rPr>
            </w:pPr>
            <w:r>
              <w:rPr>
                <w:rFonts w:ascii="Arial" w:cs="Arial" w:eastAsia="Arial" w:hAnsi="Arial"/>
                <w:sz w:val="16"/>
                <w:szCs w:val="16"/>
                <w:color w:val="auto"/>
              </w:rPr>
              <w:t>67</w:t>
            </w: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00" w:type="dxa"/>
            <w:vAlign w:val="bottom"/>
            <w:tcBorders>
              <w:top w:val="single" w:sz="8" w:color="0000EE"/>
            </w:tcBorders>
            <w:gridSpan w:val="34"/>
          </w:tcPr>
          <w:p>
            <w:pPr>
              <w:spacing w:after="0" w:line="169" w:lineRule="exact"/>
              <w:rPr>
                <w:rFonts w:ascii="Arial" w:cs="Arial" w:eastAsia="Arial" w:hAnsi="Arial"/>
                <w:sz w:val="16"/>
                <w:szCs w:val="16"/>
                <w:color w:val="0000EE"/>
              </w:rPr>
            </w:pPr>
            <w:hyperlink w:anchor="page75">
              <w:r>
                <w:rPr>
                  <w:rFonts w:ascii="Arial" w:cs="Arial" w:eastAsia="Arial" w:hAnsi="Arial"/>
                  <w:sz w:val="16"/>
                  <w:szCs w:val="16"/>
                  <w:color w:val="0000EE"/>
                </w:rPr>
                <w:t>Post-Termination and Change of Control Benefits</w:t>
              </w:r>
            </w:hyperlink>
          </w:p>
        </w:tc>
        <w:tc>
          <w:tcPr>
            <w:tcW w:w="4720" w:type="dxa"/>
            <w:vAlign w:val="bottom"/>
            <w:gridSpan w:val="7"/>
          </w:tcPr>
          <w:p>
            <w:pPr>
              <w:spacing w:after="0"/>
              <w:rPr>
                <w:sz w:val="14"/>
                <w:szCs w:val="14"/>
                <w:color w:val="auto"/>
              </w:rPr>
            </w:pPr>
          </w:p>
        </w:tc>
        <w:tc>
          <w:tcPr>
            <w:tcW w:w="1760" w:type="dxa"/>
            <w:vAlign w:val="bottom"/>
            <w:gridSpan w:val="2"/>
          </w:tcPr>
          <w:p>
            <w:pPr>
              <w:jc w:val="right"/>
              <w:ind w:right="139"/>
              <w:spacing w:after="0" w:line="169" w:lineRule="exact"/>
              <w:rPr>
                <w:sz w:val="20"/>
                <w:szCs w:val="20"/>
                <w:color w:val="auto"/>
              </w:rPr>
            </w:pPr>
            <w:r>
              <w:rPr>
                <w:rFonts w:ascii="Arial" w:cs="Arial" w:eastAsia="Arial" w:hAnsi="Arial"/>
                <w:sz w:val="16"/>
                <w:szCs w:val="16"/>
                <w:color w:val="auto"/>
              </w:rPr>
              <w:t>70</w:t>
            </w: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Borders>
              <w:top w:val="single" w:sz="8" w:color="0000EE"/>
              <w:bottom w:val="single" w:sz="8" w:color="0000EE"/>
            </w:tcBorders>
            <w:gridSpan w:val="15"/>
          </w:tcPr>
          <w:p>
            <w:pPr>
              <w:spacing w:after="0" w:line="169" w:lineRule="exact"/>
              <w:rPr>
                <w:rFonts w:ascii="Arial" w:cs="Arial" w:eastAsia="Arial" w:hAnsi="Arial"/>
                <w:sz w:val="16"/>
                <w:szCs w:val="16"/>
                <w:color w:val="0000EE"/>
              </w:rPr>
            </w:pPr>
            <w:hyperlink w:anchor="page81">
              <w:r>
                <w:rPr>
                  <w:rFonts w:ascii="Arial" w:cs="Arial" w:eastAsia="Arial" w:hAnsi="Arial"/>
                  <w:sz w:val="16"/>
                  <w:szCs w:val="16"/>
                  <w:color w:val="0000EE"/>
                </w:rPr>
                <w:t>Director Compensation for 2016</w:t>
              </w:r>
            </w:hyperlink>
          </w:p>
        </w:tc>
        <w:tc>
          <w:tcPr>
            <w:tcW w:w="1220" w:type="dxa"/>
            <w:vAlign w:val="bottom"/>
            <w:tcBorders>
              <w:top w:val="single" w:sz="8" w:color="0000EE"/>
            </w:tcBorders>
            <w:gridSpan w:val="12"/>
          </w:tcPr>
          <w:p>
            <w:pPr>
              <w:spacing w:after="0"/>
              <w:rPr>
                <w:sz w:val="14"/>
                <w:szCs w:val="14"/>
                <w:color w:val="auto"/>
              </w:rPr>
            </w:pPr>
          </w:p>
        </w:tc>
        <w:tc>
          <w:tcPr>
            <w:tcW w:w="5900" w:type="dxa"/>
            <w:vAlign w:val="bottom"/>
            <w:gridSpan w:val="14"/>
          </w:tcPr>
          <w:p>
            <w:pPr>
              <w:spacing w:after="0"/>
              <w:rPr>
                <w:sz w:val="14"/>
                <w:szCs w:val="14"/>
                <w:color w:val="auto"/>
              </w:rPr>
            </w:pPr>
          </w:p>
        </w:tc>
        <w:tc>
          <w:tcPr>
            <w:tcW w:w="1760" w:type="dxa"/>
            <w:vAlign w:val="bottom"/>
            <w:gridSpan w:val="2"/>
          </w:tcPr>
          <w:p>
            <w:pPr>
              <w:jc w:val="right"/>
              <w:ind w:right="139"/>
              <w:spacing w:after="0" w:line="169" w:lineRule="exact"/>
              <w:rPr>
                <w:sz w:val="20"/>
                <w:szCs w:val="20"/>
                <w:color w:val="auto"/>
              </w:rPr>
            </w:pPr>
            <w:r>
              <w:rPr>
                <w:rFonts w:ascii="Arial" w:cs="Arial" w:eastAsia="Arial" w:hAnsi="Arial"/>
                <w:sz w:val="16"/>
                <w:szCs w:val="16"/>
                <w:color w:val="auto"/>
              </w:rPr>
              <w:t>76</w:t>
            </w: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20" w:type="dxa"/>
            <w:vAlign w:val="bottom"/>
            <w:gridSpan w:val="41"/>
          </w:tcPr>
          <w:p>
            <w:pPr>
              <w:spacing w:after="0" w:line="169" w:lineRule="exact"/>
              <w:rPr>
                <w:rFonts w:ascii="Arial" w:cs="Arial" w:eastAsia="Arial" w:hAnsi="Arial"/>
                <w:sz w:val="16"/>
                <w:szCs w:val="16"/>
                <w:color w:val="0000EE"/>
              </w:rPr>
            </w:pPr>
            <w:hyperlink w:anchor="page83">
              <w:r>
                <w:rPr>
                  <w:rFonts w:ascii="Arial" w:cs="Arial" w:eastAsia="Arial" w:hAnsi="Arial"/>
                  <w:sz w:val="16"/>
                  <w:szCs w:val="16"/>
                  <w:color w:val="0000EE"/>
                </w:rPr>
                <w:t>Non-Employee Director Stock Ownership Guidelines</w:t>
              </w:r>
            </w:hyperlink>
          </w:p>
        </w:tc>
        <w:tc>
          <w:tcPr>
            <w:tcW w:w="1760" w:type="dxa"/>
            <w:vAlign w:val="bottom"/>
            <w:gridSpan w:val="2"/>
          </w:tcPr>
          <w:p>
            <w:pPr>
              <w:jc w:val="right"/>
              <w:ind w:right="139"/>
              <w:spacing w:after="0" w:line="169" w:lineRule="exact"/>
              <w:rPr>
                <w:sz w:val="20"/>
                <w:szCs w:val="20"/>
                <w:color w:val="auto"/>
              </w:rPr>
            </w:pPr>
            <w:r>
              <w:rPr>
                <w:rFonts w:ascii="Arial" w:cs="Arial" w:eastAsia="Arial" w:hAnsi="Arial"/>
                <w:sz w:val="16"/>
                <w:szCs w:val="16"/>
                <w:color w:val="auto"/>
              </w:rPr>
              <w:t>78</w:t>
            </w:r>
          </w:p>
        </w:tc>
      </w:tr>
      <w:tr>
        <w:trPr>
          <w:trHeight w:val="196"/>
        </w:trPr>
        <w:tc>
          <w:tcPr>
            <w:tcW w:w="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82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280" w:type="dxa"/>
            <w:vAlign w:val="bottom"/>
            <w:tcBorders>
              <w:top w:val="single" w:sz="8" w:color="0000EE"/>
              <w:bottom w:val="single" w:sz="8" w:color="5D89B4"/>
            </w:tcBorders>
          </w:tcPr>
          <w:p>
            <w:pPr>
              <w:spacing w:after="0"/>
              <w:rPr>
                <w:sz w:val="17"/>
                <w:szCs w:val="17"/>
                <w:color w:val="auto"/>
              </w:rPr>
            </w:pPr>
          </w:p>
        </w:tc>
        <w:tc>
          <w:tcPr>
            <w:tcW w:w="2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80" w:type="dxa"/>
            <w:vAlign w:val="bottom"/>
            <w:tcBorders>
              <w:bottom w:val="single" w:sz="8" w:color="5D89B4"/>
            </w:tcBorders>
          </w:tcPr>
          <w:p>
            <w:pPr>
              <w:spacing w:after="0"/>
              <w:rPr>
                <w:sz w:val="17"/>
                <w:szCs w:val="17"/>
                <w:color w:val="auto"/>
              </w:rPr>
            </w:pPr>
          </w:p>
        </w:tc>
        <w:tc>
          <w:tcPr>
            <w:tcW w:w="3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2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80" w:type="dxa"/>
            <w:vAlign w:val="bottom"/>
            <w:tcBorders>
              <w:bottom w:val="single" w:sz="8" w:color="5D89B4"/>
            </w:tcBorders>
          </w:tcPr>
          <w:p>
            <w:pPr>
              <w:spacing w:after="0"/>
              <w:rPr>
                <w:sz w:val="17"/>
                <w:szCs w:val="17"/>
                <w:color w:val="auto"/>
              </w:rPr>
            </w:pPr>
          </w:p>
        </w:tc>
        <w:tc>
          <w:tcPr>
            <w:tcW w:w="11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9580" w:type="dxa"/>
            <w:vAlign w:val="bottom"/>
            <w:gridSpan w:val="42"/>
          </w:tcPr>
          <w:p>
            <w:pPr>
              <w:spacing w:after="0" w:line="155" w:lineRule="exact"/>
              <w:rPr>
                <w:rFonts w:ascii="Arial" w:cs="Arial" w:eastAsia="Arial" w:hAnsi="Arial"/>
                <w:sz w:val="16"/>
                <w:szCs w:val="16"/>
                <w:b w:val="1"/>
                <w:bCs w:val="1"/>
                <w:color w:val="0000EE"/>
              </w:rPr>
            </w:pPr>
            <w:hyperlink w:anchor="page85">
              <w:r>
                <w:rPr>
                  <w:rFonts w:ascii="Arial" w:cs="Arial" w:eastAsia="Arial" w:hAnsi="Arial"/>
                  <w:sz w:val="16"/>
                  <w:szCs w:val="16"/>
                  <w:b w:val="1"/>
                  <w:bCs w:val="1"/>
                  <w:color w:val="0000EE"/>
                </w:rPr>
                <w:t>AUDIT COMMITTEE REPORT</w:t>
              </w:r>
            </w:hyperlink>
          </w:p>
        </w:tc>
        <w:tc>
          <w:tcPr>
            <w:tcW w:w="1760" w:type="dxa"/>
            <w:vAlign w:val="bottom"/>
            <w:gridSpan w:val="2"/>
          </w:tcPr>
          <w:p>
            <w:pPr>
              <w:jc w:val="right"/>
              <w:ind w:right="139"/>
              <w:spacing w:after="0" w:line="155" w:lineRule="exact"/>
              <w:rPr>
                <w:sz w:val="20"/>
                <w:szCs w:val="20"/>
                <w:color w:val="auto"/>
              </w:rPr>
            </w:pPr>
            <w:r>
              <w:rPr>
                <w:rFonts w:ascii="Arial" w:cs="Arial" w:eastAsia="Arial" w:hAnsi="Arial"/>
                <w:sz w:val="16"/>
                <w:szCs w:val="16"/>
                <w:color w:val="auto"/>
              </w:rPr>
              <w:t>80</w:t>
            </w:r>
          </w:p>
        </w:tc>
      </w:tr>
      <w:tr>
        <w:trPr>
          <w:trHeight w:val="196"/>
        </w:trPr>
        <w:tc>
          <w:tcPr>
            <w:tcW w:w="80" w:type="dxa"/>
            <w:vAlign w:val="bottom"/>
            <w:tcBorders>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82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280" w:type="dxa"/>
            <w:vAlign w:val="bottom"/>
            <w:tcBorders>
              <w:top w:val="single" w:sz="8" w:color="0000EE"/>
              <w:bottom w:val="single" w:sz="8" w:color="5D89B4"/>
            </w:tcBorders>
          </w:tcPr>
          <w:p>
            <w:pPr>
              <w:spacing w:after="0"/>
              <w:rPr>
                <w:sz w:val="17"/>
                <w:szCs w:val="17"/>
                <w:color w:val="auto"/>
              </w:rPr>
            </w:pPr>
          </w:p>
        </w:tc>
        <w:tc>
          <w:tcPr>
            <w:tcW w:w="2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38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80" w:type="dxa"/>
            <w:vAlign w:val="bottom"/>
            <w:tcBorders>
              <w:bottom w:val="single" w:sz="8" w:color="5D89B4"/>
            </w:tcBorders>
          </w:tcPr>
          <w:p>
            <w:pPr>
              <w:spacing w:after="0"/>
              <w:rPr>
                <w:sz w:val="17"/>
                <w:szCs w:val="17"/>
                <w:color w:val="auto"/>
              </w:rPr>
            </w:pPr>
          </w:p>
        </w:tc>
        <w:tc>
          <w:tcPr>
            <w:tcW w:w="3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2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80" w:type="dxa"/>
            <w:vAlign w:val="bottom"/>
            <w:tcBorders>
              <w:bottom w:val="single" w:sz="8" w:color="5D89B4"/>
            </w:tcBorders>
          </w:tcPr>
          <w:p>
            <w:pPr>
              <w:spacing w:after="0"/>
              <w:rPr>
                <w:sz w:val="17"/>
                <w:szCs w:val="17"/>
                <w:color w:val="auto"/>
              </w:rPr>
            </w:pPr>
          </w:p>
        </w:tc>
        <w:tc>
          <w:tcPr>
            <w:tcW w:w="11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9580" w:type="dxa"/>
            <w:vAlign w:val="bottom"/>
            <w:gridSpan w:val="42"/>
          </w:tcPr>
          <w:p>
            <w:pPr>
              <w:spacing w:after="0" w:line="155" w:lineRule="exact"/>
              <w:rPr>
                <w:rFonts w:ascii="Arial" w:cs="Arial" w:eastAsia="Arial" w:hAnsi="Arial"/>
                <w:sz w:val="16"/>
                <w:szCs w:val="16"/>
                <w:b w:val="1"/>
                <w:bCs w:val="1"/>
                <w:color w:val="0000EE"/>
              </w:rPr>
            </w:pPr>
            <w:hyperlink w:anchor="page88">
              <w:r>
                <w:rPr>
                  <w:rFonts w:ascii="Arial" w:cs="Arial" w:eastAsia="Arial" w:hAnsi="Arial"/>
                  <w:sz w:val="16"/>
                  <w:szCs w:val="16"/>
                  <w:b w:val="1"/>
                  <w:bCs w:val="1"/>
                  <w:color w:val="0000EE"/>
                </w:rPr>
                <w:t>PROPOSAL 2. RATIFICATION OF INDEPENDENT AUDITORS</w:t>
              </w:r>
            </w:hyperlink>
          </w:p>
        </w:tc>
        <w:tc>
          <w:tcPr>
            <w:tcW w:w="1760" w:type="dxa"/>
            <w:vAlign w:val="bottom"/>
            <w:gridSpan w:val="2"/>
          </w:tcPr>
          <w:p>
            <w:pPr>
              <w:jc w:val="right"/>
              <w:ind w:right="139"/>
              <w:spacing w:after="0" w:line="155" w:lineRule="exact"/>
              <w:rPr>
                <w:sz w:val="20"/>
                <w:szCs w:val="20"/>
                <w:color w:val="auto"/>
              </w:rPr>
            </w:pPr>
            <w:r>
              <w:rPr>
                <w:rFonts w:ascii="Arial" w:cs="Arial" w:eastAsia="Arial" w:hAnsi="Arial"/>
                <w:sz w:val="16"/>
                <w:szCs w:val="16"/>
                <w:color w:val="auto"/>
              </w:rPr>
              <w:t>83</w:t>
            </w:r>
          </w:p>
        </w:tc>
      </w:tr>
      <w:tr>
        <w:trPr>
          <w:trHeight w:val="196"/>
        </w:trPr>
        <w:tc>
          <w:tcPr>
            <w:tcW w:w="80" w:type="dxa"/>
            <w:vAlign w:val="bottom"/>
            <w:tcBorders>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82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280" w:type="dxa"/>
            <w:vAlign w:val="bottom"/>
            <w:tcBorders>
              <w:top w:val="single" w:sz="8" w:color="0000EE"/>
              <w:bottom w:val="single" w:sz="8" w:color="5D89B4"/>
            </w:tcBorders>
          </w:tcPr>
          <w:p>
            <w:pPr>
              <w:spacing w:after="0"/>
              <w:rPr>
                <w:sz w:val="17"/>
                <w:szCs w:val="17"/>
                <w:color w:val="auto"/>
              </w:rPr>
            </w:pPr>
          </w:p>
        </w:tc>
        <w:tc>
          <w:tcPr>
            <w:tcW w:w="2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80" w:type="dxa"/>
            <w:vAlign w:val="bottom"/>
            <w:tcBorders>
              <w:top w:val="single" w:sz="8" w:color="0000EE"/>
              <w:bottom w:val="single" w:sz="8" w:color="5D89B4"/>
            </w:tcBorders>
          </w:tcPr>
          <w:p>
            <w:pPr>
              <w:spacing w:after="0"/>
              <w:rPr>
                <w:sz w:val="17"/>
                <w:szCs w:val="17"/>
                <w:color w:val="auto"/>
              </w:rPr>
            </w:pPr>
          </w:p>
        </w:tc>
        <w:tc>
          <w:tcPr>
            <w:tcW w:w="360" w:type="dxa"/>
            <w:vAlign w:val="bottom"/>
            <w:tcBorders>
              <w:top w:val="single" w:sz="8" w:color="0000EE"/>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2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80" w:type="dxa"/>
            <w:vAlign w:val="bottom"/>
            <w:tcBorders>
              <w:bottom w:val="single" w:sz="8" w:color="5D89B4"/>
            </w:tcBorders>
          </w:tcPr>
          <w:p>
            <w:pPr>
              <w:spacing w:after="0"/>
              <w:rPr>
                <w:sz w:val="17"/>
                <w:szCs w:val="17"/>
                <w:color w:val="auto"/>
              </w:rPr>
            </w:pPr>
          </w:p>
        </w:tc>
        <w:tc>
          <w:tcPr>
            <w:tcW w:w="11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9580" w:type="dxa"/>
            <w:vAlign w:val="bottom"/>
            <w:gridSpan w:val="42"/>
          </w:tcPr>
          <w:p>
            <w:pPr>
              <w:spacing w:after="0" w:line="155" w:lineRule="exact"/>
              <w:rPr>
                <w:rFonts w:ascii="Arial" w:cs="Arial" w:eastAsia="Arial" w:hAnsi="Arial"/>
                <w:sz w:val="16"/>
                <w:szCs w:val="16"/>
                <w:b w:val="1"/>
                <w:bCs w:val="1"/>
                <w:color w:val="0000EE"/>
              </w:rPr>
            </w:pPr>
            <w:hyperlink w:anchor="page89">
              <w:r>
                <w:rPr>
                  <w:rFonts w:ascii="Arial" w:cs="Arial" w:eastAsia="Arial" w:hAnsi="Arial"/>
                  <w:sz w:val="16"/>
                  <w:szCs w:val="16"/>
                  <w:b w:val="1"/>
                  <w:bCs w:val="1"/>
                  <w:color w:val="0000EE"/>
                </w:rPr>
                <w:t>PROPOSAL 3. ADVISORY VOTE ON APPROVAL OF THE COMPENSATION OF NAMED EXECUTIVE OFFICERS</w:t>
              </w:r>
            </w:hyperlink>
          </w:p>
        </w:tc>
        <w:tc>
          <w:tcPr>
            <w:tcW w:w="1760" w:type="dxa"/>
            <w:vAlign w:val="bottom"/>
            <w:gridSpan w:val="2"/>
          </w:tcPr>
          <w:p>
            <w:pPr>
              <w:jc w:val="right"/>
              <w:ind w:right="139"/>
              <w:spacing w:after="0" w:line="155" w:lineRule="exact"/>
              <w:rPr>
                <w:sz w:val="20"/>
                <w:szCs w:val="20"/>
                <w:color w:val="auto"/>
              </w:rPr>
            </w:pPr>
            <w:r>
              <w:rPr>
                <w:rFonts w:ascii="Arial" w:cs="Arial" w:eastAsia="Arial" w:hAnsi="Arial"/>
                <w:sz w:val="16"/>
                <w:szCs w:val="16"/>
                <w:color w:val="auto"/>
              </w:rPr>
              <w:t>84</w:t>
            </w:r>
          </w:p>
        </w:tc>
      </w:tr>
      <w:tr>
        <w:trPr>
          <w:trHeight w:val="196"/>
        </w:trPr>
        <w:tc>
          <w:tcPr>
            <w:tcW w:w="80" w:type="dxa"/>
            <w:vAlign w:val="bottom"/>
            <w:tcBorders>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82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280" w:type="dxa"/>
            <w:vAlign w:val="bottom"/>
            <w:tcBorders>
              <w:top w:val="single" w:sz="8" w:color="0000EE"/>
              <w:bottom w:val="single" w:sz="8" w:color="5D89B4"/>
            </w:tcBorders>
          </w:tcPr>
          <w:p>
            <w:pPr>
              <w:spacing w:after="0"/>
              <w:rPr>
                <w:sz w:val="17"/>
                <w:szCs w:val="17"/>
                <w:color w:val="auto"/>
              </w:rPr>
            </w:pPr>
          </w:p>
        </w:tc>
        <w:tc>
          <w:tcPr>
            <w:tcW w:w="2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80" w:type="dxa"/>
            <w:vAlign w:val="bottom"/>
            <w:tcBorders>
              <w:top w:val="single" w:sz="8" w:color="0000EE"/>
              <w:bottom w:val="single" w:sz="8" w:color="5D89B4"/>
            </w:tcBorders>
          </w:tcPr>
          <w:p>
            <w:pPr>
              <w:spacing w:after="0"/>
              <w:rPr>
                <w:sz w:val="17"/>
                <w:szCs w:val="17"/>
                <w:color w:val="auto"/>
              </w:rPr>
            </w:pPr>
          </w:p>
        </w:tc>
        <w:tc>
          <w:tcPr>
            <w:tcW w:w="3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1340" w:type="dxa"/>
            <w:vAlign w:val="bottom"/>
            <w:tcBorders>
              <w:top w:val="single" w:sz="8" w:color="0000EE"/>
              <w:bottom w:val="single" w:sz="8" w:color="5D89B4"/>
            </w:tcBorders>
          </w:tcPr>
          <w:p>
            <w:pPr>
              <w:spacing w:after="0"/>
              <w:rPr>
                <w:sz w:val="17"/>
                <w:szCs w:val="17"/>
                <w:color w:val="auto"/>
              </w:rPr>
            </w:pPr>
          </w:p>
        </w:tc>
        <w:tc>
          <w:tcPr>
            <w:tcW w:w="1620" w:type="dxa"/>
            <w:vAlign w:val="bottom"/>
            <w:tcBorders>
              <w:top w:val="single" w:sz="8" w:color="0000EE"/>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80" w:type="dxa"/>
            <w:vAlign w:val="bottom"/>
            <w:tcBorders>
              <w:bottom w:val="single" w:sz="8" w:color="5D89B4"/>
            </w:tcBorders>
          </w:tcPr>
          <w:p>
            <w:pPr>
              <w:spacing w:after="0"/>
              <w:rPr>
                <w:sz w:val="17"/>
                <w:szCs w:val="17"/>
                <w:color w:val="auto"/>
              </w:rPr>
            </w:pPr>
          </w:p>
        </w:tc>
        <w:tc>
          <w:tcPr>
            <w:tcW w:w="11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10160" w:type="dxa"/>
            <w:vAlign w:val="bottom"/>
            <w:tcBorders>
              <w:bottom w:val="single" w:sz="8" w:color="0000EE"/>
            </w:tcBorders>
            <w:gridSpan w:val="43"/>
          </w:tcPr>
          <w:p>
            <w:pPr>
              <w:spacing w:after="0" w:line="155" w:lineRule="exact"/>
              <w:rPr>
                <w:rFonts w:ascii="Arial" w:cs="Arial" w:eastAsia="Arial" w:hAnsi="Arial"/>
                <w:sz w:val="16"/>
                <w:szCs w:val="16"/>
                <w:b w:val="1"/>
                <w:bCs w:val="1"/>
                <w:color w:val="0000EE"/>
              </w:rPr>
            </w:pPr>
            <w:hyperlink w:anchor="page91">
              <w:r>
                <w:rPr>
                  <w:rFonts w:ascii="Arial" w:cs="Arial" w:eastAsia="Arial" w:hAnsi="Arial"/>
                  <w:sz w:val="16"/>
                  <w:szCs w:val="16"/>
                  <w:b w:val="1"/>
                  <w:bCs w:val="1"/>
                  <w:color w:val="0000EE"/>
                </w:rPr>
                <w:t>PROPOSAL 4. ADVISORY VOTE ON THE FREQUENCY OF THE ADVISORY VOTE ON COMPENSATION OF OUR NAMED EXECUTIVE</w:t>
              </w:r>
            </w:hyperlink>
          </w:p>
        </w:tc>
        <w:tc>
          <w:tcPr>
            <w:tcW w:w="1180" w:type="dxa"/>
            <w:vAlign w:val="bottom"/>
          </w:tcPr>
          <w:p>
            <w:pPr>
              <w:spacing w:after="0"/>
              <w:rPr>
                <w:sz w:val="13"/>
                <w:szCs w:val="13"/>
                <w:color w:val="auto"/>
              </w:rPr>
            </w:pPr>
          </w:p>
        </w:tc>
      </w:tr>
      <w:tr>
        <w:trPr>
          <w:trHeight w:val="169"/>
        </w:trPr>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20" w:type="dxa"/>
            <w:vAlign w:val="bottom"/>
            <w:gridSpan w:val="41"/>
          </w:tcPr>
          <w:p>
            <w:pPr>
              <w:spacing w:after="0" w:line="169" w:lineRule="exact"/>
              <w:rPr>
                <w:rFonts w:ascii="Arial" w:cs="Arial" w:eastAsia="Arial" w:hAnsi="Arial"/>
                <w:sz w:val="16"/>
                <w:szCs w:val="16"/>
                <w:b w:val="1"/>
                <w:bCs w:val="1"/>
                <w:color w:val="0000EE"/>
              </w:rPr>
            </w:pPr>
            <w:hyperlink w:anchor="page91">
              <w:r>
                <w:rPr>
                  <w:rFonts w:ascii="Arial" w:cs="Arial" w:eastAsia="Arial" w:hAnsi="Arial"/>
                  <w:sz w:val="16"/>
                  <w:szCs w:val="16"/>
                  <w:b w:val="1"/>
                  <w:bCs w:val="1"/>
                  <w:color w:val="0000EE"/>
                </w:rPr>
                <w:t>OFFICERS</w:t>
              </w:r>
            </w:hyperlink>
          </w:p>
        </w:tc>
        <w:tc>
          <w:tcPr>
            <w:tcW w:w="1760" w:type="dxa"/>
            <w:vAlign w:val="bottom"/>
            <w:gridSpan w:val="2"/>
          </w:tcPr>
          <w:p>
            <w:pPr>
              <w:jc w:val="right"/>
              <w:ind w:right="139"/>
              <w:spacing w:after="0" w:line="169" w:lineRule="exact"/>
              <w:rPr>
                <w:sz w:val="20"/>
                <w:szCs w:val="20"/>
                <w:color w:val="auto"/>
              </w:rPr>
            </w:pPr>
            <w:r>
              <w:rPr>
                <w:rFonts w:ascii="Arial" w:cs="Arial" w:eastAsia="Arial" w:hAnsi="Arial"/>
                <w:sz w:val="16"/>
                <w:szCs w:val="16"/>
                <w:color w:val="auto"/>
              </w:rPr>
              <w:t>86</w:t>
            </w:r>
          </w:p>
        </w:tc>
      </w:tr>
      <w:tr>
        <w:trPr>
          <w:trHeight w:val="196"/>
        </w:trPr>
        <w:tc>
          <w:tcPr>
            <w:tcW w:w="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820" w:type="dxa"/>
            <w:vAlign w:val="bottom"/>
            <w:tcBorders>
              <w:top w:val="single" w:sz="8" w:color="0000EE"/>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280" w:type="dxa"/>
            <w:vAlign w:val="bottom"/>
            <w:tcBorders>
              <w:bottom w:val="single" w:sz="8" w:color="5D89B4"/>
            </w:tcBorders>
          </w:tcPr>
          <w:p>
            <w:pPr>
              <w:spacing w:after="0"/>
              <w:rPr>
                <w:sz w:val="17"/>
                <w:szCs w:val="17"/>
                <w:color w:val="auto"/>
              </w:rPr>
            </w:pPr>
          </w:p>
        </w:tc>
        <w:tc>
          <w:tcPr>
            <w:tcW w:w="2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38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80" w:type="dxa"/>
            <w:vAlign w:val="bottom"/>
            <w:tcBorders>
              <w:bottom w:val="single" w:sz="8" w:color="5D89B4"/>
            </w:tcBorders>
          </w:tcPr>
          <w:p>
            <w:pPr>
              <w:spacing w:after="0"/>
              <w:rPr>
                <w:sz w:val="17"/>
                <w:szCs w:val="17"/>
                <w:color w:val="auto"/>
              </w:rPr>
            </w:pPr>
          </w:p>
        </w:tc>
        <w:tc>
          <w:tcPr>
            <w:tcW w:w="3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2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80" w:type="dxa"/>
            <w:vAlign w:val="bottom"/>
            <w:tcBorders>
              <w:bottom w:val="single" w:sz="8" w:color="5D89B4"/>
            </w:tcBorders>
          </w:tcPr>
          <w:p>
            <w:pPr>
              <w:spacing w:after="0"/>
              <w:rPr>
                <w:sz w:val="17"/>
                <w:szCs w:val="17"/>
                <w:color w:val="auto"/>
              </w:rPr>
            </w:pPr>
          </w:p>
        </w:tc>
        <w:tc>
          <w:tcPr>
            <w:tcW w:w="11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9580" w:type="dxa"/>
            <w:vAlign w:val="bottom"/>
            <w:gridSpan w:val="42"/>
          </w:tcPr>
          <w:p>
            <w:pPr>
              <w:spacing w:after="0" w:line="155" w:lineRule="exact"/>
              <w:rPr>
                <w:rFonts w:ascii="Arial" w:cs="Arial" w:eastAsia="Arial" w:hAnsi="Arial"/>
                <w:sz w:val="16"/>
                <w:szCs w:val="16"/>
                <w:b w:val="1"/>
                <w:bCs w:val="1"/>
                <w:color w:val="0000EE"/>
              </w:rPr>
            </w:pPr>
            <w:hyperlink w:anchor="page92">
              <w:r>
                <w:rPr>
                  <w:rFonts w:ascii="Arial" w:cs="Arial" w:eastAsia="Arial" w:hAnsi="Arial"/>
                  <w:sz w:val="16"/>
                  <w:szCs w:val="16"/>
                  <w:b w:val="1"/>
                  <w:bCs w:val="1"/>
                  <w:color w:val="0000EE"/>
                </w:rPr>
                <w:t>SUBMISSION OF SHAREHOLDER PROPOSALS</w:t>
              </w:r>
            </w:hyperlink>
          </w:p>
        </w:tc>
        <w:tc>
          <w:tcPr>
            <w:tcW w:w="1760" w:type="dxa"/>
            <w:vAlign w:val="bottom"/>
            <w:gridSpan w:val="2"/>
          </w:tcPr>
          <w:p>
            <w:pPr>
              <w:jc w:val="right"/>
              <w:ind w:right="139"/>
              <w:spacing w:after="0" w:line="155" w:lineRule="exact"/>
              <w:rPr>
                <w:sz w:val="20"/>
                <w:szCs w:val="20"/>
                <w:color w:val="auto"/>
              </w:rPr>
            </w:pPr>
            <w:r>
              <w:rPr>
                <w:rFonts w:ascii="Arial" w:cs="Arial" w:eastAsia="Arial" w:hAnsi="Arial"/>
                <w:sz w:val="16"/>
                <w:szCs w:val="16"/>
                <w:color w:val="auto"/>
              </w:rPr>
              <w:t>87</w:t>
            </w:r>
          </w:p>
        </w:tc>
      </w:tr>
      <w:tr>
        <w:trPr>
          <w:trHeight w:val="196"/>
        </w:trPr>
        <w:tc>
          <w:tcPr>
            <w:tcW w:w="80" w:type="dxa"/>
            <w:vAlign w:val="bottom"/>
            <w:tcBorders>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82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280" w:type="dxa"/>
            <w:vAlign w:val="bottom"/>
            <w:tcBorders>
              <w:top w:val="single" w:sz="8" w:color="0000EE"/>
              <w:bottom w:val="single" w:sz="8" w:color="5D89B4"/>
            </w:tcBorders>
          </w:tcPr>
          <w:p>
            <w:pPr>
              <w:spacing w:after="0"/>
              <w:rPr>
                <w:sz w:val="17"/>
                <w:szCs w:val="17"/>
                <w:color w:val="auto"/>
              </w:rPr>
            </w:pPr>
          </w:p>
        </w:tc>
        <w:tc>
          <w:tcPr>
            <w:tcW w:w="2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80" w:type="dxa"/>
            <w:vAlign w:val="bottom"/>
            <w:tcBorders>
              <w:bottom w:val="single" w:sz="8" w:color="5D89B4"/>
            </w:tcBorders>
          </w:tcPr>
          <w:p>
            <w:pPr>
              <w:spacing w:after="0"/>
              <w:rPr>
                <w:sz w:val="17"/>
                <w:szCs w:val="17"/>
                <w:color w:val="auto"/>
              </w:rPr>
            </w:pPr>
          </w:p>
        </w:tc>
        <w:tc>
          <w:tcPr>
            <w:tcW w:w="3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2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80" w:type="dxa"/>
            <w:vAlign w:val="bottom"/>
            <w:tcBorders>
              <w:bottom w:val="single" w:sz="8" w:color="5D89B4"/>
            </w:tcBorders>
          </w:tcPr>
          <w:p>
            <w:pPr>
              <w:spacing w:after="0"/>
              <w:rPr>
                <w:sz w:val="17"/>
                <w:szCs w:val="17"/>
                <w:color w:val="auto"/>
              </w:rPr>
            </w:pPr>
          </w:p>
        </w:tc>
        <w:tc>
          <w:tcPr>
            <w:tcW w:w="11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9580" w:type="dxa"/>
            <w:vAlign w:val="bottom"/>
            <w:gridSpan w:val="42"/>
          </w:tcPr>
          <w:p>
            <w:pPr>
              <w:spacing w:after="0" w:line="155" w:lineRule="exact"/>
              <w:rPr>
                <w:rFonts w:ascii="Arial" w:cs="Arial" w:eastAsia="Arial" w:hAnsi="Arial"/>
                <w:sz w:val="16"/>
                <w:szCs w:val="16"/>
                <w:b w:val="1"/>
                <w:bCs w:val="1"/>
                <w:color w:val="0000EE"/>
              </w:rPr>
            </w:pPr>
            <w:hyperlink w:anchor="page92">
              <w:r>
                <w:rPr>
                  <w:rFonts w:ascii="Arial" w:cs="Arial" w:eastAsia="Arial" w:hAnsi="Arial"/>
                  <w:sz w:val="16"/>
                  <w:szCs w:val="16"/>
                  <w:b w:val="1"/>
                  <w:bCs w:val="1"/>
                  <w:color w:val="0000EE"/>
                </w:rPr>
                <w:t>SECTION 16(a) BENEFICIAL OWNERSHIP REPORTING COMPLIANCE</w:t>
              </w:r>
            </w:hyperlink>
          </w:p>
        </w:tc>
        <w:tc>
          <w:tcPr>
            <w:tcW w:w="1760" w:type="dxa"/>
            <w:vAlign w:val="bottom"/>
            <w:gridSpan w:val="2"/>
          </w:tcPr>
          <w:p>
            <w:pPr>
              <w:jc w:val="right"/>
              <w:ind w:right="139"/>
              <w:spacing w:after="0" w:line="155" w:lineRule="exact"/>
              <w:rPr>
                <w:sz w:val="20"/>
                <w:szCs w:val="20"/>
                <w:color w:val="auto"/>
              </w:rPr>
            </w:pPr>
            <w:r>
              <w:rPr>
                <w:rFonts w:ascii="Arial" w:cs="Arial" w:eastAsia="Arial" w:hAnsi="Arial"/>
                <w:sz w:val="16"/>
                <w:szCs w:val="16"/>
                <w:color w:val="auto"/>
              </w:rPr>
              <w:t>87</w:t>
            </w:r>
          </w:p>
        </w:tc>
      </w:tr>
      <w:tr>
        <w:trPr>
          <w:trHeight w:val="196"/>
        </w:trPr>
        <w:tc>
          <w:tcPr>
            <w:tcW w:w="80" w:type="dxa"/>
            <w:vAlign w:val="bottom"/>
            <w:tcBorders>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82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280" w:type="dxa"/>
            <w:vAlign w:val="bottom"/>
            <w:tcBorders>
              <w:top w:val="single" w:sz="8" w:color="0000EE"/>
              <w:bottom w:val="single" w:sz="8" w:color="5D89B4"/>
            </w:tcBorders>
          </w:tcPr>
          <w:p>
            <w:pPr>
              <w:spacing w:after="0"/>
              <w:rPr>
                <w:sz w:val="17"/>
                <w:szCs w:val="17"/>
                <w:color w:val="auto"/>
              </w:rPr>
            </w:pPr>
          </w:p>
        </w:tc>
        <w:tc>
          <w:tcPr>
            <w:tcW w:w="2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2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80" w:type="dxa"/>
            <w:vAlign w:val="bottom"/>
            <w:tcBorders>
              <w:top w:val="single" w:sz="8" w:color="0000EE"/>
              <w:bottom w:val="single" w:sz="8" w:color="5D89B4"/>
            </w:tcBorders>
          </w:tcPr>
          <w:p>
            <w:pPr>
              <w:spacing w:after="0"/>
              <w:rPr>
                <w:sz w:val="17"/>
                <w:szCs w:val="17"/>
                <w:color w:val="auto"/>
              </w:rPr>
            </w:pPr>
          </w:p>
        </w:tc>
        <w:tc>
          <w:tcPr>
            <w:tcW w:w="3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480" w:type="dxa"/>
            <w:vAlign w:val="bottom"/>
            <w:tcBorders>
              <w:top w:val="single" w:sz="8" w:color="0000EE"/>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2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80" w:type="dxa"/>
            <w:vAlign w:val="bottom"/>
            <w:tcBorders>
              <w:bottom w:val="single" w:sz="8" w:color="5D89B4"/>
            </w:tcBorders>
          </w:tcPr>
          <w:p>
            <w:pPr>
              <w:spacing w:after="0"/>
              <w:rPr>
                <w:sz w:val="17"/>
                <w:szCs w:val="17"/>
                <w:color w:val="auto"/>
              </w:rPr>
            </w:pPr>
          </w:p>
        </w:tc>
        <w:tc>
          <w:tcPr>
            <w:tcW w:w="11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9580" w:type="dxa"/>
            <w:vAlign w:val="bottom"/>
            <w:gridSpan w:val="42"/>
          </w:tcPr>
          <w:p>
            <w:pPr>
              <w:spacing w:after="0" w:line="155" w:lineRule="exact"/>
              <w:rPr>
                <w:rFonts w:ascii="Arial" w:cs="Arial" w:eastAsia="Arial" w:hAnsi="Arial"/>
                <w:sz w:val="16"/>
                <w:szCs w:val="16"/>
                <w:b w:val="1"/>
                <w:bCs w:val="1"/>
                <w:color w:val="0000EE"/>
              </w:rPr>
            </w:pPr>
            <w:hyperlink w:anchor="page92">
              <w:r>
                <w:rPr>
                  <w:rFonts w:ascii="Arial" w:cs="Arial" w:eastAsia="Arial" w:hAnsi="Arial"/>
                  <w:sz w:val="16"/>
                  <w:szCs w:val="16"/>
                  <w:b w:val="1"/>
                  <w:bCs w:val="1"/>
                  <w:color w:val="0000EE"/>
                </w:rPr>
                <w:t>OTHER VOTING INFORMATION</w:t>
              </w:r>
            </w:hyperlink>
          </w:p>
        </w:tc>
        <w:tc>
          <w:tcPr>
            <w:tcW w:w="1760" w:type="dxa"/>
            <w:vAlign w:val="bottom"/>
            <w:gridSpan w:val="2"/>
          </w:tcPr>
          <w:p>
            <w:pPr>
              <w:jc w:val="right"/>
              <w:ind w:right="139"/>
              <w:spacing w:after="0" w:line="155" w:lineRule="exact"/>
              <w:rPr>
                <w:sz w:val="20"/>
                <w:szCs w:val="20"/>
                <w:color w:val="auto"/>
              </w:rPr>
            </w:pPr>
            <w:r>
              <w:rPr>
                <w:rFonts w:ascii="Arial" w:cs="Arial" w:eastAsia="Arial" w:hAnsi="Arial"/>
                <w:sz w:val="16"/>
                <w:szCs w:val="16"/>
                <w:color w:val="auto"/>
              </w:rPr>
              <w:t>87</w:t>
            </w:r>
          </w:p>
        </w:tc>
      </w:tr>
      <w:tr>
        <w:trPr>
          <w:trHeight w:val="196"/>
        </w:trPr>
        <w:tc>
          <w:tcPr>
            <w:tcW w:w="80" w:type="dxa"/>
            <w:vAlign w:val="bottom"/>
            <w:tcBorders>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82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280" w:type="dxa"/>
            <w:vAlign w:val="bottom"/>
            <w:tcBorders>
              <w:top w:val="single" w:sz="8" w:color="0000EE"/>
              <w:bottom w:val="single" w:sz="8" w:color="5D89B4"/>
            </w:tcBorders>
          </w:tcPr>
          <w:p>
            <w:pPr>
              <w:spacing w:after="0"/>
              <w:rPr>
                <w:sz w:val="17"/>
                <w:szCs w:val="17"/>
                <w:color w:val="auto"/>
              </w:rPr>
            </w:pPr>
          </w:p>
        </w:tc>
        <w:tc>
          <w:tcPr>
            <w:tcW w:w="2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38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80" w:type="dxa"/>
            <w:vAlign w:val="bottom"/>
            <w:tcBorders>
              <w:bottom w:val="single" w:sz="8" w:color="5D89B4"/>
            </w:tcBorders>
          </w:tcPr>
          <w:p>
            <w:pPr>
              <w:spacing w:after="0"/>
              <w:rPr>
                <w:sz w:val="17"/>
                <w:szCs w:val="17"/>
                <w:color w:val="auto"/>
              </w:rPr>
            </w:pPr>
          </w:p>
        </w:tc>
        <w:tc>
          <w:tcPr>
            <w:tcW w:w="3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2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80" w:type="dxa"/>
            <w:vAlign w:val="bottom"/>
            <w:tcBorders>
              <w:bottom w:val="single" w:sz="8" w:color="5D89B4"/>
            </w:tcBorders>
          </w:tcPr>
          <w:p>
            <w:pPr>
              <w:spacing w:after="0"/>
              <w:rPr>
                <w:sz w:val="17"/>
                <w:szCs w:val="17"/>
                <w:color w:val="auto"/>
              </w:rPr>
            </w:pPr>
          </w:p>
        </w:tc>
        <w:tc>
          <w:tcPr>
            <w:tcW w:w="11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9580" w:type="dxa"/>
            <w:vAlign w:val="bottom"/>
            <w:gridSpan w:val="42"/>
          </w:tcPr>
          <w:p>
            <w:pPr>
              <w:spacing w:after="0" w:line="155" w:lineRule="exact"/>
              <w:rPr>
                <w:rFonts w:ascii="Arial" w:cs="Arial" w:eastAsia="Arial" w:hAnsi="Arial"/>
                <w:sz w:val="16"/>
                <w:szCs w:val="16"/>
                <w:b w:val="1"/>
                <w:bCs w:val="1"/>
                <w:color w:val="0000EE"/>
              </w:rPr>
            </w:pPr>
            <w:hyperlink w:anchor="page92">
              <w:r>
                <w:rPr>
                  <w:rFonts w:ascii="Arial" w:cs="Arial" w:eastAsia="Arial" w:hAnsi="Arial"/>
                  <w:sz w:val="16"/>
                  <w:szCs w:val="16"/>
                  <w:b w:val="1"/>
                  <w:bCs w:val="1"/>
                  <w:color w:val="0000EE"/>
                </w:rPr>
                <w:t>OTHER MATTERS</w:t>
              </w:r>
            </w:hyperlink>
          </w:p>
        </w:tc>
        <w:tc>
          <w:tcPr>
            <w:tcW w:w="1760" w:type="dxa"/>
            <w:vAlign w:val="bottom"/>
            <w:gridSpan w:val="2"/>
          </w:tcPr>
          <w:p>
            <w:pPr>
              <w:jc w:val="right"/>
              <w:ind w:right="139"/>
              <w:spacing w:after="0" w:line="155" w:lineRule="exact"/>
              <w:rPr>
                <w:sz w:val="20"/>
                <w:szCs w:val="20"/>
                <w:color w:val="auto"/>
              </w:rPr>
            </w:pPr>
            <w:r>
              <w:rPr>
                <w:rFonts w:ascii="Arial" w:cs="Arial" w:eastAsia="Arial" w:hAnsi="Arial"/>
                <w:sz w:val="16"/>
                <w:szCs w:val="16"/>
                <w:color w:val="auto"/>
              </w:rPr>
              <w:t>87</w:t>
            </w:r>
          </w:p>
        </w:tc>
      </w:tr>
      <w:tr>
        <w:trPr>
          <w:trHeight w:val="196"/>
        </w:trPr>
        <w:tc>
          <w:tcPr>
            <w:tcW w:w="80" w:type="dxa"/>
            <w:vAlign w:val="bottom"/>
            <w:tcBorders>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82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280" w:type="dxa"/>
            <w:vAlign w:val="bottom"/>
            <w:tcBorders>
              <w:top w:val="single" w:sz="8" w:color="0000EE"/>
              <w:bottom w:val="single" w:sz="8" w:color="5D89B4"/>
            </w:tcBorders>
          </w:tcPr>
          <w:p>
            <w:pPr>
              <w:spacing w:after="0"/>
              <w:rPr>
                <w:sz w:val="17"/>
                <w:szCs w:val="17"/>
                <w:color w:val="auto"/>
              </w:rPr>
            </w:pPr>
          </w:p>
        </w:tc>
        <w:tc>
          <w:tcPr>
            <w:tcW w:w="2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38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80" w:type="dxa"/>
            <w:vAlign w:val="bottom"/>
            <w:tcBorders>
              <w:bottom w:val="single" w:sz="8" w:color="5D89B4"/>
            </w:tcBorders>
          </w:tcPr>
          <w:p>
            <w:pPr>
              <w:spacing w:after="0"/>
              <w:rPr>
                <w:sz w:val="17"/>
                <w:szCs w:val="17"/>
                <w:color w:val="auto"/>
              </w:rPr>
            </w:pPr>
          </w:p>
        </w:tc>
        <w:tc>
          <w:tcPr>
            <w:tcW w:w="3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2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80" w:type="dxa"/>
            <w:vAlign w:val="bottom"/>
            <w:tcBorders>
              <w:bottom w:val="single" w:sz="8" w:color="5D89B4"/>
            </w:tcBorders>
          </w:tcPr>
          <w:p>
            <w:pPr>
              <w:spacing w:after="0"/>
              <w:rPr>
                <w:sz w:val="17"/>
                <w:szCs w:val="17"/>
                <w:color w:val="auto"/>
              </w:rPr>
            </w:pPr>
          </w:p>
        </w:tc>
        <w:tc>
          <w:tcPr>
            <w:tcW w:w="11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9580" w:type="dxa"/>
            <w:vAlign w:val="bottom"/>
            <w:gridSpan w:val="42"/>
          </w:tcPr>
          <w:p>
            <w:pPr>
              <w:spacing w:after="0" w:line="155" w:lineRule="exact"/>
              <w:rPr>
                <w:rFonts w:ascii="Arial" w:cs="Arial" w:eastAsia="Arial" w:hAnsi="Arial"/>
                <w:sz w:val="16"/>
                <w:szCs w:val="16"/>
                <w:b w:val="1"/>
                <w:bCs w:val="1"/>
                <w:color w:val="0000EE"/>
              </w:rPr>
            </w:pPr>
            <w:hyperlink w:anchor="page93">
              <w:r>
                <w:rPr>
                  <w:rFonts w:ascii="Arial" w:cs="Arial" w:eastAsia="Arial" w:hAnsi="Arial"/>
                  <w:sz w:val="16"/>
                  <w:szCs w:val="16"/>
                  <w:b w:val="1"/>
                  <w:bCs w:val="1"/>
                  <w:color w:val="0000EE"/>
                </w:rPr>
                <w:t>APPENDIX A-1</w:t>
              </w:r>
            </w:hyperlink>
          </w:p>
        </w:tc>
        <w:tc>
          <w:tcPr>
            <w:tcW w:w="580" w:type="dxa"/>
            <w:vAlign w:val="bottom"/>
          </w:tcPr>
          <w:p>
            <w:pPr>
              <w:spacing w:after="0"/>
              <w:rPr>
                <w:sz w:val="13"/>
                <w:szCs w:val="13"/>
                <w:color w:val="auto"/>
              </w:rPr>
            </w:pPr>
          </w:p>
        </w:tc>
        <w:tc>
          <w:tcPr>
            <w:tcW w:w="1180" w:type="dxa"/>
            <w:vAlign w:val="bottom"/>
          </w:tcPr>
          <w:p>
            <w:pPr>
              <w:jc w:val="right"/>
              <w:ind w:right="139"/>
              <w:spacing w:after="0" w:line="155" w:lineRule="exact"/>
              <w:rPr>
                <w:sz w:val="20"/>
                <w:szCs w:val="20"/>
                <w:color w:val="auto"/>
              </w:rPr>
            </w:pPr>
            <w:r>
              <w:rPr>
                <w:rFonts w:ascii="Arial" w:cs="Arial" w:eastAsia="Arial" w:hAnsi="Arial"/>
                <w:sz w:val="16"/>
                <w:szCs w:val="16"/>
                <w:color w:val="auto"/>
              </w:rPr>
              <w:t>A-1</w:t>
            </w:r>
          </w:p>
        </w:tc>
      </w:tr>
      <w:tr>
        <w:trPr>
          <w:trHeight w:val="196"/>
        </w:trPr>
        <w:tc>
          <w:tcPr>
            <w:tcW w:w="80" w:type="dxa"/>
            <w:vAlign w:val="bottom"/>
            <w:tcBorders>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82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280" w:type="dxa"/>
            <w:vAlign w:val="bottom"/>
            <w:tcBorders>
              <w:bottom w:val="single" w:sz="8" w:color="5D89B4"/>
            </w:tcBorders>
          </w:tcPr>
          <w:p>
            <w:pPr>
              <w:spacing w:after="0"/>
              <w:rPr>
                <w:sz w:val="17"/>
                <w:szCs w:val="17"/>
                <w:color w:val="auto"/>
              </w:rPr>
            </w:pPr>
          </w:p>
        </w:tc>
        <w:tc>
          <w:tcPr>
            <w:tcW w:w="2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38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80" w:type="dxa"/>
            <w:vAlign w:val="bottom"/>
            <w:tcBorders>
              <w:bottom w:val="single" w:sz="8" w:color="5D89B4"/>
            </w:tcBorders>
          </w:tcPr>
          <w:p>
            <w:pPr>
              <w:spacing w:after="0"/>
              <w:rPr>
                <w:sz w:val="17"/>
                <w:szCs w:val="17"/>
                <w:color w:val="auto"/>
              </w:rPr>
            </w:pPr>
          </w:p>
        </w:tc>
        <w:tc>
          <w:tcPr>
            <w:tcW w:w="3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2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80" w:type="dxa"/>
            <w:vAlign w:val="bottom"/>
            <w:tcBorders>
              <w:bottom w:val="single" w:sz="8" w:color="5D89B4"/>
            </w:tcBorders>
          </w:tcPr>
          <w:p>
            <w:pPr>
              <w:spacing w:after="0"/>
              <w:rPr>
                <w:sz w:val="17"/>
                <w:szCs w:val="17"/>
                <w:color w:val="auto"/>
              </w:rPr>
            </w:pPr>
          </w:p>
        </w:tc>
        <w:tc>
          <w:tcPr>
            <w:tcW w:w="11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9580" w:type="dxa"/>
            <w:vAlign w:val="bottom"/>
            <w:gridSpan w:val="42"/>
          </w:tcPr>
          <w:p>
            <w:pPr>
              <w:spacing w:after="0" w:line="155" w:lineRule="exact"/>
              <w:rPr>
                <w:rFonts w:ascii="Arial" w:cs="Arial" w:eastAsia="Arial" w:hAnsi="Arial"/>
                <w:sz w:val="16"/>
                <w:szCs w:val="16"/>
                <w:b w:val="1"/>
                <w:bCs w:val="1"/>
                <w:color w:val="0000EE"/>
              </w:rPr>
            </w:pPr>
            <w:hyperlink w:anchor="page94">
              <w:r>
                <w:rPr>
                  <w:rFonts w:ascii="Arial" w:cs="Arial" w:eastAsia="Arial" w:hAnsi="Arial"/>
                  <w:sz w:val="16"/>
                  <w:szCs w:val="16"/>
                  <w:b w:val="1"/>
                  <w:bCs w:val="1"/>
                  <w:color w:val="0000EE"/>
                </w:rPr>
                <w:t>APPENDIX B-1</w:t>
              </w:r>
            </w:hyperlink>
          </w:p>
        </w:tc>
        <w:tc>
          <w:tcPr>
            <w:tcW w:w="580" w:type="dxa"/>
            <w:vAlign w:val="bottom"/>
          </w:tcPr>
          <w:p>
            <w:pPr>
              <w:spacing w:after="0"/>
              <w:rPr>
                <w:sz w:val="13"/>
                <w:szCs w:val="13"/>
                <w:color w:val="auto"/>
              </w:rPr>
            </w:pPr>
          </w:p>
        </w:tc>
        <w:tc>
          <w:tcPr>
            <w:tcW w:w="1180" w:type="dxa"/>
            <w:vAlign w:val="bottom"/>
          </w:tcPr>
          <w:p>
            <w:pPr>
              <w:jc w:val="right"/>
              <w:ind w:right="139"/>
              <w:spacing w:after="0" w:line="155" w:lineRule="exact"/>
              <w:rPr>
                <w:sz w:val="20"/>
                <w:szCs w:val="20"/>
                <w:color w:val="auto"/>
              </w:rPr>
            </w:pPr>
            <w:r>
              <w:rPr>
                <w:rFonts w:ascii="Arial" w:cs="Arial" w:eastAsia="Arial" w:hAnsi="Arial"/>
                <w:sz w:val="16"/>
                <w:szCs w:val="16"/>
                <w:color w:val="auto"/>
              </w:rPr>
              <w:t>B-1</w:t>
            </w:r>
          </w:p>
        </w:tc>
      </w:tr>
      <w:tr>
        <w:trPr>
          <w:trHeight w:val="196"/>
        </w:trPr>
        <w:tc>
          <w:tcPr>
            <w:tcW w:w="80" w:type="dxa"/>
            <w:vAlign w:val="bottom"/>
            <w:tcBorders>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82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280" w:type="dxa"/>
            <w:vAlign w:val="bottom"/>
            <w:tcBorders>
              <w:bottom w:val="single" w:sz="8" w:color="5D89B4"/>
            </w:tcBorders>
          </w:tcPr>
          <w:p>
            <w:pPr>
              <w:spacing w:after="0"/>
              <w:rPr>
                <w:sz w:val="17"/>
                <w:szCs w:val="17"/>
                <w:color w:val="auto"/>
              </w:rPr>
            </w:pPr>
          </w:p>
        </w:tc>
        <w:tc>
          <w:tcPr>
            <w:tcW w:w="2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38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2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80" w:type="dxa"/>
            <w:vAlign w:val="bottom"/>
            <w:tcBorders>
              <w:bottom w:val="single" w:sz="8" w:color="5D89B4"/>
            </w:tcBorders>
          </w:tcPr>
          <w:p>
            <w:pPr>
              <w:spacing w:after="0"/>
              <w:rPr>
                <w:sz w:val="17"/>
                <w:szCs w:val="17"/>
                <w:color w:val="auto"/>
              </w:rPr>
            </w:pPr>
          </w:p>
        </w:tc>
        <w:tc>
          <w:tcPr>
            <w:tcW w:w="3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48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340" w:type="dxa"/>
            <w:vAlign w:val="bottom"/>
            <w:tcBorders>
              <w:bottom w:val="single" w:sz="8" w:color="5D89B4"/>
            </w:tcBorders>
          </w:tcPr>
          <w:p>
            <w:pPr>
              <w:spacing w:after="0"/>
              <w:rPr>
                <w:sz w:val="17"/>
                <w:szCs w:val="17"/>
                <w:color w:val="auto"/>
              </w:rPr>
            </w:pPr>
          </w:p>
        </w:tc>
        <w:tc>
          <w:tcPr>
            <w:tcW w:w="162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44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80" w:type="dxa"/>
            <w:vAlign w:val="bottom"/>
            <w:tcBorders>
              <w:bottom w:val="single" w:sz="8" w:color="5D89B4"/>
            </w:tcBorders>
          </w:tcPr>
          <w:p>
            <w:pPr>
              <w:spacing w:after="0"/>
              <w:rPr>
                <w:sz w:val="17"/>
                <w:szCs w:val="17"/>
                <w:color w:val="auto"/>
              </w:rPr>
            </w:pPr>
          </w:p>
        </w:tc>
        <w:tc>
          <w:tcPr>
            <w:tcW w:w="1180" w:type="dxa"/>
            <w:vAlign w:val="bottom"/>
            <w:tcBorders>
              <w:bottom w:val="single" w:sz="8" w:color="5D89B4"/>
            </w:tcBorders>
          </w:tcPr>
          <w:p>
            <w:pPr>
              <w:spacing w:after="0"/>
              <w:rPr>
                <w:sz w:val="17"/>
                <w:szCs w:val="17"/>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MANPOWERGROUP INC.</w:t>
      </w:r>
    </w:p>
    <w:p>
      <w:pPr>
        <w:jc w:val="center"/>
        <w:spacing w:after="0" w:line="236" w:lineRule="auto"/>
        <w:rPr>
          <w:sz w:val="20"/>
          <w:szCs w:val="20"/>
          <w:color w:val="auto"/>
        </w:rPr>
      </w:pPr>
      <w:r>
        <w:rPr>
          <w:rFonts w:ascii="Arial" w:cs="Arial" w:eastAsia="Arial" w:hAnsi="Arial"/>
          <w:sz w:val="20"/>
          <w:szCs w:val="20"/>
          <w:b w:val="1"/>
          <w:bCs w:val="1"/>
          <w:color w:val="auto"/>
        </w:rPr>
        <w:t>100 Manpower Place</w:t>
      </w:r>
    </w:p>
    <w:p>
      <w:pPr>
        <w:jc w:val="center"/>
        <w:spacing w:after="0"/>
        <w:rPr>
          <w:sz w:val="20"/>
          <w:szCs w:val="20"/>
          <w:color w:val="auto"/>
        </w:rPr>
      </w:pPr>
      <w:r>
        <w:rPr>
          <w:rFonts w:ascii="Arial" w:cs="Arial" w:eastAsia="Arial" w:hAnsi="Arial"/>
          <w:sz w:val="20"/>
          <w:szCs w:val="20"/>
          <w:b w:val="1"/>
          <w:bCs w:val="1"/>
          <w:color w:val="auto"/>
        </w:rPr>
        <w:t>Milwaukee, Wisconsin 53212</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 2017</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41"/>
          <w:szCs w:val="41"/>
          <w:color w:val="5D89B4"/>
        </w:rPr>
        <w:t>Proxy Statement</w:t>
      </w:r>
    </w:p>
    <w:p>
      <w:pPr>
        <w:spacing w:after="0" w:line="21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This proxy statement relates to the solicitation of proxies by the board of directors of ManpowerGroup Inc. for use at the annual meeting of shareholders to be held at 10:00 a.m., local time, on May 2, 2017 or at any postponement or adjournment of the annual meeting, for the purposes set forth in this proxy statement and in the accompanying notice of annual meeting of shareholders. The annual meeting will be held at ManpowerGroup’s International Headquarters, 100 Manpower Place, Milwaukee, Wisconsin.</w:t>
      </w:r>
    </w:p>
    <w:p>
      <w:pPr>
        <w:spacing w:after="0" w:line="13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Under rules adopted by the Securities and Exchange Commission, ManpowerGroup is making this proxy statement and other annual meeting materials available on the Internet instead of mailing a printed copy of these materials to each shareholder. Shareholders who received a Notice of Internet Availability of Proxy Materials (the “Notice”) by mail will not receive a printed copy of these materials other than as described below. Instead, the Notice contains instructions as to how shareholders may access and review all of the important information contained in the materials on the Internet, including how shareholders may submit proxies by telephone or over the Internet.</w:t>
      </w:r>
    </w:p>
    <w:p>
      <w:pPr>
        <w:spacing w:after="0" w:line="11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color w:val="auto"/>
        </w:rPr>
        <w:t>If you received the Notice by mail and would prefer to receive a printed copy of ManpowerGroup’s proxy materials, please follow the instructions for requesting printed copies included in the Notice.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expense of this solicitation will be paid by us. No solicitation other than by mail and via the Internet is contemplated, except that our officers or employees may solicit the return of proxies from certain shareholders by telephone. In addition, we have retained Innisfree M&amp;A Incorporated to assist in the solicitation of proxies for a fee of approximately $15,000 plus expenses.</w:t>
      </w:r>
    </w:p>
    <w:p>
      <w:pPr>
        <w:spacing w:after="0" w:line="13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Only shareholders of record at the close of business on February 21, 2017 are entitled to notice of and to vote the shares of our common stock, $.01 par value, registered in their name at the annual meeting. As of the record date, we had outstanding 67,641,839 shares of common stock. The presence, in person or by proxy, of a majority of the shares of the common stock outstanding on the record date will constitute a quorum at the annual meeting. Abstentions and broker non-votes, which are proxies from brokers or nominees indicating that such persons have not received instructions from the beneficial owners or other persons entitled to vote shares, will be treated as present for purposes of determining the quorum. Each share of common stock entitles its holder to cast one vote on each matter to be voted upon at the annual meeting. With respect to the proposals to elect the individuals nominated by our Board of Directors to serve as directors for one year, to ratify the appointment of Deloitte &amp; Touche LLP as our independent auditors for 2017, the advisory vote on approval of the compensation of our named executive officers and the advisory vote on the frequency of an advisory vote on the compensation of our named executive officers, abstentions and broker non-votes will not be counted as voting on the proposals.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Notice is being mailed to shareholders commencing on or about March 15, 2017.</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a proxy is properly submitted to us and not revoked, it will be voted in accordance with the instructions contained in the proxy. </w:t>
      </w:r>
      <w:r>
        <w:rPr>
          <w:rFonts w:ascii="Arial" w:cs="Arial" w:eastAsia="Arial" w:hAnsi="Arial"/>
          <w:sz w:val="18"/>
          <w:szCs w:val="18"/>
          <w:b w:val="1"/>
          <w:bCs w:val="1"/>
          <w:color w:val="auto"/>
        </w:rPr>
        <w:t>Each</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shareholder may revoke a previously granted proxy at any time before it is exercised by advising the secretary of ManpowerGroup in writing (either by submitting a duly executed proxy bearing a later date or voting by telephone or via the Internet) or by telephone of such revocation. Attendance at the annual meeting will not, in itself, constitute revocation of a proxy. Unless otherwise directed, all proxies will be voted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election of each of the individuals nominated by our board of directors to serve as directors for one year, will be voted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appointment of Deloitte &amp; Touche LLP as our independent auditors for 2017, will be voted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approval of the compensation of our named executive officers and will be voted in favor of </w:t>
      </w:r>
      <w:r>
        <w:rPr>
          <w:rFonts w:ascii="Arial" w:cs="Arial" w:eastAsia="Arial" w:hAnsi="Arial"/>
          <w:sz w:val="18"/>
          <w:szCs w:val="18"/>
          <w:b w:val="1"/>
          <w:bCs w:val="1"/>
          <w:i w:val="1"/>
          <w:iCs w:val="1"/>
          <w:color w:val="auto"/>
        </w:rPr>
        <w:t>one year</w:t>
      </w:r>
      <w:r>
        <w:rPr>
          <w:rFonts w:ascii="Arial" w:cs="Arial" w:eastAsia="Arial" w:hAnsi="Arial"/>
          <w:sz w:val="18"/>
          <w:szCs w:val="18"/>
          <w:b w:val="1"/>
          <w:bCs w:val="1"/>
          <w:color w:val="auto"/>
        </w:rPr>
        <w:t xml:space="preserve"> as the frequency of an advisory vote on the compensation of our named executive officers.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Corporate Governance Documents</w:t>
      </w:r>
    </w:p>
    <w:p>
      <w:pPr>
        <w:spacing w:after="0" w:line="241" w:lineRule="exact"/>
        <w:rPr>
          <w:sz w:val="20"/>
          <w:szCs w:val="20"/>
          <w:color w:val="auto"/>
        </w:rPr>
      </w:pPr>
    </w:p>
    <w:p>
      <w:pPr>
        <w:spacing w:after="0"/>
        <w:rPr>
          <w:sz w:val="20"/>
          <w:szCs w:val="20"/>
          <w:color w:val="auto"/>
        </w:rPr>
      </w:pPr>
      <w:r>
        <w:rPr>
          <w:rFonts w:ascii="Arial" w:cs="Arial" w:eastAsia="Arial" w:hAnsi="Arial"/>
          <w:sz w:val="41"/>
          <w:szCs w:val="41"/>
          <w:color w:val="5D89B4"/>
        </w:rPr>
        <w:t>Corporate Governance Documents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Certain documents relating to corporate governance matters are available in print by writing to Richard Buchband, Secretary, ManpowerGroup Inc., 100 Manpower Place, Milwaukee, Wisconsin 53212 and on ManpowerGroup’s website at </w:t>
      </w:r>
      <w:r>
        <w:rPr>
          <w:rFonts w:ascii="Arial" w:cs="Arial" w:eastAsia="Arial" w:hAnsi="Arial"/>
          <w:sz w:val="18"/>
          <w:szCs w:val="18"/>
          <w:u w:val="single" w:color="auto"/>
          <w:color w:val="auto"/>
        </w:rPr>
        <w:t>http://investor.manpowergroup.com/documents.cfm</w:t>
      </w:r>
      <w:r>
        <w:rPr>
          <w:rFonts w:ascii="Arial" w:cs="Arial" w:eastAsia="Arial" w:hAnsi="Arial"/>
          <w:sz w:val="18"/>
          <w:szCs w:val="18"/>
          <w:color w:val="auto"/>
        </w:rPr>
        <w:t>. These documents include the following:</w:t>
      </w:r>
    </w:p>
    <w:p>
      <w:pPr>
        <w:spacing w:after="0" w:line="135" w:lineRule="exact"/>
        <w:rPr>
          <w:sz w:val="20"/>
          <w:szCs w:val="20"/>
          <w:color w:val="auto"/>
        </w:rPr>
      </w:pPr>
    </w:p>
    <w:p>
      <w:pPr>
        <w:ind w:left="440" w:hanging="324"/>
        <w:spacing w:after="0"/>
        <w:tabs>
          <w:tab w:leader="none" w:pos="4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Amended and Restated Articles of Incorporation;</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Amended and Restated Bylaws;</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Corporate governance guidelines;</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Code of business conduct and ethics;</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Charter of the nominating and governance committee, including the guidelines for selecting board candidates;</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Categorical standards for relationships deemed not to impair independence of non-employee directors;</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Charter of the audit committee;</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Policy on services provided by independent auditors;</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Charter of the executive compensation and human resources committee;</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Executive officer stock ownership guidelines;</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Outside director stock ownership guidelines; and</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9"/>
        </w:numPr>
        <w:rPr>
          <w:rFonts w:ascii="Arial" w:cs="Arial" w:eastAsia="Arial" w:hAnsi="Arial"/>
          <w:sz w:val="18"/>
          <w:szCs w:val="18"/>
          <w:color w:val="5D89B4"/>
        </w:rPr>
      </w:pPr>
      <w:r>
        <w:rPr>
          <w:rFonts w:ascii="Arial" w:cs="Arial" w:eastAsia="Arial" w:hAnsi="Arial"/>
          <w:sz w:val="18"/>
          <w:szCs w:val="18"/>
          <w:color w:val="auto"/>
        </w:rPr>
        <w:t>Anti-corruption policy.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contained on ManpowerGroup’s website is not deemed to be a part of this proxy statement.</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2</w:t>
      </w:r>
    </w:p>
    <w:p>
      <w:pPr>
        <w:sectPr>
          <w:pgSz w:w="11900" w:h="16838" w:orient="portrait"/>
          <w:cols w:equalWidth="0" w:num="1">
            <w:col w:w="11320"/>
          </w:cols>
          <w:pgMar w:left="24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7420"/>
        <w:spacing w:after="0"/>
        <w:rPr>
          <w:sz w:val="20"/>
          <w:szCs w:val="20"/>
          <w:color w:val="auto"/>
        </w:rPr>
      </w:pPr>
      <w:r>
        <w:rPr>
          <w:rFonts w:ascii="Arial" w:cs="Arial" w:eastAsia="Arial" w:hAnsi="Arial"/>
          <w:sz w:val="18"/>
          <w:szCs w:val="18"/>
          <w:color w:val="FFFFFF"/>
        </w:rPr>
        <w:t>Security Ownership of Certain Beneficial Owners</w:t>
      </w:r>
    </w:p>
    <w:p>
      <w:pPr>
        <w:spacing w:after="0" w:line="241" w:lineRule="exact"/>
        <w:rPr>
          <w:sz w:val="20"/>
          <w:szCs w:val="20"/>
          <w:color w:val="auto"/>
        </w:rPr>
      </w:pPr>
    </w:p>
    <w:p>
      <w:pPr>
        <w:spacing w:after="0"/>
        <w:rPr>
          <w:sz w:val="20"/>
          <w:szCs w:val="20"/>
          <w:color w:val="auto"/>
        </w:rPr>
      </w:pPr>
      <w:r>
        <w:rPr>
          <w:rFonts w:ascii="Arial" w:cs="Arial" w:eastAsia="Arial" w:hAnsi="Arial"/>
          <w:sz w:val="41"/>
          <w:szCs w:val="41"/>
          <w:color w:val="5D89B4"/>
        </w:rPr>
        <w:t>Security Ownership of Certain Beneficial Owners</w:t>
      </w:r>
    </w:p>
    <w:p>
      <w:pPr>
        <w:spacing w:after="0" w:line="215"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The following table lists as of the record date (except as noted below) information as to the persons believed by us to be beneficial owners of more than 5% of our outstanding common stock:</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60" w:type="dxa"/>
            <w:vAlign w:val="bottom"/>
            <w:tcBorders>
              <w:top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Name and Address of</w:t>
            </w:r>
          </w:p>
        </w:tc>
        <w:tc>
          <w:tcPr>
            <w:tcW w:w="2920" w:type="dxa"/>
            <w:vAlign w:val="bottom"/>
            <w:tcBorders>
              <w:top w:val="single" w:sz="8" w:color="auto"/>
            </w:tcBorders>
            <w:shd w:val="clear" w:color="auto" w:fill="9DB8D2"/>
          </w:tcPr>
          <w:p>
            <w:pPr>
              <w:jc w:val="right"/>
              <w:ind w:right="443"/>
              <w:spacing w:after="0"/>
              <w:rPr>
                <w:sz w:val="20"/>
                <w:szCs w:val="20"/>
                <w:color w:val="auto"/>
              </w:rPr>
            </w:pPr>
            <w:r>
              <w:rPr>
                <w:rFonts w:ascii="Arial" w:cs="Arial" w:eastAsia="Arial" w:hAnsi="Arial"/>
                <w:sz w:val="14"/>
                <w:szCs w:val="14"/>
                <w:b w:val="1"/>
                <w:bCs w:val="1"/>
                <w:color w:val="auto"/>
              </w:rPr>
              <w:t>Amount and Nature of</w:t>
            </w:r>
          </w:p>
        </w:tc>
        <w:tc>
          <w:tcPr>
            <w:tcW w:w="1340" w:type="dxa"/>
            <w:vAlign w:val="bottom"/>
            <w:tcBorders>
              <w:top w:val="single" w:sz="8" w:color="auto"/>
            </w:tcBorders>
            <w:shd w:val="clear" w:color="auto" w:fill="9DB8D2"/>
          </w:tcPr>
          <w:p>
            <w:pPr>
              <w:jc w:val="right"/>
              <w:ind w:right="263"/>
              <w:spacing w:after="0"/>
              <w:rPr>
                <w:sz w:val="20"/>
                <w:szCs w:val="20"/>
                <w:color w:val="auto"/>
              </w:rPr>
            </w:pPr>
            <w:r>
              <w:rPr>
                <w:rFonts w:ascii="Arial" w:cs="Arial" w:eastAsia="Arial" w:hAnsi="Arial"/>
                <w:sz w:val="14"/>
                <w:szCs w:val="14"/>
                <w:b w:val="1"/>
                <w:bCs w:val="1"/>
                <w:color w:val="auto"/>
              </w:rPr>
              <w:t>Percent of</w:t>
            </w:r>
          </w:p>
        </w:tc>
      </w:tr>
      <w:tr>
        <w:trPr>
          <w:trHeight w:val="189"/>
        </w:trPr>
        <w:tc>
          <w:tcPr>
            <w:tcW w:w="716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Beneficial Owners</w:t>
            </w:r>
          </w:p>
        </w:tc>
        <w:tc>
          <w:tcPr>
            <w:tcW w:w="2920" w:type="dxa"/>
            <w:vAlign w:val="bottom"/>
            <w:tcBorders>
              <w:bottom w:val="single" w:sz="8" w:color="auto"/>
            </w:tcBorders>
            <w:shd w:val="clear" w:color="auto" w:fill="9DB8D2"/>
          </w:tcPr>
          <w:p>
            <w:pPr>
              <w:jc w:val="right"/>
              <w:ind w:right="463"/>
              <w:spacing w:after="0"/>
              <w:rPr>
                <w:sz w:val="20"/>
                <w:szCs w:val="20"/>
                <w:color w:val="auto"/>
              </w:rPr>
            </w:pPr>
            <w:r>
              <w:rPr>
                <w:rFonts w:ascii="Arial" w:cs="Arial" w:eastAsia="Arial" w:hAnsi="Arial"/>
                <w:sz w:val="14"/>
                <w:szCs w:val="14"/>
                <w:b w:val="1"/>
                <w:bCs w:val="1"/>
                <w:color w:val="auto"/>
              </w:rPr>
              <w:t>Beneficial Ownership</w:t>
            </w:r>
          </w:p>
        </w:tc>
        <w:tc>
          <w:tcPr>
            <w:tcW w:w="1340" w:type="dxa"/>
            <w:vAlign w:val="bottom"/>
            <w:tcBorders>
              <w:bottom w:val="single" w:sz="8" w:color="auto"/>
            </w:tcBorders>
            <w:shd w:val="clear" w:color="auto" w:fill="9DB8D2"/>
          </w:tcPr>
          <w:p>
            <w:pPr>
              <w:jc w:val="right"/>
              <w:ind w:right="323"/>
              <w:spacing w:after="0"/>
              <w:rPr>
                <w:sz w:val="20"/>
                <w:szCs w:val="20"/>
                <w:color w:val="auto"/>
              </w:rPr>
            </w:pPr>
            <w:r>
              <w:rPr>
                <w:rFonts w:ascii="Arial" w:cs="Arial" w:eastAsia="Arial" w:hAnsi="Arial"/>
                <w:sz w:val="14"/>
                <w:szCs w:val="14"/>
                <w:b w:val="1"/>
                <w:bCs w:val="1"/>
                <w:color w:val="auto"/>
              </w:rPr>
              <w:t>Class(1)</w:t>
            </w:r>
          </w:p>
        </w:tc>
      </w:tr>
      <w:tr>
        <w:trPr>
          <w:trHeight w:val="184"/>
        </w:trPr>
        <w:tc>
          <w:tcPr>
            <w:tcW w:w="7160" w:type="dxa"/>
            <w:vAlign w:val="bottom"/>
          </w:tcPr>
          <w:p>
            <w:pPr>
              <w:ind w:left="80"/>
              <w:spacing w:after="0"/>
              <w:rPr>
                <w:sz w:val="20"/>
                <w:szCs w:val="20"/>
                <w:color w:val="auto"/>
              </w:rPr>
            </w:pPr>
            <w:r>
              <w:rPr>
                <w:rFonts w:ascii="Arial" w:cs="Arial" w:eastAsia="Arial" w:hAnsi="Arial"/>
                <w:sz w:val="16"/>
                <w:szCs w:val="16"/>
                <w:color w:val="auto"/>
              </w:rPr>
              <w:t>BlackRock, Inc.</w:t>
            </w:r>
          </w:p>
        </w:tc>
        <w:tc>
          <w:tcPr>
            <w:tcW w:w="29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7160" w:type="dxa"/>
            <w:vAlign w:val="bottom"/>
          </w:tcPr>
          <w:p>
            <w:pPr>
              <w:ind w:left="80"/>
              <w:spacing w:after="0"/>
              <w:rPr>
                <w:sz w:val="20"/>
                <w:szCs w:val="20"/>
                <w:color w:val="auto"/>
              </w:rPr>
            </w:pPr>
            <w:r>
              <w:rPr>
                <w:rFonts w:ascii="Arial" w:cs="Arial" w:eastAsia="Arial" w:hAnsi="Arial"/>
                <w:sz w:val="16"/>
                <w:szCs w:val="16"/>
                <w:color w:val="auto"/>
              </w:rPr>
              <w:t>55 East 52nd Street</w:t>
            </w:r>
          </w:p>
        </w:tc>
        <w:tc>
          <w:tcPr>
            <w:tcW w:w="29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1"/>
        </w:trPr>
        <w:tc>
          <w:tcPr>
            <w:tcW w:w="7160" w:type="dxa"/>
            <w:vAlign w:val="bottom"/>
          </w:tcPr>
          <w:p>
            <w:pPr>
              <w:ind w:left="80"/>
              <w:spacing w:after="0"/>
              <w:rPr>
                <w:sz w:val="20"/>
                <w:szCs w:val="20"/>
                <w:color w:val="auto"/>
              </w:rPr>
            </w:pPr>
            <w:r>
              <w:rPr>
                <w:rFonts w:ascii="Arial" w:cs="Arial" w:eastAsia="Arial" w:hAnsi="Arial"/>
                <w:sz w:val="16"/>
                <w:szCs w:val="16"/>
                <w:color w:val="auto"/>
              </w:rPr>
              <w:t>New York, New York 10022</w:t>
            </w:r>
          </w:p>
        </w:tc>
        <w:tc>
          <w:tcPr>
            <w:tcW w:w="2920" w:type="dxa"/>
            <w:vAlign w:val="bottom"/>
          </w:tcPr>
          <w:p>
            <w:pPr>
              <w:jc w:val="right"/>
              <w:ind w:right="243"/>
              <w:spacing w:after="0"/>
              <w:rPr>
                <w:sz w:val="20"/>
                <w:szCs w:val="20"/>
                <w:color w:val="auto"/>
              </w:rPr>
            </w:pPr>
            <w:r>
              <w:rPr>
                <w:rFonts w:ascii="Arial" w:cs="Arial" w:eastAsia="Arial" w:hAnsi="Arial"/>
                <w:sz w:val="16"/>
                <w:szCs w:val="16"/>
                <w:color w:val="auto"/>
              </w:rPr>
              <w:t>7,719,433(2)</w:t>
            </w:r>
          </w:p>
        </w:tc>
        <w:tc>
          <w:tcPr>
            <w:tcW w:w="1340" w:type="dxa"/>
            <w:vAlign w:val="bottom"/>
          </w:tcPr>
          <w:p>
            <w:pPr>
              <w:jc w:val="right"/>
              <w:ind w:right="103"/>
              <w:spacing w:after="0"/>
              <w:rPr>
                <w:sz w:val="20"/>
                <w:szCs w:val="20"/>
                <w:color w:val="auto"/>
              </w:rPr>
            </w:pPr>
            <w:r>
              <w:rPr>
                <w:rFonts w:ascii="Arial" w:cs="Arial" w:eastAsia="Arial" w:hAnsi="Arial"/>
                <w:sz w:val="16"/>
                <w:szCs w:val="16"/>
                <w:color w:val="auto"/>
              </w:rPr>
              <w:t>11.4%</w:t>
            </w:r>
          </w:p>
        </w:tc>
      </w:tr>
      <w:tr>
        <w:trPr>
          <w:trHeight w:val="191"/>
        </w:trPr>
        <w:tc>
          <w:tcPr>
            <w:tcW w:w="7160" w:type="dxa"/>
            <w:vAlign w:val="bottom"/>
            <w:shd w:val="clear" w:color="auto" w:fill="E6EDF3"/>
          </w:tcPr>
          <w:p>
            <w:pPr>
              <w:ind w:left="80"/>
              <w:spacing w:after="0"/>
              <w:rPr>
                <w:sz w:val="20"/>
                <w:szCs w:val="20"/>
                <w:color w:val="auto"/>
              </w:rPr>
            </w:pPr>
            <w:r>
              <w:rPr>
                <w:rFonts w:ascii="Arial" w:cs="Arial" w:eastAsia="Arial" w:hAnsi="Arial"/>
                <w:sz w:val="16"/>
                <w:szCs w:val="16"/>
                <w:color w:val="auto"/>
              </w:rPr>
              <w:t>Vanguard Group, Inc.</w:t>
            </w:r>
          </w:p>
        </w:tc>
        <w:tc>
          <w:tcPr>
            <w:tcW w:w="2920" w:type="dxa"/>
            <w:vAlign w:val="bottom"/>
            <w:shd w:val="clear" w:color="auto" w:fill="E6EDF3"/>
          </w:tcPr>
          <w:p>
            <w:pPr>
              <w:spacing w:after="0"/>
              <w:rPr>
                <w:sz w:val="16"/>
                <w:szCs w:val="16"/>
                <w:color w:val="auto"/>
              </w:rPr>
            </w:pPr>
          </w:p>
        </w:tc>
        <w:tc>
          <w:tcPr>
            <w:tcW w:w="1340" w:type="dxa"/>
            <w:vAlign w:val="bottom"/>
            <w:shd w:val="clear" w:color="auto" w:fill="E6EDF3"/>
          </w:tcPr>
          <w:p>
            <w:pPr>
              <w:spacing w:after="0"/>
              <w:rPr>
                <w:sz w:val="16"/>
                <w:szCs w:val="16"/>
                <w:color w:val="auto"/>
              </w:rPr>
            </w:pPr>
          </w:p>
        </w:tc>
      </w:tr>
      <w:tr>
        <w:trPr>
          <w:trHeight w:val="189"/>
        </w:trPr>
        <w:tc>
          <w:tcPr>
            <w:tcW w:w="7160" w:type="dxa"/>
            <w:vAlign w:val="bottom"/>
            <w:shd w:val="clear" w:color="auto" w:fill="E6EDF3"/>
          </w:tcPr>
          <w:p>
            <w:pPr>
              <w:ind w:left="80"/>
              <w:spacing w:after="0"/>
              <w:rPr>
                <w:sz w:val="20"/>
                <w:szCs w:val="20"/>
                <w:color w:val="auto"/>
              </w:rPr>
            </w:pPr>
            <w:r>
              <w:rPr>
                <w:rFonts w:ascii="Arial" w:cs="Arial" w:eastAsia="Arial" w:hAnsi="Arial"/>
                <w:sz w:val="16"/>
                <w:szCs w:val="16"/>
                <w:color w:val="auto"/>
              </w:rPr>
              <w:t>100 Vanguard Boulevard</w:t>
            </w:r>
          </w:p>
        </w:tc>
        <w:tc>
          <w:tcPr>
            <w:tcW w:w="2920" w:type="dxa"/>
            <w:vAlign w:val="bottom"/>
            <w:shd w:val="clear" w:color="auto" w:fill="E6EDF3"/>
          </w:tcPr>
          <w:p>
            <w:pPr>
              <w:spacing w:after="0"/>
              <w:rPr>
                <w:sz w:val="16"/>
                <w:szCs w:val="16"/>
                <w:color w:val="auto"/>
              </w:rPr>
            </w:pPr>
          </w:p>
        </w:tc>
        <w:tc>
          <w:tcPr>
            <w:tcW w:w="1340" w:type="dxa"/>
            <w:vAlign w:val="bottom"/>
            <w:shd w:val="clear" w:color="auto" w:fill="E6EDF3"/>
          </w:tcPr>
          <w:p>
            <w:pPr>
              <w:spacing w:after="0"/>
              <w:rPr>
                <w:sz w:val="16"/>
                <w:szCs w:val="16"/>
                <w:color w:val="auto"/>
              </w:rPr>
            </w:pPr>
          </w:p>
        </w:tc>
      </w:tr>
      <w:tr>
        <w:trPr>
          <w:trHeight w:val="201"/>
        </w:trPr>
        <w:tc>
          <w:tcPr>
            <w:tcW w:w="7160" w:type="dxa"/>
            <w:vAlign w:val="bottom"/>
            <w:tcBorders>
              <w:bottom w:val="single" w:sz="8" w:color="auto"/>
            </w:tcBorders>
            <w:shd w:val="clear" w:color="auto" w:fill="E6EDF3"/>
          </w:tcPr>
          <w:p>
            <w:pPr>
              <w:ind w:left="80"/>
              <w:spacing w:after="0"/>
              <w:rPr>
                <w:sz w:val="20"/>
                <w:szCs w:val="20"/>
                <w:color w:val="auto"/>
              </w:rPr>
            </w:pPr>
            <w:r>
              <w:rPr>
                <w:rFonts w:ascii="Arial" w:cs="Arial" w:eastAsia="Arial" w:hAnsi="Arial"/>
                <w:sz w:val="16"/>
                <w:szCs w:val="16"/>
                <w:color w:val="auto"/>
              </w:rPr>
              <w:t>Malvern, PA 19355</w:t>
            </w:r>
          </w:p>
        </w:tc>
        <w:tc>
          <w:tcPr>
            <w:tcW w:w="2920" w:type="dxa"/>
            <w:vAlign w:val="bottom"/>
            <w:tcBorders>
              <w:bottom w:val="single" w:sz="8" w:color="auto"/>
            </w:tcBorders>
            <w:shd w:val="clear" w:color="auto" w:fill="E6EDF3"/>
          </w:tcPr>
          <w:p>
            <w:pPr>
              <w:jc w:val="right"/>
              <w:ind w:right="243"/>
              <w:spacing w:after="0"/>
              <w:rPr>
                <w:sz w:val="20"/>
                <w:szCs w:val="20"/>
                <w:color w:val="auto"/>
              </w:rPr>
            </w:pPr>
            <w:r>
              <w:rPr>
                <w:rFonts w:ascii="Arial" w:cs="Arial" w:eastAsia="Arial" w:hAnsi="Arial"/>
                <w:sz w:val="16"/>
                <w:szCs w:val="16"/>
                <w:color w:val="auto"/>
              </w:rPr>
              <w:t>5,642,460(3)</w:t>
            </w:r>
          </w:p>
        </w:tc>
        <w:tc>
          <w:tcPr>
            <w:tcW w:w="1340" w:type="dxa"/>
            <w:vAlign w:val="bottom"/>
            <w:tcBorders>
              <w:bottom w:val="single" w:sz="8" w:color="auto"/>
            </w:tcBorders>
            <w:shd w:val="clear" w:color="auto" w:fill="E6EDF3"/>
          </w:tcPr>
          <w:p>
            <w:pPr>
              <w:jc w:val="right"/>
              <w:ind w:right="103"/>
              <w:spacing w:after="0"/>
              <w:rPr>
                <w:sz w:val="20"/>
                <w:szCs w:val="20"/>
                <w:color w:val="auto"/>
              </w:rPr>
            </w:pPr>
            <w:r>
              <w:rPr>
                <w:rFonts w:ascii="Arial" w:cs="Arial" w:eastAsia="Arial" w:hAnsi="Arial"/>
                <w:sz w:val="16"/>
                <w:szCs w:val="16"/>
                <w:color w:val="auto"/>
              </w:rPr>
              <w:t>8.3%</w:t>
            </w:r>
          </w:p>
        </w:tc>
      </w:tr>
    </w:tbl>
    <w:p>
      <w:pPr>
        <w:spacing w:after="0" w:line="7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Based on 67,641,839 shares of common stock outstanding as of the record date.</w:t>
      </w:r>
    </w:p>
    <w:p>
      <w:pPr>
        <w:spacing w:after="0" w:line="68" w:lineRule="exact"/>
        <w:rPr>
          <w:rFonts w:ascii="Arial" w:cs="Arial" w:eastAsia="Arial" w:hAnsi="Arial"/>
          <w:sz w:val="14"/>
          <w:szCs w:val="14"/>
          <w:color w:val="auto"/>
        </w:rPr>
      </w:pPr>
    </w:p>
    <w:p>
      <w:pPr>
        <w:ind w:left="340" w:right="20" w:hanging="332"/>
        <w:spacing w:after="0" w:line="244"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information is based on a Schedule 13G filed on January 12, 2017, by BlackRock, Inc. on its behalf and on behalf of its following affiliates: BlackRock Advisors, LLC, BlackRock Advisors (UK) Limited, BlackRock Asset Management Canada Limited, BlackRock Asset Management Ireland Limited, BlackRock Japan Co. Ltd., BlackRock Capital Management, BlackRock Financial Management, Inc., BlackRock Fund Advisors, BlackRock Life Limited, BlackRock Institutional Trust Company, N.A., BlackRock Investment Management, LLC, BlackRock Investment Management (Australia) Limited, BlackRock (Luxembourg) S.A., BlackRock (Netherlands) B.V., BlackRock International Limited, BlackRock Investment Management (UK) Ltd, BlackRock Fund Managers Limited, BlackRock (Singapore) Limited, BlackRock Asset Management North Asia Limited and BlackRock Asset Management Schweiz AG. According to this Schedule 13G, these securities are owned of record by BlackRock, Inc. BlackRock, Inc. has sole voting power with respect to 6,594,359 shares held and sole dispositive power with respect to 7,719,433 shares held.</w:t>
      </w:r>
    </w:p>
    <w:p>
      <w:pPr>
        <w:spacing w:after="0" w:line="56" w:lineRule="exact"/>
        <w:rPr>
          <w:rFonts w:ascii="Arial" w:cs="Arial" w:eastAsia="Arial" w:hAnsi="Arial"/>
          <w:sz w:val="14"/>
          <w:szCs w:val="14"/>
          <w:color w:val="auto"/>
        </w:rPr>
      </w:pPr>
    </w:p>
    <w:p>
      <w:pPr>
        <w:ind w:left="340" w:right="20" w:hanging="332"/>
        <w:spacing w:after="0" w:line="250"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information is based on a Schedule 13G filed on February 10, 2017. According to this Schedule 13G, these securities are owned by various individual and institutional investors for which Vanguard Group, Inc. (“Vanguard”) serves as investment advisor. Vanguard has sole voting power with respect to 62,540 shares held, shared voting power with respect to 13,926 shares held, sole dispositive power with respect to 5,574,666 shares held and shared dispositive power with respect to 67,794 shares held.</w:t>
      </w:r>
    </w:p>
    <w:p>
      <w:pPr>
        <w:spacing w:after="0" w:line="120" w:lineRule="exact"/>
        <w:rPr>
          <w:sz w:val="20"/>
          <w:szCs w:val="20"/>
          <w:color w:val="auto"/>
        </w:rPr>
      </w:pPr>
    </w:p>
    <w:p>
      <w:pPr>
        <w:ind w:left="9980"/>
        <w:spacing w:after="0"/>
        <w:rPr>
          <w:sz w:val="20"/>
          <w:szCs w:val="20"/>
          <w:color w:val="auto"/>
        </w:rPr>
      </w:pPr>
      <w:r>
        <w:rPr>
          <w:rFonts w:ascii="Arial" w:cs="Arial" w:eastAsia="Arial" w:hAnsi="Arial"/>
          <w:sz w:val="16"/>
          <w:szCs w:val="16"/>
          <w:b w:val="1"/>
          <w:bCs w:val="1"/>
          <w:color w:val="5D89B4"/>
        </w:rPr>
        <w:t xml:space="preserve">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1. Election of Directors</w:t>
      </w:r>
    </w:p>
    <w:p>
      <w:pPr>
        <w:spacing w:after="0" w:line="241" w:lineRule="exact"/>
        <w:rPr>
          <w:sz w:val="20"/>
          <w:szCs w:val="20"/>
          <w:color w:val="auto"/>
        </w:rPr>
      </w:pPr>
    </w:p>
    <w:p>
      <w:pPr>
        <w:spacing w:after="0"/>
        <w:rPr>
          <w:sz w:val="20"/>
          <w:szCs w:val="20"/>
          <w:color w:val="auto"/>
        </w:rPr>
      </w:pPr>
      <w:r>
        <w:rPr>
          <w:rFonts w:ascii="Arial" w:cs="Arial" w:eastAsia="Arial" w:hAnsi="Arial"/>
          <w:sz w:val="41"/>
          <w:szCs w:val="41"/>
          <w:color w:val="5D89B4"/>
        </w:rPr>
        <w:t>1. Election of Directors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articles of incorporation provide that our board of directors will consist of three to fifteen members. Our board of directors currently consists of thirteen members. All directors are elected annually to serve until the next annual meeting of shareholders and until the directors’ successors are duly elected and shall qualify.</w:t>
      </w:r>
    </w:p>
    <w:p>
      <w:pPr>
        <w:spacing w:after="0" w:line="12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board of directors may appoint additional directors, in accordance with our articles of incorporation, based upon the recommendation of the nominating and governance committee and subject to re-election by our shareholders at the next annual meeting of shareholders.</w:t>
      </w:r>
    </w:p>
    <w:p>
      <w:pPr>
        <w:spacing w:after="0" w:line="12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Julie M. Howard was appointed to the board of directors effective December 12, 2016, after being recommended for appointment to the board of directors by an independent director search firm, and subsequently by the nominating and governance committee.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individuals are being nominated as directors, each for a one-year term expiring at the 2018 annual meeting of shareholders:</w:t>
      </w:r>
    </w:p>
    <w:p>
      <w:pPr>
        <w:sectPr>
          <w:pgSz w:w="11900" w:h="16838" w:orient="portrait"/>
          <w:cols w:equalWidth="0" w:num="1">
            <w:col w:w="11400"/>
          </w:cols>
          <w:pgMar w:left="240" w:top="459" w:right="259" w:bottom="1440" w:gutter="0" w:footer="0" w:header="0"/>
        </w:sectPr>
      </w:pP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Gina R. Boswell</w:t>
      </w:r>
    </w:p>
    <w:p>
      <w:pPr>
        <w:spacing w:after="0" w:line="234" w:lineRule="auto"/>
        <w:rPr>
          <w:sz w:val="20"/>
          <w:szCs w:val="20"/>
          <w:color w:val="auto"/>
        </w:rPr>
      </w:pPr>
      <w:r>
        <w:rPr>
          <w:rFonts w:ascii="Arial" w:cs="Arial" w:eastAsia="Arial" w:hAnsi="Arial"/>
          <w:sz w:val="18"/>
          <w:szCs w:val="18"/>
          <w:color w:val="auto"/>
        </w:rPr>
        <w:t>Cari M. Dominguez</w:t>
      </w:r>
    </w:p>
    <w:p>
      <w:pPr>
        <w:spacing w:after="0" w:line="235" w:lineRule="auto"/>
        <w:rPr>
          <w:sz w:val="20"/>
          <w:szCs w:val="20"/>
          <w:color w:val="auto"/>
        </w:rPr>
      </w:pPr>
      <w:r>
        <w:rPr>
          <w:rFonts w:ascii="Arial" w:cs="Arial" w:eastAsia="Arial" w:hAnsi="Arial"/>
          <w:sz w:val="18"/>
          <w:szCs w:val="18"/>
          <w:color w:val="auto"/>
        </w:rPr>
        <w:t>William Downe</w:t>
      </w:r>
    </w:p>
    <w:p>
      <w:pPr>
        <w:spacing w:after="0" w:line="235" w:lineRule="auto"/>
        <w:rPr>
          <w:sz w:val="20"/>
          <w:szCs w:val="20"/>
          <w:color w:val="auto"/>
        </w:rPr>
      </w:pPr>
      <w:r>
        <w:rPr>
          <w:rFonts w:ascii="Arial" w:cs="Arial" w:eastAsia="Arial" w:hAnsi="Arial"/>
          <w:sz w:val="18"/>
          <w:szCs w:val="18"/>
          <w:color w:val="auto"/>
        </w:rPr>
        <w:t>John F. Ferraro</w:t>
      </w:r>
    </w:p>
    <w:p>
      <w:pPr>
        <w:spacing w:after="0" w:line="235" w:lineRule="auto"/>
        <w:rPr>
          <w:sz w:val="20"/>
          <w:szCs w:val="20"/>
          <w:color w:val="auto"/>
        </w:rPr>
      </w:pPr>
      <w:r>
        <w:rPr>
          <w:rFonts w:ascii="Arial" w:cs="Arial" w:eastAsia="Arial" w:hAnsi="Arial"/>
          <w:sz w:val="18"/>
          <w:szCs w:val="18"/>
          <w:color w:val="auto"/>
        </w:rPr>
        <w:t>Patricia Hemingway Hall</w:t>
      </w:r>
    </w:p>
    <w:p>
      <w:pPr>
        <w:spacing w:after="0" w:line="235" w:lineRule="auto"/>
        <w:rPr>
          <w:sz w:val="20"/>
          <w:szCs w:val="20"/>
          <w:color w:val="auto"/>
        </w:rPr>
      </w:pPr>
      <w:r>
        <w:rPr>
          <w:rFonts w:ascii="Arial" w:cs="Arial" w:eastAsia="Arial" w:hAnsi="Arial"/>
          <w:sz w:val="18"/>
          <w:szCs w:val="18"/>
          <w:color w:val="auto"/>
        </w:rPr>
        <w:t>Julie M. Howard</w:t>
      </w:r>
    </w:p>
    <w:p>
      <w:pPr>
        <w:spacing w:after="0"/>
        <w:rPr>
          <w:sz w:val="20"/>
          <w:szCs w:val="20"/>
          <w:color w:val="auto"/>
        </w:rPr>
      </w:pPr>
      <w:r>
        <w:rPr>
          <w:rFonts w:ascii="Arial" w:cs="Arial" w:eastAsia="Arial" w:hAnsi="Arial"/>
          <w:sz w:val="18"/>
          <w:szCs w:val="18"/>
          <w:color w:val="auto"/>
        </w:rPr>
        <w:t>Roberto Mendoza</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Ulice Payne, Jr.</w:t>
      </w:r>
    </w:p>
    <w:p>
      <w:pPr>
        <w:spacing w:after="0" w:line="234" w:lineRule="auto"/>
        <w:rPr>
          <w:sz w:val="20"/>
          <w:szCs w:val="20"/>
          <w:color w:val="auto"/>
        </w:rPr>
      </w:pPr>
      <w:r>
        <w:rPr>
          <w:rFonts w:ascii="Arial" w:cs="Arial" w:eastAsia="Arial" w:hAnsi="Arial"/>
          <w:sz w:val="18"/>
          <w:szCs w:val="18"/>
          <w:color w:val="auto"/>
        </w:rPr>
        <w:t>Jonas Prising</w:t>
      </w:r>
    </w:p>
    <w:p>
      <w:pPr>
        <w:spacing w:after="0" w:line="235" w:lineRule="auto"/>
        <w:rPr>
          <w:sz w:val="20"/>
          <w:szCs w:val="20"/>
          <w:color w:val="auto"/>
        </w:rPr>
      </w:pPr>
      <w:r>
        <w:rPr>
          <w:rFonts w:ascii="Arial" w:cs="Arial" w:eastAsia="Arial" w:hAnsi="Arial"/>
          <w:sz w:val="18"/>
          <w:szCs w:val="18"/>
          <w:color w:val="auto"/>
        </w:rPr>
        <w:t>Paul Read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Elizabeth P. Sartain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R. Walter</w:t>
      </w:r>
    </w:p>
    <w:p>
      <w:pPr>
        <w:spacing w:after="0"/>
        <w:rPr>
          <w:sz w:val="20"/>
          <w:szCs w:val="20"/>
          <w:color w:val="auto"/>
        </w:rPr>
      </w:pPr>
      <w:r>
        <w:rPr>
          <w:rFonts w:ascii="Arial" w:cs="Arial" w:eastAsia="Arial" w:hAnsi="Arial"/>
          <w:sz w:val="18"/>
          <w:szCs w:val="18"/>
          <w:color w:val="auto"/>
        </w:rPr>
        <w:t>Edward J. Zore</w:t>
      </w:r>
    </w:p>
    <w:p>
      <w:pPr>
        <w:spacing w:after="0" w:line="373" w:lineRule="exact"/>
        <w:rPr>
          <w:sz w:val="20"/>
          <w:szCs w:val="20"/>
          <w:color w:val="auto"/>
        </w:rPr>
      </w:pPr>
    </w:p>
    <w:p>
      <w:pPr>
        <w:sectPr>
          <w:pgSz w:w="11900" w:h="16838" w:orient="portrait"/>
          <w:cols w:equalWidth="0" w:num="2">
            <w:col w:w="5460" w:space="720"/>
            <w:col w:w="5220"/>
          </w:cols>
          <w:pgMar w:left="240" w:top="459" w:right="259" w:bottom="1440" w:gutter="0" w:footer="0" w:header="0"/>
          <w:type w:val="continuous"/>
        </w:sectPr>
      </w:pPr>
    </w:p>
    <w:p>
      <w:pPr>
        <w:ind w:right="40"/>
        <w:spacing w:after="0"/>
        <w:rPr>
          <w:sz w:val="20"/>
          <w:szCs w:val="20"/>
          <w:color w:val="auto"/>
        </w:rPr>
      </w:pPr>
      <w:r>
        <w:rPr>
          <w:rFonts w:ascii="Arial" w:cs="Arial" w:eastAsia="Arial" w:hAnsi="Arial"/>
          <w:sz w:val="18"/>
          <w:szCs w:val="18"/>
          <w:color w:val="auto"/>
        </w:rPr>
        <w:t>The nominating and governance committee reviewed the qualifications of the directors listed above who are seeking election or re-election and recommended to the board of directors that each be elected or re-elected to serve for an additional one-year term. The board of directors has confirmed the nominations.</w:t>
      </w:r>
    </w:p>
    <w:p>
      <w:pPr>
        <w:spacing w:after="0" w:line="13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accordance with our articles of incorporation and bylaws, a nominee will be elected as a director if the number of votes cast in favor of the election exceeds the number of votes cast against the election of that nominee. Abstentions and broker non-votes will not be counted as votes cast. If the number of votes cast in favor of the election of a director is less than the number of votes cast against the election of the director, the director is required to tender his or her resignation from the board of directors to the nominating and governance committee. The nominating and governance committee will recommend to the board of directors whether to accept or reject the tendered resignation or whether other action should be taken. Any such resignation will be effective only upon its acceptance by the board of directors. The board of directors will act on the recommendation of the nominating and governance committee and publicly disclose its decision, and the rationale behind its decision, within 90 days from the date of the announcement of the final results of balloting for the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132715</wp:posOffset>
            </wp:positionV>
            <wp:extent cx="300355" cy="283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0355" cy="283210"/>
                    </a:xfrm>
                    <a:prstGeom prst="rect">
                      <a:avLst/>
                    </a:prstGeom>
                    <a:noFill/>
                  </pic:spPr>
                </pic:pic>
              </a:graphicData>
            </a:graphic>
          </wp:anchor>
        </w:drawing>
      </w:r>
    </w:p>
    <w:p>
      <w:pPr>
        <w:spacing w:after="0" w:line="28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The board of directors recommends you vote </w:t>
      </w:r>
      <w:r>
        <w:rPr>
          <w:rFonts w:ascii="Arial" w:cs="Arial" w:eastAsia="Arial" w:hAnsi="Arial"/>
          <w:sz w:val="18"/>
          <w:szCs w:val="18"/>
          <w:b w:val="1"/>
          <w:bCs w:val="1"/>
          <w:color w:val="5D89B4"/>
        </w:rPr>
        <w:t>FOR</w:t>
      </w:r>
      <w:r>
        <w:rPr>
          <w:rFonts w:ascii="Arial" w:cs="Arial" w:eastAsia="Arial" w:hAnsi="Arial"/>
          <w:sz w:val="18"/>
          <w:szCs w:val="18"/>
          <w:color w:val="auto"/>
        </w:rPr>
        <w:t xml:space="preserve"> the election of each of the nominees listed above.</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4</w:t>
      </w:r>
    </w:p>
    <w:p>
      <w:pPr>
        <w:sectPr>
          <w:pgSz w:w="11900" w:h="16838" w:orient="portrait"/>
          <w:cols w:equalWidth="0" w:num="1">
            <w:col w:w="11400"/>
          </w:cols>
          <w:pgMar w:left="240" w:top="459" w:right="2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9500"/>
        <w:spacing w:after="0"/>
        <w:rPr>
          <w:sz w:val="20"/>
          <w:szCs w:val="20"/>
          <w:color w:val="auto"/>
        </w:rPr>
      </w:pPr>
      <w:r>
        <w:rPr>
          <w:rFonts w:ascii="Arial" w:cs="Arial" w:eastAsia="Arial" w:hAnsi="Arial"/>
          <w:sz w:val="18"/>
          <w:szCs w:val="18"/>
          <w:color w:val="FFFFFF"/>
        </w:rPr>
        <w:t>1. Election of Directors</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Director Biographies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5D89B4"/>
        </w:rPr>
        <w:t>Gina R.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823595" cy="1029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2007</w:t>
      </w:r>
    </w:p>
    <w:p>
      <w:pPr>
        <w:ind w:left="184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 (Chair), Nominating and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Biographical Information:</w:t>
      </w:r>
    </w:p>
    <w:p>
      <w:pPr>
        <w:spacing w:after="0" w:line="18"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Executive Vice President, General Manager U.K. &amp; Ireland at Unilever, a global food, personal care and household products company, since September 2015. Executive Vice President, Personal Care, at Unilever from 2011 to September 2015. President, Global Brands, of Alberto-Culver Company, a consumer goods company, from 2008 to July 2011. Prior thereto, Ms. Boswell held several leadership positions, including Senior Vice President and Chief Operating Officer - North America of Avon Products, Inc. from 2005 to 2007 and as an executive with Ford Motor Company from 1999 to 2003. A director of Wolverine World Wide, Inc. since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Qualifications:</w:t>
      </w:r>
    </w:p>
    <w:p>
      <w:pPr>
        <w:spacing w:after="0" w:line="18"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Ms. Boswell has significant managerial, strategic, operational, global and financial management expertise as a result of the various senior positions she has held at several companies with global operations.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5D89B4"/>
        </w:rPr>
        <w:t>Cari M.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823595" cy="1029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2007</w:t>
      </w:r>
    </w:p>
    <w:p>
      <w:pPr>
        <w:ind w:left="184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Executive Compensation and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Biographical Information:</w:t>
      </w:r>
    </w:p>
    <w:p>
      <w:pPr>
        <w:spacing w:after="0" w:line="1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President, Dominguez &amp; Associates, a management consulting firm, since January 2007. Prior thereto, Ms. Dominguez held several leadership positions within the United States government as well as in the public and private sectors, including Chair of the U.S. Equal Employment Opportunity Commission (“EEOC”) from 2001 to 2006, Partner, Heidrick &amp; Struggles, a consulting firm, from 1995 to 1998, Director, Spencer Stuart, a consulting firm, from 1993 to 1995, Assistant Secretary for Employment Standards Administration, and Director of the Office of Federal Contract Compliance Programs, U.S. Department of Labor, from 1989 to 1993. A trustee of Calvert SAGE Funds since 2008, director of Triple-S Management Corporation since 2012 and a director with the National Association of Corporate Directors since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Qualifications:</w:t>
      </w:r>
    </w:p>
    <w:p>
      <w:pPr>
        <w:spacing w:after="0" w:line="18" w:lineRule="exact"/>
        <w:rPr>
          <w:sz w:val="20"/>
          <w:szCs w:val="20"/>
          <w:color w:val="auto"/>
        </w:rPr>
      </w:pPr>
    </w:p>
    <w:p>
      <w:pPr>
        <w:ind w:right="580"/>
        <w:spacing w:after="0"/>
        <w:rPr>
          <w:sz w:val="20"/>
          <w:szCs w:val="20"/>
          <w:color w:val="auto"/>
        </w:rPr>
      </w:pPr>
      <w:r>
        <w:rPr>
          <w:rFonts w:ascii="Arial" w:cs="Arial" w:eastAsia="Arial" w:hAnsi="Arial"/>
          <w:sz w:val="18"/>
          <w:szCs w:val="18"/>
          <w:color w:val="auto"/>
        </w:rPr>
        <w:t>Ms. Dominguez has expertise in government relations and labor markets from her position as Chair of the EEOC and other various governmental positions she held. Ms. Dominguez also has managerial, international and operational experience in the human resources industry as a result of the various senior positions she held at various human resource consulting groups.</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1. 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5D89B4"/>
        </w:rPr>
        <w:t>William Downe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823595" cy="1029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2011</w:t>
      </w:r>
    </w:p>
    <w:p>
      <w:pPr>
        <w:ind w:left="184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Executive Compensation and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Biographical Information:</w:t>
      </w:r>
    </w:p>
    <w:p>
      <w:pPr>
        <w:spacing w:after="0" w:line="1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Chief Executive Officer of BMO Financial Group, a highly diversified financial services provider based in North America, since March 2007. Prior thereto, Mr. Downe held several leadership positions with BMO Financial Group and its subsidiaries, including Chief Operating Officer of BMO Financial Group from 2006 to 2007, and Deputy Chair of BMO Financial Group and Chief Executive Officer, BMO Nesbitt Burns and Head of Investment Banking Group from 2001 to 2006. A director of Bank of Montreal since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Qualifications:</w:t>
      </w:r>
    </w:p>
    <w:p>
      <w:pPr>
        <w:spacing w:after="0" w:line="18"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Mr. Downe brings to the board significant managerial, operational and global experience he has gained during his tenure as Chief Executive Officer of BMO Financial Group.</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b w:val="1"/>
          <w:bCs w:val="1"/>
          <w:color w:val="5D89B4"/>
        </w:rPr>
        <w:t>John F.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823595" cy="1029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2016</w:t>
      </w:r>
    </w:p>
    <w:p>
      <w:pPr>
        <w:ind w:left="184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Biographical Information:</w:t>
      </w:r>
    </w:p>
    <w:p>
      <w:pPr>
        <w:spacing w:after="0" w:line="18"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Global Chief Operating Officer of Ernst &amp; Young (“EY”), a global professional services organization, from 2007 to January 2015. Prior thereto, Mr. Ferraro held several senior leadership positions at EY, including Global Vice Chair Audit. In addition, Mr. Ferraro served as a member of EY’s Global Executive board for more than 10 years. A director of Advance Auto Parts since 2015 and International Flavor and Fragrances, Inc. since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Qualifications:</w:t>
      </w:r>
    </w:p>
    <w:p>
      <w:pPr>
        <w:spacing w:after="0" w:line="1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Mr. Ferraro brings to the board significant managerial, operational, financial and global experience he gained during his tenure as Global Chief Operating Officer of EY and the other various positions he held at EY.</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9500"/>
        <w:spacing w:after="0"/>
        <w:rPr>
          <w:sz w:val="20"/>
          <w:szCs w:val="20"/>
          <w:color w:val="auto"/>
        </w:rPr>
      </w:pPr>
      <w:r>
        <w:rPr>
          <w:rFonts w:ascii="Arial" w:cs="Arial" w:eastAsia="Arial" w:hAnsi="Arial"/>
          <w:sz w:val="18"/>
          <w:szCs w:val="18"/>
          <w:color w:val="FFFFFF"/>
        </w:rPr>
        <w:t>1. 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5D89B4"/>
        </w:rPr>
        <w:t>Patricia Hemingway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823595" cy="1029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2011</w:t>
      </w:r>
    </w:p>
    <w:p>
      <w:pPr>
        <w:ind w:left="184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Biographical Information:</w:t>
      </w:r>
    </w:p>
    <w:p>
      <w:pPr>
        <w:spacing w:after="0" w:line="1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President and Chief Executive Officer of Health Care Service Corporation (“HCSC”), a mutual health insurer, from 2008 to December 2015. Prior thereto, Ms. Hemingway Hall held several leadership positions at Health Care Service Corporation, including President and Chief Operating Officer from 2007 to 2008 and Executive Vice President of Internal Operations from 2006 to 2007. A director of Cardinal Health since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Qualifications:</w:t>
      </w:r>
    </w:p>
    <w:p>
      <w:pPr>
        <w:spacing w:after="0" w:line="18"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Ms. Hemingway Hall brings to the board significant managerial, operational, sales, marketing and government relations experience from her tenure as President and Chief Executive Officer of HCSC and the other various positions she held at HCSC.</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b w:val="1"/>
          <w:bCs w:val="1"/>
          <w:color w:val="5D89B4"/>
        </w:rPr>
        <w:t>Julie M.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823595" cy="1029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2016</w:t>
      </w:r>
    </w:p>
    <w:p>
      <w:pPr>
        <w:ind w:left="184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Nominating and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Biographical Information:</w:t>
      </w:r>
    </w:p>
    <w:p>
      <w:pPr>
        <w:spacing w:after="0" w:line="18"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Chairman and Chief Executive Officer of Navigant Consulting, Inc. (“Navigant”), a specialized global professional services firm since 2014. Chief Executive Officer of Navigant from 2012-2014. Prior thereto, Ms. Howard held several leadership positions at Navigant including Chief Operating Officer. A director of InnerWorkings, Inc. since 2012 and a former director of Kemper Corporation from 2010 to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Qualifications:</w:t>
      </w:r>
    </w:p>
    <w:p>
      <w:pPr>
        <w:spacing w:after="0" w:line="18"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Ms. Howard brings to the board significant managerial and operational experience from her tenure as Chief Executive Officer of Navigant Consulting, Inc. (“Navigant”) and the other various positions she held at Navigant. Ms. Howard also brings an important perspective from her service as a director on other public company boards.</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1. 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5D89B4"/>
        </w:rPr>
        <w:t>Roberto Mendoza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823595" cy="1029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2009</w:t>
      </w:r>
    </w:p>
    <w:p>
      <w:pPr>
        <w:ind w:left="184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Biographical Information:</w:t>
      </w:r>
    </w:p>
    <w:p>
      <w:pPr>
        <w:spacing w:after="0" w:line="1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Senior Managing Director of Atlas Advisors LLC, an independent global investment banking firm, since March 2010. Mr. Mendoza co-founded Deming Mendoza &amp; Co. LLC, a corporate finance advisory firm and served as a Partner from 2009 to March 2010. Prior thereto, Mr. Mendoza held several leadership positions in the investment banking and financial services industry, including Non-executive Chairman of Trinsum Group, Inc. from 2007 to 2008, Chairman of Integrated Finance Limited from 2001 to 2007, Managing Director of Goldman Sachs &amp; Co. from 2000 to 2001, and Director and Vice Chairman of J.P. Morgan &amp; Co. Inc., from 1990 to 2000. A director of The Western Union Company since 2006. Formerly, a director of PartnerRe Limited from 2009 to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Qualifications: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Mr. Mendoza brings to the board significant global financial, strategic and banking experience gained as a result of the various positions he held at various global investment banking and financial advisory firms. Mr. Mendoza also brings an important perspective from his service as a director on other public company boards.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5D89B4"/>
        </w:rPr>
        <w:t>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823595" cy="1029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2007</w:t>
      </w:r>
    </w:p>
    <w:p>
      <w:pPr>
        <w:ind w:left="184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 Nominating and Governance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Biographical Information:</w:t>
      </w:r>
    </w:p>
    <w:p>
      <w:pPr>
        <w:spacing w:after="0" w:line="1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President and Managing Member of Addison-Clifton, LLC, a provider of global trade compliance advisory services, since May 2004. Prior thereto, Mr. Payne held several leadership positions, including President and Chief Executive Officer of the Milwaukee Brewers Baseball Club from 2002 to 2003 and Partner with the law firm Foley &amp; Lardner LLP from 1998 to 2002. A trustee of The Northwestern Mutual Life Insurance Company since 2005, a director of WEC Energy Group, Inc. (formerly Wisconsin Energy Corporation) since 2003 and Foot Locker, Inc. since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Qualifications:</w:t>
      </w:r>
    </w:p>
    <w:p>
      <w:pPr>
        <w:spacing w:after="0" w:line="1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Mr. Payne brings to the board significant managerial, operational, financial and global experience as a result of many senior positions he has held including as President of Addison-Clifton, LLC. The board of directors also benefits from his broad experience in and knowledge of international business.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8</w:t>
      </w:r>
    </w:p>
    <w:p>
      <w:pPr>
        <w:sectPr>
          <w:pgSz w:w="11900" w:h="16838" w:orient="portrait"/>
          <w:cols w:equalWidth="0" w:num="1">
            <w:col w:w="11320"/>
          </w:cols>
          <w:pgMar w:left="24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9500"/>
        <w:spacing w:after="0"/>
        <w:rPr>
          <w:sz w:val="20"/>
          <w:szCs w:val="20"/>
          <w:color w:val="auto"/>
        </w:rPr>
      </w:pPr>
      <w:r>
        <w:rPr>
          <w:rFonts w:ascii="Arial" w:cs="Arial" w:eastAsia="Arial" w:hAnsi="Arial"/>
          <w:sz w:val="18"/>
          <w:szCs w:val="18"/>
          <w:color w:val="FFFFFF"/>
        </w:rPr>
        <w:t>1. 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5D89B4"/>
        </w:rPr>
        <w:t>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823595" cy="1029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2014</w:t>
      </w:r>
    </w:p>
    <w:p>
      <w:pPr>
        <w:ind w:left="184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Biographical Information:</w:t>
      </w:r>
    </w:p>
    <w:p>
      <w:pPr>
        <w:spacing w:after="0" w:line="18"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Chairman and Chief Executive Officer of ManpowerGroup since December 2015. Chief Executive Officer of ManpowerGroup from 2014 to December 2015. ManpowerGroup President from 2012 to April 2014. Executive Vice President, President of ManpowerGroup - The Americas from 2009 to October 2012. Prior thereto, Mr. Prising was the Executive Vice President, President of ManpowerGroup - United States and Canadian Operations from 2006 to 2008 and held other positions at ManpowerGroup since 1999. A director of Kohl’s Corporation since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Qualifications:</w:t>
      </w:r>
    </w:p>
    <w:p>
      <w:pPr>
        <w:spacing w:after="0" w:line="1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Mr. Prising brings to the board a deep knowledge of ManpowerGroup and its operations from his many years of experience with the Company, including as President with responsibility for the Americas and Southern Europe and currently as Chairman and Chief Executive Officer. He also brings a deep understanding of the industry, a global perspective, having lived and worked in multiple countries around the world, and a strong knowledge of the relevant marketplaces in Europe and Asia.</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5D89B4"/>
        </w:rPr>
        <w:t>Paul 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823595" cy="1029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2014</w:t>
      </w:r>
    </w:p>
    <w:p>
      <w:pPr>
        <w:ind w:left="184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Biographical Information:</w:t>
      </w:r>
    </w:p>
    <w:p>
      <w:pPr>
        <w:spacing w:after="0" w:line="1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President and Chief Operating Officer of Ingram Micro, Inc., a technology distributor and supply-chain services provider, from 2013 to February 2016. Chief Financial Officer of Flextronics International, Ltd., an electronics manufacturing services provider, from 2008 to June 2013. Formerly, a director of Ingram Micro, Inc. from 2012 to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Qualifications:</w:t>
      </w:r>
    </w:p>
    <w:p>
      <w:pPr>
        <w:spacing w:after="0" w:line="1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Mr. Read brings to the board significant managerial, operational, financial and global experience as a result of many senior positions he has held, including his tenure as President and Chief Operating Officer of Ingram Micro, Inc. and Chief Financial Officer of Flextronics International, Ltd.</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1. 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5D89B4"/>
        </w:rPr>
        <w:t>Elizabeth P. Sartain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823595" cy="1029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2010</w:t>
      </w:r>
    </w:p>
    <w:p>
      <w:pPr>
        <w:ind w:left="184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Executive Compensation and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Biographical Information:</w:t>
      </w:r>
    </w:p>
    <w:p>
      <w:pPr>
        <w:spacing w:after="0" w:line="1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Independent Human Resource Advisor and Consultant since April 2008. Prior thereto, Ms. Sartain held several leadership positions, including Executive Vice President and Chief People Officer at Yahoo! Inc. from 2001 to 2008 and an executive with Southwest Airlines serving in various positions from 1988 to 2001. A director of Shutterfly Inc. since 2016. Formerly, a director of Peets Tea and Coffee, Inc. from 2007 to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Qualifications:</w:t>
      </w:r>
    </w:p>
    <w:p>
      <w:pPr>
        <w:spacing w:after="0" w:line="18"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Ms. Sartain brings to the board significant human resources experience as a result of the various senior management positions she held at various multi-national companies as well as being an independent human resource advisor for many years. Ms. Sartain also brings an important perspective gained from her service as a director on other public company boards.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5D89B4"/>
        </w:rPr>
        <w:t>John R.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823595" cy="10293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1998</w:t>
      </w:r>
    </w:p>
    <w:p>
      <w:pPr>
        <w:ind w:left="184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Executive Compensation and Human Resources, Nominating and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Biographical Information:</w:t>
      </w:r>
    </w:p>
    <w:p>
      <w:pPr>
        <w:spacing w:after="0" w:line="1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Former Non-Executive Chairman of the Board of InnerWorkings, Inc., a global marketing execution firm, from 2004 to June 2010. Prior thereto, he held several leadership positions, including President and Chief Operating Officer of AT&amp;T Corp. from 1996 to 1997 and Chairman, President and Chief Executive Officer of R.R. Donnelley &amp; Sons Company from 1989 through 1996. Formerly, a director of InnerWorkings, Inc. from 2004 to 2012, Vasco Data Securities, Inc. from 2003 to 2013 and Echo Global Logistics from 2006 to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Qualifications:</w:t>
      </w:r>
    </w:p>
    <w:p>
      <w:pPr>
        <w:spacing w:after="0" w:line="18"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Mr. Walter brings to the board significant managerial, operational and global experience from his tenure as President and Chief Operating Officer of AT&amp;T and President and Chief Executive Officer of R.R. Donnelley &amp; Sons Company and from other senior executive positions he has held at several other companies as well as his service as a director on other public company boards.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10</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9500"/>
        <w:spacing w:after="0"/>
        <w:rPr>
          <w:sz w:val="20"/>
          <w:szCs w:val="20"/>
          <w:color w:val="auto"/>
        </w:rPr>
      </w:pPr>
      <w:r>
        <w:rPr>
          <w:rFonts w:ascii="Arial" w:cs="Arial" w:eastAsia="Arial" w:hAnsi="Arial"/>
          <w:sz w:val="18"/>
          <w:szCs w:val="18"/>
          <w:color w:val="FFFFFF"/>
        </w:rPr>
        <w:t>1. 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5D89B4"/>
        </w:rPr>
        <w:t>Edward J. Zore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823595" cy="1029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2000</w:t>
      </w:r>
    </w:p>
    <w:p>
      <w:pPr>
        <w:ind w:left="1840"/>
        <w:spacing w:after="0" w:line="234" w:lineRule="auto"/>
        <w:rPr>
          <w:sz w:val="20"/>
          <w:szCs w:val="20"/>
          <w:color w:val="auto"/>
        </w:rPr>
      </w:pPr>
      <w:r>
        <w:rPr>
          <w:rFonts w:ascii="Arial" w:cs="Arial" w:eastAsia="Arial" w:hAnsi="Arial"/>
          <w:sz w:val="18"/>
          <w:szCs w:val="18"/>
          <w:b w:val="1"/>
          <w:bCs w:val="1"/>
          <w:color w:val="auto"/>
        </w:rPr>
        <w:t xml:space="preserve">Lead Director since: </w:t>
      </w:r>
      <w:r>
        <w:rPr>
          <w:rFonts w:ascii="Arial" w:cs="Arial" w:eastAsia="Arial" w:hAnsi="Arial"/>
          <w:sz w:val="18"/>
          <w:szCs w:val="18"/>
          <w:color w:val="auto"/>
        </w:rPr>
        <w:t>2013</w:t>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Executive Compensation and Human Resources (Chair), Nominating and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Biographical Information:</w:t>
      </w:r>
    </w:p>
    <w:p>
      <w:pPr>
        <w:spacing w:after="0" w:line="18"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Chairman and Chief Executive Officer of The Northwestern Mutual Life Insurance Company (“Northwestern Mutual”) from 2009 to July 2010. President and Chief Executive Officer of Northwestern Mutual from 2001 to 2009. Prior thereto, Mr. Zore held several leadership positions at Northwestern Mutual, including President from 2000 to 2001. A director of RenaissanceRe Holdings Ltd. since 2010. Formerly a trustee of Northwestern Mutual from 2000 to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Qualifications:</w:t>
      </w:r>
    </w:p>
    <w:p>
      <w:pPr>
        <w:spacing w:after="0" w:line="1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Mr. Zore brings to the board significant managerial, operational and financial experience as a result of the various senior positions he held with Northwestern Mutual, including as Chairman and Chief Executive Officer and Chief Financial Officer. The board also benefits from his service as a director on 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520"/>
        <w:spacing w:after="0"/>
        <w:rPr>
          <w:sz w:val="20"/>
          <w:szCs w:val="20"/>
          <w:color w:val="auto"/>
        </w:rPr>
      </w:pPr>
      <w:r>
        <w:rPr>
          <w:rFonts w:ascii="Arial" w:cs="Arial" w:eastAsia="Arial" w:hAnsi="Arial"/>
          <w:sz w:val="18"/>
          <w:szCs w:val="18"/>
          <w:color w:val="auto"/>
        </w:rPr>
        <w:t>Each director attended at least 75% of the board meetings and meetings of committees on which he or she served in 2016. The board of directors held five regular meetings and two special meetings during 2016. The board of directors also took one action by written consent during 2016.</w:t>
      </w:r>
    </w:p>
    <w:p>
      <w:pPr>
        <w:spacing w:after="0" w:line="12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Under the Company’s corporate governance guidelines, an individual cannot be nominated for election to the board of directors after his or her 72nd birthday. Any director who turns 72 during his or her normal term will continue in office until the expiration of that term.</w:t>
      </w:r>
    </w:p>
    <w:p>
      <w:pPr>
        <w:spacing w:after="0" w:line="12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Under ManpowerGroup’s bylaws, nominations, other than those made by the board of directors or the nominating and governance committee, must be made pursuant to timely notice in proper written form to the secretary of ManpowerGroup. To be timely, a shareholder’s request to nominate a person for election to the board of directors at an annual meeting of shareholders, together with the written consent of such person to serve as a director, must be received by the secretary of ManpowerGroup not less than 90 days nor more than 150 days prior to the anniversary of the annual meeting of shareholders held in the prior year. To be in proper written form, the notice must contain certain information concerning the nominee and the shareholder submitting the nomination, including the disclosure of any hedging, derivative or other complex transactions involving the Company’s common stock to which a shareholder proposing a director nomination is a party.</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11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1. Election of Directors</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Board Independence and Related Party Transactions</w:t>
      </w:r>
    </w:p>
    <w:p>
      <w:pPr>
        <w:spacing w:after="0" w:line="188"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 xml:space="preserve">The board of directors has adopted categorical standards for relationships deemed not to impair independence of non-employee directors to assist it in making determinations of independence. The categorical standards are included in our Corporate Governance Guidelines and are available on ManpowerGroup’s website at </w:t>
      </w:r>
      <w:r>
        <w:rPr>
          <w:rFonts w:ascii="Arial" w:cs="Arial" w:eastAsia="Arial" w:hAnsi="Arial"/>
          <w:sz w:val="18"/>
          <w:szCs w:val="18"/>
          <w:u w:val="single" w:color="auto"/>
          <w:color w:val="auto"/>
        </w:rPr>
        <w:t>http://investor.manpowergroup.com/documents.cfm</w:t>
      </w:r>
      <w:r>
        <w:rPr>
          <w:rFonts w:ascii="Arial" w:cs="Arial" w:eastAsia="Arial" w:hAnsi="Arial"/>
          <w:sz w:val="18"/>
          <w:szCs w:val="18"/>
          <w:color w:val="auto"/>
        </w:rPr>
        <w:t>. As required under the Corporate Governance Guidelines, our board of directors reviews and determines the independence of all directors on an annual basis.</w:t>
      </w:r>
    </w:p>
    <w:p>
      <w:pPr>
        <w:spacing w:after="0" w:line="13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making its independence determinations, the nominating and governance committee evaluates the various commercial and employment transactions and relationships known to the committee that exist between ManpowerGroup and the entities with which certain of our directors or members of their immediate families are, or have been, affiliated. The nominating and governance committee also reviews any other relevant facts and circumstances regarding the nature of these relationships to determine whether other factors, regardless of the categorical standards, might compromise a director’s independence.</w:t>
      </w:r>
    </w:p>
    <w:p>
      <w:pPr>
        <w:spacing w:after="0" w:line="122"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 board of directors has determined that twelve of thirteen of the current directors of ManpowerGroup are independent under the listing standards of the New York Stock Exchange after taking into account the categorical standards and the following:</w:t>
      </w:r>
    </w:p>
    <w:p>
      <w:pPr>
        <w:spacing w:after="0" w:line="129" w:lineRule="exact"/>
        <w:rPr>
          <w:sz w:val="20"/>
          <w:szCs w:val="20"/>
          <w:color w:val="auto"/>
        </w:rPr>
      </w:pPr>
    </w:p>
    <w:p>
      <w:pPr>
        <w:ind w:left="440" w:right="260" w:hanging="324"/>
        <w:spacing w:after="0" w:line="246" w:lineRule="auto"/>
        <w:tabs>
          <w:tab w:leader="none" w:pos="440" w:val="left"/>
        </w:tabs>
        <w:numPr>
          <w:ilvl w:val="0"/>
          <w:numId w:val="11"/>
        </w:numPr>
        <w:rPr>
          <w:rFonts w:ascii="Arial" w:cs="Arial" w:eastAsia="Arial" w:hAnsi="Arial"/>
          <w:sz w:val="18"/>
          <w:szCs w:val="18"/>
          <w:color w:val="5D89B4"/>
        </w:rPr>
      </w:pPr>
      <w:r>
        <w:rPr>
          <w:rFonts w:ascii="Arial" w:cs="Arial" w:eastAsia="Arial" w:hAnsi="Arial"/>
          <w:sz w:val="18"/>
          <w:szCs w:val="18"/>
          <w:color w:val="auto"/>
        </w:rPr>
        <w:t>Ms. Boswell is Executive Vice President, General Manager U.K. &amp; Ireland at Unilever, which has engaged ManpowerGroup to provide services to the company.</w:t>
      </w:r>
    </w:p>
    <w:p>
      <w:pPr>
        <w:spacing w:after="0" w:line="61" w:lineRule="exact"/>
        <w:rPr>
          <w:rFonts w:ascii="Arial" w:cs="Arial" w:eastAsia="Arial" w:hAnsi="Arial"/>
          <w:sz w:val="18"/>
          <w:szCs w:val="18"/>
          <w:color w:val="5D89B4"/>
        </w:rPr>
      </w:pPr>
    </w:p>
    <w:p>
      <w:pPr>
        <w:ind w:left="440" w:right="660" w:hanging="324"/>
        <w:spacing w:after="0" w:line="246" w:lineRule="auto"/>
        <w:tabs>
          <w:tab w:leader="none" w:pos="440" w:val="left"/>
        </w:tabs>
        <w:numPr>
          <w:ilvl w:val="0"/>
          <w:numId w:val="11"/>
        </w:numPr>
        <w:rPr>
          <w:rFonts w:ascii="Arial" w:cs="Arial" w:eastAsia="Arial" w:hAnsi="Arial"/>
          <w:sz w:val="18"/>
          <w:szCs w:val="18"/>
          <w:color w:val="5D89B4"/>
        </w:rPr>
      </w:pPr>
      <w:r>
        <w:rPr>
          <w:rFonts w:ascii="Arial" w:cs="Arial" w:eastAsia="Arial" w:hAnsi="Arial"/>
          <w:sz w:val="18"/>
          <w:szCs w:val="18"/>
          <w:color w:val="auto"/>
        </w:rPr>
        <w:t>Ms. Hemingway Hall is the former President and Chief Executive Officer of Health Care Service Corporation, which has engaged ManpowerGroup to provide services to the company.</w:t>
      </w:r>
    </w:p>
    <w:p>
      <w:pPr>
        <w:spacing w:after="0" w:line="61" w:lineRule="exact"/>
        <w:rPr>
          <w:rFonts w:ascii="Arial" w:cs="Arial" w:eastAsia="Arial" w:hAnsi="Arial"/>
          <w:sz w:val="18"/>
          <w:szCs w:val="18"/>
          <w:color w:val="5D89B4"/>
        </w:rPr>
      </w:pPr>
    </w:p>
    <w:p>
      <w:pPr>
        <w:ind w:left="440" w:right="20" w:hanging="324"/>
        <w:spacing w:after="0"/>
        <w:tabs>
          <w:tab w:leader="none" w:pos="440" w:val="left"/>
        </w:tabs>
        <w:numPr>
          <w:ilvl w:val="0"/>
          <w:numId w:val="11"/>
        </w:numPr>
        <w:rPr>
          <w:rFonts w:ascii="Arial" w:cs="Arial" w:eastAsia="Arial" w:hAnsi="Arial"/>
          <w:sz w:val="18"/>
          <w:szCs w:val="18"/>
          <w:color w:val="5D89B4"/>
        </w:rPr>
      </w:pPr>
      <w:r>
        <w:rPr>
          <w:rFonts w:ascii="Arial" w:cs="Arial" w:eastAsia="Arial" w:hAnsi="Arial"/>
          <w:sz w:val="18"/>
          <w:szCs w:val="18"/>
          <w:color w:val="auto"/>
        </w:rPr>
        <w:t>Mr. Downe is the President and Chief Executive Officer of BMO Financial Group, and one of its subsidiaries, BMO Harris Bank, is a party to the syndicate of banks in ManpowerGroup’s $600 million revolving credit facility, which was entered into in the ordinary course of business. In addition, BMO Financial Group has engaged ManpowerGroup to provide services to the company.</w:t>
      </w:r>
    </w:p>
    <w:p>
      <w:pPr>
        <w:spacing w:after="0" w:line="67" w:lineRule="exact"/>
        <w:rPr>
          <w:rFonts w:ascii="Arial" w:cs="Arial" w:eastAsia="Arial" w:hAnsi="Arial"/>
          <w:sz w:val="18"/>
          <w:szCs w:val="18"/>
          <w:color w:val="5D89B4"/>
        </w:rPr>
      </w:pPr>
    </w:p>
    <w:p>
      <w:pPr>
        <w:ind w:left="440" w:hanging="324"/>
        <w:spacing w:after="0"/>
        <w:tabs>
          <w:tab w:leader="none" w:pos="440" w:val="left"/>
        </w:tabs>
        <w:numPr>
          <w:ilvl w:val="0"/>
          <w:numId w:val="11"/>
        </w:numPr>
        <w:rPr>
          <w:rFonts w:ascii="Arial" w:cs="Arial" w:eastAsia="Arial" w:hAnsi="Arial"/>
          <w:sz w:val="18"/>
          <w:szCs w:val="18"/>
          <w:color w:val="5D89B4"/>
        </w:rPr>
      </w:pPr>
      <w:r>
        <w:rPr>
          <w:rFonts w:ascii="Arial" w:cs="Arial" w:eastAsia="Arial" w:hAnsi="Arial"/>
          <w:sz w:val="18"/>
          <w:szCs w:val="18"/>
          <w:color w:val="auto"/>
        </w:rPr>
        <w:t>Mr. Mendoza is a director of the Western Union Company which has engaged ManpowerGroup to provide services to the company.</w:t>
      </w:r>
    </w:p>
    <w:p>
      <w:pPr>
        <w:spacing w:after="0" w:line="76" w:lineRule="exact"/>
        <w:rPr>
          <w:rFonts w:ascii="Arial" w:cs="Arial" w:eastAsia="Arial" w:hAnsi="Arial"/>
          <w:sz w:val="18"/>
          <w:szCs w:val="18"/>
          <w:color w:val="5D89B4"/>
        </w:rPr>
      </w:pPr>
    </w:p>
    <w:p>
      <w:pPr>
        <w:ind w:left="440" w:right="540" w:hanging="324"/>
        <w:spacing w:after="0" w:line="246" w:lineRule="auto"/>
        <w:tabs>
          <w:tab w:leader="none" w:pos="440" w:val="left"/>
        </w:tabs>
        <w:numPr>
          <w:ilvl w:val="0"/>
          <w:numId w:val="11"/>
        </w:numPr>
        <w:rPr>
          <w:rFonts w:ascii="Arial" w:cs="Arial" w:eastAsia="Arial" w:hAnsi="Arial"/>
          <w:sz w:val="18"/>
          <w:szCs w:val="18"/>
          <w:color w:val="5D89B4"/>
        </w:rPr>
      </w:pPr>
      <w:r>
        <w:rPr>
          <w:rFonts w:ascii="Arial" w:cs="Arial" w:eastAsia="Arial" w:hAnsi="Arial"/>
          <w:sz w:val="18"/>
          <w:szCs w:val="18"/>
          <w:color w:val="auto"/>
        </w:rPr>
        <w:t>Mr. Read is the former President and Chief Operating Officer of Ingram Micro, Inc. which has engaged ManpowerGroup to provide services to the company.</w:t>
      </w:r>
    </w:p>
    <w:p>
      <w:pPr>
        <w:spacing w:after="0" w:line="61" w:lineRule="exact"/>
        <w:rPr>
          <w:rFonts w:ascii="Arial" w:cs="Arial" w:eastAsia="Arial" w:hAnsi="Arial"/>
          <w:sz w:val="18"/>
          <w:szCs w:val="18"/>
          <w:color w:val="5D89B4"/>
        </w:rPr>
      </w:pPr>
    </w:p>
    <w:p>
      <w:pPr>
        <w:ind w:left="440" w:right="400" w:hanging="324"/>
        <w:spacing w:after="0" w:line="246" w:lineRule="auto"/>
        <w:tabs>
          <w:tab w:leader="none" w:pos="440" w:val="left"/>
        </w:tabs>
        <w:numPr>
          <w:ilvl w:val="0"/>
          <w:numId w:val="11"/>
        </w:numPr>
        <w:rPr>
          <w:rFonts w:ascii="Arial" w:cs="Arial" w:eastAsia="Arial" w:hAnsi="Arial"/>
          <w:sz w:val="18"/>
          <w:szCs w:val="18"/>
          <w:color w:val="5D89B4"/>
        </w:rPr>
      </w:pPr>
      <w:r>
        <w:rPr>
          <w:rFonts w:ascii="Arial" w:cs="Arial" w:eastAsia="Arial" w:hAnsi="Arial"/>
          <w:sz w:val="18"/>
          <w:szCs w:val="18"/>
          <w:color w:val="auto"/>
        </w:rPr>
        <w:t>Mr. Payne is a trustee and Mr. Zore is a former trustee of Northwestern Mutual. Northwestern Mutual and certain of its affiliates have engaged ManpowerGroup to provide services to the company.</w:t>
      </w:r>
    </w:p>
    <w:p>
      <w:pPr>
        <w:spacing w:after="0" w:line="129"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The independent directors are Ms. Boswell, Ms. Dominguez, Mr. Downe, Mr. Ferraro, Ms. Howard, Ms. Hemingway Hall, Mr. Mendoza, Mr. Payne, Mr. Read, Ms. Sartain, Mr. Walter and Mr. Zore.</w:t>
      </w:r>
    </w:p>
    <w:p>
      <w:pPr>
        <w:spacing w:after="0" w:line="129"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nominating and governance committee will evaluate eligible shareholder-nominated candidates for election to the board of directors in accordance with the procedures described in ManpowerGroup’s bylaws and in accordance with the guidelines and considerations relating to the selection of candidates for membership on the board of directors described under the heading “Board Composition and Qualifications of Board Members.”</w:t>
      </w:r>
    </w:p>
    <w:p>
      <w:pPr>
        <w:spacing w:after="0" w:line="121"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ManpowerGroup does not have a policy regarding board members’ attendance at the annual meeting of shareholders. All of the directors attended the 2016 annual meeting of shareholders, except Ms. Howard who was not a director at the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Any interested party who wishes to communicate directly with the lead director or with the non-management directors as a group may do so by calling 1-800-210-3458. The third-party service provider that monitors this telephone number will forward a summary of all communications directed to the non-management directors to the lead director.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12</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9500"/>
        <w:spacing w:after="0"/>
        <w:rPr>
          <w:sz w:val="20"/>
          <w:szCs w:val="20"/>
          <w:color w:val="auto"/>
        </w:rPr>
      </w:pPr>
      <w:r>
        <w:rPr>
          <w:rFonts w:ascii="Arial" w:cs="Arial" w:eastAsia="Arial" w:hAnsi="Arial"/>
          <w:sz w:val="18"/>
          <w:szCs w:val="18"/>
          <w:color w:val="FFFFFF"/>
        </w:rPr>
        <w:t>1. Election of Directors</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Meetings and Committees of the Board</w:t>
      </w:r>
    </w:p>
    <w:p>
      <w:pPr>
        <w:spacing w:after="0" w:line="188"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 xml:space="preserve">The board of directors has standing audit, executive compensation and human resources, and nominating and governance committees. The board of directors has adopted written charters for these committees, which are available on ManpowerGroup’s web site at </w:t>
      </w:r>
      <w:r>
        <w:rPr>
          <w:rFonts w:ascii="Arial" w:cs="Arial" w:eastAsia="Arial" w:hAnsi="Arial"/>
          <w:sz w:val="18"/>
          <w:szCs w:val="18"/>
          <w:u w:val="single" w:color="auto"/>
          <w:color w:val="auto"/>
        </w:rPr>
        <w:t>http://investor.manpowergroup.com/documents.cfm</w:t>
      </w:r>
      <w:r>
        <w:rPr>
          <w:rFonts w:ascii="Arial" w:cs="Arial" w:eastAsia="Arial" w:hAnsi="Arial"/>
          <w:sz w:val="18"/>
          <w:szCs w:val="18"/>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current members of each of the Committees and the number of meetings held during 2016: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820" w:type="dxa"/>
            <w:vAlign w:val="bottom"/>
            <w:tcBorders>
              <w:top w:val="single" w:sz="8" w:color="auto"/>
            </w:tcBorders>
            <w:shd w:val="clear" w:color="auto" w:fill="9DB8D2"/>
          </w:tcPr>
          <w:p>
            <w:pPr>
              <w:spacing w:after="0"/>
              <w:rPr>
                <w:sz w:val="22"/>
                <w:szCs w:val="22"/>
                <w:color w:val="auto"/>
              </w:rPr>
            </w:pPr>
          </w:p>
        </w:tc>
        <w:tc>
          <w:tcPr>
            <w:tcW w:w="1660" w:type="dxa"/>
            <w:vAlign w:val="bottom"/>
            <w:tcBorders>
              <w:top w:val="single" w:sz="8" w:color="auto"/>
            </w:tcBorders>
            <w:shd w:val="clear" w:color="auto" w:fill="9DB8D2"/>
          </w:tcPr>
          <w:p>
            <w:pPr>
              <w:spacing w:after="0"/>
              <w:rPr>
                <w:sz w:val="22"/>
                <w:szCs w:val="22"/>
                <w:color w:val="auto"/>
              </w:rPr>
            </w:pPr>
          </w:p>
        </w:tc>
        <w:tc>
          <w:tcPr>
            <w:tcW w:w="232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Executive</w:t>
            </w:r>
          </w:p>
        </w:tc>
        <w:tc>
          <w:tcPr>
            <w:tcW w:w="1620" w:type="dxa"/>
            <w:vAlign w:val="bottom"/>
            <w:tcBorders>
              <w:top w:val="single" w:sz="8" w:color="auto"/>
            </w:tcBorders>
            <w:shd w:val="clear" w:color="auto" w:fill="9DB8D2"/>
          </w:tcPr>
          <w:p>
            <w:pPr>
              <w:spacing w:after="0"/>
              <w:rPr>
                <w:sz w:val="22"/>
                <w:szCs w:val="22"/>
                <w:color w:val="auto"/>
              </w:rPr>
            </w:pPr>
          </w:p>
        </w:tc>
      </w:tr>
      <w:tr>
        <w:trPr>
          <w:trHeight w:val="162"/>
        </w:trPr>
        <w:tc>
          <w:tcPr>
            <w:tcW w:w="5820" w:type="dxa"/>
            <w:vAlign w:val="bottom"/>
            <w:shd w:val="clear" w:color="auto" w:fill="9DB8D2"/>
          </w:tcPr>
          <w:p>
            <w:pPr>
              <w:spacing w:after="0"/>
              <w:rPr>
                <w:sz w:val="14"/>
                <w:szCs w:val="14"/>
                <w:color w:val="auto"/>
              </w:rPr>
            </w:pPr>
          </w:p>
        </w:tc>
        <w:tc>
          <w:tcPr>
            <w:tcW w:w="1660" w:type="dxa"/>
            <w:vAlign w:val="bottom"/>
            <w:shd w:val="clear" w:color="auto" w:fill="9DB8D2"/>
          </w:tcPr>
          <w:p>
            <w:pPr>
              <w:spacing w:after="0"/>
              <w:rPr>
                <w:sz w:val="14"/>
                <w:szCs w:val="14"/>
                <w:color w:val="auto"/>
              </w:rPr>
            </w:pPr>
          </w:p>
        </w:tc>
        <w:tc>
          <w:tcPr>
            <w:tcW w:w="23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Compensation &amp;</w:t>
            </w:r>
          </w:p>
        </w:tc>
        <w:tc>
          <w:tcPr>
            <w:tcW w:w="1620" w:type="dxa"/>
            <w:vAlign w:val="bottom"/>
            <w:shd w:val="clear" w:color="auto" w:fill="9DB8D2"/>
          </w:tcPr>
          <w:p>
            <w:pPr>
              <w:jc w:val="center"/>
              <w:ind w:left="281"/>
              <w:spacing w:after="0"/>
              <w:rPr>
                <w:sz w:val="20"/>
                <w:szCs w:val="20"/>
                <w:color w:val="auto"/>
              </w:rPr>
            </w:pPr>
            <w:r>
              <w:rPr>
                <w:rFonts w:ascii="Arial" w:cs="Arial" w:eastAsia="Arial" w:hAnsi="Arial"/>
                <w:sz w:val="14"/>
                <w:szCs w:val="14"/>
                <w:b w:val="1"/>
                <w:bCs w:val="1"/>
                <w:color w:val="auto"/>
              </w:rPr>
              <w:t>Nominating &amp;</w:t>
            </w:r>
          </w:p>
        </w:tc>
      </w:tr>
      <w:tr>
        <w:trPr>
          <w:trHeight w:val="189"/>
        </w:trPr>
        <w:tc>
          <w:tcPr>
            <w:tcW w:w="5820" w:type="dxa"/>
            <w:vAlign w:val="bottom"/>
            <w:tcBorders>
              <w:bottom w:val="single" w:sz="8" w:color="auto"/>
            </w:tcBorders>
            <w:shd w:val="clear" w:color="auto" w:fill="9DB8D2"/>
          </w:tcPr>
          <w:p>
            <w:pPr>
              <w:spacing w:after="0"/>
              <w:rPr>
                <w:sz w:val="16"/>
                <w:szCs w:val="16"/>
                <w:color w:val="auto"/>
              </w:rPr>
            </w:pPr>
          </w:p>
        </w:tc>
        <w:tc>
          <w:tcPr>
            <w:tcW w:w="1660" w:type="dxa"/>
            <w:vAlign w:val="bottom"/>
            <w:tcBorders>
              <w:bottom w:val="single" w:sz="8" w:color="auto"/>
            </w:tcBorders>
            <w:shd w:val="clear" w:color="auto" w:fill="9DB8D2"/>
          </w:tcPr>
          <w:p>
            <w:pPr>
              <w:ind w:left="740"/>
              <w:spacing w:after="0"/>
              <w:rPr>
                <w:sz w:val="20"/>
                <w:szCs w:val="20"/>
                <w:color w:val="auto"/>
              </w:rPr>
            </w:pPr>
            <w:r>
              <w:rPr>
                <w:rFonts w:ascii="Arial" w:cs="Arial" w:eastAsia="Arial" w:hAnsi="Arial"/>
                <w:sz w:val="14"/>
                <w:szCs w:val="14"/>
                <w:b w:val="1"/>
                <w:bCs w:val="1"/>
                <w:color w:val="auto"/>
              </w:rPr>
              <w:t>Audit</w:t>
            </w:r>
          </w:p>
        </w:tc>
        <w:tc>
          <w:tcPr>
            <w:tcW w:w="232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Human Resources</w:t>
            </w:r>
          </w:p>
        </w:tc>
        <w:tc>
          <w:tcPr>
            <w:tcW w:w="1620" w:type="dxa"/>
            <w:vAlign w:val="bottom"/>
            <w:tcBorders>
              <w:bottom w:val="single" w:sz="8" w:color="auto"/>
            </w:tcBorders>
            <w:shd w:val="clear" w:color="auto" w:fill="9DB8D2"/>
          </w:tcPr>
          <w:p>
            <w:pPr>
              <w:jc w:val="center"/>
              <w:ind w:left="261"/>
              <w:spacing w:after="0"/>
              <w:rPr>
                <w:sz w:val="20"/>
                <w:szCs w:val="20"/>
                <w:color w:val="auto"/>
              </w:rPr>
            </w:pPr>
            <w:r>
              <w:rPr>
                <w:rFonts w:ascii="Arial" w:cs="Arial" w:eastAsia="Arial" w:hAnsi="Arial"/>
                <w:sz w:val="14"/>
                <w:szCs w:val="14"/>
                <w:b w:val="1"/>
                <w:bCs w:val="1"/>
                <w:color w:val="auto"/>
              </w:rPr>
              <w:t>Governance</w:t>
            </w:r>
          </w:p>
        </w:tc>
      </w:tr>
      <w:tr>
        <w:trPr>
          <w:trHeight w:val="196"/>
        </w:trPr>
        <w:tc>
          <w:tcPr>
            <w:tcW w:w="5820" w:type="dxa"/>
            <w:vAlign w:val="bottom"/>
            <w:shd w:val="clear" w:color="auto" w:fill="E6EDF3"/>
          </w:tcPr>
          <w:p>
            <w:pPr>
              <w:ind w:left="80"/>
              <w:spacing w:after="0"/>
              <w:rPr>
                <w:sz w:val="20"/>
                <w:szCs w:val="20"/>
                <w:color w:val="auto"/>
              </w:rPr>
            </w:pPr>
            <w:r>
              <w:rPr>
                <w:rFonts w:ascii="Arial" w:cs="Arial" w:eastAsia="Arial" w:hAnsi="Arial"/>
                <w:sz w:val="16"/>
                <w:szCs w:val="16"/>
                <w:color w:val="auto"/>
              </w:rPr>
              <w:t>Gina R. Boswell</w:t>
            </w:r>
          </w:p>
        </w:tc>
        <w:tc>
          <w:tcPr>
            <w:tcW w:w="1660" w:type="dxa"/>
            <w:vAlign w:val="bottom"/>
            <w:shd w:val="clear" w:color="auto" w:fill="E6EDF3"/>
          </w:tcPr>
          <w:p>
            <w:pPr>
              <w:ind w:left="740"/>
              <w:spacing w:after="0"/>
              <w:rPr>
                <w:sz w:val="20"/>
                <w:szCs w:val="20"/>
                <w:color w:val="auto"/>
              </w:rPr>
            </w:pPr>
            <w:r>
              <w:rPr>
                <w:rFonts w:ascii="Arial" w:cs="Arial" w:eastAsia="Arial" w:hAnsi="Arial"/>
                <w:sz w:val="16"/>
                <w:szCs w:val="16"/>
                <w:color w:val="auto"/>
              </w:rPr>
              <w:t>Chair</w:t>
            </w:r>
          </w:p>
        </w:tc>
        <w:tc>
          <w:tcPr>
            <w:tcW w:w="2320" w:type="dxa"/>
            <w:vAlign w:val="bottom"/>
            <w:shd w:val="clear" w:color="auto" w:fill="E6EDF3"/>
          </w:tcPr>
          <w:p>
            <w:pPr>
              <w:spacing w:after="0"/>
              <w:rPr>
                <w:sz w:val="17"/>
                <w:szCs w:val="17"/>
                <w:color w:val="auto"/>
              </w:rPr>
            </w:pPr>
          </w:p>
        </w:tc>
        <w:tc>
          <w:tcPr>
            <w:tcW w:w="1620" w:type="dxa"/>
            <w:vAlign w:val="bottom"/>
            <w:shd w:val="clear" w:color="auto" w:fill="E6EDF3"/>
          </w:tcPr>
          <w:p>
            <w:pPr>
              <w:jc w:val="center"/>
              <w:ind w:left="281"/>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5820" w:type="dxa"/>
            <w:vAlign w:val="bottom"/>
          </w:tcPr>
          <w:p>
            <w:pPr>
              <w:ind w:left="80"/>
              <w:spacing w:after="0"/>
              <w:rPr>
                <w:sz w:val="20"/>
                <w:szCs w:val="20"/>
                <w:color w:val="auto"/>
              </w:rPr>
            </w:pPr>
            <w:r>
              <w:rPr>
                <w:rFonts w:ascii="Arial" w:cs="Arial" w:eastAsia="Arial" w:hAnsi="Arial"/>
                <w:sz w:val="16"/>
                <w:szCs w:val="16"/>
                <w:color w:val="auto"/>
              </w:rPr>
              <w:t>Cari M. Dominguez</w:t>
            </w:r>
          </w:p>
        </w:tc>
        <w:tc>
          <w:tcPr>
            <w:tcW w:w="1660" w:type="dxa"/>
            <w:vAlign w:val="bottom"/>
          </w:tcPr>
          <w:p>
            <w:pPr>
              <w:spacing w:after="0"/>
              <w:rPr>
                <w:sz w:val="17"/>
                <w:szCs w:val="17"/>
                <w:color w:val="auto"/>
              </w:rPr>
            </w:pPr>
          </w:p>
        </w:tc>
        <w:tc>
          <w:tcPr>
            <w:tcW w:w="23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620" w:type="dxa"/>
            <w:vAlign w:val="bottom"/>
          </w:tcPr>
          <w:p>
            <w:pPr>
              <w:spacing w:after="0"/>
              <w:rPr>
                <w:sz w:val="17"/>
                <w:szCs w:val="17"/>
                <w:color w:val="auto"/>
              </w:rPr>
            </w:pPr>
          </w:p>
        </w:tc>
      </w:tr>
      <w:tr>
        <w:trPr>
          <w:trHeight w:val="203"/>
        </w:trPr>
        <w:tc>
          <w:tcPr>
            <w:tcW w:w="5820" w:type="dxa"/>
            <w:vAlign w:val="bottom"/>
            <w:shd w:val="clear" w:color="auto" w:fill="E6EDF3"/>
          </w:tcPr>
          <w:p>
            <w:pPr>
              <w:ind w:left="80"/>
              <w:spacing w:after="0"/>
              <w:rPr>
                <w:sz w:val="20"/>
                <w:szCs w:val="20"/>
                <w:color w:val="auto"/>
              </w:rPr>
            </w:pPr>
            <w:r>
              <w:rPr>
                <w:rFonts w:ascii="Arial" w:cs="Arial" w:eastAsia="Arial" w:hAnsi="Arial"/>
                <w:sz w:val="16"/>
                <w:szCs w:val="16"/>
                <w:color w:val="auto"/>
              </w:rPr>
              <w:t>William Downe</w:t>
            </w:r>
          </w:p>
        </w:tc>
        <w:tc>
          <w:tcPr>
            <w:tcW w:w="1660" w:type="dxa"/>
            <w:vAlign w:val="bottom"/>
            <w:shd w:val="clear" w:color="auto" w:fill="E6EDF3"/>
          </w:tcPr>
          <w:p>
            <w:pPr>
              <w:spacing w:after="0"/>
              <w:rPr>
                <w:sz w:val="17"/>
                <w:szCs w:val="17"/>
                <w:color w:val="auto"/>
              </w:rPr>
            </w:pPr>
          </w:p>
        </w:tc>
        <w:tc>
          <w:tcPr>
            <w:tcW w:w="2320" w:type="dxa"/>
            <w:vAlign w:val="bottom"/>
            <w:shd w:val="clear" w:color="auto" w:fill="E6EDF3"/>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620" w:type="dxa"/>
            <w:vAlign w:val="bottom"/>
            <w:shd w:val="clear" w:color="auto" w:fill="E6EDF3"/>
          </w:tcPr>
          <w:p>
            <w:pPr>
              <w:spacing w:after="0"/>
              <w:rPr>
                <w:sz w:val="17"/>
                <w:szCs w:val="17"/>
                <w:color w:val="auto"/>
              </w:rPr>
            </w:pPr>
          </w:p>
        </w:tc>
      </w:tr>
      <w:tr>
        <w:trPr>
          <w:trHeight w:val="203"/>
        </w:trPr>
        <w:tc>
          <w:tcPr>
            <w:tcW w:w="5820" w:type="dxa"/>
            <w:vAlign w:val="bottom"/>
          </w:tcPr>
          <w:p>
            <w:pPr>
              <w:ind w:left="80"/>
              <w:spacing w:after="0"/>
              <w:rPr>
                <w:sz w:val="20"/>
                <w:szCs w:val="20"/>
                <w:color w:val="auto"/>
              </w:rPr>
            </w:pPr>
            <w:r>
              <w:rPr>
                <w:rFonts w:ascii="Arial" w:cs="Arial" w:eastAsia="Arial" w:hAnsi="Arial"/>
                <w:sz w:val="16"/>
                <w:szCs w:val="16"/>
                <w:color w:val="auto"/>
              </w:rPr>
              <w:t>John F. Ferraro</w:t>
            </w:r>
          </w:p>
        </w:tc>
        <w:tc>
          <w:tcPr>
            <w:tcW w:w="1660" w:type="dxa"/>
            <w:vAlign w:val="bottom"/>
          </w:tcPr>
          <w:p>
            <w:pPr>
              <w:jc w:val="center"/>
              <w:ind w:left="120"/>
              <w:spacing w:after="0" w:line="161" w:lineRule="exact"/>
              <w:rPr>
                <w:sz w:val="20"/>
                <w:szCs w:val="20"/>
                <w:color w:val="auto"/>
              </w:rPr>
            </w:pPr>
            <w:r>
              <w:rPr>
                <w:rFonts w:ascii="MS PGothic" w:cs="MS PGothic" w:eastAsia="MS PGothic" w:hAnsi="MS PGothic"/>
                <w:sz w:val="16"/>
                <w:szCs w:val="16"/>
                <w:color w:val="auto"/>
                <w:w w:val="87"/>
              </w:rPr>
              <w:t>✓</w:t>
            </w:r>
          </w:p>
        </w:tc>
        <w:tc>
          <w:tcPr>
            <w:tcW w:w="23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5820" w:type="dxa"/>
            <w:vAlign w:val="bottom"/>
            <w:shd w:val="clear" w:color="auto" w:fill="E6EDF3"/>
          </w:tcPr>
          <w:p>
            <w:pPr>
              <w:ind w:left="80"/>
              <w:spacing w:after="0"/>
              <w:rPr>
                <w:sz w:val="20"/>
                <w:szCs w:val="20"/>
                <w:color w:val="auto"/>
              </w:rPr>
            </w:pPr>
            <w:r>
              <w:rPr>
                <w:rFonts w:ascii="Arial" w:cs="Arial" w:eastAsia="Arial" w:hAnsi="Arial"/>
                <w:sz w:val="16"/>
                <w:szCs w:val="16"/>
                <w:color w:val="auto"/>
              </w:rPr>
              <w:t>Patricia Hemingway Hall</w:t>
            </w:r>
          </w:p>
        </w:tc>
        <w:tc>
          <w:tcPr>
            <w:tcW w:w="1660" w:type="dxa"/>
            <w:vAlign w:val="bottom"/>
            <w:shd w:val="clear" w:color="auto" w:fill="E6EDF3"/>
          </w:tcPr>
          <w:p>
            <w:pPr>
              <w:jc w:val="center"/>
              <w:ind w:left="120"/>
              <w:spacing w:after="0" w:line="161" w:lineRule="exact"/>
              <w:rPr>
                <w:sz w:val="20"/>
                <w:szCs w:val="20"/>
                <w:color w:val="auto"/>
              </w:rPr>
            </w:pPr>
            <w:r>
              <w:rPr>
                <w:rFonts w:ascii="MS PGothic" w:cs="MS PGothic" w:eastAsia="MS PGothic" w:hAnsi="MS PGothic"/>
                <w:sz w:val="16"/>
                <w:szCs w:val="16"/>
                <w:color w:val="auto"/>
                <w:w w:val="87"/>
              </w:rPr>
              <w:t>✓</w:t>
            </w:r>
          </w:p>
        </w:tc>
        <w:tc>
          <w:tcPr>
            <w:tcW w:w="2320" w:type="dxa"/>
            <w:vAlign w:val="bottom"/>
            <w:shd w:val="clear" w:color="auto" w:fill="E6EDF3"/>
          </w:tcPr>
          <w:p>
            <w:pPr>
              <w:spacing w:after="0"/>
              <w:rPr>
                <w:sz w:val="17"/>
                <w:szCs w:val="17"/>
                <w:color w:val="auto"/>
              </w:rPr>
            </w:pPr>
          </w:p>
        </w:tc>
        <w:tc>
          <w:tcPr>
            <w:tcW w:w="1620" w:type="dxa"/>
            <w:vAlign w:val="bottom"/>
            <w:shd w:val="clear" w:color="auto" w:fill="E6EDF3"/>
          </w:tcPr>
          <w:p>
            <w:pPr>
              <w:spacing w:after="0"/>
              <w:rPr>
                <w:sz w:val="17"/>
                <w:szCs w:val="17"/>
                <w:color w:val="auto"/>
              </w:rPr>
            </w:pPr>
          </w:p>
        </w:tc>
      </w:tr>
      <w:tr>
        <w:trPr>
          <w:trHeight w:val="203"/>
        </w:trPr>
        <w:tc>
          <w:tcPr>
            <w:tcW w:w="5820" w:type="dxa"/>
            <w:vAlign w:val="bottom"/>
          </w:tcPr>
          <w:p>
            <w:pPr>
              <w:ind w:left="80"/>
              <w:spacing w:after="0"/>
              <w:rPr>
                <w:sz w:val="20"/>
                <w:szCs w:val="20"/>
                <w:color w:val="auto"/>
              </w:rPr>
            </w:pPr>
            <w:r>
              <w:rPr>
                <w:rFonts w:ascii="Arial" w:cs="Arial" w:eastAsia="Arial" w:hAnsi="Arial"/>
                <w:sz w:val="16"/>
                <w:szCs w:val="16"/>
                <w:color w:val="auto"/>
              </w:rPr>
              <w:t>Julie M. Howard(1)</w:t>
            </w:r>
          </w:p>
        </w:tc>
        <w:tc>
          <w:tcPr>
            <w:tcW w:w="16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20" w:type="dxa"/>
            <w:vAlign w:val="bottom"/>
          </w:tcPr>
          <w:p>
            <w:pPr>
              <w:jc w:val="center"/>
              <w:ind w:left="281"/>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5820" w:type="dxa"/>
            <w:vAlign w:val="bottom"/>
            <w:shd w:val="clear" w:color="auto" w:fill="E6EDF3"/>
          </w:tcPr>
          <w:p>
            <w:pPr>
              <w:ind w:left="80"/>
              <w:spacing w:after="0"/>
              <w:rPr>
                <w:sz w:val="20"/>
                <w:szCs w:val="20"/>
                <w:color w:val="auto"/>
              </w:rPr>
            </w:pPr>
            <w:r>
              <w:rPr>
                <w:rFonts w:ascii="Arial" w:cs="Arial" w:eastAsia="Arial" w:hAnsi="Arial"/>
                <w:sz w:val="16"/>
                <w:szCs w:val="16"/>
                <w:color w:val="auto"/>
              </w:rPr>
              <w:t>Roberto Mendoza</w:t>
            </w:r>
          </w:p>
        </w:tc>
        <w:tc>
          <w:tcPr>
            <w:tcW w:w="1660" w:type="dxa"/>
            <w:vAlign w:val="bottom"/>
            <w:shd w:val="clear" w:color="auto" w:fill="E6EDF3"/>
          </w:tcPr>
          <w:p>
            <w:pPr>
              <w:jc w:val="center"/>
              <w:ind w:left="120"/>
              <w:spacing w:after="0" w:line="161" w:lineRule="exact"/>
              <w:rPr>
                <w:sz w:val="20"/>
                <w:szCs w:val="20"/>
                <w:color w:val="auto"/>
              </w:rPr>
            </w:pPr>
            <w:r>
              <w:rPr>
                <w:rFonts w:ascii="MS PGothic" w:cs="MS PGothic" w:eastAsia="MS PGothic" w:hAnsi="MS PGothic"/>
                <w:sz w:val="16"/>
                <w:szCs w:val="16"/>
                <w:color w:val="auto"/>
                <w:w w:val="87"/>
              </w:rPr>
              <w:t>✓</w:t>
            </w:r>
          </w:p>
        </w:tc>
        <w:tc>
          <w:tcPr>
            <w:tcW w:w="2320" w:type="dxa"/>
            <w:vAlign w:val="bottom"/>
            <w:shd w:val="clear" w:color="auto" w:fill="E6EDF3"/>
          </w:tcPr>
          <w:p>
            <w:pPr>
              <w:spacing w:after="0"/>
              <w:rPr>
                <w:sz w:val="17"/>
                <w:szCs w:val="17"/>
                <w:color w:val="auto"/>
              </w:rPr>
            </w:pPr>
          </w:p>
        </w:tc>
        <w:tc>
          <w:tcPr>
            <w:tcW w:w="1620" w:type="dxa"/>
            <w:vAlign w:val="bottom"/>
            <w:shd w:val="clear" w:color="auto" w:fill="E6EDF3"/>
          </w:tcPr>
          <w:p>
            <w:pPr>
              <w:spacing w:after="0"/>
              <w:rPr>
                <w:sz w:val="17"/>
                <w:szCs w:val="17"/>
                <w:color w:val="auto"/>
              </w:rPr>
            </w:pPr>
          </w:p>
        </w:tc>
      </w:tr>
      <w:tr>
        <w:trPr>
          <w:trHeight w:val="203"/>
        </w:trPr>
        <w:tc>
          <w:tcPr>
            <w:tcW w:w="5820" w:type="dxa"/>
            <w:vAlign w:val="bottom"/>
          </w:tcPr>
          <w:p>
            <w:pPr>
              <w:ind w:left="80"/>
              <w:spacing w:after="0"/>
              <w:rPr>
                <w:sz w:val="20"/>
                <w:szCs w:val="20"/>
                <w:color w:val="auto"/>
              </w:rPr>
            </w:pPr>
            <w:r>
              <w:rPr>
                <w:rFonts w:ascii="Arial" w:cs="Arial" w:eastAsia="Arial" w:hAnsi="Arial"/>
                <w:sz w:val="16"/>
                <w:szCs w:val="16"/>
                <w:color w:val="auto"/>
              </w:rPr>
              <w:t>Ulice Payne, Jr.</w:t>
            </w:r>
          </w:p>
        </w:tc>
        <w:tc>
          <w:tcPr>
            <w:tcW w:w="1660" w:type="dxa"/>
            <w:vAlign w:val="bottom"/>
          </w:tcPr>
          <w:p>
            <w:pPr>
              <w:jc w:val="center"/>
              <w:ind w:left="120"/>
              <w:spacing w:after="0" w:line="161" w:lineRule="exact"/>
              <w:rPr>
                <w:sz w:val="20"/>
                <w:szCs w:val="20"/>
                <w:color w:val="auto"/>
              </w:rPr>
            </w:pPr>
            <w:r>
              <w:rPr>
                <w:rFonts w:ascii="MS PGothic" w:cs="MS PGothic" w:eastAsia="MS PGothic" w:hAnsi="MS PGothic"/>
                <w:sz w:val="16"/>
                <w:szCs w:val="16"/>
                <w:color w:val="auto"/>
                <w:w w:val="87"/>
              </w:rPr>
              <w:t>✓</w:t>
            </w:r>
          </w:p>
        </w:tc>
        <w:tc>
          <w:tcPr>
            <w:tcW w:w="2320" w:type="dxa"/>
            <w:vAlign w:val="bottom"/>
          </w:tcPr>
          <w:p>
            <w:pPr>
              <w:spacing w:after="0"/>
              <w:rPr>
                <w:sz w:val="17"/>
                <w:szCs w:val="17"/>
                <w:color w:val="auto"/>
              </w:rPr>
            </w:pPr>
          </w:p>
        </w:tc>
        <w:tc>
          <w:tcPr>
            <w:tcW w:w="1620" w:type="dxa"/>
            <w:vAlign w:val="bottom"/>
          </w:tcPr>
          <w:p>
            <w:pPr>
              <w:jc w:val="center"/>
              <w:ind w:left="281"/>
              <w:spacing w:after="0"/>
              <w:rPr>
                <w:sz w:val="20"/>
                <w:szCs w:val="20"/>
                <w:color w:val="auto"/>
              </w:rPr>
            </w:pPr>
            <w:r>
              <w:rPr>
                <w:rFonts w:ascii="Arial" w:cs="Arial" w:eastAsia="Arial" w:hAnsi="Arial"/>
                <w:sz w:val="16"/>
                <w:szCs w:val="16"/>
                <w:color w:val="auto"/>
                <w:w w:val="99"/>
              </w:rPr>
              <w:t>Chair</w:t>
            </w:r>
          </w:p>
        </w:tc>
      </w:tr>
      <w:tr>
        <w:trPr>
          <w:trHeight w:val="203"/>
        </w:trPr>
        <w:tc>
          <w:tcPr>
            <w:tcW w:w="5820" w:type="dxa"/>
            <w:vAlign w:val="bottom"/>
            <w:shd w:val="clear" w:color="auto" w:fill="E6EDF3"/>
          </w:tcPr>
          <w:p>
            <w:pPr>
              <w:ind w:left="80"/>
              <w:spacing w:after="0"/>
              <w:rPr>
                <w:sz w:val="20"/>
                <w:szCs w:val="20"/>
                <w:color w:val="auto"/>
              </w:rPr>
            </w:pPr>
            <w:r>
              <w:rPr>
                <w:rFonts w:ascii="Arial" w:cs="Arial" w:eastAsia="Arial" w:hAnsi="Arial"/>
                <w:sz w:val="16"/>
                <w:szCs w:val="16"/>
                <w:color w:val="auto"/>
              </w:rPr>
              <w:t>Paul Read</w:t>
            </w:r>
          </w:p>
        </w:tc>
        <w:tc>
          <w:tcPr>
            <w:tcW w:w="1660" w:type="dxa"/>
            <w:vAlign w:val="bottom"/>
            <w:shd w:val="clear" w:color="auto" w:fill="E6EDF3"/>
          </w:tcPr>
          <w:p>
            <w:pPr>
              <w:jc w:val="center"/>
              <w:ind w:left="120"/>
              <w:spacing w:after="0" w:line="161" w:lineRule="exact"/>
              <w:rPr>
                <w:sz w:val="20"/>
                <w:szCs w:val="20"/>
                <w:color w:val="auto"/>
              </w:rPr>
            </w:pPr>
            <w:r>
              <w:rPr>
                <w:rFonts w:ascii="MS PGothic" w:cs="MS PGothic" w:eastAsia="MS PGothic" w:hAnsi="MS PGothic"/>
                <w:sz w:val="16"/>
                <w:szCs w:val="16"/>
                <w:color w:val="auto"/>
                <w:w w:val="87"/>
              </w:rPr>
              <w:t>✓</w:t>
            </w:r>
          </w:p>
        </w:tc>
        <w:tc>
          <w:tcPr>
            <w:tcW w:w="2320" w:type="dxa"/>
            <w:vAlign w:val="bottom"/>
            <w:shd w:val="clear" w:color="auto" w:fill="E6EDF3"/>
          </w:tcPr>
          <w:p>
            <w:pPr>
              <w:spacing w:after="0"/>
              <w:rPr>
                <w:sz w:val="17"/>
                <w:szCs w:val="17"/>
                <w:color w:val="auto"/>
              </w:rPr>
            </w:pPr>
          </w:p>
        </w:tc>
        <w:tc>
          <w:tcPr>
            <w:tcW w:w="1620" w:type="dxa"/>
            <w:vAlign w:val="bottom"/>
            <w:shd w:val="clear" w:color="auto" w:fill="E6EDF3"/>
          </w:tcPr>
          <w:p>
            <w:pPr>
              <w:spacing w:after="0"/>
              <w:rPr>
                <w:sz w:val="17"/>
                <w:szCs w:val="17"/>
                <w:color w:val="auto"/>
              </w:rPr>
            </w:pPr>
          </w:p>
        </w:tc>
      </w:tr>
      <w:tr>
        <w:trPr>
          <w:trHeight w:val="203"/>
        </w:trPr>
        <w:tc>
          <w:tcPr>
            <w:tcW w:w="5820" w:type="dxa"/>
            <w:vAlign w:val="bottom"/>
          </w:tcPr>
          <w:p>
            <w:pPr>
              <w:ind w:left="80"/>
              <w:spacing w:after="0"/>
              <w:rPr>
                <w:sz w:val="20"/>
                <w:szCs w:val="20"/>
                <w:color w:val="auto"/>
              </w:rPr>
            </w:pPr>
            <w:r>
              <w:rPr>
                <w:rFonts w:ascii="Arial" w:cs="Arial" w:eastAsia="Arial" w:hAnsi="Arial"/>
                <w:sz w:val="16"/>
                <w:szCs w:val="16"/>
                <w:color w:val="auto"/>
              </w:rPr>
              <w:t>Elizabeth P. Sartain</w:t>
            </w:r>
          </w:p>
        </w:tc>
        <w:tc>
          <w:tcPr>
            <w:tcW w:w="1660" w:type="dxa"/>
            <w:vAlign w:val="bottom"/>
          </w:tcPr>
          <w:p>
            <w:pPr>
              <w:spacing w:after="0"/>
              <w:rPr>
                <w:sz w:val="17"/>
                <w:szCs w:val="17"/>
                <w:color w:val="auto"/>
              </w:rPr>
            </w:pPr>
          </w:p>
        </w:tc>
        <w:tc>
          <w:tcPr>
            <w:tcW w:w="23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620" w:type="dxa"/>
            <w:vAlign w:val="bottom"/>
          </w:tcPr>
          <w:p>
            <w:pPr>
              <w:spacing w:after="0"/>
              <w:rPr>
                <w:sz w:val="17"/>
                <w:szCs w:val="17"/>
                <w:color w:val="auto"/>
              </w:rPr>
            </w:pPr>
          </w:p>
        </w:tc>
      </w:tr>
      <w:tr>
        <w:trPr>
          <w:trHeight w:val="203"/>
        </w:trPr>
        <w:tc>
          <w:tcPr>
            <w:tcW w:w="5820" w:type="dxa"/>
            <w:vAlign w:val="bottom"/>
            <w:shd w:val="clear" w:color="auto" w:fill="E6EDF3"/>
          </w:tcPr>
          <w:p>
            <w:pPr>
              <w:ind w:left="80"/>
              <w:spacing w:after="0"/>
              <w:rPr>
                <w:sz w:val="20"/>
                <w:szCs w:val="20"/>
                <w:color w:val="auto"/>
              </w:rPr>
            </w:pPr>
            <w:r>
              <w:rPr>
                <w:rFonts w:ascii="Arial" w:cs="Arial" w:eastAsia="Arial" w:hAnsi="Arial"/>
                <w:sz w:val="16"/>
                <w:szCs w:val="16"/>
                <w:color w:val="auto"/>
              </w:rPr>
              <w:t>John R. Walter</w:t>
            </w:r>
          </w:p>
        </w:tc>
        <w:tc>
          <w:tcPr>
            <w:tcW w:w="1660" w:type="dxa"/>
            <w:vAlign w:val="bottom"/>
            <w:shd w:val="clear" w:color="auto" w:fill="E6EDF3"/>
          </w:tcPr>
          <w:p>
            <w:pPr>
              <w:spacing w:after="0"/>
              <w:rPr>
                <w:sz w:val="17"/>
                <w:szCs w:val="17"/>
                <w:color w:val="auto"/>
              </w:rPr>
            </w:pPr>
          </w:p>
        </w:tc>
        <w:tc>
          <w:tcPr>
            <w:tcW w:w="2320" w:type="dxa"/>
            <w:vAlign w:val="bottom"/>
            <w:shd w:val="clear" w:color="auto" w:fill="E6EDF3"/>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620" w:type="dxa"/>
            <w:vAlign w:val="bottom"/>
            <w:shd w:val="clear" w:color="auto" w:fill="E6EDF3"/>
          </w:tcPr>
          <w:p>
            <w:pPr>
              <w:jc w:val="center"/>
              <w:ind w:left="281"/>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58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Edward J. Zore</w:t>
            </w:r>
          </w:p>
        </w:tc>
        <w:tc>
          <w:tcPr>
            <w:tcW w:w="16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Chair</w:t>
            </w:r>
          </w:p>
        </w:tc>
        <w:tc>
          <w:tcPr>
            <w:tcW w:w="1620" w:type="dxa"/>
            <w:vAlign w:val="bottom"/>
            <w:tcBorders>
              <w:bottom w:val="single" w:sz="8" w:color="auto"/>
            </w:tcBorders>
          </w:tcPr>
          <w:p>
            <w:pPr>
              <w:jc w:val="center"/>
              <w:ind w:left="281"/>
              <w:spacing w:after="0" w:line="161" w:lineRule="exact"/>
              <w:rPr>
                <w:sz w:val="20"/>
                <w:szCs w:val="20"/>
                <w:color w:val="auto"/>
              </w:rPr>
            </w:pPr>
            <w:r>
              <w:rPr>
                <w:rFonts w:ascii="MS PGothic" w:cs="MS PGothic" w:eastAsia="MS PGothic" w:hAnsi="MS PGothic"/>
                <w:sz w:val="16"/>
                <w:szCs w:val="16"/>
                <w:color w:val="auto"/>
                <w:w w:val="87"/>
              </w:rPr>
              <w:t>✓</w:t>
            </w:r>
          </w:p>
        </w:tc>
      </w:tr>
      <w:tr>
        <w:trPr>
          <w:trHeight w:val="183"/>
        </w:trPr>
        <w:tc>
          <w:tcPr>
            <w:tcW w:w="5820" w:type="dxa"/>
            <w:vAlign w:val="bottom"/>
            <w:tcBorders>
              <w:bottom w:val="single" w:sz="8" w:color="auto"/>
            </w:tcBorders>
            <w:shd w:val="clear" w:color="auto" w:fill="E6EDF3"/>
          </w:tcPr>
          <w:p>
            <w:pPr>
              <w:spacing w:after="0" w:line="183" w:lineRule="exact"/>
              <w:rPr>
                <w:sz w:val="20"/>
                <w:szCs w:val="20"/>
                <w:color w:val="auto"/>
              </w:rPr>
            </w:pPr>
            <w:r>
              <w:rPr>
                <w:rFonts w:ascii="Arial" w:cs="Arial" w:eastAsia="Arial" w:hAnsi="Arial"/>
                <w:sz w:val="16"/>
                <w:szCs w:val="16"/>
                <w:b w:val="1"/>
                <w:bCs w:val="1"/>
                <w:color w:val="auto"/>
              </w:rPr>
              <w:t>Number of Meetings in 2016</w:t>
            </w:r>
          </w:p>
        </w:tc>
        <w:tc>
          <w:tcPr>
            <w:tcW w:w="1660" w:type="dxa"/>
            <w:vAlign w:val="bottom"/>
            <w:tcBorders>
              <w:bottom w:val="single" w:sz="8" w:color="auto"/>
            </w:tcBorders>
            <w:shd w:val="clear" w:color="auto" w:fill="E6EDF3"/>
          </w:tcPr>
          <w:p>
            <w:pPr>
              <w:jc w:val="center"/>
              <w:ind w:left="120"/>
              <w:spacing w:after="0" w:line="183" w:lineRule="exact"/>
              <w:rPr>
                <w:sz w:val="20"/>
                <w:szCs w:val="20"/>
                <w:color w:val="auto"/>
              </w:rPr>
            </w:pPr>
            <w:r>
              <w:rPr>
                <w:rFonts w:ascii="Arial" w:cs="Arial" w:eastAsia="Arial" w:hAnsi="Arial"/>
                <w:sz w:val="16"/>
                <w:szCs w:val="16"/>
                <w:b w:val="1"/>
                <w:bCs w:val="1"/>
                <w:color w:val="auto"/>
              </w:rPr>
              <w:t>5</w:t>
            </w:r>
          </w:p>
        </w:tc>
        <w:tc>
          <w:tcPr>
            <w:tcW w:w="2320" w:type="dxa"/>
            <w:vAlign w:val="bottom"/>
            <w:tcBorders>
              <w:bottom w:val="single" w:sz="8" w:color="auto"/>
            </w:tcBorders>
            <w:shd w:val="clear" w:color="auto" w:fill="E6EDF3"/>
          </w:tcPr>
          <w:p>
            <w:pPr>
              <w:jc w:val="center"/>
              <w:spacing w:after="0" w:line="183" w:lineRule="exact"/>
              <w:rPr>
                <w:sz w:val="20"/>
                <w:szCs w:val="20"/>
                <w:color w:val="auto"/>
              </w:rPr>
            </w:pPr>
            <w:r>
              <w:rPr>
                <w:rFonts w:ascii="Arial" w:cs="Arial" w:eastAsia="Arial" w:hAnsi="Arial"/>
                <w:sz w:val="16"/>
                <w:szCs w:val="16"/>
                <w:b w:val="1"/>
                <w:bCs w:val="1"/>
                <w:color w:val="auto"/>
                <w:w w:val="89"/>
              </w:rPr>
              <w:t>6</w:t>
            </w:r>
          </w:p>
        </w:tc>
        <w:tc>
          <w:tcPr>
            <w:tcW w:w="1620" w:type="dxa"/>
            <w:vAlign w:val="bottom"/>
            <w:tcBorders>
              <w:bottom w:val="single" w:sz="8" w:color="auto"/>
            </w:tcBorders>
            <w:shd w:val="clear" w:color="auto" w:fill="E6EDF3"/>
          </w:tcPr>
          <w:p>
            <w:pPr>
              <w:jc w:val="center"/>
              <w:ind w:left="281"/>
              <w:spacing w:after="0" w:line="183" w:lineRule="exact"/>
              <w:rPr>
                <w:sz w:val="20"/>
                <w:szCs w:val="20"/>
                <w:color w:val="auto"/>
              </w:rPr>
            </w:pPr>
            <w:r>
              <w:rPr>
                <w:rFonts w:ascii="Arial" w:cs="Arial" w:eastAsia="Arial" w:hAnsi="Arial"/>
                <w:sz w:val="16"/>
                <w:szCs w:val="16"/>
                <w:b w:val="1"/>
                <w:bCs w:val="1"/>
                <w:color w:val="auto"/>
              </w:rPr>
              <w:t>4</w:t>
            </w:r>
          </w:p>
        </w:tc>
      </w:tr>
    </w:tbl>
    <w:p>
      <w:pPr>
        <w:spacing w:after="0" w:line="7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Ms. Howard was appointed to the nominating and governance committee in February 2017.</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Audit Committee</w:t>
      </w:r>
    </w:p>
    <w:p>
      <w:pPr>
        <w:spacing w:after="0" w:line="16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board of directors has determined that each member of the audit committee meets the financial literacy and independence requirements of the SEC and New York Stock Exchange, as applicable, and that Ms. Boswell, Mr. Ferraro, Mr. Mendoza and Mr. Read are each an “audit committee financial expert” as defined under the applicable rules of the SEC. Under the Company’s corporate governance guidelines, no member of the audit committee may serve on the audit committee of more than three public companies, including ManpowerGroup. No member of the audit committee currently serves on the audit committee of more than three public companies, including ManpowerGroup.</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functions of this committee are to:</w:t>
      </w:r>
    </w:p>
    <w:p>
      <w:pPr>
        <w:spacing w:after="0" w:line="144" w:lineRule="exact"/>
        <w:rPr>
          <w:sz w:val="20"/>
          <w:szCs w:val="20"/>
          <w:color w:val="auto"/>
        </w:rPr>
      </w:pPr>
    </w:p>
    <w:p>
      <w:pPr>
        <w:ind w:left="440" w:hanging="324"/>
        <w:spacing w:after="0"/>
        <w:tabs>
          <w:tab w:leader="none" w:pos="44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appoint the independent auditors for the annual audit and approve the fee arrangements with the independent auditors;</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monitor the independence, qualifications and performance of the independent auditors;</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review the planned scope of the annual audit;</w:t>
      </w:r>
    </w:p>
    <w:p>
      <w:pPr>
        <w:spacing w:after="0" w:line="76" w:lineRule="exact"/>
        <w:rPr>
          <w:rFonts w:ascii="Arial" w:cs="Arial" w:eastAsia="Arial" w:hAnsi="Arial"/>
          <w:sz w:val="18"/>
          <w:szCs w:val="18"/>
          <w:color w:val="5D89B4"/>
        </w:rPr>
      </w:pPr>
    </w:p>
    <w:p>
      <w:pPr>
        <w:ind w:left="440" w:right="680" w:hanging="324"/>
        <w:spacing w:after="0" w:line="246" w:lineRule="auto"/>
        <w:tabs>
          <w:tab w:leader="none" w:pos="44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review the financial statements to be included in our quarterly reports on Form 10-Q and our annual report on Form 10-K, and our disclosures under “Management’s Discussion and Analysis of Financial Condition and Results of Operations”;</w:t>
      </w:r>
    </w:p>
    <w:p>
      <w:pPr>
        <w:spacing w:after="0" w:line="61" w:lineRule="exact"/>
        <w:rPr>
          <w:rFonts w:ascii="Arial" w:cs="Arial" w:eastAsia="Arial" w:hAnsi="Arial"/>
          <w:sz w:val="18"/>
          <w:szCs w:val="18"/>
          <w:color w:val="5D89B4"/>
        </w:rPr>
      </w:pPr>
    </w:p>
    <w:p>
      <w:pPr>
        <w:ind w:left="440" w:hanging="324"/>
        <w:spacing w:after="0"/>
        <w:tabs>
          <w:tab w:leader="none" w:pos="44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review compliance with and reporting under Section 404 of the Sarbanes-Oxley Act of 2002;</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review our financial reporting processes and internal controls and any significant audit adjustments proposed by the independent auditors;</w:t>
      </w:r>
    </w:p>
    <w:p>
      <w:pPr>
        <w:spacing w:after="0" w:line="76" w:lineRule="exact"/>
        <w:rPr>
          <w:rFonts w:ascii="Arial" w:cs="Arial" w:eastAsia="Arial" w:hAnsi="Arial"/>
          <w:sz w:val="18"/>
          <w:szCs w:val="18"/>
          <w:color w:val="5D89B4"/>
        </w:rPr>
      </w:pPr>
    </w:p>
    <w:p>
      <w:pPr>
        <w:ind w:left="440" w:right="60" w:hanging="324"/>
        <w:spacing w:after="0" w:line="246" w:lineRule="auto"/>
        <w:tabs>
          <w:tab w:leader="none" w:pos="44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make a recommendation to the board of directors regarding inclusion of the audited financial statements in our annual report on Form 10-K;</w:t>
      </w:r>
    </w:p>
    <w:p>
      <w:pPr>
        <w:spacing w:after="0" w:line="61" w:lineRule="exact"/>
        <w:rPr>
          <w:rFonts w:ascii="Arial" w:cs="Arial" w:eastAsia="Arial" w:hAnsi="Arial"/>
          <w:sz w:val="18"/>
          <w:szCs w:val="18"/>
          <w:color w:val="5D89B4"/>
        </w:rPr>
      </w:pPr>
    </w:p>
    <w:p>
      <w:pPr>
        <w:ind w:left="440" w:right="480" w:hanging="324"/>
        <w:spacing w:after="0" w:line="246" w:lineRule="auto"/>
        <w:tabs>
          <w:tab w:leader="none" w:pos="44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review recommendations, if any, by the independent auditors resulting from the audit to ensure that appropriate actions are taken by management;</w:t>
      </w:r>
    </w:p>
    <w:p>
      <w:pPr>
        <w:spacing w:after="0" w:line="61" w:lineRule="exact"/>
        <w:rPr>
          <w:rFonts w:ascii="Arial" w:cs="Arial" w:eastAsia="Arial" w:hAnsi="Arial"/>
          <w:sz w:val="18"/>
          <w:szCs w:val="18"/>
          <w:color w:val="5D89B4"/>
        </w:rPr>
      </w:pPr>
    </w:p>
    <w:p>
      <w:pPr>
        <w:ind w:left="440" w:hanging="324"/>
        <w:spacing w:after="0"/>
        <w:tabs>
          <w:tab w:leader="none" w:pos="44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review matters of disagreement, if any, between management and the independent auditors;</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13"/>
        </w:numPr>
        <w:rPr>
          <w:rFonts w:ascii="Arial" w:cs="Arial" w:eastAsia="Arial" w:hAnsi="Arial"/>
          <w:sz w:val="18"/>
          <w:szCs w:val="18"/>
          <w:color w:val="5D89B4"/>
        </w:rPr>
      </w:pPr>
      <w:r>
        <w:rPr>
          <w:rFonts w:ascii="Arial" w:cs="Arial" w:eastAsia="Arial" w:hAnsi="Arial"/>
          <w:sz w:val="18"/>
          <w:szCs w:val="18"/>
          <w:color w:val="auto"/>
        </w:rPr>
        <w:t>periodically review our Policy Regarding the Retention of Former Employees of Independent Auditors;</w:t>
      </w:r>
    </w:p>
    <w:p>
      <w:pPr>
        <w:spacing w:after="0" w:line="139" w:lineRule="exact"/>
        <w:rPr>
          <w:sz w:val="20"/>
          <w:szCs w:val="20"/>
          <w:color w:val="auto"/>
        </w:rPr>
      </w:pPr>
    </w:p>
    <w:p>
      <w:pPr>
        <w:ind w:left="9880"/>
        <w:spacing w:after="0"/>
        <w:rPr>
          <w:sz w:val="20"/>
          <w:szCs w:val="20"/>
          <w:color w:val="auto"/>
        </w:rPr>
      </w:pPr>
      <w:r>
        <w:rPr>
          <w:rFonts w:ascii="Arial" w:cs="Arial" w:eastAsia="Arial" w:hAnsi="Arial"/>
          <w:sz w:val="16"/>
          <w:szCs w:val="16"/>
          <w:b w:val="1"/>
          <w:bCs w:val="1"/>
          <w:color w:val="5D89B4"/>
        </w:rPr>
        <w:t xml:space="preserve">13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1. Election of Directors</w:t>
      </w:r>
    </w:p>
    <w:p>
      <w:pPr>
        <w:spacing w:after="0" w:line="320" w:lineRule="exact"/>
        <w:rPr>
          <w:sz w:val="20"/>
          <w:szCs w:val="20"/>
          <w:color w:val="auto"/>
        </w:rPr>
      </w:pPr>
    </w:p>
    <w:p>
      <w:pPr>
        <w:ind w:left="440" w:hanging="324"/>
        <w:spacing w:after="0"/>
        <w:tabs>
          <w:tab w:leader="none" w:pos="4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oversee compliance with our Policy on Services Provided by Independent Auditors;</w:t>
      </w:r>
    </w:p>
    <w:p>
      <w:pPr>
        <w:spacing w:after="0" w:line="76" w:lineRule="exact"/>
        <w:rPr>
          <w:rFonts w:ascii="Arial" w:cs="Arial" w:eastAsia="Arial" w:hAnsi="Arial"/>
          <w:sz w:val="18"/>
          <w:szCs w:val="18"/>
          <w:color w:val="5D89B4"/>
        </w:rPr>
      </w:pPr>
    </w:p>
    <w:p>
      <w:pPr>
        <w:ind w:left="440" w:right="480" w:hanging="324"/>
        <w:spacing w:after="0" w:line="246" w:lineRule="auto"/>
        <w:tabs>
          <w:tab w:leader="none" w:pos="4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meet privately on a periodic basis with the independent auditors, internal audit staff and management to review the adequacy of our internal controls and other finance related matters;</w:t>
      </w:r>
    </w:p>
    <w:p>
      <w:pPr>
        <w:spacing w:after="0" w:line="61" w:lineRule="exact"/>
        <w:rPr>
          <w:rFonts w:ascii="Arial" w:cs="Arial" w:eastAsia="Arial" w:hAnsi="Arial"/>
          <w:sz w:val="18"/>
          <w:szCs w:val="18"/>
          <w:color w:val="5D89B4"/>
        </w:rPr>
      </w:pPr>
    </w:p>
    <w:p>
      <w:pPr>
        <w:ind w:left="440" w:hanging="324"/>
        <w:spacing w:after="0"/>
        <w:tabs>
          <w:tab w:leader="none" w:pos="4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monitor our internal audit department, including our internal audit plan;</w:t>
      </w:r>
    </w:p>
    <w:p>
      <w:pPr>
        <w:spacing w:after="0" w:line="76" w:lineRule="exact"/>
        <w:rPr>
          <w:rFonts w:ascii="Arial" w:cs="Arial" w:eastAsia="Arial" w:hAnsi="Arial"/>
          <w:sz w:val="18"/>
          <w:szCs w:val="18"/>
          <w:color w:val="5D89B4"/>
        </w:rPr>
      </w:pPr>
    </w:p>
    <w:p>
      <w:pPr>
        <w:ind w:left="440" w:right="80" w:hanging="324"/>
        <w:spacing w:after="0" w:line="246" w:lineRule="auto"/>
        <w:tabs>
          <w:tab w:leader="none" w:pos="4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monitor our policies and procedures regarding compliance with the Foreign Corrupt Practices Act and compliance by our employees with our code of business conduct and ethics;</w:t>
      </w:r>
    </w:p>
    <w:p>
      <w:pPr>
        <w:spacing w:after="0" w:line="61" w:lineRule="exact"/>
        <w:rPr>
          <w:rFonts w:ascii="Arial" w:cs="Arial" w:eastAsia="Arial" w:hAnsi="Arial"/>
          <w:sz w:val="18"/>
          <w:szCs w:val="18"/>
          <w:color w:val="5D89B4"/>
        </w:rPr>
      </w:pPr>
    </w:p>
    <w:p>
      <w:pPr>
        <w:ind w:left="440" w:hanging="324"/>
        <w:spacing w:after="0"/>
        <w:tabs>
          <w:tab w:leader="none" w:pos="4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assist the board of directors with its oversight of the performance of the Company’s risk management function;</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review current tax matters affecting us;</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periodically discuss with management our risk management framework;</w:t>
      </w:r>
    </w:p>
    <w:p>
      <w:pPr>
        <w:spacing w:after="0" w:line="76" w:lineRule="exact"/>
        <w:rPr>
          <w:rFonts w:ascii="Arial" w:cs="Arial" w:eastAsia="Arial" w:hAnsi="Arial"/>
          <w:sz w:val="18"/>
          <w:szCs w:val="18"/>
          <w:color w:val="5D89B4"/>
        </w:rPr>
      </w:pPr>
    </w:p>
    <w:p>
      <w:pPr>
        <w:ind w:left="440" w:right="200" w:hanging="324"/>
        <w:spacing w:after="0" w:line="246" w:lineRule="auto"/>
        <w:tabs>
          <w:tab w:leader="none" w:pos="4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monitor any litigation involving ManpowerGroup that may have a material financial impact on ManpowerGroup or that relates to matters entrusted to the audit committee; and</w:t>
      </w:r>
    </w:p>
    <w:p>
      <w:pPr>
        <w:spacing w:after="0" w:line="61" w:lineRule="exact"/>
        <w:rPr>
          <w:rFonts w:ascii="Arial" w:cs="Arial" w:eastAsia="Arial" w:hAnsi="Arial"/>
          <w:sz w:val="18"/>
          <w:szCs w:val="18"/>
          <w:color w:val="5D89B4"/>
        </w:rPr>
      </w:pPr>
    </w:p>
    <w:p>
      <w:pPr>
        <w:ind w:left="440" w:hanging="324"/>
        <w:spacing w:after="0"/>
        <w:tabs>
          <w:tab w:leader="none" w:pos="440" w:val="left"/>
        </w:tabs>
        <w:numPr>
          <w:ilvl w:val="0"/>
          <w:numId w:val="14"/>
        </w:numPr>
        <w:rPr>
          <w:rFonts w:ascii="Arial" w:cs="Arial" w:eastAsia="Arial" w:hAnsi="Arial"/>
          <w:sz w:val="18"/>
          <w:szCs w:val="18"/>
          <w:color w:val="5D89B4"/>
        </w:rPr>
      </w:pPr>
      <w:r>
        <w:rPr>
          <w:rFonts w:ascii="Arial" w:cs="Arial" w:eastAsia="Arial" w:hAnsi="Arial"/>
          <w:sz w:val="18"/>
          <w:szCs w:val="18"/>
          <w:color w:val="auto"/>
        </w:rPr>
        <w:t>approve the retention, compensation and termination of outside legal, accounting and other such advisors to the committee.</w:t>
      </w:r>
    </w:p>
    <w:p>
      <w:pPr>
        <w:spacing w:after="0" w:line="14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addition, the charter of the audit committee provides that the audit committee shall review and approve all related party transactions that are material to ManpowerGroup’s financial statements or that otherwise require disclosure to ManpowerGroup’s shareholders, provided that the audit committee shall not be responsible for reviewing and approving related party transactions that are reviewed and approved by the board of directors or another committee of the board of directors. The audit committee did not take action by written consent during 2016.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Executive Compensation and Human Resources Committee</w:t>
      </w:r>
    </w:p>
    <w:p>
      <w:pPr>
        <w:spacing w:after="0" w:line="153"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Each member of the executive compensation and human resources committee is “independent” within the meaning of the applicable listing standards of the New York Stock Exchange and qualifies as an “outside director” under Section 162(m) of the Internal Revenue Code.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functions of this committee are to:</w:t>
      </w:r>
    </w:p>
    <w:p>
      <w:pPr>
        <w:spacing w:after="0" w:line="144" w:lineRule="exact"/>
        <w:rPr>
          <w:sz w:val="20"/>
          <w:szCs w:val="20"/>
          <w:color w:val="auto"/>
        </w:rPr>
      </w:pPr>
    </w:p>
    <w:p>
      <w:pPr>
        <w:ind w:left="440" w:hanging="324"/>
        <w:spacing w:after="0"/>
        <w:tabs>
          <w:tab w:leader="none" w:pos="440" w:val="left"/>
        </w:tabs>
        <w:numPr>
          <w:ilvl w:val="0"/>
          <w:numId w:val="15"/>
        </w:numPr>
        <w:rPr>
          <w:rFonts w:ascii="Arial" w:cs="Arial" w:eastAsia="Arial" w:hAnsi="Arial"/>
          <w:sz w:val="18"/>
          <w:szCs w:val="18"/>
          <w:color w:val="5D89B4"/>
        </w:rPr>
      </w:pPr>
      <w:r>
        <w:rPr>
          <w:rFonts w:ascii="Arial" w:cs="Arial" w:eastAsia="Arial" w:hAnsi="Arial"/>
          <w:sz w:val="18"/>
          <w:szCs w:val="18"/>
          <w:color w:val="auto"/>
        </w:rPr>
        <w:t>establish the compensation of the chief executive officer of ManpowerGroup, subject to ratification by the board of directors;</w:t>
      </w:r>
    </w:p>
    <w:p>
      <w:pPr>
        <w:spacing w:after="0" w:line="76" w:lineRule="exact"/>
        <w:rPr>
          <w:rFonts w:ascii="Arial" w:cs="Arial" w:eastAsia="Arial" w:hAnsi="Arial"/>
          <w:sz w:val="18"/>
          <w:szCs w:val="18"/>
          <w:color w:val="5D89B4"/>
        </w:rPr>
      </w:pPr>
    </w:p>
    <w:p>
      <w:pPr>
        <w:ind w:left="440" w:right="300" w:hanging="324"/>
        <w:spacing w:after="0" w:line="246" w:lineRule="auto"/>
        <w:tabs>
          <w:tab w:leader="none" w:pos="440" w:val="left"/>
        </w:tabs>
        <w:numPr>
          <w:ilvl w:val="0"/>
          <w:numId w:val="15"/>
        </w:numPr>
        <w:rPr>
          <w:rFonts w:ascii="Arial" w:cs="Arial" w:eastAsia="Arial" w:hAnsi="Arial"/>
          <w:sz w:val="18"/>
          <w:szCs w:val="18"/>
          <w:color w:val="5D89B4"/>
        </w:rPr>
      </w:pPr>
      <w:r>
        <w:rPr>
          <w:rFonts w:ascii="Arial" w:cs="Arial" w:eastAsia="Arial" w:hAnsi="Arial"/>
          <w:sz w:val="18"/>
          <w:szCs w:val="18"/>
          <w:color w:val="auto"/>
        </w:rPr>
        <w:t>approve the compensation, based on the recommendations of the chief executive officer of ManpowerGroup, of any president and the chief financial officer, and certain other senior executives of ManpowerGroup;</w:t>
      </w:r>
    </w:p>
    <w:p>
      <w:pPr>
        <w:spacing w:after="0" w:line="61" w:lineRule="exact"/>
        <w:rPr>
          <w:rFonts w:ascii="Arial" w:cs="Arial" w:eastAsia="Arial" w:hAnsi="Arial"/>
          <w:sz w:val="18"/>
          <w:szCs w:val="18"/>
          <w:color w:val="5D89B4"/>
        </w:rPr>
      </w:pPr>
    </w:p>
    <w:p>
      <w:pPr>
        <w:ind w:left="440" w:right="600" w:hanging="324"/>
        <w:spacing w:after="0" w:line="246" w:lineRule="auto"/>
        <w:tabs>
          <w:tab w:leader="none" w:pos="440" w:val="left"/>
        </w:tabs>
        <w:numPr>
          <w:ilvl w:val="0"/>
          <w:numId w:val="15"/>
        </w:numPr>
        <w:rPr>
          <w:rFonts w:ascii="Arial" w:cs="Arial" w:eastAsia="Arial" w:hAnsi="Arial"/>
          <w:sz w:val="18"/>
          <w:szCs w:val="18"/>
          <w:color w:val="5D89B4"/>
        </w:rPr>
      </w:pPr>
      <w:r>
        <w:rPr>
          <w:rFonts w:ascii="Arial" w:cs="Arial" w:eastAsia="Arial" w:hAnsi="Arial"/>
          <w:sz w:val="18"/>
          <w:szCs w:val="18"/>
          <w:color w:val="auto"/>
        </w:rPr>
        <w:t>determine the terms of any agreements concerning employment, compensation or employment termination, as well as monitor the application of ManpowerGroup’s retirement and other fringe benefit plans, with respect to the individuals listed above;</w:t>
      </w:r>
    </w:p>
    <w:p>
      <w:pPr>
        <w:spacing w:after="0" w:line="61" w:lineRule="exact"/>
        <w:rPr>
          <w:rFonts w:ascii="Arial" w:cs="Arial" w:eastAsia="Arial" w:hAnsi="Arial"/>
          <w:sz w:val="18"/>
          <w:szCs w:val="18"/>
          <w:color w:val="5D89B4"/>
        </w:rPr>
      </w:pPr>
    </w:p>
    <w:p>
      <w:pPr>
        <w:ind w:left="440" w:hanging="324"/>
        <w:spacing w:after="0"/>
        <w:tabs>
          <w:tab w:leader="none" w:pos="440" w:val="left"/>
        </w:tabs>
        <w:numPr>
          <w:ilvl w:val="0"/>
          <w:numId w:val="15"/>
        </w:numPr>
        <w:rPr>
          <w:rFonts w:ascii="Arial" w:cs="Arial" w:eastAsia="Arial" w:hAnsi="Arial"/>
          <w:sz w:val="18"/>
          <w:szCs w:val="18"/>
          <w:color w:val="5D89B4"/>
        </w:rPr>
      </w:pPr>
      <w:r>
        <w:rPr>
          <w:rFonts w:ascii="Arial" w:cs="Arial" w:eastAsia="Arial" w:hAnsi="Arial"/>
          <w:sz w:val="18"/>
          <w:szCs w:val="18"/>
          <w:color w:val="auto"/>
        </w:rPr>
        <w:t>monitor the development of ManpowerGroup’s key executive officers;</w:t>
      </w:r>
    </w:p>
    <w:p>
      <w:pPr>
        <w:spacing w:after="0" w:line="76" w:lineRule="exact"/>
        <w:rPr>
          <w:rFonts w:ascii="Arial" w:cs="Arial" w:eastAsia="Arial" w:hAnsi="Arial"/>
          <w:sz w:val="18"/>
          <w:szCs w:val="18"/>
          <w:color w:val="5D89B4"/>
        </w:rPr>
      </w:pPr>
    </w:p>
    <w:p>
      <w:pPr>
        <w:ind w:left="440" w:right="520" w:hanging="324"/>
        <w:spacing w:after="0" w:line="246" w:lineRule="auto"/>
        <w:tabs>
          <w:tab w:leader="none" w:pos="440" w:val="left"/>
        </w:tabs>
        <w:numPr>
          <w:ilvl w:val="0"/>
          <w:numId w:val="15"/>
        </w:numPr>
        <w:rPr>
          <w:rFonts w:ascii="Arial" w:cs="Arial" w:eastAsia="Arial" w:hAnsi="Arial"/>
          <w:sz w:val="18"/>
          <w:szCs w:val="18"/>
          <w:color w:val="5D89B4"/>
        </w:rPr>
      </w:pPr>
      <w:r>
        <w:rPr>
          <w:rFonts w:ascii="Arial" w:cs="Arial" w:eastAsia="Arial" w:hAnsi="Arial"/>
          <w:sz w:val="18"/>
          <w:szCs w:val="18"/>
          <w:color w:val="auto"/>
        </w:rPr>
        <w:t>administer ManpowerGroup’s equity incentive plans and employee stock purchase plans and oversee ManpowerGroup’s employee retirement and welfare plans;</w:t>
      </w:r>
    </w:p>
    <w:p>
      <w:pPr>
        <w:spacing w:after="0" w:line="61" w:lineRule="exact"/>
        <w:rPr>
          <w:rFonts w:ascii="Arial" w:cs="Arial" w:eastAsia="Arial" w:hAnsi="Arial"/>
          <w:sz w:val="18"/>
          <w:szCs w:val="18"/>
          <w:color w:val="5D89B4"/>
        </w:rPr>
      </w:pPr>
    </w:p>
    <w:p>
      <w:pPr>
        <w:ind w:left="440" w:hanging="324"/>
        <w:spacing w:after="0"/>
        <w:tabs>
          <w:tab w:leader="none" w:pos="440" w:val="left"/>
        </w:tabs>
        <w:numPr>
          <w:ilvl w:val="0"/>
          <w:numId w:val="15"/>
        </w:numPr>
        <w:rPr>
          <w:rFonts w:ascii="Arial" w:cs="Arial" w:eastAsia="Arial" w:hAnsi="Arial"/>
          <w:sz w:val="18"/>
          <w:szCs w:val="18"/>
          <w:color w:val="5D89B4"/>
        </w:rPr>
      </w:pPr>
      <w:r>
        <w:rPr>
          <w:rFonts w:ascii="Arial" w:cs="Arial" w:eastAsia="Arial" w:hAnsi="Arial"/>
          <w:sz w:val="18"/>
          <w:szCs w:val="18"/>
          <w:color w:val="auto"/>
        </w:rPr>
        <w:t>administer ManpowerGroup’s corporate senior management annual incentive pool plan;</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15"/>
        </w:numPr>
        <w:rPr>
          <w:rFonts w:ascii="Arial" w:cs="Arial" w:eastAsia="Arial" w:hAnsi="Arial"/>
          <w:sz w:val="18"/>
          <w:szCs w:val="18"/>
          <w:color w:val="5D89B4"/>
        </w:rPr>
      </w:pPr>
      <w:r>
        <w:rPr>
          <w:rFonts w:ascii="Arial" w:cs="Arial" w:eastAsia="Arial" w:hAnsi="Arial"/>
          <w:sz w:val="18"/>
          <w:szCs w:val="18"/>
          <w:color w:val="auto"/>
        </w:rPr>
        <w:t>review and recommend the compensation discussion and analysis to be included in our annual proxy statement;</w:t>
      </w:r>
    </w:p>
    <w:p>
      <w:pPr>
        <w:spacing w:after="0" w:line="76" w:lineRule="exact"/>
        <w:rPr>
          <w:rFonts w:ascii="Arial" w:cs="Arial" w:eastAsia="Arial" w:hAnsi="Arial"/>
          <w:sz w:val="18"/>
          <w:szCs w:val="18"/>
          <w:color w:val="5D89B4"/>
        </w:rPr>
      </w:pPr>
    </w:p>
    <w:p>
      <w:pPr>
        <w:ind w:left="440" w:right="680" w:hanging="324"/>
        <w:spacing w:after="0" w:line="246" w:lineRule="auto"/>
        <w:tabs>
          <w:tab w:leader="none" w:pos="440" w:val="left"/>
        </w:tabs>
        <w:numPr>
          <w:ilvl w:val="0"/>
          <w:numId w:val="15"/>
        </w:numPr>
        <w:rPr>
          <w:rFonts w:ascii="Arial" w:cs="Arial" w:eastAsia="Arial" w:hAnsi="Arial"/>
          <w:sz w:val="18"/>
          <w:szCs w:val="18"/>
          <w:color w:val="5D89B4"/>
        </w:rPr>
      </w:pPr>
      <w:r>
        <w:rPr>
          <w:rFonts w:ascii="Arial" w:cs="Arial" w:eastAsia="Arial" w:hAnsi="Arial"/>
          <w:sz w:val="18"/>
          <w:szCs w:val="18"/>
          <w:color w:val="auto"/>
        </w:rPr>
        <w:t>develop and implement policies regarding the recoupment or “clawback” of excess compensation paid to executive officers of the Company;</w:t>
      </w:r>
    </w:p>
    <w:p>
      <w:pPr>
        <w:spacing w:after="0" w:line="61" w:lineRule="exact"/>
        <w:rPr>
          <w:rFonts w:ascii="Arial" w:cs="Arial" w:eastAsia="Arial" w:hAnsi="Arial"/>
          <w:sz w:val="18"/>
          <w:szCs w:val="18"/>
          <w:color w:val="5D89B4"/>
        </w:rPr>
      </w:pPr>
    </w:p>
    <w:p>
      <w:pPr>
        <w:ind w:left="440" w:hanging="324"/>
        <w:spacing w:after="0"/>
        <w:tabs>
          <w:tab w:leader="none" w:pos="440" w:val="left"/>
        </w:tabs>
        <w:numPr>
          <w:ilvl w:val="0"/>
          <w:numId w:val="15"/>
        </w:numPr>
        <w:rPr>
          <w:rFonts w:ascii="Arial" w:cs="Arial" w:eastAsia="Arial" w:hAnsi="Arial"/>
          <w:sz w:val="18"/>
          <w:szCs w:val="18"/>
          <w:color w:val="5D89B4"/>
        </w:rPr>
      </w:pPr>
      <w:r>
        <w:rPr>
          <w:rFonts w:ascii="Arial" w:cs="Arial" w:eastAsia="Arial" w:hAnsi="Arial"/>
          <w:sz w:val="18"/>
          <w:szCs w:val="18"/>
          <w:color w:val="auto"/>
        </w:rPr>
        <w:t>act as the compensation committee of outside directors under Section 162(m) of the Internal Revenue Code;</w:t>
      </w:r>
    </w:p>
    <w:p>
      <w:pPr>
        <w:spacing w:after="0" w:line="76" w:lineRule="exact"/>
        <w:rPr>
          <w:rFonts w:ascii="Arial" w:cs="Arial" w:eastAsia="Arial" w:hAnsi="Arial"/>
          <w:sz w:val="18"/>
          <w:szCs w:val="18"/>
          <w:color w:val="5D89B4"/>
        </w:rPr>
      </w:pPr>
    </w:p>
    <w:p>
      <w:pPr>
        <w:ind w:left="440" w:right="140" w:hanging="324"/>
        <w:spacing w:after="0" w:line="246" w:lineRule="auto"/>
        <w:tabs>
          <w:tab w:leader="none" w:pos="440" w:val="left"/>
        </w:tabs>
        <w:numPr>
          <w:ilvl w:val="0"/>
          <w:numId w:val="15"/>
        </w:numPr>
        <w:rPr>
          <w:rFonts w:ascii="Arial" w:cs="Arial" w:eastAsia="Arial" w:hAnsi="Arial"/>
          <w:sz w:val="18"/>
          <w:szCs w:val="18"/>
          <w:color w:val="5D89B4"/>
        </w:rPr>
      </w:pPr>
      <w:r>
        <w:rPr>
          <w:rFonts w:ascii="Arial" w:cs="Arial" w:eastAsia="Arial" w:hAnsi="Arial"/>
          <w:sz w:val="18"/>
          <w:szCs w:val="18"/>
          <w:color w:val="auto"/>
        </w:rPr>
        <w:t>approve the retention, compensation and termination of outside compensation consultants, independent legal advisors or other advisors and having oversight of their work; and</w:t>
      </w:r>
    </w:p>
    <w:p>
      <w:pPr>
        <w:spacing w:after="0" w:line="61" w:lineRule="exact"/>
        <w:rPr>
          <w:rFonts w:ascii="Arial" w:cs="Arial" w:eastAsia="Arial" w:hAnsi="Arial"/>
          <w:sz w:val="18"/>
          <w:szCs w:val="18"/>
          <w:color w:val="5D89B4"/>
        </w:rPr>
      </w:pPr>
    </w:p>
    <w:p>
      <w:pPr>
        <w:ind w:left="440" w:hanging="324"/>
        <w:spacing w:after="0"/>
        <w:tabs>
          <w:tab w:leader="none" w:pos="440" w:val="left"/>
        </w:tabs>
        <w:numPr>
          <w:ilvl w:val="0"/>
          <w:numId w:val="15"/>
        </w:numPr>
        <w:rPr>
          <w:rFonts w:ascii="Arial" w:cs="Arial" w:eastAsia="Arial" w:hAnsi="Arial"/>
          <w:sz w:val="18"/>
          <w:szCs w:val="18"/>
          <w:color w:val="5D89B4"/>
        </w:rPr>
      </w:pPr>
      <w:r>
        <w:rPr>
          <w:rFonts w:ascii="Arial" w:cs="Arial" w:eastAsia="Arial" w:hAnsi="Arial"/>
          <w:sz w:val="18"/>
          <w:szCs w:val="18"/>
          <w:color w:val="auto"/>
        </w:rPr>
        <w:t>consider the independence of any outside compensation consultant, independent legal advisor or other advisor to the committee.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14</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9500"/>
        <w:spacing w:after="0"/>
        <w:rPr>
          <w:sz w:val="20"/>
          <w:szCs w:val="20"/>
          <w:color w:val="auto"/>
        </w:rPr>
      </w:pPr>
      <w:r>
        <w:rPr>
          <w:rFonts w:ascii="Arial" w:cs="Arial" w:eastAsia="Arial" w:hAnsi="Arial"/>
          <w:sz w:val="18"/>
          <w:szCs w:val="18"/>
          <w:color w:val="FFFFFF"/>
        </w:rPr>
        <w:t>1. Election of Directors</w:t>
      </w:r>
    </w:p>
    <w:p>
      <w:pPr>
        <w:spacing w:after="0" w:line="239"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In accordance with the terms of its charter, the executive compensation and human resources committee may from time to time delegate authority and assign responsibility with respect to such of its functions to officers of the Company, or to a subcommittee of the committee. The executive compensation and human resources committee took one action by written consent during 2016.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Nominating and Governance Committee</w:t>
      </w:r>
    </w:p>
    <w:p>
      <w:pPr>
        <w:spacing w:after="0" w:line="166"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Each member of the nominating and governance committee is “independent” within the meaning of the applicable listing standards of the New York Stock Exchange.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functions of this committee are to:</w:t>
      </w:r>
    </w:p>
    <w:p>
      <w:pPr>
        <w:spacing w:after="0" w:line="144" w:lineRule="exact"/>
        <w:rPr>
          <w:sz w:val="20"/>
          <w:szCs w:val="20"/>
          <w:color w:val="auto"/>
        </w:rPr>
      </w:pPr>
    </w:p>
    <w:p>
      <w:pPr>
        <w:ind w:left="440" w:right="100" w:hanging="324"/>
        <w:spacing w:after="0" w:line="246" w:lineRule="auto"/>
        <w:tabs>
          <w:tab w:leader="none" w:pos="44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recommend nominees to stand for election at annual meetings of shareholders, to fill vacancies on the board of directors and to serve on committees of the board of directors;</w:t>
      </w:r>
    </w:p>
    <w:p>
      <w:pPr>
        <w:spacing w:after="0" w:line="61" w:lineRule="exact"/>
        <w:rPr>
          <w:rFonts w:ascii="Arial" w:cs="Arial" w:eastAsia="Arial" w:hAnsi="Arial"/>
          <w:sz w:val="18"/>
          <w:szCs w:val="18"/>
          <w:color w:val="5D89B4"/>
        </w:rPr>
      </w:pPr>
    </w:p>
    <w:p>
      <w:pPr>
        <w:ind w:left="440" w:hanging="324"/>
        <w:spacing w:after="0"/>
        <w:tabs>
          <w:tab w:leader="none" w:pos="44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establish procedures and assist in identifying candidates for board membership;</w:t>
      </w:r>
    </w:p>
    <w:p>
      <w:pPr>
        <w:spacing w:after="0" w:line="76" w:lineRule="exact"/>
        <w:rPr>
          <w:rFonts w:ascii="Arial" w:cs="Arial" w:eastAsia="Arial" w:hAnsi="Arial"/>
          <w:sz w:val="18"/>
          <w:szCs w:val="18"/>
          <w:color w:val="5D89B4"/>
        </w:rPr>
      </w:pPr>
    </w:p>
    <w:p>
      <w:pPr>
        <w:ind w:left="440" w:right="300" w:hanging="324"/>
        <w:spacing w:after="0" w:line="246" w:lineRule="auto"/>
        <w:tabs>
          <w:tab w:leader="none" w:pos="44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review the qualifications of candidates for board membership, including any candidates nominated by shareholders in accordance with our bylaws;</w:t>
      </w:r>
    </w:p>
    <w:p>
      <w:pPr>
        <w:spacing w:after="0" w:line="61" w:lineRule="exact"/>
        <w:rPr>
          <w:rFonts w:ascii="Arial" w:cs="Arial" w:eastAsia="Arial" w:hAnsi="Arial"/>
          <w:sz w:val="18"/>
          <w:szCs w:val="18"/>
          <w:color w:val="5D89B4"/>
        </w:rPr>
      </w:pPr>
    </w:p>
    <w:p>
      <w:pPr>
        <w:ind w:left="440" w:right="80" w:hanging="324"/>
        <w:spacing w:after="0" w:line="246" w:lineRule="auto"/>
        <w:tabs>
          <w:tab w:leader="none" w:pos="44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periodically review the compensation arrangements in effect for the non-management members of the board of directors and recommend any changes deemed appropriate;</w:t>
      </w:r>
    </w:p>
    <w:p>
      <w:pPr>
        <w:spacing w:after="0" w:line="61" w:lineRule="exact"/>
        <w:rPr>
          <w:rFonts w:ascii="Arial" w:cs="Arial" w:eastAsia="Arial" w:hAnsi="Arial"/>
          <w:sz w:val="18"/>
          <w:szCs w:val="18"/>
          <w:color w:val="5D89B4"/>
        </w:rPr>
      </w:pPr>
    </w:p>
    <w:p>
      <w:pPr>
        <w:ind w:left="440" w:right="440" w:hanging="324"/>
        <w:spacing w:after="0" w:line="246" w:lineRule="auto"/>
        <w:tabs>
          <w:tab w:leader="none" w:pos="44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coordinate the annual self-evaluation of the performance of the board of directors and each of its committees and oversee, or ensure another committee oversees, the annual evaluation of the performance of management;</w:t>
      </w:r>
    </w:p>
    <w:p>
      <w:pPr>
        <w:spacing w:after="0" w:line="61" w:lineRule="exact"/>
        <w:rPr>
          <w:rFonts w:ascii="Arial" w:cs="Arial" w:eastAsia="Arial" w:hAnsi="Arial"/>
          <w:sz w:val="18"/>
          <w:szCs w:val="18"/>
          <w:color w:val="5D89B4"/>
        </w:rPr>
      </w:pPr>
    </w:p>
    <w:p>
      <w:pPr>
        <w:ind w:left="440" w:right="160" w:hanging="324"/>
        <w:spacing w:after="0" w:line="275" w:lineRule="auto"/>
        <w:tabs>
          <w:tab w:leader="none" w:pos="440" w:val="left"/>
        </w:tabs>
        <w:numPr>
          <w:ilvl w:val="0"/>
          <w:numId w:val="16"/>
        </w:numPr>
        <w:rPr>
          <w:rFonts w:ascii="Arial" w:cs="Arial" w:eastAsia="Arial" w:hAnsi="Arial"/>
          <w:sz w:val="17"/>
          <w:szCs w:val="17"/>
          <w:color w:val="5D89B4"/>
        </w:rPr>
      </w:pPr>
      <w:r>
        <w:rPr>
          <w:rFonts w:ascii="Arial" w:cs="Arial" w:eastAsia="Arial" w:hAnsi="Arial"/>
          <w:sz w:val="17"/>
          <w:szCs w:val="17"/>
          <w:color w:val="auto"/>
        </w:rPr>
        <w:t>establish and review, for recommendation to the board of directors, guidelines and policies on the size and composition of the board, the structure, composition and functions of the board committees, and other significant corporate governance principles and procedures;</w:t>
      </w:r>
    </w:p>
    <w:p>
      <w:pPr>
        <w:spacing w:after="0" w:line="38" w:lineRule="exact"/>
        <w:rPr>
          <w:rFonts w:ascii="Arial" w:cs="Arial" w:eastAsia="Arial" w:hAnsi="Arial"/>
          <w:sz w:val="17"/>
          <w:szCs w:val="17"/>
          <w:color w:val="5D89B4"/>
        </w:rPr>
      </w:pPr>
    </w:p>
    <w:p>
      <w:pPr>
        <w:ind w:left="440" w:hanging="324"/>
        <w:spacing w:after="0"/>
        <w:tabs>
          <w:tab w:leader="none" w:pos="44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oversee the content and format of our code of business conduct and ethics;</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monitor compliance by the non-management directors with our code of business conduct and ethics;</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develop and periodically review succession plans for the directors;</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periodically review the corporate governance guidelines and recommend any changes as deemed appropriate;</w:t>
      </w:r>
    </w:p>
    <w:p>
      <w:pPr>
        <w:spacing w:after="0" w:line="76" w:lineRule="exact"/>
        <w:rPr>
          <w:rFonts w:ascii="Arial" w:cs="Arial" w:eastAsia="Arial" w:hAnsi="Arial"/>
          <w:sz w:val="18"/>
          <w:szCs w:val="18"/>
          <w:color w:val="5D89B4"/>
        </w:rPr>
      </w:pPr>
    </w:p>
    <w:p>
      <w:pPr>
        <w:ind w:left="440" w:right="340" w:hanging="324"/>
        <w:spacing w:after="0" w:line="246" w:lineRule="auto"/>
        <w:tabs>
          <w:tab w:leader="none" w:pos="44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review and recommend categorical standards for determining non-management director independence consistent with the rules of the New York Stock Exchange and other requirements; and</w:t>
      </w:r>
    </w:p>
    <w:p>
      <w:pPr>
        <w:spacing w:after="0" w:line="61" w:lineRule="exact"/>
        <w:rPr>
          <w:rFonts w:ascii="Arial" w:cs="Arial" w:eastAsia="Arial" w:hAnsi="Arial"/>
          <w:sz w:val="18"/>
          <w:szCs w:val="18"/>
          <w:color w:val="5D89B4"/>
        </w:rPr>
      </w:pPr>
    </w:p>
    <w:p>
      <w:pPr>
        <w:ind w:left="440" w:hanging="324"/>
        <w:spacing w:after="0"/>
        <w:tabs>
          <w:tab w:leader="none" w:pos="440" w:val="left"/>
        </w:tabs>
        <w:numPr>
          <w:ilvl w:val="0"/>
          <w:numId w:val="16"/>
        </w:numPr>
        <w:rPr>
          <w:rFonts w:ascii="Arial" w:cs="Arial" w:eastAsia="Arial" w:hAnsi="Arial"/>
          <w:sz w:val="18"/>
          <w:szCs w:val="18"/>
          <w:color w:val="5D89B4"/>
        </w:rPr>
      </w:pPr>
      <w:r>
        <w:rPr>
          <w:rFonts w:ascii="Arial" w:cs="Arial" w:eastAsia="Arial" w:hAnsi="Arial"/>
          <w:sz w:val="18"/>
          <w:szCs w:val="18"/>
          <w:color w:val="auto"/>
        </w:rPr>
        <w:t>approve the retention, compensation and termination of any outside independent advisors to the committee.</w:t>
      </w:r>
    </w:p>
    <w:p>
      <w:pPr>
        <w:spacing w:after="0" w:line="144"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The nominating and governance committee has from time to time engaged director search firms to assist it in identifying and evaluating potential board candidates. The nominating and governance committee did not take action by written consent during 2016.</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15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1. Election of Directors</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Board Composition and Qualifications of Board Members</w:t>
      </w:r>
    </w:p>
    <w:p>
      <w:pPr>
        <w:spacing w:after="0" w:line="188" w:lineRule="exact"/>
        <w:rPr>
          <w:sz w:val="20"/>
          <w:szCs w:val="20"/>
          <w:color w:val="auto"/>
        </w:rPr>
      </w:pPr>
    </w:p>
    <w:p>
      <w:pPr>
        <w:jc w:val="both"/>
        <w:ind w:right="280"/>
        <w:spacing w:after="0"/>
        <w:rPr>
          <w:sz w:val="20"/>
          <w:szCs w:val="20"/>
          <w:color w:val="auto"/>
        </w:rPr>
      </w:pPr>
      <w:r>
        <w:rPr>
          <w:rFonts w:ascii="Arial" w:cs="Arial" w:eastAsia="Arial" w:hAnsi="Arial"/>
          <w:sz w:val="18"/>
          <w:szCs w:val="18"/>
          <w:color w:val="auto"/>
        </w:rPr>
        <w:t>The nominating and governance committee has adopted, and the board of directors has approved, guidelines for selecting board candidates that the committee considers when evaluating candidates for nomination as directors. The guidelines call for the following with respect to the composition of the board:</w:t>
      </w:r>
    </w:p>
    <w:p>
      <w:pPr>
        <w:spacing w:after="0" w:line="135" w:lineRule="exact"/>
        <w:rPr>
          <w:sz w:val="20"/>
          <w:szCs w:val="20"/>
          <w:color w:val="auto"/>
        </w:rPr>
      </w:pPr>
    </w:p>
    <w:p>
      <w:pPr>
        <w:ind w:left="440" w:hanging="324"/>
        <w:spacing w:after="0"/>
        <w:tabs>
          <w:tab w:leader="none" w:pos="44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a variety of experience and backgrounds;</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a core of business executives having substantial senior management and financial experience;</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individuals who will represent the best interests of the shareholders as a whole rather than special interest constituencies;</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the independence of at least a majority of the directors; and</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17"/>
        </w:numPr>
        <w:rPr>
          <w:rFonts w:ascii="Arial" w:cs="Arial" w:eastAsia="Arial" w:hAnsi="Arial"/>
          <w:sz w:val="18"/>
          <w:szCs w:val="18"/>
          <w:color w:val="5D89B4"/>
        </w:rPr>
      </w:pPr>
      <w:r>
        <w:rPr>
          <w:rFonts w:ascii="Arial" w:cs="Arial" w:eastAsia="Arial" w:hAnsi="Arial"/>
          <w:sz w:val="18"/>
          <w:szCs w:val="18"/>
          <w:color w:val="auto"/>
        </w:rPr>
        <w:t>individuals who represent a diversity of gender, race and age.</w:t>
      </w:r>
    </w:p>
    <w:p>
      <w:pPr>
        <w:spacing w:after="0" w:line="144"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In connection with its consideration of possible candidates for board membership, the committee also has identified areas of experience that members of the board should as a goal collectively possess. These areas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125730</wp:posOffset>
            </wp:positionV>
            <wp:extent cx="3841750"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41750" cy="163195"/>
                    </a:xfrm>
                    <a:prstGeom prst="rect">
                      <a:avLst/>
                    </a:prstGeom>
                    <a:noFill/>
                  </pic:spPr>
                </pic:pic>
              </a:graphicData>
            </a:graphic>
          </wp:anchor>
        </w:drawing>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Areas of Experience</w:t>
      </w:r>
    </w:p>
    <w:p>
      <w:pPr>
        <w:spacing w:after="0" w:line="350"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3660" w:type="dxa"/>
            <w:vAlign w:val="bottom"/>
            <w:tcBorders>
              <w:top w:val="single" w:sz="8" w:color="5D89B4"/>
              <w:left w:val="single" w:sz="8" w:color="5D89B4"/>
              <w:bottom w:val="single" w:sz="8" w:color="5D89B4"/>
              <w:right w:val="single" w:sz="8" w:color="5D89B4"/>
            </w:tcBorders>
          </w:tcPr>
          <w:p>
            <w:pPr>
              <w:jc w:val="center"/>
              <w:ind w:left="59"/>
              <w:spacing w:after="0"/>
              <w:rPr>
                <w:sz w:val="20"/>
                <w:szCs w:val="20"/>
                <w:color w:val="auto"/>
              </w:rPr>
            </w:pPr>
            <w:r>
              <w:rPr>
                <w:rFonts w:ascii="Arial" w:cs="Arial" w:eastAsia="Arial" w:hAnsi="Arial"/>
                <w:sz w:val="16"/>
                <w:szCs w:val="16"/>
                <w:b w:val="1"/>
                <w:bCs w:val="1"/>
                <w:color w:val="auto"/>
              </w:rPr>
              <w:t>PreviousBoard</w:t>
            </w:r>
          </w:p>
        </w:tc>
        <w:tc>
          <w:tcPr>
            <w:tcW w:w="220" w:type="dxa"/>
            <w:vAlign w:val="bottom"/>
            <w:tcBorders>
              <w:right w:val="single" w:sz="8" w:color="5D89B4"/>
            </w:tcBorders>
          </w:tcPr>
          <w:p>
            <w:pPr>
              <w:spacing w:after="0"/>
              <w:rPr>
                <w:sz w:val="20"/>
                <w:szCs w:val="20"/>
                <w:color w:val="auto"/>
              </w:rPr>
            </w:pPr>
          </w:p>
        </w:tc>
        <w:tc>
          <w:tcPr>
            <w:tcW w:w="3660" w:type="dxa"/>
            <w:vAlign w:val="bottom"/>
            <w:tcBorders>
              <w:top w:val="single" w:sz="8" w:color="5D89B4"/>
              <w:bottom w:val="single" w:sz="8" w:color="5D89B4"/>
              <w:right w:val="single" w:sz="8" w:color="5D89B4"/>
            </w:tcBorders>
          </w:tcPr>
          <w:p>
            <w:pPr>
              <w:jc w:val="center"/>
              <w:ind w:left="19"/>
              <w:spacing w:after="0"/>
              <w:rPr>
                <w:sz w:val="20"/>
                <w:szCs w:val="20"/>
                <w:color w:val="auto"/>
              </w:rPr>
            </w:pPr>
            <w:r>
              <w:rPr>
                <w:rFonts w:ascii="Arial" w:cs="Arial" w:eastAsia="Arial" w:hAnsi="Arial"/>
                <w:sz w:val="16"/>
                <w:szCs w:val="16"/>
                <w:b w:val="1"/>
                <w:bCs w:val="1"/>
                <w:color w:val="auto"/>
              </w:rPr>
              <w:t>InternationalBusiness</w:t>
            </w:r>
          </w:p>
        </w:tc>
        <w:tc>
          <w:tcPr>
            <w:tcW w:w="220" w:type="dxa"/>
            <w:vAlign w:val="bottom"/>
            <w:tcBorders>
              <w:right w:val="single" w:sz="8" w:color="5D89B4"/>
            </w:tcBorders>
          </w:tcPr>
          <w:p>
            <w:pPr>
              <w:spacing w:after="0"/>
              <w:rPr>
                <w:sz w:val="20"/>
                <w:szCs w:val="20"/>
                <w:color w:val="auto"/>
              </w:rPr>
            </w:pPr>
          </w:p>
        </w:tc>
        <w:tc>
          <w:tcPr>
            <w:tcW w:w="3680" w:type="dxa"/>
            <w:vAlign w:val="bottom"/>
            <w:tcBorders>
              <w:top w:val="single" w:sz="8" w:color="5D89B4"/>
              <w:bottom w:val="single" w:sz="8" w:color="5D89B4"/>
              <w:right w:val="single" w:sz="8" w:color="5D89B4"/>
            </w:tcBorders>
          </w:tcPr>
          <w:p>
            <w:pPr>
              <w:jc w:val="center"/>
              <w:spacing w:after="0"/>
              <w:rPr>
                <w:sz w:val="20"/>
                <w:szCs w:val="20"/>
                <w:color w:val="auto"/>
              </w:rPr>
            </w:pPr>
            <w:r>
              <w:rPr>
                <w:rFonts w:ascii="Arial" w:cs="Arial" w:eastAsia="Arial" w:hAnsi="Arial"/>
                <w:sz w:val="16"/>
                <w:szCs w:val="16"/>
                <w:b w:val="1"/>
                <w:bCs w:val="1"/>
                <w:color w:val="auto"/>
              </w:rPr>
              <w:t>CorporateGovernance</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5D89B4"/>
            </w:tcBorders>
          </w:tcPr>
          <w:p>
            <w:pPr>
              <w:spacing w:after="0"/>
              <w:rPr>
                <w:sz w:val="17"/>
                <w:szCs w:val="17"/>
                <w:color w:val="auto"/>
              </w:rPr>
            </w:pPr>
          </w:p>
        </w:tc>
        <w:tc>
          <w:tcPr>
            <w:tcW w:w="220" w:type="dxa"/>
            <w:vAlign w:val="bottom"/>
          </w:tcPr>
          <w:p>
            <w:pPr>
              <w:spacing w:after="0"/>
              <w:rPr>
                <w:sz w:val="17"/>
                <w:szCs w:val="17"/>
                <w:color w:val="auto"/>
              </w:rPr>
            </w:pPr>
          </w:p>
        </w:tc>
        <w:tc>
          <w:tcPr>
            <w:tcW w:w="3660" w:type="dxa"/>
            <w:vAlign w:val="bottom"/>
            <w:tcBorders>
              <w:bottom w:val="single" w:sz="8" w:color="5D89B4"/>
            </w:tcBorders>
          </w:tcPr>
          <w:p>
            <w:pPr>
              <w:spacing w:after="0"/>
              <w:rPr>
                <w:sz w:val="17"/>
                <w:szCs w:val="17"/>
                <w:color w:val="auto"/>
              </w:rPr>
            </w:pPr>
          </w:p>
        </w:tc>
        <w:tc>
          <w:tcPr>
            <w:tcW w:w="220" w:type="dxa"/>
            <w:vAlign w:val="bottom"/>
          </w:tcPr>
          <w:p>
            <w:pPr>
              <w:spacing w:after="0"/>
              <w:rPr>
                <w:sz w:val="17"/>
                <w:szCs w:val="17"/>
                <w:color w:val="auto"/>
              </w:rPr>
            </w:pPr>
          </w:p>
        </w:tc>
        <w:tc>
          <w:tcPr>
            <w:tcW w:w="36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660" w:type="dxa"/>
            <w:vAlign w:val="bottom"/>
            <w:tcBorders>
              <w:left w:val="single" w:sz="8" w:color="5D89B4"/>
              <w:right w:val="single" w:sz="8" w:color="5D89B4"/>
            </w:tcBorders>
          </w:tcPr>
          <w:p>
            <w:pPr>
              <w:jc w:val="center"/>
              <w:ind w:left="59"/>
              <w:spacing w:after="0" w:line="171" w:lineRule="exact"/>
              <w:rPr>
                <w:sz w:val="20"/>
                <w:szCs w:val="20"/>
                <w:color w:val="auto"/>
              </w:rPr>
            </w:pPr>
            <w:r>
              <w:rPr>
                <w:rFonts w:ascii="Arial" w:cs="Arial" w:eastAsia="Arial" w:hAnsi="Arial"/>
                <w:sz w:val="16"/>
                <w:szCs w:val="16"/>
                <w:b w:val="1"/>
                <w:bCs w:val="1"/>
                <w:color w:val="auto"/>
              </w:rPr>
              <w:t>Activeor Former CEO/COO/</w:t>
            </w:r>
          </w:p>
        </w:tc>
        <w:tc>
          <w:tcPr>
            <w:tcW w:w="220" w:type="dxa"/>
            <w:vAlign w:val="bottom"/>
            <w:tcBorders>
              <w:right w:val="single" w:sz="8" w:color="5D89B4"/>
            </w:tcBorders>
          </w:tcPr>
          <w:p>
            <w:pPr>
              <w:spacing w:after="0"/>
              <w:rPr>
                <w:sz w:val="14"/>
                <w:szCs w:val="14"/>
                <w:color w:val="auto"/>
              </w:rPr>
            </w:pPr>
          </w:p>
        </w:tc>
        <w:tc>
          <w:tcPr>
            <w:tcW w:w="3660" w:type="dxa"/>
            <w:vAlign w:val="bottom"/>
            <w:tcBorders>
              <w:right w:val="single" w:sz="8" w:color="5D89B4"/>
            </w:tcBorders>
            <w:vMerge w:val="restart"/>
          </w:tcPr>
          <w:p>
            <w:pPr>
              <w:jc w:val="center"/>
              <w:ind w:left="19"/>
              <w:spacing w:after="0"/>
              <w:rPr>
                <w:sz w:val="20"/>
                <w:szCs w:val="20"/>
                <w:color w:val="auto"/>
              </w:rPr>
            </w:pPr>
            <w:r>
              <w:rPr>
                <w:rFonts w:ascii="Arial" w:cs="Arial" w:eastAsia="Arial" w:hAnsi="Arial"/>
                <w:sz w:val="16"/>
                <w:szCs w:val="16"/>
                <w:b w:val="1"/>
                <w:bCs w:val="1"/>
                <w:color w:val="auto"/>
              </w:rPr>
              <w:t>Sales</w:t>
            </w:r>
          </w:p>
        </w:tc>
        <w:tc>
          <w:tcPr>
            <w:tcW w:w="220" w:type="dxa"/>
            <w:vAlign w:val="bottom"/>
            <w:tcBorders>
              <w:right w:val="single" w:sz="8" w:color="5D89B4"/>
            </w:tcBorders>
          </w:tcPr>
          <w:p>
            <w:pPr>
              <w:spacing w:after="0"/>
              <w:rPr>
                <w:sz w:val="14"/>
                <w:szCs w:val="14"/>
                <w:color w:val="auto"/>
              </w:rPr>
            </w:pPr>
          </w:p>
        </w:tc>
        <w:tc>
          <w:tcPr>
            <w:tcW w:w="3680" w:type="dxa"/>
            <w:vAlign w:val="bottom"/>
            <w:tcBorders>
              <w:right w:val="single" w:sz="8" w:color="5D89B4"/>
            </w:tcBorders>
            <w:vMerge w:val="restart"/>
          </w:tcPr>
          <w:p>
            <w:pPr>
              <w:jc w:val="center"/>
              <w:spacing w:after="0"/>
              <w:rPr>
                <w:sz w:val="20"/>
                <w:szCs w:val="20"/>
                <w:color w:val="auto"/>
              </w:rPr>
            </w:pPr>
            <w:r>
              <w:rPr>
                <w:rFonts w:ascii="Arial" w:cs="Arial" w:eastAsia="Arial" w:hAnsi="Arial"/>
                <w:sz w:val="16"/>
                <w:szCs w:val="16"/>
                <w:b w:val="1"/>
                <w:bCs w:val="1"/>
                <w:color w:val="auto"/>
              </w:rPr>
              <w:t>GovernmentRelations</w:t>
            </w:r>
          </w:p>
        </w:tc>
        <w:tc>
          <w:tcPr>
            <w:tcW w:w="0" w:type="dxa"/>
            <w:vAlign w:val="bottom"/>
          </w:tcPr>
          <w:p>
            <w:pPr>
              <w:spacing w:after="0"/>
              <w:rPr>
                <w:sz w:val="1"/>
                <w:szCs w:val="1"/>
                <w:color w:val="auto"/>
              </w:rPr>
            </w:pPr>
          </w:p>
        </w:tc>
      </w:tr>
      <w:tr>
        <w:trPr>
          <w:trHeight w:val="147"/>
        </w:trPr>
        <w:tc>
          <w:tcPr>
            <w:tcW w:w="3660" w:type="dxa"/>
            <w:vAlign w:val="bottom"/>
            <w:tcBorders>
              <w:left w:val="single" w:sz="8" w:color="5D89B4"/>
              <w:right w:val="single" w:sz="8" w:color="5D89B4"/>
            </w:tcBorders>
            <w:vMerge w:val="restart"/>
          </w:tcPr>
          <w:p>
            <w:pPr>
              <w:jc w:val="center"/>
              <w:ind w:left="59"/>
              <w:spacing w:after="0"/>
              <w:rPr>
                <w:sz w:val="20"/>
                <w:szCs w:val="20"/>
                <w:color w:val="auto"/>
              </w:rPr>
            </w:pPr>
            <w:r>
              <w:rPr>
                <w:rFonts w:ascii="Arial" w:cs="Arial" w:eastAsia="Arial" w:hAnsi="Arial"/>
                <w:sz w:val="16"/>
                <w:szCs w:val="16"/>
                <w:b w:val="1"/>
                <w:bCs w:val="1"/>
                <w:color w:val="auto"/>
              </w:rPr>
              <w:t>Chairperson</w:t>
            </w:r>
          </w:p>
        </w:tc>
        <w:tc>
          <w:tcPr>
            <w:tcW w:w="220" w:type="dxa"/>
            <w:vAlign w:val="bottom"/>
            <w:tcBorders>
              <w:right w:val="single" w:sz="8" w:color="5D89B4"/>
            </w:tcBorders>
          </w:tcPr>
          <w:p>
            <w:pPr>
              <w:spacing w:after="0"/>
              <w:rPr>
                <w:sz w:val="12"/>
                <w:szCs w:val="12"/>
                <w:color w:val="auto"/>
              </w:rPr>
            </w:pPr>
          </w:p>
        </w:tc>
        <w:tc>
          <w:tcPr>
            <w:tcW w:w="3660" w:type="dxa"/>
            <w:vAlign w:val="bottom"/>
            <w:tcBorders>
              <w:right w:val="single" w:sz="8" w:color="5D89B4"/>
            </w:tcBorders>
            <w:vMerge w:val="continue"/>
          </w:tcPr>
          <w:p>
            <w:pPr>
              <w:spacing w:after="0"/>
              <w:rPr>
                <w:sz w:val="12"/>
                <w:szCs w:val="12"/>
                <w:color w:val="auto"/>
              </w:rPr>
            </w:pPr>
          </w:p>
        </w:tc>
        <w:tc>
          <w:tcPr>
            <w:tcW w:w="220" w:type="dxa"/>
            <w:vAlign w:val="bottom"/>
            <w:tcBorders>
              <w:right w:val="single" w:sz="8" w:color="5D89B4"/>
            </w:tcBorders>
          </w:tcPr>
          <w:p>
            <w:pPr>
              <w:spacing w:after="0"/>
              <w:rPr>
                <w:sz w:val="12"/>
                <w:szCs w:val="12"/>
                <w:color w:val="auto"/>
              </w:rPr>
            </w:pPr>
          </w:p>
        </w:tc>
        <w:tc>
          <w:tcPr>
            <w:tcW w:w="3680" w:type="dxa"/>
            <w:vAlign w:val="bottom"/>
            <w:tcBorders>
              <w:right w:val="single" w:sz="8" w:color="5D89B4"/>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660" w:type="dxa"/>
            <w:vAlign w:val="bottom"/>
            <w:tcBorders>
              <w:left w:val="single" w:sz="8" w:color="5D89B4"/>
              <w:right w:val="single" w:sz="8" w:color="5D89B4"/>
            </w:tcBorders>
            <w:vMerge w:val="continue"/>
          </w:tcPr>
          <w:p>
            <w:pPr>
              <w:spacing w:after="0"/>
              <w:rPr>
                <w:sz w:val="5"/>
                <w:szCs w:val="5"/>
                <w:color w:val="auto"/>
              </w:rPr>
            </w:pPr>
          </w:p>
        </w:tc>
        <w:tc>
          <w:tcPr>
            <w:tcW w:w="220" w:type="dxa"/>
            <w:vAlign w:val="bottom"/>
            <w:tcBorders>
              <w:right w:val="single" w:sz="8" w:color="5D89B4"/>
            </w:tcBorders>
          </w:tcPr>
          <w:p>
            <w:pPr>
              <w:spacing w:after="0"/>
              <w:rPr>
                <w:sz w:val="5"/>
                <w:szCs w:val="5"/>
                <w:color w:val="auto"/>
              </w:rPr>
            </w:pPr>
          </w:p>
        </w:tc>
        <w:tc>
          <w:tcPr>
            <w:tcW w:w="3660" w:type="dxa"/>
            <w:vAlign w:val="bottom"/>
            <w:tcBorders>
              <w:right w:val="single" w:sz="8" w:color="5D89B4"/>
            </w:tcBorders>
          </w:tcPr>
          <w:p>
            <w:pPr>
              <w:spacing w:after="0"/>
              <w:rPr>
                <w:sz w:val="5"/>
                <w:szCs w:val="5"/>
                <w:color w:val="auto"/>
              </w:rPr>
            </w:pPr>
          </w:p>
        </w:tc>
        <w:tc>
          <w:tcPr>
            <w:tcW w:w="220" w:type="dxa"/>
            <w:vAlign w:val="bottom"/>
            <w:tcBorders>
              <w:right w:val="single" w:sz="8" w:color="5D89B4"/>
            </w:tcBorders>
          </w:tcPr>
          <w:p>
            <w:pPr>
              <w:spacing w:after="0"/>
              <w:rPr>
                <w:sz w:val="5"/>
                <w:szCs w:val="5"/>
                <w:color w:val="auto"/>
              </w:rPr>
            </w:pPr>
          </w:p>
        </w:tc>
        <w:tc>
          <w:tcPr>
            <w:tcW w:w="3680" w:type="dxa"/>
            <w:vAlign w:val="bottom"/>
            <w:tcBorders>
              <w:right w:val="single" w:sz="8" w:color="5D89B4"/>
            </w:tcBorders>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3660" w:type="dxa"/>
            <w:vAlign w:val="bottom"/>
            <w:tcBorders>
              <w:left w:val="single" w:sz="8" w:color="5D89B4"/>
              <w:bottom w:val="single" w:sz="8" w:color="5D89B4"/>
              <w:right w:val="single" w:sz="8" w:color="5D89B4"/>
            </w:tcBorders>
          </w:tcPr>
          <w:p>
            <w:pPr>
              <w:spacing w:after="0"/>
              <w:rPr>
                <w:sz w:val="5"/>
                <w:szCs w:val="5"/>
                <w:color w:val="auto"/>
              </w:rPr>
            </w:pPr>
          </w:p>
        </w:tc>
        <w:tc>
          <w:tcPr>
            <w:tcW w:w="220" w:type="dxa"/>
            <w:vAlign w:val="bottom"/>
            <w:tcBorders>
              <w:right w:val="single" w:sz="8" w:color="5D89B4"/>
            </w:tcBorders>
          </w:tcPr>
          <w:p>
            <w:pPr>
              <w:spacing w:after="0"/>
              <w:rPr>
                <w:sz w:val="5"/>
                <w:szCs w:val="5"/>
                <w:color w:val="auto"/>
              </w:rPr>
            </w:pPr>
          </w:p>
        </w:tc>
        <w:tc>
          <w:tcPr>
            <w:tcW w:w="3660" w:type="dxa"/>
            <w:vAlign w:val="bottom"/>
            <w:tcBorders>
              <w:bottom w:val="single" w:sz="8" w:color="5D89B4"/>
              <w:right w:val="single" w:sz="8" w:color="5D89B4"/>
            </w:tcBorders>
          </w:tcPr>
          <w:p>
            <w:pPr>
              <w:spacing w:after="0"/>
              <w:rPr>
                <w:sz w:val="5"/>
                <w:szCs w:val="5"/>
                <w:color w:val="auto"/>
              </w:rPr>
            </w:pPr>
          </w:p>
        </w:tc>
        <w:tc>
          <w:tcPr>
            <w:tcW w:w="220" w:type="dxa"/>
            <w:vAlign w:val="bottom"/>
            <w:tcBorders>
              <w:right w:val="single" w:sz="8" w:color="5D89B4"/>
            </w:tcBorders>
          </w:tcPr>
          <w:p>
            <w:pPr>
              <w:spacing w:after="0"/>
              <w:rPr>
                <w:sz w:val="5"/>
                <w:szCs w:val="5"/>
                <w:color w:val="auto"/>
              </w:rPr>
            </w:pPr>
          </w:p>
        </w:tc>
        <w:tc>
          <w:tcPr>
            <w:tcW w:w="3680" w:type="dxa"/>
            <w:vAlign w:val="bottom"/>
            <w:tcBorders>
              <w:bottom w:val="single" w:sz="8" w:color="5D89B4"/>
              <w:right w:val="single" w:sz="8" w:color="5D89B4"/>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660" w:type="dxa"/>
            <w:vAlign w:val="bottom"/>
            <w:tcBorders>
              <w:bottom w:val="single" w:sz="8" w:color="5D89B4"/>
            </w:tcBorders>
          </w:tcPr>
          <w:p>
            <w:pPr>
              <w:spacing w:after="0"/>
              <w:rPr>
                <w:sz w:val="17"/>
                <w:szCs w:val="17"/>
                <w:color w:val="auto"/>
              </w:rPr>
            </w:pPr>
          </w:p>
        </w:tc>
        <w:tc>
          <w:tcPr>
            <w:tcW w:w="220" w:type="dxa"/>
            <w:vAlign w:val="bottom"/>
          </w:tcPr>
          <w:p>
            <w:pPr>
              <w:spacing w:after="0"/>
              <w:rPr>
                <w:sz w:val="17"/>
                <w:szCs w:val="17"/>
                <w:color w:val="auto"/>
              </w:rPr>
            </w:pPr>
          </w:p>
        </w:tc>
        <w:tc>
          <w:tcPr>
            <w:tcW w:w="3660" w:type="dxa"/>
            <w:vAlign w:val="bottom"/>
            <w:tcBorders>
              <w:bottom w:val="single" w:sz="8" w:color="5D89B4"/>
            </w:tcBorders>
          </w:tcPr>
          <w:p>
            <w:pPr>
              <w:spacing w:after="0"/>
              <w:rPr>
                <w:sz w:val="17"/>
                <w:szCs w:val="17"/>
                <w:color w:val="auto"/>
              </w:rPr>
            </w:pPr>
          </w:p>
        </w:tc>
        <w:tc>
          <w:tcPr>
            <w:tcW w:w="220" w:type="dxa"/>
            <w:vAlign w:val="bottom"/>
          </w:tcPr>
          <w:p>
            <w:pPr>
              <w:spacing w:after="0"/>
              <w:rPr>
                <w:sz w:val="17"/>
                <w:szCs w:val="17"/>
                <w:color w:val="auto"/>
              </w:rPr>
            </w:pPr>
          </w:p>
        </w:tc>
        <w:tc>
          <w:tcPr>
            <w:tcW w:w="36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60" w:type="dxa"/>
            <w:vAlign w:val="bottom"/>
            <w:tcBorders>
              <w:left w:val="single" w:sz="8" w:color="5D89B4"/>
              <w:bottom w:val="single" w:sz="8" w:color="5D89B4"/>
              <w:right w:val="single" w:sz="8" w:color="5D89B4"/>
            </w:tcBorders>
          </w:tcPr>
          <w:p>
            <w:pPr>
              <w:jc w:val="center"/>
              <w:ind w:left="79"/>
              <w:spacing w:after="0"/>
              <w:rPr>
                <w:sz w:val="20"/>
                <w:szCs w:val="20"/>
                <w:color w:val="auto"/>
              </w:rPr>
            </w:pPr>
            <w:r>
              <w:rPr>
                <w:rFonts w:ascii="Arial" w:cs="Arial" w:eastAsia="Arial" w:hAnsi="Arial"/>
                <w:sz w:val="16"/>
                <w:szCs w:val="16"/>
                <w:b w:val="1"/>
                <w:bCs w:val="1"/>
                <w:color w:val="auto"/>
              </w:rPr>
              <w:t>HumanResources</w:t>
            </w:r>
          </w:p>
        </w:tc>
        <w:tc>
          <w:tcPr>
            <w:tcW w:w="220" w:type="dxa"/>
            <w:vAlign w:val="bottom"/>
            <w:tcBorders>
              <w:right w:val="single" w:sz="8" w:color="5D89B4"/>
            </w:tcBorders>
          </w:tcPr>
          <w:p>
            <w:pPr>
              <w:spacing w:after="0"/>
              <w:rPr>
                <w:sz w:val="18"/>
                <w:szCs w:val="18"/>
                <w:color w:val="auto"/>
              </w:rPr>
            </w:pPr>
          </w:p>
        </w:tc>
        <w:tc>
          <w:tcPr>
            <w:tcW w:w="3660" w:type="dxa"/>
            <w:vAlign w:val="bottom"/>
            <w:tcBorders>
              <w:bottom w:val="single" w:sz="8" w:color="5D89B4"/>
              <w:right w:val="single" w:sz="8" w:color="5D89B4"/>
            </w:tcBorders>
          </w:tcPr>
          <w:p>
            <w:pPr>
              <w:jc w:val="center"/>
              <w:ind w:left="19"/>
              <w:spacing w:after="0"/>
              <w:rPr>
                <w:sz w:val="20"/>
                <w:szCs w:val="20"/>
                <w:color w:val="auto"/>
              </w:rPr>
            </w:pPr>
            <w:r>
              <w:rPr>
                <w:rFonts w:ascii="Arial" w:cs="Arial" w:eastAsia="Arial" w:hAnsi="Arial"/>
                <w:sz w:val="16"/>
                <w:szCs w:val="16"/>
                <w:b w:val="1"/>
                <w:bCs w:val="1"/>
                <w:color w:val="auto"/>
              </w:rPr>
              <w:t>Marketingand Branding</w:t>
            </w:r>
          </w:p>
        </w:tc>
        <w:tc>
          <w:tcPr>
            <w:tcW w:w="220" w:type="dxa"/>
            <w:vAlign w:val="bottom"/>
            <w:tcBorders>
              <w:right w:val="single" w:sz="8" w:color="5D89B4"/>
            </w:tcBorders>
          </w:tcPr>
          <w:p>
            <w:pPr>
              <w:spacing w:after="0"/>
              <w:rPr>
                <w:sz w:val="18"/>
                <w:szCs w:val="18"/>
                <w:color w:val="auto"/>
              </w:rPr>
            </w:pPr>
          </w:p>
        </w:tc>
        <w:tc>
          <w:tcPr>
            <w:tcW w:w="3680" w:type="dxa"/>
            <w:vAlign w:val="bottom"/>
            <w:tcBorders>
              <w:bottom w:val="single" w:sz="8" w:color="5D89B4"/>
              <w:right w:val="single" w:sz="8" w:color="5D89B4"/>
            </w:tcBorders>
          </w:tcPr>
          <w:p>
            <w:pPr>
              <w:jc w:val="center"/>
              <w:spacing w:after="0"/>
              <w:rPr>
                <w:sz w:val="20"/>
                <w:szCs w:val="20"/>
                <w:color w:val="auto"/>
              </w:rPr>
            </w:pPr>
            <w:r>
              <w:rPr>
                <w:rFonts w:ascii="Arial" w:cs="Arial" w:eastAsia="Arial" w:hAnsi="Arial"/>
                <w:sz w:val="16"/>
                <w:szCs w:val="16"/>
                <w:b w:val="1"/>
                <w:bCs w:val="1"/>
                <w:color w:val="auto"/>
              </w:rPr>
              <w:t>Technology</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5D89B4"/>
            </w:tcBorders>
          </w:tcPr>
          <w:p>
            <w:pPr>
              <w:spacing w:after="0"/>
              <w:rPr>
                <w:sz w:val="17"/>
                <w:szCs w:val="17"/>
                <w:color w:val="auto"/>
              </w:rPr>
            </w:pPr>
          </w:p>
        </w:tc>
        <w:tc>
          <w:tcPr>
            <w:tcW w:w="220" w:type="dxa"/>
            <w:vAlign w:val="bottom"/>
          </w:tcPr>
          <w:p>
            <w:pPr>
              <w:spacing w:after="0"/>
              <w:rPr>
                <w:sz w:val="17"/>
                <w:szCs w:val="17"/>
                <w:color w:val="auto"/>
              </w:rPr>
            </w:pPr>
          </w:p>
        </w:tc>
        <w:tc>
          <w:tcPr>
            <w:tcW w:w="3660" w:type="dxa"/>
            <w:vAlign w:val="bottom"/>
            <w:tcBorders>
              <w:bottom w:val="single" w:sz="8" w:color="5D89B4"/>
            </w:tcBorders>
          </w:tcPr>
          <w:p>
            <w:pPr>
              <w:spacing w:after="0"/>
              <w:rPr>
                <w:sz w:val="17"/>
                <w:szCs w:val="17"/>
                <w:color w:val="auto"/>
              </w:rPr>
            </w:pPr>
          </w:p>
        </w:tc>
        <w:tc>
          <w:tcPr>
            <w:tcW w:w="2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60" w:type="dxa"/>
            <w:vAlign w:val="bottom"/>
            <w:tcBorders>
              <w:left w:val="single" w:sz="8" w:color="5D89B4"/>
              <w:bottom w:val="single" w:sz="8" w:color="5D89B4"/>
              <w:right w:val="single" w:sz="8" w:color="5D89B4"/>
            </w:tcBorders>
          </w:tcPr>
          <w:p>
            <w:pPr>
              <w:jc w:val="center"/>
              <w:ind w:left="59"/>
              <w:spacing w:after="0"/>
              <w:rPr>
                <w:sz w:val="20"/>
                <w:szCs w:val="20"/>
                <w:color w:val="auto"/>
              </w:rPr>
            </w:pPr>
            <w:r>
              <w:rPr>
                <w:rFonts w:ascii="Arial" w:cs="Arial" w:eastAsia="Arial" w:hAnsi="Arial"/>
                <w:sz w:val="16"/>
                <w:szCs w:val="16"/>
                <w:b w:val="1"/>
                <w:bCs w:val="1"/>
                <w:color w:val="auto"/>
              </w:rPr>
              <w:t>Accountingor Financial Oversight</w:t>
            </w:r>
          </w:p>
        </w:tc>
        <w:tc>
          <w:tcPr>
            <w:tcW w:w="220" w:type="dxa"/>
            <w:vAlign w:val="bottom"/>
            <w:tcBorders>
              <w:right w:val="single" w:sz="8" w:color="5D89B4"/>
            </w:tcBorders>
          </w:tcPr>
          <w:p>
            <w:pPr>
              <w:spacing w:after="0"/>
              <w:rPr>
                <w:sz w:val="18"/>
                <w:szCs w:val="18"/>
                <w:color w:val="auto"/>
              </w:rPr>
            </w:pPr>
          </w:p>
        </w:tc>
        <w:tc>
          <w:tcPr>
            <w:tcW w:w="3660" w:type="dxa"/>
            <w:vAlign w:val="bottom"/>
            <w:tcBorders>
              <w:bottom w:val="single" w:sz="8" w:color="5D89B4"/>
              <w:right w:val="single" w:sz="8" w:color="5D89B4"/>
            </w:tcBorders>
          </w:tcPr>
          <w:p>
            <w:pPr>
              <w:jc w:val="center"/>
              <w:ind w:left="19"/>
              <w:spacing w:after="0"/>
              <w:rPr>
                <w:sz w:val="20"/>
                <w:szCs w:val="20"/>
                <w:color w:val="auto"/>
              </w:rPr>
            </w:pPr>
            <w:r>
              <w:rPr>
                <w:rFonts w:ascii="Arial" w:cs="Arial" w:eastAsia="Arial" w:hAnsi="Arial"/>
                <w:sz w:val="16"/>
                <w:szCs w:val="16"/>
                <w:b w:val="1"/>
                <w:bCs w:val="1"/>
                <w:color w:val="auto"/>
                <w:w w:val="99"/>
              </w:rPr>
              <w:t>Operations</w:t>
            </w:r>
          </w:p>
        </w:tc>
        <w:tc>
          <w:tcPr>
            <w:tcW w:w="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Company believes that the present composition of the board of directors satisfies the guidelines for selecting board candidates set out above; specifically, the board is composed of individuals who have a variety of experience and backgrounds, the board has a core of business executives having substantial experience in management as well as one member having government experience, and twelve of thirteen directors are independent under the rules of the New York Stock Exchange.</w:t>
      </w:r>
    </w:p>
    <w:p>
      <w:pPr>
        <w:spacing w:after="0" w:line="13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board of directors and the nominating and governance committee evaluated each of the directors’ contributions to the board of directors and role in the operation of the board of directors as a whole. The nominating and governance committee considered both the background and experience of each director as well as the qualifications set forth in the biographies on pages 5 to 11 of this proxy statement.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16</w:t>
      </w:r>
    </w:p>
    <w:p>
      <w:pPr>
        <w:sectPr>
          <w:pgSz w:w="11900" w:h="16838" w:orient="portrait"/>
          <w:cols w:equalWidth="0" w:num="1">
            <w:col w:w="11440"/>
          </w:cols>
          <w:pgMar w:left="240" w:top="459" w:right="2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9500"/>
        <w:spacing w:after="0"/>
        <w:rPr>
          <w:sz w:val="20"/>
          <w:szCs w:val="20"/>
          <w:color w:val="auto"/>
        </w:rPr>
      </w:pPr>
      <w:r>
        <w:rPr>
          <w:rFonts w:ascii="Arial" w:cs="Arial" w:eastAsia="Arial" w:hAnsi="Arial"/>
          <w:sz w:val="18"/>
          <w:szCs w:val="18"/>
          <w:color w:val="FFFFFF"/>
        </w:rPr>
        <w:t>1. Election of Directors</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Board Diversity and Tenure</w:t>
      </w:r>
    </w:p>
    <w:p>
      <w:pPr>
        <w:spacing w:after="0" w:line="188" w:lineRule="exact"/>
        <w:rPr>
          <w:sz w:val="20"/>
          <w:szCs w:val="20"/>
          <w:color w:val="auto"/>
        </w:rPr>
      </w:pPr>
    </w:p>
    <w:p>
      <w:pPr>
        <w:jc w:val="both"/>
        <w:ind w:right="540"/>
        <w:spacing w:after="0"/>
        <w:rPr>
          <w:sz w:val="20"/>
          <w:szCs w:val="20"/>
          <w:color w:val="auto"/>
        </w:rPr>
      </w:pPr>
      <w:r>
        <w:rPr>
          <w:rFonts w:ascii="Arial" w:cs="Arial" w:eastAsia="Arial" w:hAnsi="Arial"/>
          <w:sz w:val="18"/>
          <w:szCs w:val="18"/>
          <w:color w:val="auto"/>
        </w:rPr>
        <w:t>The composition of the board also reflects diversity of gender, race and age, an objective that the nominating and governance committee continually strives to enhance when searching for and considering new directors. Based on the composition of our board of directors, we believe this objective has been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146685</wp:posOffset>
            </wp:positionV>
            <wp:extent cx="1637665" cy="16376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37665" cy="1637665"/>
                    </a:xfrm>
                    <a:prstGeom prst="rect">
                      <a:avLst/>
                    </a:prstGeom>
                    <a:noFill/>
                  </pic:spPr>
                </pic:pic>
              </a:graphicData>
            </a:graphic>
          </wp:anchor>
        </w:drawing>
      </w:r>
    </w:p>
    <w:p>
      <w:pPr>
        <w:spacing w:after="0" w:line="382" w:lineRule="exact"/>
        <w:rPr>
          <w:sz w:val="20"/>
          <w:szCs w:val="20"/>
          <w:color w:val="auto"/>
        </w:rPr>
      </w:pPr>
    </w:p>
    <w:p>
      <w:pPr>
        <w:ind w:left="2040" w:hanging="305"/>
        <w:spacing w:after="0"/>
        <w:tabs>
          <w:tab w:leader="none" w:pos="2040" w:val="left"/>
        </w:tabs>
        <w:numPr>
          <w:ilvl w:val="0"/>
          <w:numId w:val="18"/>
        </w:numPr>
        <w:rPr>
          <w:rFonts w:ascii="Arial" w:cs="Arial" w:eastAsia="Arial" w:hAnsi="Arial"/>
          <w:sz w:val="40"/>
          <w:szCs w:val="40"/>
          <w:b w:val="1"/>
          <w:bCs w:val="1"/>
          <w:color w:val="FFFFFF"/>
        </w:rPr>
      </w:pPr>
      <w:r>
        <w:rPr>
          <w:rFonts w:ascii="Arial" w:cs="Arial" w:eastAsia="Arial" w:hAnsi="Arial"/>
          <w:sz w:val="22"/>
          <w:szCs w:val="22"/>
          <w:color w:val="auto"/>
        </w:rPr>
        <w:t xml:space="preserve">nominees are </w:t>
      </w:r>
      <w:r>
        <w:rPr>
          <w:rFonts w:ascii="Arial" w:cs="Arial" w:eastAsia="Arial" w:hAnsi="Arial"/>
          <w:sz w:val="22"/>
          <w:szCs w:val="22"/>
          <w:b w:val="1"/>
          <w:bCs w:val="1"/>
          <w:color w:val="5D89B4"/>
        </w:rPr>
        <w:t>women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-271780</wp:posOffset>
            </wp:positionV>
            <wp:extent cx="2590165" cy="13722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90165" cy="1372235"/>
                    </a:xfrm>
                    <a:prstGeom prst="rect">
                      <a:avLst/>
                    </a:prstGeom>
                    <a:noFill/>
                  </pic:spPr>
                </pic:pic>
              </a:graphicData>
            </a:graphic>
          </wp:anchor>
        </w:drawing>
      </w:r>
    </w:p>
    <w:p>
      <w:pPr>
        <w:spacing w:after="0" w:line="47" w:lineRule="exact"/>
        <w:rPr>
          <w:sz w:val="20"/>
          <w:szCs w:val="20"/>
          <w:color w:val="auto"/>
        </w:rPr>
      </w:pPr>
    </w:p>
    <w:p>
      <w:pPr>
        <w:ind w:left="2040" w:hanging="305"/>
        <w:spacing w:after="0"/>
        <w:tabs>
          <w:tab w:leader="none" w:pos="2040" w:val="left"/>
        </w:tabs>
        <w:numPr>
          <w:ilvl w:val="0"/>
          <w:numId w:val="19"/>
        </w:numPr>
        <w:rPr>
          <w:rFonts w:ascii="Arial" w:cs="Arial" w:eastAsia="Arial" w:hAnsi="Arial"/>
          <w:sz w:val="40"/>
          <w:szCs w:val="40"/>
          <w:b w:val="1"/>
          <w:bCs w:val="1"/>
          <w:color w:val="FFFFFF"/>
        </w:rPr>
      </w:pPr>
      <w:r>
        <w:rPr>
          <w:rFonts w:ascii="Arial" w:cs="Arial" w:eastAsia="Arial" w:hAnsi="Arial"/>
          <w:sz w:val="22"/>
          <w:szCs w:val="22"/>
          <w:color w:val="auto"/>
        </w:rPr>
        <w:t xml:space="preserve">nominees are in their </w:t>
      </w:r>
      <w:r>
        <w:rPr>
          <w:rFonts w:ascii="Arial" w:cs="Arial" w:eastAsia="Arial" w:hAnsi="Arial"/>
          <w:sz w:val="22"/>
          <w:szCs w:val="22"/>
          <w:b w:val="1"/>
          <w:bCs w:val="1"/>
          <w:color w:val="5D89B4"/>
        </w:rPr>
        <w:t>50’s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-271780</wp:posOffset>
            </wp:positionV>
            <wp:extent cx="24352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60" w:lineRule="exact"/>
        <w:rPr>
          <w:sz w:val="20"/>
          <w:szCs w:val="20"/>
          <w:color w:val="auto"/>
        </w:rPr>
      </w:pPr>
    </w:p>
    <w:p>
      <w:pPr>
        <w:ind w:left="2040" w:hanging="305"/>
        <w:spacing w:after="0"/>
        <w:tabs>
          <w:tab w:leader="none" w:pos="2040" w:val="left"/>
        </w:tabs>
        <w:numPr>
          <w:ilvl w:val="0"/>
          <w:numId w:val="20"/>
        </w:numPr>
        <w:rPr>
          <w:rFonts w:ascii="Arial" w:cs="Arial" w:eastAsia="Arial" w:hAnsi="Arial"/>
          <w:sz w:val="40"/>
          <w:szCs w:val="40"/>
          <w:b w:val="1"/>
          <w:bCs w:val="1"/>
          <w:color w:val="FFFFFF"/>
        </w:rPr>
      </w:pPr>
      <w:r>
        <w:rPr>
          <w:rFonts w:ascii="Arial" w:cs="Arial" w:eastAsia="Arial" w:hAnsi="Arial"/>
          <w:sz w:val="22"/>
          <w:szCs w:val="22"/>
          <w:color w:val="auto"/>
        </w:rPr>
        <w:t xml:space="preserve">nominees are in their </w:t>
      </w:r>
      <w:r>
        <w:rPr>
          <w:rFonts w:ascii="Arial" w:cs="Arial" w:eastAsia="Arial" w:hAnsi="Arial"/>
          <w:sz w:val="22"/>
          <w:szCs w:val="22"/>
          <w:b w:val="1"/>
          <w:bCs w:val="1"/>
          <w:color w:val="5D89B4"/>
        </w:rPr>
        <w:t>60’s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-271780</wp:posOffset>
            </wp:positionV>
            <wp:extent cx="24352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60" w:lineRule="exact"/>
        <w:rPr>
          <w:sz w:val="20"/>
          <w:szCs w:val="20"/>
          <w:color w:val="auto"/>
        </w:rPr>
      </w:pPr>
    </w:p>
    <w:p>
      <w:pPr>
        <w:ind w:left="2040" w:hanging="305"/>
        <w:spacing w:after="0"/>
        <w:tabs>
          <w:tab w:leader="none" w:pos="2040" w:val="left"/>
        </w:tabs>
        <w:numPr>
          <w:ilvl w:val="0"/>
          <w:numId w:val="21"/>
        </w:numPr>
        <w:rPr>
          <w:rFonts w:ascii="Arial" w:cs="Arial" w:eastAsia="Arial" w:hAnsi="Arial"/>
          <w:sz w:val="40"/>
          <w:szCs w:val="40"/>
          <w:b w:val="1"/>
          <w:bCs w:val="1"/>
          <w:color w:val="FFFFFF"/>
        </w:rPr>
      </w:pPr>
      <w:r>
        <w:rPr>
          <w:rFonts w:ascii="Arial" w:cs="Arial" w:eastAsia="Arial" w:hAnsi="Arial"/>
          <w:sz w:val="22"/>
          <w:szCs w:val="22"/>
          <w:color w:val="auto"/>
        </w:rPr>
        <w:t xml:space="preserve">nominees are in their </w:t>
      </w:r>
      <w:r>
        <w:rPr>
          <w:rFonts w:ascii="Arial" w:cs="Arial" w:eastAsia="Arial" w:hAnsi="Arial"/>
          <w:sz w:val="22"/>
          <w:szCs w:val="22"/>
          <w:b w:val="1"/>
          <w:bCs w:val="1"/>
          <w:color w:val="5D89B4"/>
        </w:rPr>
        <w:t>70’s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71120</wp:posOffset>
            </wp:positionV>
            <wp:extent cx="24352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35225" cy="8890"/>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-271780</wp:posOffset>
            </wp:positionV>
            <wp:extent cx="24352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Other Information</w:t>
      </w:r>
    </w:p>
    <w:p>
      <w:pPr>
        <w:spacing w:after="0" w:line="188"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In August 2008, the SEC approved a negotiated settlement with EY and two of its partners, including Mr. Ferraro, relating to auditor independence issues arising out of business relationships between EY and an individual who was also a member of the board of directors of three of its audit clients. The matter arose out of actions taken by Mr. Ferraro in 2002 in his role as Vice Chairman of EY. As part of the settlement, the respondents neither admitted nor denied the underlying allegations and accepted an administrative cease and desist order.</w:t>
      </w:r>
    </w:p>
    <w:p>
      <w:pPr>
        <w:spacing w:after="0" w:line="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Mr. Ferraro did not receive any suspension, fines or other sanctions and remained a partner in good standing at EY through January 2015. Our Board of Directors took into consideration all factors regarding Mr. Ferraro’s character and experience when considering his nomination.</w:t>
      </w:r>
    </w:p>
    <w:p>
      <w:pPr>
        <w:spacing w:after="0" w:line="275"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Board Leadership Structure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Chairman of the Board</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ManpowerGroup’s bylaws and in accordance with the Company’s corporate governance guidelines, the board of directors can choose whether the roles of chairman and chief executive officer should be combined or separated, based on what it believes is best for the Company and its shareholders at a given point in time. Jonas Prising has been chairman of the board of directors since December 31, 2015. The board of directors has evaluated the Company’s leadership structure and determined that the presence of our independent lead director who, as described below, has meaningful oversight responsibilities, together with a strong leader in the combined role of chairman and chief executive officer, serves the best interests of ManpowerGroup and its shareholders. The board of directors believes that in light of Mr. Prising’s extensive knowledge of ManpowerGroup and its industry, gained through his tenure with the Company, he is well positioned to serve as both chairman and chief executive officer of the Company.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Duties of Lead Director</w:t>
      </w:r>
    </w:p>
    <w:p>
      <w:pPr>
        <w:spacing w:after="0" w:line="166"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Our corporate governance guidelines provide that if the same person holds the chief executive officer and chairman roles or if the chairman is not independent, the board of directors will designate one of the independent directors to serve as the lead director. The lead director helps ensure that there is an appropriate balance between management and the independent directors and that the independent directors are fully informed and able to discuss and debate the issues that they deem important.</w:t>
      </w:r>
    </w:p>
    <w:p>
      <w:pPr>
        <w:spacing w:after="0" w:line="12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Our corporate governance guidelines contemplate that the lead director will be appointed annually and that he or she should be willing to serve for at least three years in such capacity. The board of directors believes having a lead director serving continuous terms provides greater continuity to the role, enhances board leadership and performance and facilitates effective oversight of the performance of senior management. Our current lead director, Mr. Zore, has served as lead director since February 2013, completing more than four years in the role.</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17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1. Election of Directors</w:t>
      </w:r>
    </w:p>
    <w:p>
      <w:pPr>
        <w:spacing w:after="0" w:line="239" w:lineRule="exact"/>
        <w:rPr>
          <w:sz w:val="20"/>
          <w:szCs w:val="20"/>
          <w:color w:val="auto"/>
        </w:rPr>
      </w:pPr>
    </w:p>
    <w:p>
      <w:pPr>
        <w:ind w:right="480"/>
        <w:spacing w:after="0"/>
        <w:rPr>
          <w:sz w:val="20"/>
          <w:szCs w:val="20"/>
          <w:color w:val="auto"/>
        </w:rPr>
      </w:pPr>
      <w:r>
        <w:rPr>
          <w:rFonts w:ascii="Arial" w:cs="Arial" w:eastAsia="Arial" w:hAnsi="Arial"/>
          <w:sz w:val="18"/>
          <w:szCs w:val="18"/>
          <w:color w:val="auto"/>
        </w:rPr>
        <w:t>In February 2017, the board of directors appointed Mr. Downe to succeed Mr. Zore as the lead director, effective May 3, 2017. Mr. Zore is expected to retire from the board of directors at the 2018 Annual Meeting of Shareholders in accordance with the corporate governance guidelines.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lead director’s duties as specified in the Company’s corporate governance guidelines are as follows:</w:t>
      </w:r>
    </w:p>
    <w:p>
      <w:pPr>
        <w:spacing w:after="0" w:line="144" w:lineRule="exact"/>
        <w:rPr>
          <w:sz w:val="20"/>
          <w:szCs w:val="20"/>
          <w:color w:val="auto"/>
        </w:rPr>
      </w:pPr>
    </w:p>
    <w:p>
      <w:pPr>
        <w:ind w:left="440" w:right="260" w:hanging="324"/>
        <w:spacing w:after="0" w:line="246" w:lineRule="auto"/>
        <w:tabs>
          <w:tab w:leader="none" w:pos="440" w:val="left"/>
        </w:tabs>
        <w:numPr>
          <w:ilvl w:val="0"/>
          <w:numId w:val="22"/>
        </w:numPr>
        <w:rPr>
          <w:rFonts w:ascii="Arial" w:cs="Arial" w:eastAsia="Arial" w:hAnsi="Arial"/>
          <w:sz w:val="18"/>
          <w:szCs w:val="18"/>
          <w:color w:val="5D89B4"/>
        </w:rPr>
      </w:pPr>
      <w:r>
        <w:rPr>
          <w:rFonts w:ascii="Arial" w:cs="Arial" w:eastAsia="Arial" w:hAnsi="Arial"/>
          <w:sz w:val="18"/>
          <w:szCs w:val="18"/>
          <w:color w:val="auto"/>
        </w:rPr>
        <w:t>Preside at executive sessions of the non-employee directors and all other meetings of directors where the chairman of the board is not present;</w:t>
      </w:r>
    </w:p>
    <w:p>
      <w:pPr>
        <w:spacing w:after="0" w:line="61" w:lineRule="exact"/>
        <w:rPr>
          <w:rFonts w:ascii="Arial" w:cs="Arial" w:eastAsia="Arial" w:hAnsi="Arial"/>
          <w:sz w:val="18"/>
          <w:szCs w:val="18"/>
          <w:color w:val="5D89B4"/>
        </w:rPr>
      </w:pPr>
    </w:p>
    <w:p>
      <w:pPr>
        <w:ind w:left="440" w:hanging="324"/>
        <w:spacing w:after="0"/>
        <w:tabs>
          <w:tab w:leader="none" w:pos="440" w:val="left"/>
        </w:tabs>
        <w:numPr>
          <w:ilvl w:val="0"/>
          <w:numId w:val="22"/>
        </w:numPr>
        <w:rPr>
          <w:rFonts w:ascii="Arial" w:cs="Arial" w:eastAsia="Arial" w:hAnsi="Arial"/>
          <w:sz w:val="18"/>
          <w:szCs w:val="18"/>
          <w:color w:val="5D89B4"/>
        </w:rPr>
      </w:pPr>
      <w:r>
        <w:rPr>
          <w:rFonts w:ascii="Arial" w:cs="Arial" w:eastAsia="Arial" w:hAnsi="Arial"/>
          <w:sz w:val="18"/>
          <w:szCs w:val="18"/>
          <w:color w:val="auto"/>
        </w:rPr>
        <w:t>Serve as liaison between the chairman of the board and the non-employee directors;</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22"/>
        </w:numPr>
        <w:rPr>
          <w:rFonts w:ascii="Arial" w:cs="Arial" w:eastAsia="Arial" w:hAnsi="Arial"/>
          <w:sz w:val="18"/>
          <w:szCs w:val="18"/>
          <w:color w:val="5D89B4"/>
        </w:rPr>
      </w:pPr>
      <w:r>
        <w:rPr>
          <w:rFonts w:ascii="Arial" w:cs="Arial" w:eastAsia="Arial" w:hAnsi="Arial"/>
          <w:sz w:val="18"/>
          <w:szCs w:val="18"/>
          <w:color w:val="auto"/>
        </w:rPr>
        <w:t>Approve what information is sent to the board;</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22"/>
        </w:numPr>
        <w:rPr>
          <w:rFonts w:ascii="Arial" w:cs="Arial" w:eastAsia="Arial" w:hAnsi="Arial"/>
          <w:sz w:val="18"/>
          <w:szCs w:val="18"/>
          <w:color w:val="5D89B4"/>
        </w:rPr>
      </w:pPr>
      <w:r>
        <w:rPr>
          <w:rFonts w:ascii="Arial" w:cs="Arial" w:eastAsia="Arial" w:hAnsi="Arial"/>
          <w:sz w:val="18"/>
          <w:szCs w:val="18"/>
          <w:color w:val="auto"/>
        </w:rPr>
        <w:t>Approve the meeting agendas for the board;</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22"/>
        </w:numPr>
        <w:rPr>
          <w:rFonts w:ascii="Arial" w:cs="Arial" w:eastAsia="Arial" w:hAnsi="Arial"/>
          <w:sz w:val="18"/>
          <w:szCs w:val="18"/>
          <w:color w:val="5D89B4"/>
        </w:rPr>
      </w:pPr>
      <w:r>
        <w:rPr>
          <w:rFonts w:ascii="Arial" w:cs="Arial" w:eastAsia="Arial" w:hAnsi="Arial"/>
          <w:sz w:val="18"/>
          <w:szCs w:val="18"/>
          <w:color w:val="auto"/>
        </w:rPr>
        <w:t>Approve meeting schedules to assure that there is sufficient time for discussion on all agenda items;</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22"/>
        </w:numPr>
        <w:rPr>
          <w:rFonts w:ascii="Arial" w:cs="Arial" w:eastAsia="Arial" w:hAnsi="Arial"/>
          <w:sz w:val="18"/>
          <w:szCs w:val="18"/>
          <w:color w:val="5D89B4"/>
        </w:rPr>
      </w:pPr>
      <w:r>
        <w:rPr>
          <w:rFonts w:ascii="Arial" w:cs="Arial" w:eastAsia="Arial" w:hAnsi="Arial"/>
          <w:sz w:val="18"/>
          <w:szCs w:val="18"/>
          <w:color w:val="auto"/>
        </w:rPr>
        <w:t>Have the authority to call meetings of the non-employee directors; and</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22"/>
        </w:numPr>
        <w:rPr>
          <w:rFonts w:ascii="Arial" w:cs="Arial" w:eastAsia="Arial" w:hAnsi="Arial"/>
          <w:sz w:val="18"/>
          <w:szCs w:val="18"/>
          <w:color w:val="5D89B4"/>
        </w:rPr>
      </w:pPr>
      <w:r>
        <w:rPr>
          <w:rFonts w:ascii="Arial" w:cs="Arial" w:eastAsia="Arial" w:hAnsi="Arial"/>
          <w:sz w:val="18"/>
          <w:szCs w:val="18"/>
          <w:color w:val="auto"/>
        </w:rPr>
        <w:t>If requested by major shareholders, ensure that he or she is available for consultation and direct communication.</w:t>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Board Oversight of Risk</w:t>
      </w:r>
    </w:p>
    <w:p>
      <w:pPr>
        <w:spacing w:after="0" w:line="18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board of directors is responsible for overseeing management in the execution of management’s Company-wide risk management responsibilities. The board of directors fulfills this responsibility both directly and through its standing committees (as discussed further below), each of which assists the board of directors in overseeing a part of the Company’s overall risk management.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committees of the board oversee specific areas of the Company’s risk management as described below: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Audit Committee</w:t>
      </w:r>
    </w:p>
    <w:p>
      <w:pPr>
        <w:spacing w:after="0" w:line="16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audit committee is responsible for assisting the board of directors with its oversight of the performance of the Company’s risk management functions including:</w:t>
      </w:r>
    </w:p>
    <w:p>
      <w:pPr>
        <w:spacing w:after="0" w:line="129" w:lineRule="exact"/>
        <w:rPr>
          <w:sz w:val="20"/>
          <w:szCs w:val="20"/>
          <w:color w:val="auto"/>
        </w:rPr>
      </w:pPr>
    </w:p>
    <w:p>
      <w:pPr>
        <w:ind w:left="440" w:right="300" w:hanging="324"/>
        <w:spacing w:after="0" w:line="246" w:lineRule="auto"/>
        <w:tabs>
          <w:tab w:leader="none" w:pos="440" w:val="left"/>
        </w:tabs>
        <w:numPr>
          <w:ilvl w:val="0"/>
          <w:numId w:val="23"/>
        </w:numPr>
        <w:rPr>
          <w:rFonts w:ascii="Arial" w:cs="Arial" w:eastAsia="Arial" w:hAnsi="Arial"/>
          <w:sz w:val="18"/>
          <w:szCs w:val="18"/>
          <w:color w:val="5D89B4"/>
        </w:rPr>
      </w:pPr>
      <w:r>
        <w:rPr>
          <w:rFonts w:ascii="Arial" w:cs="Arial" w:eastAsia="Arial" w:hAnsi="Arial"/>
          <w:sz w:val="18"/>
          <w:szCs w:val="18"/>
          <w:color w:val="auto"/>
        </w:rPr>
        <w:t>Periodically reviewing and discussing with management the Company’s risk management framework, including policies, practices and procedures regarding risk assessment and management;</w:t>
      </w:r>
    </w:p>
    <w:p>
      <w:pPr>
        <w:spacing w:after="0" w:line="61" w:lineRule="exact"/>
        <w:rPr>
          <w:rFonts w:ascii="Arial" w:cs="Arial" w:eastAsia="Arial" w:hAnsi="Arial"/>
          <w:sz w:val="18"/>
          <w:szCs w:val="18"/>
          <w:color w:val="5D89B4"/>
        </w:rPr>
      </w:pPr>
    </w:p>
    <w:p>
      <w:pPr>
        <w:ind w:left="440" w:right="520" w:hanging="324"/>
        <w:spacing w:after="0" w:line="246" w:lineRule="auto"/>
        <w:tabs>
          <w:tab w:leader="none" w:pos="440" w:val="left"/>
        </w:tabs>
        <w:numPr>
          <w:ilvl w:val="0"/>
          <w:numId w:val="23"/>
        </w:numPr>
        <w:rPr>
          <w:rFonts w:ascii="Arial" w:cs="Arial" w:eastAsia="Arial" w:hAnsi="Arial"/>
          <w:sz w:val="18"/>
          <w:szCs w:val="18"/>
          <w:color w:val="5D89B4"/>
        </w:rPr>
      </w:pPr>
      <w:r>
        <w:rPr>
          <w:rFonts w:ascii="Arial" w:cs="Arial" w:eastAsia="Arial" w:hAnsi="Arial"/>
          <w:sz w:val="18"/>
          <w:szCs w:val="18"/>
          <w:color w:val="auto"/>
        </w:rPr>
        <w:t>Periodically receiving, reviewing and discussing with management reports on selected risk topics as the committee or management deems appropriate from time to time; and</w:t>
      </w:r>
    </w:p>
    <w:p>
      <w:pPr>
        <w:spacing w:after="0" w:line="61" w:lineRule="exact"/>
        <w:rPr>
          <w:rFonts w:ascii="Arial" w:cs="Arial" w:eastAsia="Arial" w:hAnsi="Arial"/>
          <w:sz w:val="18"/>
          <w:szCs w:val="18"/>
          <w:color w:val="5D89B4"/>
        </w:rPr>
      </w:pPr>
    </w:p>
    <w:p>
      <w:pPr>
        <w:ind w:left="440" w:hanging="324"/>
        <w:spacing w:after="0"/>
        <w:tabs>
          <w:tab w:leader="none" w:pos="440" w:val="left"/>
        </w:tabs>
        <w:numPr>
          <w:ilvl w:val="0"/>
          <w:numId w:val="23"/>
        </w:numPr>
        <w:rPr>
          <w:rFonts w:ascii="Arial" w:cs="Arial" w:eastAsia="Arial" w:hAnsi="Arial"/>
          <w:sz w:val="18"/>
          <w:szCs w:val="18"/>
          <w:color w:val="5D89B4"/>
        </w:rPr>
      </w:pPr>
      <w:r>
        <w:rPr>
          <w:rFonts w:ascii="Arial" w:cs="Arial" w:eastAsia="Arial" w:hAnsi="Arial"/>
          <w:sz w:val="18"/>
          <w:szCs w:val="18"/>
          <w:color w:val="auto"/>
        </w:rPr>
        <w:t>Periodically reporting to the board of directors on its activities in this oversight role.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Executive Compensation and Human Resources Committee</w:t>
      </w:r>
    </w:p>
    <w:p>
      <w:pPr>
        <w:spacing w:after="0" w:line="16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executive compensation and human resources committee reviews and discusses with management the Company’s compensation policies and practices and management’s assessment of whether any risks arising from such policies and practices are reasonably likely to have a material adverse effect on the Company.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Nominating and Governance Committee</w:t>
      </w:r>
    </w:p>
    <w:p>
      <w:pPr>
        <w:spacing w:after="0" w:line="153"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nominating and governance committee evaluates the overall effectiveness of the board of directors, including its focus on the most critical issues and risks.</w:t>
      </w:r>
    </w:p>
    <w:p>
      <w:pPr>
        <w:spacing w:after="0" w:line="129"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As part of this oversight, the committees engage in reviews and discussions with management (and others if considered appropriate) as necessary to be reasonably assured that the Company’s risk management processes (1) are adequate to identify the material risks that we face in a timely manner, (2) include strategies for the management of risk that are responsive to our risk profile and specific material risk exposure, (3) serve to integrate risk management considerations into business decision-making throughout the Company, and (4) include policies and procedures that are reasonably effective in facilitating the transmission of information with respect to material risks to the senior executives of the Company and each committee.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18</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9500"/>
        <w:spacing w:after="0"/>
        <w:rPr>
          <w:sz w:val="20"/>
          <w:szCs w:val="20"/>
          <w:color w:val="auto"/>
        </w:rPr>
      </w:pPr>
      <w:r>
        <w:rPr>
          <w:rFonts w:ascii="Arial" w:cs="Arial" w:eastAsia="Arial" w:hAnsi="Arial"/>
          <w:sz w:val="18"/>
          <w:szCs w:val="18"/>
          <w:color w:val="FFFFFF"/>
        </w:rPr>
        <w:t>1. Election of Directors</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Compensation Consultant</w:t>
      </w:r>
    </w:p>
    <w:p>
      <w:pPr>
        <w:spacing w:after="0" w:line="18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executive compensation and human resources committee directly retains Mercer (US) Inc. to advise it on executive compensation matters. Mercer reports to the chair of the committee. On an annual basis, the committee and Mercer enter into an engagement letter, which sets out the services to be performed by Mercer for the committee during the ensuing year. Mercer’s primary role is to provide objective analysis, advice and information and otherwise to support the committee in the performance of its duties. Mercer’s fees for executive compensation consulting to the committee in 2016 were $244,233.</w:t>
      </w:r>
    </w:p>
    <w:p>
      <w:pPr>
        <w:spacing w:after="0" w:line="135"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committee requests information and recommendations from Mercer as it deems appropriate in order to assist it in structuring and evaluating ManpowerGroup’s executive compensation programs and practices. The committee’s decisions about executive compensation, including the specific amounts paid to executive officers, are its own and may reflect factors and considerations other than the information and recommendations provided by Mercer.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Mercer was engaged by the committee to perform the following services in 2016:</w:t>
      </w:r>
    </w:p>
    <w:p>
      <w:pPr>
        <w:spacing w:after="0" w:line="144" w:lineRule="exact"/>
        <w:rPr>
          <w:sz w:val="20"/>
          <w:szCs w:val="20"/>
          <w:color w:val="auto"/>
        </w:rPr>
      </w:pPr>
    </w:p>
    <w:p>
      <w:pPr>
        <w:ind w:left="440" w:right="180" w:hanging="324"/>
        <w:spacing w:after="0"/>
        <w:tabs>
          <w:tab w:leader="none" w:pos="440" w:val="left"/>
        </w:tabs>
        <w:numPr>
          <w:ilvl w:val="0"/>
          <w:numId w:val="24"/>
        </w:numPr>
        <w:rPr>
          <w:rFonts w:ascii="Arial" w:cs="Arial" w:eastAsia="Arial" w:hAnsi="Arial"/>
          <w:sz w:val="18"/>
          <w:szCs w:val="18"/>
          <w:color w:val="5D89B4"/>
        </w:rPr>
      </w:pPr>
      <w:r>
        <w:rPr>
          <w:rFonts w:ascii="Arial" w:cs="Arial" w:eastAsia="Arial" w:hAnsi="Arial"/>
          <w:sz w:val="18"/>
          <w:szCs w:val="18"/>
          <w:color w:val="auto"/>
        </w:rPr>
        <w:t>Evaluate the competitiveness of our total executive compensation and benefits program for the senior executives, including base salary, annual incentive, total cash compensation, long-term incentive awards, total direct compensation, retirement benefits and total remuneration against the market;</w:t>
      </w:r>
    </w:p>
    <w:p>
      <w:pPr>
        <w:spacing w:after="0" w:line="67" w:lineRule="exact"/>
        <w:rPr>
          <w:rFonts w:ascii="Arial" w:cs="Arial" w:eastAsia="Arial" w:hAnsi="Arial"/>
          <w:sz w:val="18"/>
          <w:szCs w:val="18"/>
          <w:color w:val="5D89B4"/>
        </w:rPr>
      </w:pPr>
    </w:p>
    <w:p>
      <w:pPr>
        <w:ind w:left="440" w:right="940" w:hanging="324"/>
        <w:spacing w:after="0" w:line="246" w:lineRule="auto"/>
        <w:tabs>
          <w:tab w:leader="none" w:pos="440" w:val="left"/>
        </w:tabs>
        <w:numPr>
          <w:ilvl w:val="0"/>
          <w:numId w:val="24"/>
        </w:numPr>
        <w:rPr>
          <w:rFonts w:ascii="Arial" w:cs="Arial" w:eastAsia="Arial" w:hAnsi="Arial"/>
          <w:sz w:val="18"/>
          <w:szCs w:val="18"/>
          <w:color w:val="5D89B4"/>
        </w:rPr>
      </w:pPr>
      <w:r>
        <w:rPr>
          <w:rFonts w:ascii="Arial" w:cs="Arial" w:eastAsia="Arial" w:hAnsi="Arial"/>
          <w:sz w:val="18"/>
          <w:szCs w:val="18"/>
          <w:color w:val="auto"/>
        </w:rPr>
        <w:t>Assess how well the compensation and benefits programs are aligned with the committee’s stated philosophy to align pay with performance, including analyzing our performance against comparator companies;</w:t>
      </w:r>
    </w:p>
    <w:p>
      <w:pPr>
        <w:spacing w:after="0" w:line="61" w:lineRule="exact"/>
        <w:rPr>
          <w:rFonts w:ascii="Arial" w:cs="Arial" w:eastAsia="Arial" w:hAnsi="Arial"/>
          <w:sz w:val="18"/>
          <w:szCs w:val="18"/>
          <w:color w:val="5D89B4"/>
        </w:rPr>
      </w:pPr>
    </w:p>
    <w:p>
      <w:pPr>
        <w:ind w:left="440" w:hanging="324"/>
        <w:spacing w:after="0"/>
        <w:tabs>
          <w:tab w:leader="none" w:pos="440" w:val="left"/>
        </w:tabs>
        <w:numPr>
          <w:ilvl w:val="0"/>
          <w:numId w:val="24"/>
        </w:numPr>
        <w:rPr>
          <w:rFonts w:ascii="Arial" w:cs="Arial" w:eastAsia="Arial" w:hAnsi="Arial"/>
          <w:sz w:val="18"/>
          <w:szCs w:val="18"/>
          <w:color w:val="5D89B4"/>
        </w:rPr>
      </w:pPr>
      <w:r>
        <w:rPr>
          <w:rFonts w:ascii="Arial" w:cs="Arial" w:eastAsia="Arial" w:hAnsi="Arial"/>
          <w:sz w:val="18"/>
          <w:szCs w:val="18"/>
          <w:color w:val="auto"/>
        </w:rPr>
        <w:t>Review and recommend the companies used in our comparator group and our industry peer group;</w:t>
      </w:r>
    </w:p>
    <w:p>
      <w:pPr>
        <w:spacing w:after="0" w:line="76" w:lineRule="exact"/>
        <w:rPr>
          <w:rFonts w:ascii="Arial" w:cs="Arial" w:eastAsia="Arial" w:hAnsi="Arial"/>
          <w:sz w:val="18"/>
          <w:szCs w:val="18"/>
          <w:color w:val="5D89B4"/>
        </w:rPr>
      </w:pPr>
    </w:p>
    <w:p>
      <w:pPr>
        <w:ind w:left="440" w:right="260" w:hanging="324"/>
        <w:spacing w:after="0" w:line="246" w:lineRule="auto"/>
        <w:tabs>
          <w:tab w:leader="none" w:pos="440" w:val="left"/>
        </w:tabs>
        <w:numPr>
          <w:ilvl w:val="0"/>
          <w:numId w:val="24"/>
        </w:numPr>
        <w:rPr>
          <w:rFonts w:ascii="Arial" w:cs="Arial" w:eastAsia="Arial" w:hAnsi="Arial"/>
          <w:sz w:val="18"/>
          <w:szCs w:val="18"/>
          <w:color w:val="5D89B4"/>
        </w:rPr>
      </w:pPr>
      <w:r>
        <w:rPr>
          <w:rFonts w:ascii="Arial" w:cs="Arial" w:eastAsia="Arial" w:hAnsi="Arial"/>
          <w:sz w:val="18"/>
          <w:szCs w:val="18"/>
          <w:color w:val="auto"/>
        </w:rPr>
        <w:t>Provide advice and assistance to the committee on the levels of total compensation and the principal elements of compensation for our senior executives;</w:t>
      </w:r>
    </w:p>
    <w:p>
      <w:pPr>
        <w:spacing w:after="0" w:line="61" w:lineRule="exact"/>
        <w:rPr>
          <w:rFonts w:ascii="Arial" w:cs="Arial" w:eastAsia="Arial" w:hAnsi="Arial"/>
          <w:sz w:val="18"/>
          <w:szCs w:val="18"/>
          <w:color w:val="5D89B4"/>
        </w:rPr>
      </w:pPr>
    </w:p>
    <w:p>
      <w:pPr>
        <w:ind w:left="440" w:hanging="324"/>
        <w:spacing w:after="0"/>
        <w:tabs>
          <w:tab w:leader="none" w:pos="440" w:val="left"/>
        </w:tabs>
        <w:numPr>
          <w:ilvl w:val="0"/>
          <w:numId w:val="24"/>
        </w:numPr>
        <w:rPr>
          <w:rFonts w:ascii="Arial" w:cs="Arial" w:eastAsia="Arial" w:hAnsi="Arial"/>
          <w:sz w:val="18"/>
          <w:szCs w:val="18"/>
          <w:color w:val="5D89B4"/>
        </w:rPr>
      </w:pPr>
      <w:r>
        <w:rPr>
          <w:rFonts w:ascii="Arial" w:cs="Arial" w:eastAsia="Arial" w:hAnsi="Arial"/>
          <w:sz w:val="18"/>
          <w:szCs w:val="18"/>
          <w:color w:val="auto"/>
        </w:rPr>
        <w:t>Advise the executive compensation and human resources committee on salary, target incentive opportunities and equity grants;</w:t>
      </w:r>
    </w:p>
    <w:p>
      <w:pPr>
        <w:spacing w:after="0" w:line="76" w:lineRule="exact"/>
        <w:rPr>
          <w:rFonts w:ascii="Arial" w:cs="Arial" w:eastAsia="Arial" w:hAnsi="Arial"/>
          <w:sz w:val="18"/>
          <w:szCs w:val="18"/>
          <w:color w:val="5D89B4"/>
        </w:rPr>
      </w:pPr>
    </w:p>
    <w:p>
      <w:pPr>
        <w:ind w:left="440" w:right="260" w:hanging="324"/>
        <w:spacing w:after="0" w:line="246" w:lineRule="auto"/>
        <w:tabs>
          <w:tab w:leader="none" w:pos="440" w:val="left"/>
        </w:tabs>
        <w:numPr>
          <w:ilvl w:val="0"/>
          <w:numId w:val="24"/>
        </w:numPr>
        <w:rPr>
          <w:rFonts w:ascii="Arial" w:cs="Arial" w:eastAsia="Arial" w:hAnsi="Arial"/>
          <w:sz w:val="18"/>
          <w:szCs w:val="18"/>
          <w:color w:val="5D89B4"/>
        </w:rPr>
      </w:pPr>
      <w:r>
        <w:rPr>
          <w:rFonts w:ascii="Arial" w:cs="Arial" w:eastAsia="Arial" w:hAnsi="Arial"/>
          <w:sz w:val="18"/>
          <w:szCs w:val="18"/>
          <w:color w:val="auto"/>
        </w:rPr>
        <w:t>Brief the committee on trends in executive compensation and benefits among large public companies and on regulatory, legislative and other developments; and</w:t>
      </w:r>
    </w:p>
    <w:p>
      <w:pPr>
        <w:spacing w:after="0" w:line="61" w:lineRule="exact"/>
        <w:rPr>
          <w:rFonts w:ascii="Arial" w:cs="Arial" w:eastAsia="Arial" w:hAnsi="Arial"/>
          <w:sz w:val="18"/>
          <w:szCs w:val="18"/>
          <w:color w:val="5D89B4"/>
        </w:rPr>
      </w:pPr>
    </w:p>
    <w:p>
      <w:pPr>
        <w:ind w:left="440" w:right="80" w:hanging="324"/>
        <w:spacing w:after="0" w:line="246" w:lineRule="auto"/>
        <w:tabs>
          <w:tab w:leader="none" w:pos="440" w:val="left"/>
        </w:tabs>
        <w:numPr>
          <w:ilvl w:val="0"/>
          <w:numId w:val="24"/>
        </w:numPr>
        <w:rPr>
          <w:rFonts w:ascii="Arial" w:cs="Arial" w:eastAsia="Arial" w:hAnsi="Arial"/>
          <w:sz w:val="18"/>
          <w:szCs w:val="18"/>
          <w:color w:val="5D89B4"/>
        </w:rPr>
      </w:pPr>
      <w:r>
        <w:rPr>
          <w:rFonts w:ascii="Arial" w:cs="Arial" w:eastAsia="Arial" w:hAnsi="Arial"/>
          <w:sz w:val="18"/>
          <w:szCs w:val="18"/>
          <w:color w:val="auto"/>
        </w:rPr>
        <w:t>Assist in reviewing the Compensation Discussion and Analysis and other executive compensation disclosures to be included in this proxy statement.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committee has reviewed whether the work provided by Mercer raises any conflict of interest. Factors considered by the committee include:</w:t>
      </w:r>
    </w:p>
    <w:p>
      <w:pPr>
        <w:spacing w:after="0" w:line="144" w:lineRule="exact"/>
        <w:rPr>
          <w:sz w:val="20"/>
          <w:szCs w:val="20"/>
          <w:color w:val="auto"/>
        </w:rPr>
      </w:pPr>
    </w:p>
    <w:p>
      <w:pPr>
        <w:ind w:left="440" w:hanging="324"/>
        <w:spacing w:after="0"/>
        <w:tabs>
          <w:tab w:leader="none" w:pos="440" w:val="left"/>
        </w:tabs>
        <w:numPr>
          <w:ilvl w:val="0"/>
          <w:numId w:val="25"/>
        </w:numPr>
        <w:rPr>
          <w:rFonts w:ascii="Arial" w:cs="Arial" w:eastAsia="Arial" w:hAnsi="Arial"/>
          <w:sz w:val="18"/>
          <w:szCs w:val="18"/>
          <w:color w:val="5D89B4"/>
        </w:rPr>
      </w:pPr>
      <w:r>
        <w:rPr>
          <w:rFonts w:ascii="Arial" w:cs="Arial" w:eastAsia="Arial" w:hAnsi="Arial"/>
          <w:sz w:val="18"/>
          <w:szCs w:val="18"/>
          <w:color w:val="auto"/>
        </w:rPr>
        <w:t>Other services provided to the Company by the consultant;</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25"/>
        </w:numPr>
        <w:rPr>
          <w:rFonts w:ascii="Arial" w:cs="Arial" w:eastAsia="Arial" w:hAnsi="Arial"/>
          <w:sz w:val="18"/>
          <w:szCs w:val="18"/>
          <w:color w:val="5D89B4"/>
        </w:rPr>
      </w:pPr>
      <w:r>
        <w:rPr>
          <w:rFonts w:ascii="Arial" w:cs="Arial" w:eastAsia="Arial" w:hAnsi="Arial"/>
          <w:sz w:val="18"/>
          <w:szCs w:val="18"/>
          <w:color w:val="auto"/>
        </w:rPr>
        <w:t>What percentage of the consultant’s total revenue is made up of fees from the Company;</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25"/>
        </w:numPr>
        <w:rPr>
          <w:rFonts w:ascii="Arial" w:cs="Arial" w:eastAsia="Arial" w:hAnsi="Arial"/>
          <w:sz w:val="18"/>
          <w:szCs w:val="18"/>
          <w:color w:val="5D89B4"/>
        </w:rPr>
      </w:pPr>
      <w:r>
        <w:rPr>
          <w:rFonts w:ascii="Arial" w:cs="Arial" w:eastAsia="Arial" w:hAnsi="Arial"/>
          <w:sz w:val="18"/>
          <w:szCs w:val="18"/>
          <w:color w:val="auto"/>
        </w:rPr>
        <w:t>Policies or procedures of the consultant that are designed to prevent a conflict of interest;</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25"/>
        </w:numPr>
        <w:rPr>
          <w:rFonts w:ascii="Arial" w:cs="Arial" w:eastAsia="Arial" w:hAnsi="Arial"/>
          <w:sz w:val="18"/>
          <w:szCs w:val="18"/>
          <w:color w:val="5D89B4"/>
        </w:rPr>
      </w:pPr>
      <w:r>
        <w:rPr>
          <w:rFonts w:ascii="Arial" w:cs="Arial" w:eastAsia="Arial" w:hAnsi="Arial"/>
          <w:sz w:val="18"/>
          <w:szCs w:val="18"/>
          <w:color w:val="auto"/>
        </w:rPr>
        <w:t>Any business or personal relationships between individual consultants involved in the engagement and committee members;</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25"/>
        </w:numPr>
        <w:rPr>
          <w:rFonts w:ascii="Arial" w:cs="Arial" w:eastAsia="Arial" w:hAnsi="Arial"/>
          <w:sz w:val="18"/>
          <w:szCs w:val="18"/>
          <w:color w:val="5D89B4"/>
        </w:rPr>
      </w:pPr>
      <w:r>
        <w:rPr>
          <w:rFonts w:ascii="Arial" w:cs="Arial" w:eastAsia="Arial" w:hAnsi="Arial"/>
          <w:sz w:val="18"/>
          <w:szCs w:val="18"/>
          <w:color w:val="auto"/>
        </w:rPr>
        <w:t>Any shares of the Company’s stock owned by individual consultants involved in the engagement; and</w:t>
      </w:r>
    </w:p>
    <w:p>
      <w:pPr>
        <w:spacing w:after="0" w:line="76" w:lineRule="exact"/>
        <w:rPr>
          <w:rFonts w:ascii="Arial" w:cs="Arial" w:eastAsia="Arial" w:hAnsi="Arial"/>
          <w:sz w:val="18"/>
          <w:szCs w:val="18"/>
          <w:color w:val="5D89B4"/>
        </w:rPr>
      </w:pPr>
    </w:p>
    <w:p>
      <w:pPr>
        <w:ind w:left="440" w:right="80" w:hanging="324"/>
        <w:spacing w:after="0" w:line="246" w:lineRule="auto"/>
        <w:tabs>
          <w:tab w:leader="none" w:pos="440" w:val="left"/>
        </w:tabs>
        <w:numPr>
          <w:ilvl w:val="0"/>
          <w:numId w:val="25"/>
        </w:numPr>
        <w:rPr>
          <w:rFonts w:ascii="Arial" w:cs="Arial" w:eastAsia="Arial" w:hAnsi="Arial"/>
          <w:sz w:val="18"/>
          <w:szCs w:val="18"/>
          <w:color w:val="5D89B4"/>
        </w:rPr>
      </w:pPr>
      <w:r>
        <w:rPr>
          <w:rFonts w:ascii="Arial" w:cs="Arial" w:eastAsia="Arial" w:hAnsi="Arial"/>
          <w:sz w:val="18"/>
          <w:szCs w:val="18"/>
          <w:color w:val="auto"/>
        </w:rPr>
        <w:t>Any business or personal relationships between our executive officers and the consulting firm or the individual consultants involved in the engagement.</w:t>
      </w:r>
    </w:p>
    <w:p>
      <w:pPr>
        <w:spacing w:after="0" w:line="129"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Based on its review, the committee does not believe that Mercer has a conflict of interest with respect to the work performed for the Company or the committee in 2016.</w:t>
      </w:r>
    </w:p>
    <w:p>
      <w:pPr>
        <w:spacing w:after="0" w:line="11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Ultimately, the consultant provides recommendations and advice to the committee in an executive session where management is not present, which is when critical pay decisions are made. This approach protects the committee’s ability to receive objective advice from the consultant so that the committee may make independent decisions about executive pay at our company.</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19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1. Election of Directors</w:t>
      </w:r>
    </w:p>
    <w:p>
      <w:pPr>
        <w:spacing w:after="0" w:line="23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Besides Mercer’s involvement with the committee, it and its affiliates also provide other non-executive compensation services to us. These services are approved by management who oversee the specific areas of business for which the services are provided. The total amount paid for these other services provided in 2016 was $373,572. These services included actuarial and pension reporting services, workers compensation reporting and insurance services. The majority of these services are provided not by Mercer itself, but by other companies owned by Marsh &amp; McLennan, the parent company of Mercer, which therefore, are considered affiliates even though they operate independently of Mercer. The committee considered the independence of Mercer under the rules of the SEC and the listing standards of the New York Stock Exchange.</w:t>
      </w:r>
    </w:p>
    <w:p>
      <w:pPr>
        <w:spacing w:after="0" w:line="136"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The committee concluded that the services provided by the Marsh &amp; McLennan affiliates (other than Mercer), did not raise any conflicts of interest.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committee believes the advice it receives from the individual executive compensation consultant is objective and not influenced by</w:t>
      </w:r>
    </w:p>
    <w:p>
      <w:pPr>
        <w:spacing w:after="0"/>
        <w:rPr>
          <w:sz w:val="20"/>
          <w:szCs w:val="20"/>
          <w:color w:val="auto"/>
        </w:rPr>
      </w:pPr>
      <w:r>
        <w:rPr>
          <w:rFonts w:ascii="Arial" w:cs="Arial" w:eastAsia="Arial" w:hAnsi="Arial"/>
          <w:sz w:val="18"/>
          <w:szCs w:val="18"/>
          <w:color w:val="auto"/>
        </w:rPr>
        <w:t>Mercer’s or its affiliates’ other relationships with us because of the procedures Mercer and the committee have in place, including the following:</w:t>
      </w:r>
    </w:p>
    <w:p>
      <w:pPr>
        <w:spacing w:after="0" w:line="144" w:lineRule="exact"/>
        <w:rPr>
          <w:sz w:val="20"/>
          <w:szCs w:val="20"/>
          <w:color w:val="auto"/>
        </w:rPr>
      </w:pPr>
    </w:p>
    <w:p>
      <w:pPr>
        <w:ind w:left="440" w:hanging="324"/>
        <w:spacing w:after="0" w:line="246" w:lineRule="auto"/>
        <w:tabs>
          <w:tab w:leader="none" w:pos="440" w:val="left"/>
        </w:tabs>
        <w:numPr>
          <w:ilvl w:val="0"/>
          <w:numId w:val="26"/>
        </w:numPr>
        <w:rPr>
          <w:rFonts w:ascii="Arial" w:cs="Arial" w:eastAsia="Arial" w:hAnsi="Arial"/>
          <w:sz w:val="18"/>
          <w:szCs w:val="18"/>
          <w:color w:val="5D89B4"/>
        </w:rPr>
      </w:pPr>
      <w:r>
        <w:rPr>
          <w:rFonts w:ascii="Arial" w:cs="Arial" w:eastAsia="Arial" w:hAnsi="Arial"/>
          <w:sz w:val="18"/>
          <w:szCs w:val="18"/>
          <w:color w:val="auto"/>
        </w:rPr>
        <w:t>The consultant receives no incentive or other compensation based on the fees charged to us for other services provided by Mercer or any of its affiliates;</w:t>
      </w:r>
    </w:p>
    <w:p>
      <w:pPr>
        <w:spacing w:after="0" w:line="61" w:lineRule="exact"/>
        <w:rPr>
          <w:rFonts w:ascii="Arial" w:cs="Arial" w:eastAsia="Arial" w:hAnsi="Arial"/>
          <w:sz w:val="18"/>
          <w:szCs w:val="18"/>
          <w:color w:val="5D89B4"/>
        </w:rPr>
      </w:pPr>
    </w:p>
    <w:p>
      <w:pPr>
        <w:ind w:left="440" w:hanging="324"/>
        <w:spacing w:after="0"/>
        <w:tabs>
          <w:tab w:leader="none" w:pos="440" w:val="left"/>
        </w:tabs>
        <w:numPr>
          <w:ilvl w:val="0"/>
          <w:numId w:val="26"/>
        </w:numPr>
        <w:rPr>
          <w:rFonts w:ascii="Arial" w:cs="Arial" w:eastAsia="Arial" w:hAnsi="Arial"/>
          <w:sz w:val="18"/>
          <w:szCs w:val="18"/>
          <w:color w:val="5D89B4"/>
        </w:rPr>
      </w:pPr>
      <w:r>
        <w:rPr>
          <w:rFonts w:ascii="Arial" w:cs="Arial" w:eastAsia="Arial" w:hAnsi="Arial"/>
          <w:sz w:val="18"/>
          <w:szCs w:val="18"/>
          <w:color w:val="auto"/>
        </w:rPr>
        <w:t>The consultant is not responsible for selling other Mercer or affiliate services to us;</w:t>
      </w:r>
    </w:p>
    <w:p>
      <w:pPr>
        <w:spacing w:after="0" w:line="76" w:lineRule="exact"/>
        <w:rPr>
          <w:rFonts w:ascii="Arial" w:cs="Arial" w:eastAsia="Arial" w:hAnsi="Arial"/>
          <w:sz w:val="18"/>
          <w:szCs w:val="18"/>
          <w:color w:val="5D89B4"/>
        </w:rPr>
      </w:pPr>
    </w:p>
    <w:p>
      <w:pPr>
        <w:ind w:left="440" w:right="240" w:hanging="324"/>
        <w:spacing w:after="0" w:line="246" w:lineRule="auto"/>
        <w:tabs>
          <w:tab w:leader="none" w:pos="440" w:val="left"/>
        </w:tabs>
        <w:numPr>
          <w:ilvl w:val="0"/>
          <w:numId w:val="26"/>
        </w:numPr>
        <w:rPr>
          <w:rFonts w:ascii="Arial" w:cs="Arial" w:eastAsia="Arial" w:hAnsi="Arial"/>
          <w:sz w:val="18"/>
          <w:szCs w:val="18"/>
          <w:color w:val="5D89B4"/>
        </w:rPr>
      </w:pPr>
      <w:r>
        <w:rPr>
          <w:rFonts w:ascii="Arial" w:cs="Arial" w:eastAsia="Arial" w:hAnsi="Arial"/>
          <w:sz w:val="18"/>
          <w:szCs w:val="18"/>
          <w:color w:val="auto"/>
        </w:rPr>
        <w:t>Mercer’s professional standards prohibit the individual consultant from considering any other relationships Mercer or any of its affiliates may have with us in rendering his or her advice and recommendations; and</w:t>
      </w:r>
    </w:p>
    <w:p>
      <w:pPr>
        <w:spacing w:after="0" w:line="61" w:lineRule="exact"/>
        <w:rPr>
          <w:rFonts w:ascii="Arial" w:cs="Arial" w:eastAsia="Arial" w:hAnsi="Arial"/>
          <w:sz w:val="18"/>
          <w:szCs w:val="18"/>
          <w:color w:val="5D89B4"/>
        </w:rPr>
      </w:pPr>
    </w:p>
    <w:p>
      <w:pPr>
        <w:ind w:left="440" w:right="480" w:hanging="324"/>
        <w:spacing w:after="0" w:line="246" w:lineRule="auto"/>
        <w:tabs>
          <w:tab w:leader="none" w:pos="440" w:val="left"/>
        </w:tabs>
        <w:numPr>
          <w:ilvl w:val="0"/>
          <w:numId w:val="26"/>
        </w:numPr>
        <w:rPr>
          <w:rFonts w:ascii="Arial" w:cs="Arial" w:eastAsia="Arial" w:hAnsi="Arial"/>
          <w:sz w:val="18"/>
          <w:szCs w:val="18"/>
          <w:color w:val="5D89B4"/>
        </w:rPr>
      </w:pPr>
      <w:r>
        <w:rPr>
          <w:rFonts w:ascii="Arial" w:cs="Arial" w:eastAsia="Arial" w:hAnsi="Arial"/>
          <w:sz w:val="18"/>
          <w:szCs w:val="18"/>
          <w:color w:val="auto"/>
        </w:rPr>
        <w:t>The committee evaluates the quality and objectivity of the services provided by the consultant each year and determines whether to continue to retain the consultant.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20</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6820"/>
        <w:spacing w:after="0"/>
        <w:rPr>
          <w:sz w:val="20"/>
          <w:szCs w:val="20"/>
          <w:color w:val="auto"/>
        </w:rPr>
      </w:pPr>
      <w:r>
        <w:rPr>
          <w:rFonts w:ascii="Arial" w:cs="Arial" w:eastAsia="Arial" w:hAnsi="Arial"/>
          <w:sz w:val="18"/>
          <w:szCs w:val="18"/>
          <w:color w:val="FFFFFF"/>
        </w:rPr>
        <w:t>Beneficial Ownership of Directors and Executive Officers</w:t>
      </w:r>
    </w:p>
    <w:p>
      <w:pPr>
        <w:spacing w:after="0" w:line="241" w:lineRule="exact"/>
        <w:rPr>
          <w:sz w:val="20"/>
          <w:szCs w:val="20"/>
          <w:color w:val="auto"/>
        </w:rPr>
      </w:pPr>
    </w:p>
    <w:p>
      <w:pPr>
        <w:spacing w:after="0"/>
        <w:rPr>
          <w:sz w:val="20"/>
          <w:szCs w:val="20"/>
          <w:color w:val="auto"/>
        </w:rPr>
      </w:pPr>
      <w:r>
        <w:rPr>
          <w:rFonts w:ascii="Arial" w:cs="Arial" w:eastAsia="Arial" w:hAnsi="Arial"/>
          <w:sz w:val="41"/>
          <w:szCs w:val="41"/>
          <w:color w:val="5D89B4"/>
        </w:rPr>
        <w:t>Beneficial Ownership of Directors and Executive Officers</w:t>
      </w:r>
    </w:p>
    <w:p>
      <w:pPr>
        <w:spacing w:after="0" w:line="21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Set forth in the table below, as of February 21, 2017, are the shares of ManpowerGroup common stock beneficially owned by each director and nominee, each of the executive officers named in the table under the heading “Summary Compensation Table,” and all directors and executive officers of ManpowerGroup as a group and the shares of ManpowerGroup common stock that could be acquired within 60 days of February 21, 2017 by such persons.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960" w:type="dxa"/>
            <w:vAlign w:val="bottom"/>
            <w:tcBorders>
              <w:top w:val="single" w:sz="8" w:color="auto"/>
            </w:tcBorders>
            <w:shd w:val="clear" w:color="auto" w:fill="9DB8D2"/>
          </w:tcPr>
          <w:p>
            <w:pPr>
              <w:spacing w:after="0"/>
              <w:rPr>
                <w:sz w:val="22"/>
                <w:szCs w:val="22"/>
                <w:color w:val="auto"/>
              </w:rPr>
            </w:pPr>
          </w:p>
        </w:tc>
        <w:tc>
          <w:tcPr>
            <w:tcW w:w="1940" w:type="dxa"/>
            <w:vAlign w:val="bottom"/>
            <w:tcBorders>
              <w:top w:val="single" w:sz="8" w:color="auto"/>
            </w:tcBorders>
            <w:shd w:val="clear" w:color="auto" w:fill="9DB8D2"/>
          </w:tcPr>
          <w:p>
            <w:pPr>
              <w:spacing w:after="0"/>
              <w:rPr>
                <w:sz w:val="22"/>
                <w:szCs w:val="22"/>
                <w:color w:val="auto"/>
              </w:rPr>
            </w:pPr>
          </w:p>
        </w:tc>
        <w:tc>
          <w:tcPr>
            <w:tcW w:w="1340" w:type="dxa"/>
            <w:vAlign w:val="bottom"/>
            <w:tcBorders>
              <w:top w:val="single" w:sz="8" w:color="auto"/>
            </w:tcBorders>
            <w:shd w:val="clear" w:color="auto" w:fill="9DB8D2"/>
          </w:tcPr>
          <w:p>
            <w:pPr>
              <w:jc w:val="center"/>
              <w:ind w:left="33"/>
              <w:spacing w:after="0"/>
              <w:rPr>
                <w:sz w:val="20"/>
                <w:szCs w:val="20"/>
                <w:color w:val="auto"/>
              </w:rPr>
            </w:pPr>
            <w:r>
              <w:rPr>
                <w:rFonts w:ascii="Arial" w:cs="Arial" w:eastAsia="Arial" w:hAnsi="Arial"/>
                <w:sz w:val="14"/>
                <w:szCs w:val="14"/>
                <w:b w:val="1"/>
                <w:bCs w:val="1"/>
                <w:color w:val="auto"/>
              </w:rPr>
              <w:t>Right to</w:t>
            </w:r>
          </w:p>
        </w:tc>
        <w:tc>
          <w:tcPr>
            <w:tcW w:w="1180" w:type="dxa"/>
            <w:vAlign w:val="bottom"/>
            <w:tcBorders>
              <w:top w:val="single" w:sz="8" w:color="auto"/>
            </w:tcBorders>
            <w:shd w:val="clear" w:color="auto" w:fill="9DB8D2"/>
          </w:tcPr>
          <w:p>
            <w:pPr>
              <w:spacing w:after="0"/>
              <w:rPr>
                <w:sz w:val="22"/>
                <w:szCs w:val="22"/>
                <w:color w:val="auto"/>
              </w:rPr>
            </w:pPr>
          </w:p>
        </w:tc>
      </w:tr>
      <w:tr>
        <w:trPr>
          <w:trHeight w:val="162"/>
        </w:trPr>
        <w:tc>
          <w:tcPr>
            <w:tcW w:w="6960" w:type="dxa"/>
            <w:vAlign w:val="bottom"/>
            <w:shd w:val="clear" w:color="auto" w:fill="9DB8D2"/>
          </w:tcPr>
          <w:p>
            <w:pPr>
              <w:spacing w:after="0"/>
              <w:rPr>
                <w:sz w:val="14"/>
                <w:szCs w:val="14"/>
                <w:color w:val="auto"/>
              </w:rPr>
            </w:pPr>
          </w:p>
        </w:tc>
        <w:tc>
          <w:tcPr>
            <w:tcW w:w="1940" w:type="dxa"/>
            <w:vAlign w:val="bottom"/>
            <w:shd w:val="clear" w:color="auto" w:fill="9DB8D2"/>
          </w:tcPr>
          <w:p>
            <w:pPr>
              <w:jc w:val="center"/>
              <w:ind w:left="112"/>
              <w:spacing w:after="0"/>
              <w:rPr>
                <w:sz w:val="20"/>
                <w:szCs w:val="20"/>
                <w:color w:val="auto"/>
              </w:rPr>
            </w:pPr>
            <w:r>
              <w:rPr>
                <w:rFonts w:ascii="Arial" w:cs="Arial" w:eastAsia="Arial" w:hAnsi="Arial"/>
                <w:sz w:val="14"/>
                <w:szCs w:val="14"/>
                <w:b w:val="1"/>
                <w:bCs w:val="1"/>
                <w:color w:val="auto"/>
              </w:rPr>
              <w:t>Common Stock</w:t>
            </w:r>
          </w:p>
        </w:tc>
        <w:tc>
          <w:tcPr>
            <w:tcW w:w="1340" w:type="dxa"/>
            <w:vAlign w:val="bottom"/>
            <w:shd w:val="clear" w:color="auto" w:fill="9DB8D2"/>
          </w:tcPr>
          <w:p>
            <w:pPr>
              <w:jc w:val="center"/>
              <w:ind w:left="33"/>
              <w:spacing w:after="0"/>
              <w:rPr>
                <w:sz w:val="20"/>
                <w:szCs w:val="20"/>
                <w:color w:val="auto"/>
              </w:rPr>
            </w:pPr>
            <w:r>
              <w:rPr>
                <w:rFonts w:ascii="Arial" w:cs="Arial" w:eastAsia="Arial" w:hAnsi="Arial"/>
                <w:sz w:val="14"/>
                <w:szCs w:val="14"/>
                <w:b w:val="1"/>
                <w:bCs w:val="1"/>
                <w:color w:val="auto"/>
              </w:rPr>
              <w:t>Acquire</w:t>
            </w:r>
          </w:p>
        </w:tc>
        <w:tc>
          <w:tcPr>
            <w:tcW w:w="1180" w:type="dxa"/>
            <w:vAlign w:val="bottom"/>
            <w:shd w:val="clear" w:color="auto" w:fill="9DB8D2"/>
          </w:tcPr>
          <w:p>
            <w:pPr>
              <w:spacing w:after="0"/>
              <w:rPr>
                <w:sz w:val="14"/>
                <w:szCs w:val="14"/>
                <w:color w:val="auto"/>
              </w:rPr>
            </w:pPr>
          </w:p>
        </w:tc>
      </w:tr>
      <w:tr>
        <w:trPr>
          <w:trHeight w:val="162"/>
        </w:trPr>
        <w:tc>
          <w:tcPr>
            <w:tcW w:w="6960" w:type="dxa"/>
            <w:vAlign w:val="bottom"/>
            <w:shd w:val="clear" w:color="auto" w:fill="9DB8D2"/>
          </w:tcPr>
          <w:p>
            <w:pPr>
              <w:spacing w:after="0"/>
              <w:rPr>
                <w:sz w:val="14"/>
                <w:szCs w:val="14"/>
                <w:color w:val="auto"/>
              </w:rPr>
            </w:pPr>
          </w:p>
        </w:tc>
        <w:tc>
          <w:tcPr>
            <w:tcW w:w="1940" w:type="dxa"/>
            <w:vAlign w:val="bottom"/>
            <w:shd w:val="clear" w:color="auto" w:fill="9DB8D2"/>
          </w:tcPr>
          <w:p>
            <w:pPr>
              <w:jc w:val="center"/>
              <w:ind w:left="92"/>
              <w:spacing w:after="0"/>
              <w:rPr>
                <w:sz w:val="20"/>
                <w:szCs w:val="20"/>
                <w:color w:val="auto"/>
              </w:rPr>
            </w:pPr>
            <w:r>
              <w:rPr>
                <w:rFonts w:ascii="Arial" w:cs="Arial" w:eastAsia="Arial" w:hAnsi="Arial"/>
                <w:sz w:val="14"/>
                <w:szCs w:val="14"/>
                <w:b w:val="1"/>
                <w:bCs w:val="1"/>
                <w:color w:val="auto"/>
              </w:rPr>
              <w:t>Beneficially</w:t>
            </w:r>
          </w:p>
        </w:tc>
        <w:tc>
          <w:tcPr>
            <w:tcW w:w="1340" w:type="dxa"/>
            <w:vAlign w:val="bottom"/>
            <w:shd w:val="clear" w:color="auto" w:fill="9DB8D2"/>
          </w:tcPr>
          <w:p>
            <w:pPr>
              <w:jc w:val="center"/>
              <w:ind w:left="33"/>
              <w:spacing w:after="0"/>
              <w:rPr>
                <w:sz w:val="20"/>
                <w:szCs w:val="20"/>
                <w:color w:val="auto"/>
              </w:rPr>
            </w:pPr>
            <w:r>
              <w:rPr>
                <w:rFonts w:ascii="Arial" w:cs="Arial" w:eastAsia="Arial" w:hAnsi="Arial"/>
                <w:sz w:val="14"/>
                <w:szCs w:val="14"/>
                <w:b w:val="1"/>
                <w:bCs w:val="1"/>
                <w:color w:val="auto"/>
              </w:rPr>
              <w:t>Common</w:t>
            </w:r>
          </w:p>
        </w:tc>
        <w:tc>
          <w:tcPr>
            <w:tcW w:w="1180" w:type="dxa"/>
            <w:vAlign w:val="bottom"/>
            <w:shd w:val="clear" w:color="auto" w:fill="9DB8D2"/>
          </w:tcPr>
          <w:p>
            <w:pPr>
              <w:jc w:val="right"/>
              <w:ind w:right="132"/>
              <w:spacing w:after="0"/>
              <w:rPr>
                <w:sz w:val="20"/>
                <w:szCs w:val="20"/>
                <w:color w:val="auto"/>
              </w:rPr>
            </w:pPr>
            <w:r>
              <w:rPr>
                <w:rFonts w:ascii="Arial" w:cs="Arial" w:eastAsia="Arial" w:hAnsi="Arial"/>
                <w:sz w:val="14"/>
                <w:szCs w:val="14"/>
                <w:b w:val="1"/>
                <w:bCs w:val="1"/>
                <w:color w:val="auto"/>
              </w:rPr>
              <w:t>Percent of</w:t>
            </w:r>
          </w:p>
        </w:tc>
      </w:tr>
      <w:tr>
        <w:trPr>
          <w:trHeight w:val="189"/>
        </w:trPr>
        <w:tc>
          <w:tcPr>
            <w:tcW w:w="696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Name of Beneficial Owner</w:t>
            </w:r>
          </w:p>
        </w:tc>
        <w:tc>
          <w:tcPr>
            <w:tcW w:w="1940" w:type="dxa"/>
            <w:vAlign w:val="bottom"/>
            <w:tcBorders>
              <w:bottom w:val="single" w:sz="8" w:color="auto"/>
            </w:tcBorders>
            <w:shd w:val="clear" w:color="auto" w:fill="9DB8D2"/>
          </w:tcPr>
          <w:p>
            <w:pPr>
              <w:jc w:val="center"/>
              <w:ind w:left="92"/>
              <w:spacing w:after="0"/>
              <w:rPr>
                <w:sz w:val="20"/>
                <w:szCs w:val="20"/>
                <w:color w:val="auto"/>
              </w:rPr>
            </w:pPr>
            <w:r>
              <w:rPr>
                <w:rFonts w:ascii="Arial" w:cs="Arial" w:eastAsia="Arial" w:hAnsi="Arial"/>
                <w:sz w:val="14"/>
                <w:szCs w:val="14"/>
                <w:b w:val="1"/>
                <w:bCs w:val="1"/>
                <w:color w:val="auto"/>
              </w:rPr>
              <w:t>Owned(1)(3)</w:t>
            </w:r>
          </w:p>
        </w:tc>
        <w:tc>
          <w:tcPr>
            <w:tcW w:w="1340" w:type="dxa"/>
            <w:vAlign w:val="bottom"/>
            <w:tcBorders>
              <w:bottom w:val="single" w:sz="8" w:color="auto"/>
            </w:tcBorders>
            <w:shd w:val="clear" w:color="auto" w:fill="9DB8D2"/>
          </w:tcPr>
          <w:p>
            <w:pPr>
              <w:jc w:val="right"/>
              <w:ind w:right="153"/>
              <w:spacing w:after="0"/>
              <w:rPr>
                <w:sz w:val="20"/>
                <w:szCs w:val="20"/>
                <w:color w:val="auto"/>
              </w:rPr>
            </w:pPr>
            <w:r>
              <w:rPr>
                <w:rFonts w:ascii="Arial" w:cs="Arial" w:eastAsia="Arial" w:hAnsi="Arial"/>
                <w:sz w:val="14"/>
                <w:szCs w:val="14"/>
                <w:b w:val="1"/>
                <w:bCs w:val="1"/>
                <w:color w:val="auto"/>
              </w:rPr>
              <w:t>Stock(1)(2)</w:t>
            </w:r>
          </w:p>
        </w:tc>
        <w:tc>
          <w:tcPr>
            <w:tcW w:w="1180" w:type="dxa"/>
            <w:vAlign w:val="bottom"/>
            <w:tcBorders>
              <w:bottom w:val="single" w:sz="8" w:color="auto"/>
            </w:tcBorders>
            <w:shd w:val="clear" w:color="auto" w:fill="9DB8D2"/>
          </w:tcPr>
          <w:p>
            <w:pPr>
              <w:jc w:val="right"/>
              <w:ind w:right="292"/>
              <w:spacing w:after="0"/>
              <w:rPr>
                <w:sz w:val="20"/>
                <w:szCs w:val="20"/>
                <w:color w:val="auto"/>
              </w:rPr>
            </w:pPr>
            <w:r>
              <w:rPr>
                <w:rFonts w:ascii="Arial" w:cs="Arial" w:eastAsia="Arial" w:hAnsi="Arial"/>
                <w:sz w:val="14"/>
                <w:szCs w:val="14"/>
                <w:b w:val="1"/>
                <w:bCs w:val="1"/>
                <w:color w:val="auto"/>
              </w:rPr>
              <w:t>Class</w:t>
            </w:r>
          </w:p>
        </w:tc>
      </w:tr>
      <w:tr>
        <w:trPr>
          <w:trHeight w:val="196"/>
        </w:trPr>
        <w:tc>
          <w:tcPr>
            <w:tcW w:w="6960" w:type="dxa"/>
            <w:vAlign w:val="bottom"/>
          </w:tcPr>
          <w:p>
            <w:pPr>
              <w:ind w:left="80"/>
              <w:spacing w:after="0" w:line="196" w:lineRule="exact"/>
              <w:rPr>
                <w:sz w:val="20"/>
                <w:szCs w:val="20"/>
                <w:color w:val="auto"/>
              </w:rPr>
            </w:pPr>
            <w:r>
              <w:rPr>
                <w:rFonts w:ascii="Arial" w:cs="Arial" w:eastAsia="Arial" w:hAnsi="Arial"/>
                <w:sz w:val="18"/>
                <w:szCs w:val="18"/>
                <w:color w:val="auto"/>
              </w:rPr>
              <w:t>Jonas Prising</w:t>
            </w:r>
          </w:p>
        </w:tc>
        <w:tc>
          <w:tcPr>
            <w:tcW w:w="1940" w:type="dxa"/>
            <w:vAlign w:val="bottom"/>
          </w:tcPr>
          <w:p>
            <w:pPr>
              <w:jc w:val="right"/>
              <w:ind w:right="252"/>
              <w:spacing w:after="0" w:line="196" w:lineRule="exact"/>
              <w:rPr>
                <w:sz w:val="20"/>
                <w:szCs w:val="20"/>
                <w:color w:val="auto"/>
              </w:rPr>
            </w:pPr>
            <w:r>
              <w:rPr>
                <w:rFonts w:ascii="Arial" w:cs="Arial" w:eastAsia="Arial" w:hAnsi="Arial"/>
                <w:sz w:val="18"/>
                <w:szCs w:val="18"/>
                <w:color w:val="auto"/>
              </w:rPr>
              <w:t>226,017</w:t>
            </w:r>
          </w:p>
        </w:tc>
        <w:tc>
          <w:tcPr>
            <w:tcW w:w="1340" w:type="dxa"/>
            <w:vAlign w:val="bottom"/>
          </w:tcPr>
          <w:p>
            <w:pPr>
              <w:jc w:val="right"/>
              <w:ind w:right="153"/>
              <w:spacing w:after="0" w:line="196" w:lineRule="exact"/>
              <w:rPr>
                <w:sz w:val="20"/>
                <w:szCs w:val="20"/>
                <w:color w:val="auto"/>
              </w:rPr>
            </w:pPr>
            <w:r>
              <w:rPr>
                <w:rFonts w:ascii="Arial" w:cs="Arial" w:eastAsia="Arial" w:hAnsi="Arial"/>
                <w:sz w:val="18"/>
                <w:szCs w:val="18"/>
                <w:color w:val="auto"/>
              </w:rPr>
              <w:t>121,738</w:t>
            </w:r>
          </w:p>
        </w:tc>
        <w:tc>
          <w:tcPr>
            <w:tcW w:w="1180" w:type="dxa"/>
            <w:vAlign w:val="bottom"/>
          </w:tcPr>
          <w:p>
            <w:pPr>
              <w:jc w:val="right"/>
              <w:ind w:right="132"/>
              <w:spacing w:after="0" w:line="196" w:lineRule="exact"/>
              <w:rPr>
                <w:sz w:val="20"/>
                <w:szCs w:val="20"/>
                <w:color w:val="auto"/>
              </w:rPr>
            </w:pPr>
            <w:r>
              <w:rPr>
                <w:rFonts w:ascii="Arial" w:cs="Arial" w:eastAsia="Arial" w:hAnsi="Arial"/>
                <w:sz w:val="18"/>
                <w:szCs w:val="18"/>
                <w:color w:val="auto"/>
              </w:rPr>
              <w:t>*</w:t>
            </w:r>
          </w:p>
        </w:tc>
      </w:tr>
      <w:tr>
        <w:trPr>
          <w:trHeight w:val="203"/>
        </w:trPr>
        <w:tc>
          <w:tcPr>
            <w:tcW w:w="6960" w:type="dxa"/>
            <w:vAlign w:val="bottom"/>
            <w:shd w:val="clear" w:color="auto" w:fill="E6EDF3"/>
          </w:tcPr>
          <w:p>
            <w:pPr>
              <w:ind w:left="80"/>
              <w:spacing w:after="0" w:line="202" w:lineRule="exact"/>
              <w:rPr>
                <w:sz w:val="20"/>
                <w:szCs w:val="20"/>
                <w:color w:val="auto"/>
              </w:rPr>
            </w:pPr>
            <w:r>
              <w:rPr>
                <w:rFonts w:ascii="Arial" w:cs="Arial" w:eastAsia="Arial" w:hAnsi="Arial"/>
                <w:sz w:val="18"/>
                <w:szCs w:val="18"/>
                <w:color w:val="auto"/>
              </w:rPr>
              <w:t>Gina R. Boswell</w:t>
            </w:r>
          </w:p>
        </w:tc>
        <w:tc>
          <w:tcPr>
            <w:tcW w:w="1940" w:type="dxa"/>
            <w:vAlign w:val="bottom"/>
            <w:shd w:val="clear" w:color="auto" w:fill="E6EDF3"/>
          </w:tcPr>
          <w:p>
            <w:pPr>
              <w:jc w:val="right"/>
              <w:ind w:right="252"/>
              <w:spacing w:after="0" w:line="202" w:lineRule="exact"/>
              <w:rPr>
                <w:sz w:val="20"/>
                <w:szCs w:val="20"/>
                <w:color w:val="auto"/>
              </w:rPr>
            </w:pPr>
            <w:r>
              <w:rPr>
                <w:rFonts w:ascii="Arial" w:cs="Arial" w:eastAsia="Arial" w:hAnsi="Arial"/>
                <w:sz w:val="18"/>
                <w:szCs w:val="18"/>
                <w:color w:val="auto"/>
              </w:rPr>
              <w:t>14,326</w:t>
            </w:r>
          </w:p>
        </w:tc>
        <w:tc>
          <w:tcPr>
            <w:tcW w:w="1340" w:type="dxa"/>
            <w:vAlign w:val="bottom"/>
            <w:shd w:val="clear" w:color="auto" w:fill="E6EDF3"/>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6EDF3"/>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960" w:type="dxa"/>
            <w:vAlign w:val="bottom"/>
          </w:tcPr>
          <w:p>
            <w:pPr>
              <w:ind w:left="80"/>
              <w:spacing w:after="0" w:line="202" w:lineRule="exact"/>
              <w:rPr>
                <w:sz w:val="20"/>
                <w:szCs w:val="20"/>
                <w:color w:val="auto"/>
              </w:rPr>
            </w:pPr>
            <w:r>
              <w:rPr>
                <w:rFonts w:ascii="Arial" w:cs="Arial" w:eastAsia="Arial" w:hAnsi="Arial"/>
                <w:sz w:val="18"/>
                <w:szCs w:val="18"/>
                <w:color w:val="auto"/>
              </w:rPr>
              <w:t>Ram Chandrashekar</w:t>
            </w:r>
          </w:p>
        </w:tc>
        <w:tc>
          <w:tcPr>
            <w:tcW w:w="19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19,912</w:t>
            </w:r>
          </w:p>
        </w:tc>
        <w:tc>
          <w:tcPr>
            <w:tcW w:w="13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19,912</w:t>
            </w:r>
          </w:p>
        </w:tc>
        <w:tc>
          <w:tcPr>
            <w:tcW w:w="11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960" w:type="dxa"/>
            <w:vAlign w:val="bottom"/>
            <w:shd w:val="clear" w:color="auto" w:fill="E6EDF3"/>
          </w:tcPr>
          <w:p>
            <w:pPr>
              <w:ind w:left="80"/>
              <w:spacing w:after="0" w:line="202" w:lineRule="exact"/>
              <w:rPr>
                <w:sz w:val="20"/>
                <w:szCs w:val="20"/>
                <w:color w:val="auto"/>
              </w:rPr>
            </w:pPr>
            <w:r>
              <w:rPr>
                <w:rFonts w:ascii="Arial" w:cs="Arial" w:eastAsia="Arial" w:hAnsi="Arial"/>
                <w:sz w:val="18"/>
                <w:szCs w:val="18"/>
                <w:color w:val="auto"/>
              </w:rPr>
              <w:t>Cari M. Dominguez</w:t>
            </w:r>
          </w:p>
        </w:tc>
        <w:tc>
          <w:tcPr>
            <w:tcW w:w="1940" w:type="dxa"/>
            <w:vAlign w:val="bottom"/>
            <w:shd w:val="clear" w:color="auto" w:fill="E6EDF3"/>
          </w:tcPr>
          <w:p>
            <w:pPr>
              <w:jc w:val="right"/>
              <w:ind w:right="252"/>
              <w:spacing w:after="0" w:line="202" w:lineRule="exact"/>
              <w:rPr>
                <w:sz w:val="20"/>
                <w:szCs w:val="20"/>
                <w:color w:val="auto"/>
              </w:rPr>
            </w:pPr>
            <w:r>
              <w:rPr>
                <w:rFonts w:ascii="Arial" w:cs="Arial" w:eastAsia="Arial" w:hAnsi="Arial"/>
                <w:sz w:val="18"/>
                <w:szCs w:val="18"/>
                <w:color w:val="auto"/>
              </w:rPr>
              <w:t>17,490</w:t>
            </w:r>
          </w:p>
        </w:tc>
        <w:tc>
          <w:tcPr>
            <w:tcW w:w="1340" w:type="dxa"/>
            <w:vAlign w:val="bottom"/>
            <w:shd w:val="clear" w:color="auto" w:fill="E6EDF3"/>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6EDF3"/>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960" w:type="dxa"/>
            <w:vAlign w:val="bottom"/>
          </w:tcPr>
          <w:p>
            <w:pPr>
              <w:ind w:left="80"/>
              <w:spacing w:after="0" w:line="202" w:lineRule="exact"/>
              <w:rPr>
                <w:sz w:val="20"/>
                <w:szCs w:val="20"/>
                <w:color w:val="auto"/>
              </w:rPr>
            </w:pPr>
            <w:r>
              <w:rPr>
                <w:rFonts w:ascii="Arial" w:cs="Arial" w:eastAsia="Arial" w:hAnsi="Arial"/>
                <w:sz w:val="18"/>
                <w:szCs w:val="18"/>
                <w:color w:val="auto"/>
              </w:rPr>
              <w:t>William Downe</w:t>
            </w:r>
          </w:p>
        </w:tc>
        <w:tc>
          <w:tcPr>
            <w:tcW w:w="19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18,261</w:t>
            </w:r>
          </w:p>
        </w:tc>
        <w:tc>
          <w:tcPr>
            <w:tcW w:w="13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960" w:type="dxa"/>
            <w:vAlign w:val="bottom"/>
            <w:shd w:val="clear" w:color="auto" w:fill="E6EDF3"/>
          </w:tcPr>
          <w:p>
            <w:pPr>
              <w:ind w:left="80"/>
              <w:spacing w:after="0" w:line="202" w:lineRule="exact"/>
              <w:rPr>
                <w:sz w:val="20"/>
                <w:szCs w:val="20"/>
                <w:color w:val="auto"/>
              </w:rPr>
            </w:pPr>
            <w:r>
              <w:rPr>
                <w:rFonts w:ascii="Arial" w:cs="Arial" w:eastAsia="Arial" w:hAnsi="Arial"/>
                <w:sz w:val="18"/>
                <w:szCs w:val="18"/>
                <w:color w:val="auto"/>
              </w:rPr>
              <w:t>John F. Ferraro</w:t>
            </w:r>
          </w:p>
        </w:tc>
        <w:tc>
          <w:tcPr>
            <w:tcW w:w="1940" w:type="dxa"/>
            <w:vAlign w:val="bottom"/>
            <w:shd w:val="clear" w:color="auto" w:fill="E6EDF3"/>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6EDF3"/>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6EDF3"/>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960" w:type="dxa"/>
            <w:vAlign w:val="bottom"/>
          </w:tcPr>
          <w:p>
            <w:pPr>
              <w:ind w:left="80"/>
              <w:spacing w:after="0" w:line="202" w:lineRule="exact"/>
              <w:rPr>
                <w:sz w:val="20"/>
                <w:szCs w:val="20"/>
                <w:color w:val="auto"/>
              </w:rPr>
            </w:pPr>
            <w:r>
              <w:rPr>
                <w:rFonts w:ascii="Arial" w:cs="Arial" w:eastAsia="Arial" w:hAnsi="Arial"/>
                <w:sz w:val="18"/>
                <w:szCs w:val="18"/>
                <w:color w:val="auto"/>
              </w:rPr>
              <w:t>Darryl Green</w:t>
            </w:r>
          </w:p>
        </w:tc>
        <w:tc>
          <w:tcPr>
            <w:tcW w:w="19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76,843</w:t>
            </w:r>
          </w:p>
        </w:tc>
        <w:tc>
          <w:tcPr>
            <w:tcW w:w="13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48,555</w:t>
            </w:r>
          </w:p>
        </w:tc>
        <w:tc>
          <w:tcPr>
            <w:tcW w:w="11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960" w:type="dxa"/>
            <w:vAlign w:val="bottom"/>
            <w:shd w:val="clear" w:color="auto" w:fill="E6EDF3"/>
          </w:tcPr>
          <w:p>
            <w:pPr>
              <w:ind w:left="80"/>
              <w:spacing w:after="0" w:line="202" w:lineRule="exact"/>
              <w:rPr>
                <w:sz w:val="20"/>
                <w:szCs w:val="20"/>
                <w:color w:val="auto"/>
              </w:rPr>
            </w:pPr>
            <w:r>
              <w:rPr>
                <w:rFonts w:ascii="Arial" w:cs="Arial" w:eastAsia="Arial" w:hAnsi="Arial"/>
                <w:sz w:val="18"/>
                <w:szCs w:val="18"/>
                <w:color w:val="auto"/>
              </w:rPr>
              <w:t>Patricia Hemingway Hall</w:t>
            </w:r>
          </w:p>
        </w:tc>
        <w:tc>
          <w:tcPr>
            <w:tcW w:w="1940" w:type="dxa"/>
            <w:vAlign w:val="bottom"/>
            <w:shd w:val="clear" w:color="auto" w:fill="E6EDF3"/>
          </w:tcPr>
          <w:p>
            <w:pPr>
              <w:jc w:val="right"/>
              <w:ind w:right="252"/>
              <w:spacing w:after="0" w:line="202" w:lineRule="exact"/>
              <w:rPr>
                <w:sz w:val="20"/>
                <w:szCs w:val="20"/>
                <w:color w:val="auto"/>
              </w:rPr>
            </w:pPr>
            <w:r>
              <w:rPr>
                <w:rFonts w:ascii="Arial" w:cs="Arial" w:eastAsia="Arial" w:hAnsi="Arial"/>
                <w:sz w:val="18"/>
                <w:szCs w:val="18"/>
                <w:color w:val="auto"/>
              </w:rPr>
              <w:t>7,021</w:t>
            </w:r>
          </w:p>
        </w:tc>
        <w:tc>
          <w:tcPr>
            <w:tcW w:w="1340" w:type="dxa"/>
            <w:vAlign w:val="bottom"/>
            <w:shd w:val="clear" w:color="auto" w:fill="E6EDF3"/>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6EDF3"/>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960" w:type="dxa"/>
            <w:vAlign w:val="bottom"/>
          </w:tcPr>
          <w:p>
            <w:pPr>
              <w:ind w:left="80"/>
              <w:spacing w:after="0" w:line="202" w:lineRule="exact"/>
              <w:rPr>
                <w:sz w:val="20"/>
                <w:szCs w:val="20"/>
                <w:color w:val="auto"/>
              </w:rPr>
            </w:pPr>
            <w:r>
              <w:rPr>
                <w:rFonts w:ascii="Arial" w:cs="Arial" w:eastAsia="Arial" w:hAnsi="Arial"/>
                <w:sz w:val="18"/>
                <w:szCs w:val="18"/>
                <w:color w:val="auto"/>
              </w:rPr>
              <w:t>Julie M. Howard</w:t>
            </w:r>
          </w:p>
        </w:tc>
        <w:tc>
          <w:tcPr>
            <w:tcW w:w="19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960" w:type="dxa"/>
            <w:vAlign w:val="bottom"/>
            <w:shd w:val="clear" w:color="auto" w:fill="E6EDF3"/>
          </w:tcPr>
          <w:p>
            <w:pPr>
              <w:ind w:left="80"/>
              <w:spacing w:after="0" w:line="202" w:lineRule="exact"/>
              <w:rPr>
                <w:sz w:val="20"/>
                <w:szCs w:val="20"/>
                <w:color w:val="auto"/>
              </w:rPr>
            </w:pPr>
            <w:r>
              <w:rPr>
                <w:rFonts w:ascii="Arial" w:cs="Arial" w:eastAsia="Arial" w:hAnsi="Arial"/>
                <w:sz w:val="18"/>
                <w:szCs w:val="18"/>
                <w:color w:val="auto"/>
              </w:rPr>
              <w:t>John T. McGinnis</w:t>
            </w:r>
          </w:p>
        </w:tc>
        <w:tc>
          <w:tcPr>
            <w:tcW w:w="1940" w:type="dxa"/>
            <w:vAlign w:val="bottom"/>
            <w:shd w:val="clear" w:color="auto" w:fill="E6EDF3"/>
          </w:tcPr>
          <w:p>
            <w:pPr>
              <w:jc w:val="right"/>
              <w:ind w:right="252"/>
              <w:spacing w:after="0" w:line="202" w:lineRule="exact"/>
              <w:rPr>
                <w:sz w:val="20"/>
                <w:szCs w:val="20"/>
                <w:color w:val="auto"/>
              </w:rPr>
            </w:pPr>
            <w:r>
              <w:rPr>
                <w:rFonts w:ascii="Arial" w:cs="Arial" w:eastAsia="Arial" w:hAnsi="Arial"/>
                <w:sz w:val="18"/>
                <w:szCs w:val="18"/>
                <w:color w:val="auto"/>
              </w:rPr>
              <w:t>5,081</w:t>
            </w:r>
          </w:p>
        </w:tc>
        <w:tc>
          <w:tcPr>
            <w:tcW w:w="1340" w:type="dxa"/>
            <w:vAlign w:val="bottom"/>
            <w:shd w:val="clear" w:color="auto" w:fill="E6EDF3"/>
          </w:tcPr>
          <w:p>
            <w:pPr>
              <w:jc w:val="right"/>
              <w:ind w:right="153"/>
              <w:spacing w:after="0" w:line="202" w:lineRule="exact"/>
              <w:rPr>
                <w:sz w:val="20"/>
                <w:szCs w:val="20"/>
                <w:color w:val="auto"/>
              </w:rPr>
            </w:pPr>
            <w:r>
              <w:rPr>
                <w:rFonts w:ascii="Arial" w:cs="Arial" w:eastAsia="Arial" w:hAnsi="Arial"/>
                <w:sz w:val="18"/>
                <w:szCs w:val="18"/>
                <w:color w:val="auto"/>
              </w:rPr>
              <w:t>5,081</w:t>
            </w:r>
          </w:p>
        </w:tc>
        <w:tc>
          <w:tcPr>
            <w:tcW w:w="1180" w:type="dxa"/>
            <w:vAlign w:val="bottom"/>
            <w:shd w:val="clear" w:color="auto" w:fill="E6EDF3"/>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960" w:type="dxa"/>
            <w:vAlign w:val="bottom"/>
          </w:tcPr>
          <w:p>
            <w:pPr>
              <w:ind w:left="80"/>
              <w:spacing w:after="0" w:line="202" w:lineRule="exact"/>
              <w:rPr>
                <w:sz w:val="20"/>
                <w:szCs w:val="20"/>
                <w:color w:val="auto"/>
              </w:rPr>
            </w:pPr>
            <w:r>
              <w:rPr>
                <w:rFonts w:ascii="Arial" w:cs="Arial" w:eastAsia="Arial" w:hAnsi="Arial"/>
                <w:sz w:val="18"/>
                <w:szCs w:val="18"/>
                <w:color w:val="auto"/>
              </w:rPr>
              <w:t>Roberto Mendoza</w:t>
            </w:r>
          </w:p>
        </w:tc>
        <w:tc>
          <w:tcPr>
            <w:tcW w:w="19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1,352</w:t>
            </w:r>
          </w:p>
        </w:tc>
        <w:tc>
          <w:tcPr>
            <w:tcW w:w="13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960" w:type="dxa"/>
            <w:vAlign w:val="bottom"/>
            <w:shd w:val="clear" w:color="auto" w:fill="E6EDF3"/>
          </w:tcPr>
          <w:p>
            <w:pPr>
              <w:ind w:left="80"/>
              <w:spacing w:after="0" w:line="202" w:lineRule="exact"/>
              <w:rPr>
                <w:sz w:val="20"/>
                <w:szCs w:val="20"/>
                <w:color w:val="auto"/>
              </w:rPr>
            </w:pPr>
            <w:r>
              <w:rPr>
                <w:rFonts w:ascii="Arial" w:cs="Arial" w:eastAsia="Arial" w:hAnsi="Arial"/>
                <w:sz w:val="18"/>
                <w:szCs w:val="18"/>
                <w:color w:val="auto"/>
              </w:rPr>
              <w:t>Ulice Payne, Jr</w:t>
            </w:r>
          </w:p>
        </w:tc>
        <w:tc>
          <w:tcPr>
            <w:tcW w:w="1940" w:type="dxa"/>
            <w:vAlign w:val="bottom"/>
            <w:shd w:val="clear" w:color="auto" w:fill="E6EDF3"/>
          </w:tcPr>
          <w:p>
            <w:pPr>
              <w:jc w:val="right"/>
              <w:ind w:right="252"/>
              <w:spacing w:after="0" w:line="202" w:lineRule="exact"/>
              <w:rPr>
                <w:sz w:val="20"/>
                <w:szCs w:val="20"/>
                <w:color w:val="auto"/>
              </w:rPr>
            </w:pPr>
            <w:r>
              <w:rPr>
                <w:rFonts w:ascii="Arial" w:cs="Arial" w:eastAsia="Arial" w:hAnsi="Arial"/>
                <w:sz w:val="18"/>
                <w:szCs w:val="18"/>
                <w:color w:val="auto"/>
              </w:rPr>
              <w:t>13,236</w:t>
            </w:r>
          </w:p>
        </w:tc>
        <w:tc>
          <w:tcPr>
            <w:tcW w:w="1340" w:type="dxa"/>
            <w:vAlign w:val="bottom"/>
            <w:shd w:val="clear" w:color="auto" w:fill="E6EDF3"/>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6EDF3"/>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960" w:type="dxa"/>
            <w:vAlign w:val="bottom"/>
          </w:tcPr>
          <w:p>
            <w:pPr>
              <w:ind w:left="80"/>
              <w:spacing w:after="0" w:line="202" w:lineRule="exact"/>
              <w:rPr>
                <w:sz w:val="20"/>
                <w:szCs w:val="20"/>
                <w:color w:val="auto"/>
              </w:rPr>
            </w:pPr>
            <w:r>
              <w:rPr>
                <w:rFonts w:ascii="Arial" w:cs="Arial" w:eastAsia="Arial" w:hAnsi="Arial"/>
                <w:sz w:val="18"/>
                <w:szCs w:val="18"/>
                <w:color w:val="auto"/>
              </w:rPr>
              <w:t>Paul Read</w:t>
            </w:r>
          </w:p>
        </w:tc>
        <w:tc>
          <w:tcPr>
            <w:tcW w:w="19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5,273</w:t>
            </w:r>
          </w:p>
        </w:tc>
        <w:tc>
          <w:tcPr>
            <w:tcW w:w="13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960" w:type="dxa"/>
            <w:vAlign w:val="bottom"/>
            <w:shd w:val="clear" w:color="auto" w:fill="E6EDF3"/>
          </w:tcPr>
          <w:p>
            <w:pPr>
              <w:ind w:left="80"/>
              <w:spacing w:after="0" w:line="202" w:lineRule="exact"/>
              <w:rPr>
                <w:sz w:val="20"/>
                <w:szCs w:val="20"/>
                <w:color w:val="auto"/>
              </w:rPr>
            </w:pPr>
            <w:r>
              <w:rPr>
                <w:rFonts w:ascii="Arial" w:cs="Arial" w:eastAsia="Arial" w:hAnsi="Arial"/>
                <w:sz w:val="18"/>
                <w:szCs w:val="18"/>
                <w:color w:val="auto"/>
              </w:rPr>
              <w:t>Elizabeth P. Sartain</w:t>
            </w:r>
          </w:p>
        </w:tc>
        <w:tc>
          <w:tcPr>
            <w:tcW w:w="1940" w:type="dxa"/>
            <w:vAlign w:val="bottom"/>
            <w:shd w:val="clear" w:color="auto" w:fill="E6EDF3"/>
          </w:tcPr>
          <w:p>
            <w:pPr>
              <w:jc w:val="right"/>
              <w:ind w:right="252"/>
              <w:spacing w:after="0" w:line="202" w:lineRule="exact"/>
              <w:rPr>
                <w:sz w:val="20"/>
                <w:szCs w:val="20"/>
                <w:color w:val="auto"/>
              </w:rPr>
            </w:pPr>
            <w:r>
              <w:rPr>
                <w:rFonts w:ascii="Arial" w:cs="Arial" w:eastAsia="Arial" w:hAnsi="Arial"/>
                <w:sz w:val="18"/>
                <w:szCs w:val="18"/>
                <w:color w:val="auto"/>
              </w:rPr>
              <w:t>16,690</w:t>
            </w:r>
          </w:p>
        </w:tc>
        <w:tc>
          <w:tcPr>
            <w:tcW w:w="1340" w:type="dxa"/>
            <w:vAlign w:val="bottom"/>
            <w:shd w:val="clear" w:color="auto" w:fill="E6EDF3"/>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6EDF3"/>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960" w:type="dxa"/>
            <w:vAlign w:val="bottom"/>
          </w:tcPr>
          <w:p>
            <w:pPr>
              <w:ind w:left="80"/>
              <w:spacing w:after="0" w:line="202" w:lineRule="exact"/>
              <w:rPr>
                <w:sz w:val="20"/>
                <w:szCs w:val="20"/>
                <w:color w:val="auto"/>
              </w:rPr>
            </w:pPr>
            <w:r>
              <w:rPr>
                <w:rFonts w:ascii="Arial" w:cs="Arial" w:eastAsia="Arial" w:hAnsi="Arial"/>
                <w:sz w:val="18"/>
                <w:szCs w:val="18"/>
                <w:color w:val="auto"/>
              </w:rPr>
              <w:t>Mara E. Swan</w:t>
            </w:r>
          </w:p>
        </w:tc>
        <w:tc>
          <w:tcPr>
            <w:tcW w:w="19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66,029</w:t>
            </w:r>
          </w:p>
        </w:tc>
        <w:tc>
          <w:tcPr>
            <w:tcW w:w="13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41,344</w:t>
            </w:r>
          </w:p>
        </w:tc>
        <w:tc>
          <w:tcPr>
            <w:tcW w:w="11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960" w:type="dxa"/>
            <w:vAlign w:val="bottom"/>
            <w:shd w:val="clear" w:color="auto" w:fill="E6EDF3"/>
          </w:tcPr>
          <w:p>
            <w:pPr>
              <w:ind w:left="80"/>
              <w:spacing w:after="0" w:line="202" w:lineRule="exact"/>
              <w:rPr>
                <w:sz w:val="20"/>
                <w:szCs w:val="20"/>
                <w:color w:val="auto"/>
              </w:rPr>
            </w:pPr>
            <w:r>
              <w:rPr>
                <w:rFonts w:ascii="Arial" w:cs="Arial" w:eastAsia="Arial" w:hAnsi="Arial"/>
                <w:sz w:val="18"/>
                <w:szCs w:val="18"/>
                <w:color w:val="auto"/>
              </w:rPr>
              <w:t>Michael J. Van Handel</w:t>
            </w:r>
          </w:p>
        </w:tc>
        <w:tc>
          <w:tcPr>
            <w:tcW w:w="1940" w:type="dxa"/>
            <w:vAlign w:val="bottom"/>
            <w:shd w:val="clear" w:color="auto" w:fill="E6EDF3"/>
          </w:tcPr>
          <w:p>
            <w:pPr>
              <w:jc w:val="right"/>
              <w:ind w:right="252"/>
              <w:spacing w:after="0" w:line="202" w:lineRule="exact"/>
              <w:rPr>
                <w:sz w:val="20"/>
                <w:szCs w:val="20"/>
                <w:color w:val="auto"/>
              </w:rPr>
            </w:pPr>
            <w:r>
              <w:rPr>
                <w:rFonts w:ascii="Arial" w:cs="Arial" w:eastAsia="Arial" w:hAnsi="Arial"/>
                <w:sz w:val="18"/>
                <w:szCs w:val="18"/>
                <w:color w:val="auto"/>
              </w:rPr>
              <w:t>35,768</w:t>
            </w:r>
          </w:p>
        </w:tc>
        <w:tc>
          <w:tcPr>
            <w:tcW w:w="1340" w:type="dxa"/>
            <w:vAlign w:val="bottom"/>
            <w:shd w:val="clear" w:color="auto" w:fill="E6EDF3"/>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6EDF3"/>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960" w:type="dxa"/>
            <w:vAlign w:val="bottom"/>
          </w:tcPr>
          <w:p>
            <w:pPr>
              <w:ind w:left="80"/>
              <w:spacing w:after="0" w:line="202" w:lineRule="exact"/>
              <w:rPr>
                <w:sz w:val="20"/>
                <w:szCs w:val="20"/>
                <w:color w:val="auto"/>
              </w:rPr>
            </w:pPr>
            <w:r>
              <w:rPr>
                <w:rFonts w:ascii="Arial" w:cs="Arial" w:eastAsia="Arial" w:hAnsi="Arial"/>
                <w:sz w:val="18"/>
                <w:szCs w:val="18"/>
                <w:color w:val="auto"/>
              </w:rPr>
              <w:t>John R. Walter</w:t>
            </w:r>
          </w:p>
        </w:tc>
        <w:tc>
          <w:tcPr>
            <w:tcW w:w="19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8,599</w:t>
            </w:r>
          </w:p>
        </w:tc>
        <w:tc>
          <w:tcPr>
            <w:tcW w:w="13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960" w:type="dxa"/>
            <w:vAlign w:val="bottom"/>
            <w:shd w:val="clear" w:color="auto" w:fill="E6EDF3"/>
          </w:tcPr>
          <w:p>
            <w:pPr>
              <w:ind w:left="80"/>
              <w:spacing w:after="0" w:line="202" w:lineRule="exact"/>
              <w:rPr>
                <w:sz w:val="20"/>
                <w:szCs w:val="20"/>
                <w:color w:val="auto"/>
              </w:rPr>
            </w:pPr>
            <w:r>
              <w:rPr>
                <w:rFonts w:ascii="Arial" w:cs="Arial" w:eastAsia="Arial" w:hAnsi="Arial"/>
                <w:sz w:val="18"/>
                <w:szCs w:val="18"/>
                <w:color w:val="auto"/>
              </w:rPr>
              <w:t>Edward J. Zore</w:t>
            </w:r>
          </w:p>
        </w:tc>
        <w:tc>
          <w:tcPr>
            <w:tcW w:w="1940" w:type="dxa"/>
            <w:vAlign w:val="bottom"/>
            <w:shd w:val="clear" w:color="auto" w:fill="E6EDF3"/>
          </w:tcPr>
          <w:p>
            <w:pPr>
              <w:jc w:val="right"/>
              <w:ind w:right="252"/>
              <w:spacing w:after="0" w:line="202" w:lineRule="exact"/>
              <w:rPr>
                <w:sz w:val="20"/>
                <w:szCs w:val="20"/>
                <w:color w:val="auto"/>
              </w:rPr>
            </w:pPr>
            <w:r>
              <w:rPr>
                <w:rFonts w:ascii="Arial" w:cs="Arial" w:eastAsia="Arial" w:hAnsi="Arial"/>
                <w:sz w:val="18"/>
                <w:szCs w:val="18"/>
                <w:color w:val="auto"/>
              </w:rPr>
              <w:t>39,876</w:t>
            </w:r>
          </w:p>
        </w:tc>
        <w:tc>
          <w:tcPr>
            <w:tcW w:w="1340" w:type="dxa"/>
            <w:vAlign w:val="bottom"/>
            <w:shd w:val="clear" w:color="auto" w:fill="E6EDF3"/>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6EDF3"/>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960" w:type="dxa"/>
            <w:vAlign w:val="bottom"/>
            <w:tcBorders>
              <w:bottom w:val="single" w:sz="8" w:color="auto"/>
            </w:tcBorders>
          </w:tcPr>
          <w:p>
            <w:pPr>
              <w:ind w:left="80"/>
              <w:spacing w:after="0" w:line="202" w:lineRule="exact"/>
              <w:rPr>
                <w:sz w:val="20"/>
                <w:szCs w:val="20"/>
                <w:color w:val="auto"/>
              </w:rPr>
            </w:pPr>
            <w:r>
              <w:rPr>
                <w:rFonts w:ascii="Arial" w:cs="Arial" w:eastAsia="Arial" w:hAnsi="Arial"/>
                <w:sz w:val="18"/>
                <w:szCs w:val="18"/>
                <w:color w:val="auto"/>
              </w:rPr>
              <w:t>All directors and executive officers as a group (19 persons)</w:t>
            </w:r>
          </w:p>
        </w:tc>
        <w:tc>
          <w:tcPr>
            <w:tcW w:w="1940" w:type="dxa"/>
            <w:vAlign w:val="bottom"/>
            <w:tcBorders>
              <w:bottom w:val="single" w:sz="8" w:color="auto"/>
            </w:tcBorders>
          </w:tcPr>
          <w:p>
            <w:pPr>
              <w:jc w:val="right"/>
              <w:ind w:right="252"/>
              <w:spacing w:after="0" w:line="202" w:lineRule="exact"/>
              <w:rPr>
                <w:sz w:val="20"/>
                <w:szCs w:val="20"/>
                <w:color w:val="auto"/>
              </w:rPr>
            </w:pPr>
            <w:r>
              <w:rPr>
                <w:rFonts w:ascii="Arial" w:cs="Arial" w:eastAsia="Arial" w:hAnsi="Arial"/>
                <w:sz w:val="18"/>
                <w:szCs w:val="18"/>
                <w:color w:val="auto"/>
              </w:rPr>
              <w:t>588,231</w:t>
            </w:r>
          </w:p>
        </w:tc>
        <w:tc>
          <w:tcPr>
            <w:tcW w:w="1340" w:type="dxa"/>
            <w:vAlign w:val="bottom"/>
            <w:tcBorders>
              <w:bottom w:val="single" w:sz="8" w:color="auto"/>
            </w:tcBorders>
          </w:tcPr>
          <w:p>
            <w:pPr>
              <w:jc w:val="right"/>
              <w:ind w:right="153"/>
              <w:spacing w:after="0" w:line="202" w:lineRule="exact"/>
              <w:rPr>
                <w:sz w:val="20"/>
                <w:szCs w:val="20"/>
                <w:color w:val="auto"/>
              </w:rPr>
            </w:pPr>
            <w:r>
              <w:rPr>
                <w:rFonts w:ascii="Arial" w:cs="Arial" w:eastAsia="Arial" w:hAnsi="Arial"/>
                <w:sz w:val="18"/>
                <w:szCs w:val="18"/>
                <w:color w:val="auto"/>
              </w:rPr>
              <w:t>246,953</w:t>
            </w: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0.87%</w:t>
            </w:r>
          </w:p>
        </w:tc>
      </w:tr>
    </w:tbl>
    <w:p>
      <w:pPr>
        <w:spacing w:after="0" w:line="72"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Less than 1% of outstanding shares.</w:t>
      </w:r>
    </w:p>
    <w:p>
      <w:pPr>
        <w:spacing w:after="0" w:line="69" w:lineRule="exact"/>
        <w:rPr>
          <w:sz w:val="20"/>
          <w:szCs w:val="20"/>
          <w:color w:val="auto"/>
        </w:rPr>
      </w:pPr>
    </w:p>
    <w:p>
      <w:pPr>
        <w:ind w:left="340" w:right="100" w:hanging="332"/>
        <w:spacing w:after="0" w:line="258"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Except as indicated below, all shares shown in this column are owned with sole voting and dispositive power. Amounts shown in the Right to Acquire Common Stock column are also included in the Common Stock Beneficially Owned column.</w:t>
      </w:r>
    </w:p>
    <w:p>
      <w:pPr>
        <w:spacing w:after="0" w:line="115" w:lineRule="exact"/>
        <w:rPr>
          <w:sz w:val="20"/>
          <w:szCs w:val="20"/>
          <w:color w:val="auto"/>
        </w:rPr>
      </w:pPr>
    </w:p>
    <w:p>
      <w:pPr>
        <w:ind w:left="9880"/>
        <w:spacing w:after="0"/>
        <w:rPr>
          <w:sz w:val="20"/>
          <w:szCs w:val="20"/>
          <w:color w:val="auto"/>
        </w:rPr>
      </w:pPr>
      <w:r>
        <w:rPr>
          <w:rFonts w:ascii="Arial" w:cs="Arial" w:eastAsia="Arial" w:hAnsi="Arial"/>
          <w:sz w:val="16"/>
          <w:szCs w:val="16"/>
          <w:b w:val="1"/>
          <w:bCs w:val="1"/>
          <w:color w:val="5D89B4"/>
        </w:rPr>
        <w:t xml:space="preserve">21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Beneficial Ownership of Directors and Executive Officers</w:t>
      </w:r>
    </w:p>
    <w:p>
      <w:pPr>
        <w:spacing w:after="0" w:line="312" w:lineRule="exact"/>
        <w:rPr>
          <w:sz w:val="20"/>
          <w:szCs w:val="20"/>
          <w:color w:val="auto"/>
        </w:rPr>
      </w:pPr>
    </w:p>
    <w:p>
      <w:pPr>
        <w:jc w:val="both"/>
        <w:ind w:left="340" w:right="240"/>
        <w:spacing w:after="0" w:line="247" w:lineRule="auto"/>
        <w:rPr>
          <w:sz w:val="20"/>
          <w:szCs w:val="20"/>
          <w:color w:val="auto"/>
        </w:rPr>
      </w:pPr>
      <w:r>
        <w:rPr>
          <w:rFonts w:ascii="Arial" w:cs="Arial" w:eastAsia="Arial" w:hAnsi="Arial"/>
          <w:sz w:val="14"/>
          <w:szCs w:val="14"/>
          <w:color w:val="auto"/>
        </w:rPr>
        <w:t>The table does not include vested shares of deferred stock, which will be settled in shares of ManpowerGroup common stock on a one-for-one basis, held by the following directors that were issued under the 2003 Equity Incentive Plan and the Terms and Conditions Regarding the Grant of Awards to Non-Employee Directors under the 2003 Equity Incentive Plan and the 2011 Equity Incentive Plan and the Terms and Conditions Regarding the Grant of Awards to Non-Employee Directors under the 2011 Equity Incentive Plan:</w:t>
      </w:r>
    </w:p>
    <w:p>
      <w:pPr>
        <w:spacing w:after="0" w:line="109" w:lineRule="exact"/>
        <w:rPr>
          <w:sz w:val="20"/>
          <w:szCs w:val="20"/>
          <w:color w:val="auto"/>
        </w:rPr>
      </w:pPr>
    </w:p>
    <w:tbl>
      <w:tblPr>
        <w:tblLayout w:type="fixed"/>
        <w:tblInd w:w="360" w:type="dxa"/>
        <w:tblCellMar>
          <w:top w:w="0" w:type="dxa"/>
          <w:left w:w="0" w:type="dxa"/>
          <w:bottom w:w="0" w:type="dxa"/>
          <w:right w:w="0" w:type="dxa"/>
        </w:tblCellMar>
      </w:tblPr>
      <w:tr>
        <w:trPr>
          <w:trHeight w:val="270"/>
        </w:trPr>
        <w:tc>
          <w:tcPr>
            <w:tcW w:w="7080" w:type="dxa"/>
            <w:vAlign w:val="bottom"/>
            <w:tcBorders>
              <w:top w:val="single" w:sz="8" w:color="auto"/>
              <w:bottom w:val="single" w:sz="8" w:color="9DB8D2"/>
            </w:tcBorders>
            <w:shd w:val="clear" w:color="auto" w:fill="9DB8D2"/>
          </w:tcPr>
          <w:p>
            <w:pPr>
              <w:spacing w:after="0"/>
              <w:rPr>
                <w:sz w:val="23"/>
                <w:szCs w:val="23"/>
                <w:color w:val="auto"/>
              </w:rPr>
            </w:pPr>
          </w:p>
        </w:tc>
        <w:tc>
          <w:tcPr>
            <w:tcW w:w="540" w:type="dxa"/>
            <w:vAlign w:val="bottom"/>
            <w:tcBorders>
              <w:top w:val="single" w:sz="8" w:color="auto"/>
              <w:bottom w:val="single" w:sz="8" w:color="9DB8D2"/>
            </w:tcBorders>
            <w:shd w:val="clear" w:color="auto" w:fill="9DB8D2"/>
          </w:tcPr>
          <w:p>
            <w:pPr>
              <w:spacing w:after="0"/>
              <w:rPr>
                <w:sz w:val="23"/>
                <w:szCs w:val="23"/>
                <w:color w:val="auto"/>
              </w:rPr>
            </w:pPr>
          </w:p>
        </w:tc>
        <w:tc>
          <w:tcPr>
            <w:tcW w:w="700" w:type="dxa"/>
            <w:vAlign w:val="bottom"/>
            <w:tcBorders>
              <w:top w:val="single" w:sz="8" w:color="auto"/>
              <w:bottom w:val="single" w:sz="8" w:color="auto"/>
            </w:tcBorders>
            <w:shd w:val="clear" w:color="auto" w:fill="9DB8D2"/>
          </w:tcPr>
          <w:p>
            <w:pPr>
              <w:spacing w:after="0"/>
              <w:rPr>
                <w:sz w:val="23"/>
                <w:szCs w:val="23"/>
                <w:color w:val="auto"/>
              </w:rPr>
            </w:pPr>
          </w:p>
        </w:tc>
        <w:tc>
          <w:tcPr>
            <w:tcW w:w="1660" w:type="dxa"/>
            <w:vAlign w:val="bottom"/>
            <w:tcBorders>
              <w:top w:val="single" w:sz="8" w:color="auto"/>
              <w:bottom w:val="single" w:sz="8" w:color="auto"/>
            </w:tcBorders>
            <w:shd w:val="clear" w:color="auto" w:fill="9DB8D2"/>
          </w:tcPr>
          <w:p>
            <w:pPr>
              <w:jc w:val="right"/>
              <w:ind w:right="13"/>
              <w:spacing w:after="0"/>
              <w:rPr>
                <w:sz w:val="20"/>
                <w:szCs w:val="20"/>
                <w:color w:val="auto"/>
              </w:rPr>
            </w:pPr>
            <w:r>
              <w:rPr>
                <w:rFonts w:ascii="Arial" w:cs="Arial" w:eastAsia="Arial" w:hAnsi="Arial"/>
                <w:sz w:val="14"/>
                <w:szCs w:val="14"/>
                <w:b w:val="1"/>
                <w:bCs w:val="1"/>
                <w:color w:val="auto"/>
              </w:rPr>
              <w:t>Vested Deferred Stock</w:t>
            </w:r>
          </w:p>
        </w:tc>
        <w:tc>
          <w:tcPr>
            <w:tcW w:w="740" w:type="dxa"/>
            <w:vAlign w:val="bottom"/>
            <w:tcBorders>
              <w:top w:val="single" w:sz="8" w:color="auto"/>
              <w:bottom w:val="single" w:sz="8" w:color="auto"/>
            </w:tcBorders>
            <w:shd w:val="clear" w:color="auto" w:fill="9DB8D2"/>
          </w:tcPr>
          <w:p>
            <w:pPr>
              <w:spacing w:after="0"/>
              <w:rPr>
                <w:sz w:val="23"/>
                <w:szCs w:val="23"/>
                <w:color w:val="auto"/>
              </w:rPr>
            </w:pPr>
          </w:p>
        </w:tc>
      </w:tr>
      <w:tr>
        <w:trPr>
          <w:trHeight w:val="250"/>
        </w:trPr>
        <w:tc>
          <w:tcPr>
            <w:tcW w:w="7080" w:type="dxa"/>
            <w:vAlign w:val="bottom"/>
            <w:shd w:val="clear" w:color="auto" w:fill="9DB8D2"/>
          </w:tcPr>
          <w:p>
            <w:pPr>
              <w:ind w:left="60"/>
              <w:spacing w:after="0"/>
              <w:rPr>
                <w:sz w:val="20"/>
                <w:szCs w:val="20"/>
                <w:color w:val="auto"/>
              </w:rPr>
            </w:pPr>
            <w:r>
              <w:rPr>
                <w:rFonts w:ascii="Arial" w:cs="Arial" w:eastAsia="Arial" w:hAnsi="Arial"/>
                <w:sz w:val="14"/>
                <w:szCs w:val="14"/>
                <w:b w:val="1"/>
                <w:bCs w:val="1"/>
                <w:color w:val="auto"/>
              </w:rPr>
              <w:t>Director</w:t>
            </w:r>
          </w:p>
        </w:tc>
        <w:tc>
          <w:tcPr>
            <w:tcW w:w="1240" w:type="dxa"/>
            <w:vAlign w:val="bottom"/>
            <w:gridSpan w:val="2"/>
            <w:shd w:val="clear" w:color="auto" w:fill="9DB8D2"/>
          </w:tcPr>
          <w:p>
            <w:pPr>
              <w:jc w:val="right"/>
              <w:spacing w:after="0"/>
              <w:rPr>
                <w:sz w:val="20"/>
                <w:szCs w:val="20"/>
                <w:color w:val="auto"/>
              </w:rPr>
            </w:pPr>
            <w:r>
              <w:rPr>
                <w:rFonts w:ascii="Arial" w:cs="Arial" w:eastAsia="Arial" w:hAnsi="Arial"/>
                <w:sz w:val="14"/>
                <w:szCs w:val="14"/>
                <w:b w:val="1"/>
                <w:bCs w:val="1"/>
                <w:color w:val="auto"/>
              </w:rPr>
              <w:t>2003 Plan</w:t>
            </w:r>
          </w:p>
        </w:tc>
        <w:tc>
          <w:tcPr>
            <w:tcW w:w="1660" w:type="dxa"/>
            <w:vAlign w:val="bottom"/>
            <w:shd w:val="clear" w:color="auto" w:fill="9DB8D2"/>
          </w:tcPr>
          <w:p>
            <w:pPr>
              <w:jc w:val="right"/>
              <w:ind w:right="353"/>
              <w:spacing w:after="0"/>
              <w:rPr>
                <w:sz w:val="20"/>
                <w:szCs w:val="20"/>
                <w:color w:val="auto"/>
              </w:rPr>
            </w:pPr>
            <w:r>
              <w:rPr>
                <w:rFonts w:ascii="Arial" w:cs="Arial" w:eastAsia="Arial" w:hAnsi="Arial"/>
                <w:sz w:val="14"/>
                <w:szCs w:val="14"/>
                <w:b w:val="1"/>
                <w:bCs w:val="1"/>
                <w:color w:val="auto"/>
              </w:rPr>
              <w:t>2011 Plan</w:t>
            </w:r>
          </w:p>
        </w:tc>
        <w:tc>
          <w:tcPr>
            <w:tcW w:w="740" w:type="dxa"/>
            <w:vAlign w:val="bottom"/>
            <w:shd w:val="clear" w:color="auto" w:fill="9DB8D2"/>
          </w:tcPr>
          <w:p>
            <w:pPr>
              <w:jc w:val="right"/>
              <w:ind w:right="152"/>
              <w:spacing w:after="0"/>
              <w:rPr>
                <w:sz w:val="20"/>
                <w:szCs w:val="20"/>
                <w:color w:val="auto"/>
              </w:rPr>
            </w:pPr>
            <w:r>
              <w:rPr>
                <w:rFonts w:ascii="Arial" w:cs="Arial" w:eastAsia="Arial" w:hAnsi="Arial"/>
                <w:sz w:val="14"/>
                <w:szCs w:val="14"/>
                <w:b w:val="1"/>
                <w:bCs w:val="1"/>
                <w:color w:val="auto"/>
              </w:rPr>
              <w:t>Total</w:t>
            </w:r>
          </w:p>
        </w:tc>
      </w:tr>
      <w:tr>
        <w:trPr>
          <w:trHeight w:val="203"/>
        </w:trPr>
        <w:tc>
          <w:tcPr>
            <w:tcW w:w="7080" w:type="dxa"/>
            <w:vAlign w:val="bottom"/>
          </w:tcPr>
          <w:p>
            <w:pPr>
              <w:ind w:left="60"/>
              <w:spacing w:after="0" w:line="202" w:lineRule="exact"/>
              <w:rPr>
                <w:sz w:val="20"/>
                <w:szCs w:val="20"/>
                <w:color w:val="auto"/>
              </w:rPr>
            </w:pPr>
            <w:r>
              <w:rPr>
                <w:rFonts w:ascii="Arial" w:cs="Arial" w:eastAsia="Arial" w:hAnsi="Arial"/>
                <w:sz w:val="18"/>
                <w:szCs w:val="18"/>
                <w:color w:val="auto"/>
              </w:rPr>
              <w:t>Cari M. Dominguez</w:t>
            </w:r>
          </w:p>
        </w:tc>
        <w:tc>
          <w:tcPr>
            <w:tcW w:w="5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353"/>
              <w:spacing w:after="0" w:line="202" w:lineRule="exact"/>
              <w:rPr>
                <w:sz w:val="20"/>
                <w:szCs w:val="20"/>
                <w:color w:val="auto"/>
              </w:rPr>
            </w:pPr>
            <w:r>
              <w:rPr>
                <w:rFonts w:ascii="Arial" w:cs="Arial" w:eastAsia="Arial" w:hAnsi="Arial"/>
                <w:sz w:val="18"/>
                <w:szCs w:val="18"/>
                <w:color w:val="auto"/>
              </w:rPr>
              <w:t>2,062</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2,062</w:t>
            </w:r>
          </w:p>
        </w:tc>
      </w:tr>
      <w:tr>
        <w:trPr>
          <w:trHeight w:val="203"/>
        </w:trPr>
        <w:tc>
          <w:tcPr>
            <w:tcW w:w="7080" w:type="dxa"/>
            <w:vAlign w:val="bottom"/>
            <w:shd w:val="clear" w:color="auto" w:fill="E6EDF3"/>
          </w:tcPr>
          <w:p>
            <w:pPr>
              <w:ind w:left="60"/>
              <w:spacing w:after="0" w:line="202" w:lineRule="exact"/>
              <w:rPr>
                <w:sz w:val="20"/>
                <w:szCs w:val="20"/>
                <w:color w:val="auto"/>
              </w:rPr>
            </w:pPr>
            <w:r>
              <w:rPr>
                <w:rFonts w:ascii="Arial" w:cs="Arial" w:eastAsia="Arial" w:hAnsi="Arial"/>
                <w:sz w:val="18"/>
                <w:szCs w:val="18"/>
                <w:color w:val="auto"/>
              </w:rPr>
              <w:t>William Downe</w:t>
            </w:r>
          </w:p>
        </w:tc>
        <w:tc>
          <w:tcPr>
            <w:tcW w:w="540" w:type="dxa"/>
            <w:vAlign w:val="bottom"/>
            <w:shd w:val="clear" w:color="auto" w:fill="E6EDF3"/>
          </w:tcPr>
          <w:p>
            <w:pPr>
              <w:spacing w:after="0"/>
              <w:rPr>
                <w:sz w:val="17"/>
                <w:szCs w:val="17"/>
                <w:color w:val="auto"/>
              </w:rPr>
            </w:pPr>
          </w:p>
        </w:tc>
        <w:tc>
          <w:tcPr>
            <w:tcW w:w="700" w:type="dxa"/>
            <w:vAlign w:val="bottom"/>
            <w:shd w:val="clear" w:color="auto" w:fill="E6EDF3"/>
          </w:tcPr>
          <w:p>
            <w:pPr>
              <w:jc w:val="right"/>
              <w:spacing w:after="0" w:line="202" w:lineRule="exact"/>
              <w:rPr>
                <w:sz w:val="20"/>
                <w:szCs w:val="20"/>
                <w:color w:val="auto"/>
              </w:rPr>
            </w:pPr>
            <w:r>
              <w:rPr>
                <w:rFonts w:ascii="Arial" w:cs="Arial" w:eastAsia="Arial" w:hAnsi="Arial"/>
                <w:sz w:val="18"/>
                <w:szCs w:val="18"/>
                <w:color w:val="auto"/>
              </w:rPr>
              <w:t>—</w:t>
            </w:r>
          </w:p>
        </w:tc>
        <w:tc>
          <w:tcPr>
            <w:tcW w:w="1660" w:type="dxa"/>
            <w:vAlign w:val="bottom"/>
            <w:shd w:val="clear" w:color="auto" w:fill="E6EDF3"/>
          </w:tcPr>
          <w:p>
            <w:pPr>
              <w:jc w:val="right"/>
              <w:ind w:right="353"/>
              <w:spacing w:after="0" w:line="202" w:lineRule="exact"/>
              <w:rPr>
                <w:sz w:val="20"/>
                <w:szCs w:val="20"/>
                <w:color w:val="auto"/>
              </w:rPr>
            </w:pPr>
            <w:r>
              <w:rPr>
                <w:rFonts w:ascii="Arial" w:cs="Arial" w:eastAsia="Arial" w:hAnsi="Arial"/>
                <w:sz w:val="18"/>
                <w:szCs w:val="18"/>
                <w:color w:val="auto"/>
              </w:rPr>
              <w:t>16,523</w:t>
            </w:r>
          </w:p>
        </w:tc>
        <w:tc>
          <w:tcPr>
            <w:tcW w:w="740" w:type="dxa"/>
            <w:vAlign w:val="bottom"/>
            <w:shd w:val="clear" w:color="auto" w:fill="E6EDF3"/>
          </w:tcPr>
          <w:p>
            <w:pPr>
              <w:jc w:val="right"/>
              <w:ind w:right="12"/>
              <w:spacing w:after="0" w:line="202" w:lineRule="exact"/>
              <w:rPr>
                <w:sz w:val="20"/>
                <w:szCs w:val="20"/>
                <w:color w:val="auto"/>
              </w:rPr>
            </w:pPr>
            <w:r>
              <w:rPr>
                <w:rFonts w:ascii="Arial" w:cs="Arial" w:eastAsia="Arial" w:hAnsi="Arial"/>
                <w:sz w:val="18"/>
                <w:szCs w:val="18"/>
                <w:color w:val="auto"/>
              </w:rPr>
              <w:t>16,523</w:t>
            </w:r>
          </w:p>
        </w:tc>
      </w:tr>
      <w:tr>
        <w:trPr>
          <w:trHeight w:val="203"/>
        </w:trPr>
        <w:tc>
          <w:tcPr>
            <w:tcW w:w="7080" w:type="dxa"/>
            <w:vAlign w:val="bottom"/>
          </w:tcPr>
          <w:p>
            <w:pPr>
              <w:ind w:left="60"/>
              <w:spacing w:after="0" w:line="202" w:lineRule="exact"/>
              <w:rPr>
                <w:sz w:val="20"/>
                <w:szCs w:val="20"/>
                <w:color w:val="auto"/>
              </w:rPr>
            </w:pPr>
            <w:r>
              <w:rPr>
                <w:rFonts w:ascii="Arial" w:cs="Arial" w:eastAsia="Arial" w:hAnsi="Arial"/>
                <w:sz w:val="18"/>
                <w:szCs w:val="18"/>
                <w:color w:val="auto"/>
              </w:rPr>
              <w:t>John F. Ferraro</w:t>
            </w:r>
          </w:p>
        </w:tc>
        <w:tc>
          <w:tcPr>
            <w:tcW w:w="5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353"/>
              <w:spacing w:after="0" w:line="202" w:lineRule="exact"/>
              <w:rPr>
                <w:sz w:val="20"/>
                <w:szCs w:val="20"/>
                <w:color w:val="auto"/>
              </w:rPr>
            </w:pPr>
            <w:r>
              <w:rPr>
                <w:rFonts w:ascii="Arial" w:cs="Arial" w:eastAsia="Arial" w:hAnsi="Arial"/>
                <w:sz w:val="18"/>
                <w:szCs w:val="18"/>
                <w:color w:val="auto"/>
              </w:rPr>
              <w:t>2,936</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2,936</w:t>
            </w:r>
          </w:p>
        </w:tc>
      </w:tr>
      <w:tr>
        <w:trPr>
          <w:trHeight w:val="203"/>
        </w:trPr>
        <w:tc>
          <w:tcPr>
            <w:tcW w:w="7080" w:type="dxa"/>
            <w:vAlign w:val="bottom"/>
            <w:shd w:val="clear" w:color="auto" w:fill="E6EDF3"/>
          </w:tcPr>
          <w:p>
            <w:pPr>
              <w:ind w:left="60"/>
              <w:spacing w:after="0" w:line="202" w:lineRule="exact"/>
              <w:rPr>
                <w:sz w:val="20"/>
                <w:szCs w:val="20"/>
                <w:color w:val="auto"/>
              </w:rPr>
            </w:pPr>
            <w:r>
              <w:rPr>
                <w:rFonts w:ascii="Arial" w:cs="Arial" w:eastAsia="Arial" w:hAnsi="Arial"/>
                <w:sz w:val="18"/>
                <w:szCs w:val="18"/>
                <w:color w:val="auto"/>
              </w:rPr>
              <w:t>Patricia Hemingway Hall</w:t>
            </w:r>
          </w:p>
        </w:tc>
        <w:tc>
          <w:tcPr>
            <w:tcW w:w="540" w:type="dxa"/>
            <w:vAlign w:val="bottom"/>
            <w:shd w:val="clear" w:color="auto" w:fill="E6EDF3"/>
          </w:tcPr>
          <w:p>
            <w:pPr>
              <w:spacing w:after="0"/>
              <w:rPr>
                <w:sz w:val="17"/>
                <w:szCs w:val="17"/>
                <w:color w:val="auto"/>
              </w:rPr>
            </w:pPr>
          </w:p>
        </w:tc>
        <w:tc>
          <w:tcPr>
            <w:tcW w:w="700" w:type="dxa"/>
            <w:vAlign w:val="bottom"/>
            <w:shd w:val="clear" w:color="auto" w:fill="E6EDF3"/>
          </w:tcPr>
          <w:p>
            <w:pPr>
              <w:jc w:val="right"/>
              <w:spacing w:after="0" w:line="202" w:lineRule="exact"/>
              <w:rPr>
                <w:sz w:val="20"/>
                <w:szCs w:val="20"/>
                <w:color w:val="auto"/>
              </w:rPr>
            </w:pPr>
            <w:r>
              <w:rPr>
                <w:rFonts w:ascii="Arial" w:cs="Arial" w:eastAsia="Arial" w:hAnsi="Arial"/>
                <w:sz w:val="18"/>
                <w:szCs w:val="18"/>
                <w:color w:val="auto"/>
              </w:rPr>
              <w:t>—</w:t>
            </w:r>
          </w:p>
        </w:tc>
        <w:tc>
          <w:tcPr>
            <w:tcW w:w="1660" w:type="dxa"/>
            <w:vAlign w:val="bottom"/>
            <w:shd w:val="clear" w:color="auto" w:fill="E6EDF3"/>
          </w:tcPr>
          <w:p>
            <w:pPr>
              <w:jc w:val="right"/>
              <w:ind w:right="353"/>
              <w:spacing w:after="0" w:line="202" w:lineRule="exact"/>
              <w:rPr>
                <w:sz w:val="20"/>
                <w:szCs w:val="20"/>
                <w:color w:val="auto"/>
              </w:rPr>
            </w:pPr>
            <w:r>
              <w:rPr>
                <w:rFonts w:ascii="Arial" w:cs="Arial" w:eastAsia="Arial" w:hAnsi="Arial"/>
                <w:sz w:val="18"/>
                <w:szCs w:val="18"/>
                <w:color w:val="auto"/>
              </w:rPr>
              <w:t>3,760</w:t>
            </w:r>
          </w:p>
        </w:tc>
        <w:tc>
          <w:tcPr>
            <w:tcW w:w="740" w:type="dxa"/>
            <w:vAlign w:val="bottom"/>
            <w:shd w:val="clear" w:color="auto" w:fill="E6EDF3"/>
          </w:tcPr>
          <w:p>
            <w:pPr>
              <w:jc w:val="right"/>
              <w:ind w:right="12"/>
              <w:spacing w:after="0" w:line="202" w:lineRule="exact"/>
              <w:rPr>
                <w:sz w:val="20"/>
                <w:szCs w:val="20"/>
                <w:color w:val="auto"/>
              </w:rPr>
            </w:pPr>
            <w:r>
              <w:rPr>
                <w:rFonts w:ascii="Arial" w:cs="Arial" w:eastAsia="Arial" w:hAnsi="Arial"/>
                <w:sz w:val="18"/>
                <w:szCs w:val="18"/>
                <w:color w:val="auto"/>
              </w:rPr>
              <w:t>3,760</w:t>
            </w:r>
          </w:p>
        </w:tc>
      </w:tr>
      <w:tr>
        <w:trPr>
          <w:trHeight w:val="203"/>
        </w:trPr>
        <w:tc>
          <w:tcPr>
            <w:tcW w:w="7080" w:type="dxa"/>
            <w:vAlign w:val="bottom"/>
          </w:tcPr>
          <w:p>
            <w:pPr>
              <w:ind w:left="60"/>
              <w:spacing w:after="0" w:line="202" w:lineRule="exact"/>
              <w:rPr>
                <w:sz w:val="20"/>
                <w:szCs w:val="20"/>
                <w:color w:val="auto"/>
              </w:rPr>
            </w:pPr>
            <w:r>
              <w:rPr>
                <w:rFonts w:ascii="Arial" w:cs="Arial" w:eastAsia="Arial" w:hAnsi="Arial"/>
                <w:sz w:val="18"/>
                <w:szCs w:val="18"/>
                <w:color w:val="auto"/>
              </w:rPr>
              <w:t>Julie M. Howard</w:t>
            </w:r>
          </w:p>
        </w:tc>
        <w:tc>
          <w:tcPr>
            <w:tcW w:w="5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353"/>
              <w:spacing w:after="0" w:line="202" w:lineRule="exact"/>
              <w:rPr>
                <w:sz w:val="20"/>
                <w:szCs w:val="20"/>
                <w:color w:val="auto"/>
              </w:rPr>
            </w:pPr>
            <w:r>
              <w:rPr>
                <w:rFonts w:ascii="Arial" w:cs="Arial" w:eastAsia="Arial" w:hAnsi="Arial"/>
                <w:sz w:val="18"/>
                <w:szCs w:val="18"/>
                <w:color w:val="auto"/>
              </w:rPr>
              <w:t>85</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85</w:t>
            </w:r>
          </w:p>
        </w:tc>
      </w:tr>
      <w:tr>
        <w:trPr>
          <w:trHeight w:val="203"/>
        </w:trPr>
        <w:tc>
          <w:tcPr>
            <w:tcW w:w="7080" w:type="dxa"/>
            <w:vAlign w:val="bottom"/>
            <w:shd w:val="clear" w:color="auto" w:fill="E6EDF3"/>
          </w:tcPr>
          <w:p>
            <w:pPr>
              <w:ind w:left="60"/>
              <w:spacing w:after="0" w:line="202" w:lineRule="exact"/>
              <w:rPr>
                <w:sz w:val="20"/>
                <w:szCs w:val="20"/>
                <w:color w:val="auto"/>
              </w:rPr>
            </w:pPr>
            <w:r>
              <w:rPr>
                <w:rFonts w:ascii="Arial" w:cs="Arial" w:eastAsia="Arial" w:hAnsi="Arial"/>
                <w:sz w:val="18"/>
                <w:szCs w:val="18"/>
                <w:color w:val="auto"/>
              </w:rPr>
              <w:t>Roberto Mendoza</w:t>
            </w:r>
          </w:p>
        </w:tc>
        <w:tc>
          <w:tcPr>
            <w:tcW w:w="1240" w:type="dxa"/>
            <w:vAlign w:val="bottom"/>
            <w:gridSpan w:val="2"/>
            <w:shd w:val="clear" w:color="auto" w:fill="E6EDF3"/>
          </w:tcPr>
          <w:p>
            <w:pPr>
              <w:jc w:val="right"/>
              <w:spacing w:after="0" w:line="202" w:lineRule="exact"/>
              <w:rPr>
                <w:sz w:val="20"/>
                <w:szCs w:val="20"/>
                <w:color w:val="auto"/>
              </w:rPr>
            </w:pPr>
            <w:r>
              <w:rPr>
                <w:rFonts w:ascii="Arial" w:cs="Arial" w:eastAsia="Arial" w:hAnsi="Arial"/>
                <w:sz w:val="18"/>
                <w:szCs w:val="18"/>
                <w:color w:val="auto"/>
              </w:rPr>
              <w:t>8,458</w:t>
            </w:r>
          </w:p>
        </w:tc>
        <w:tc>
          <w:tcPr>
            <w:tcW w:w="1660" w:type="dxa"/>
            <w:vAlign w:val="bottom"/>
            <w:shd w:val="clear" w:color="auto" w:fill="E6EDF3"/>
          </w:tcPr>
          <w:p>
            <w:pPr>
              <w:jc w:val="right"/>
              <w:ind w:right="353"/>
              <w:spacing w:after="0" w:line="202" w:lineRule="exact"/>
              <w:rPr>
                <w:sz w:val="20"/>
                <w:szCs w:val="20"/>
                <w:color w:val="auto"/>
              </w:rPr>
            </w:pPr>
            <w:r>
              <w:rPr>
                <w:rFonts w:ascii="Arial" w:cs="Arial" w:eastAsia="Arial" w:hAnsi="Arial"/>
                <w:sz w:val="18"/>
                <w:szCs w:val="18"/>
                <w:color w:val="auto"/>
              </w:rPr>
              <w:t>9,615</w:t>
            </w:r>
          </w:p>
        </w:tc>
        <w:tc>
          <w:tcPr>
            <w:tcW w:w="740" w:type="dxa"/>
            <w:vAlign w:val="bottom"/>
            <w:shd w:val="clear" w:color="auto" w:fill="E6EDF3"/>
          </w:tcPr>
          <w:p>
            <w:pPr>
              <w:jc w:val="right"/>
              <w:ind w:right="12"/>
              <w:spacing w:after="0" w:line="202" w:lineRule="exact"/>
              <w:rPr>
                <w:sz w:val="20"/>
                <w:szCs w:val="20"/>
                <w:color w:val="auto"/>
              </w:rPr>
            </w:pPr>
            <w:r>
              <w:rPr>
                <w:rFonts w:ascii="Arial" w:cs="Arial" w:eastAsia="Arial" w:hAnsi="Arial"/>
                <w:sz w:val="18"/>
                <w:szCs w:val="18"/>
                <w:color w:val="auto"/>
              </w:rPr>
              <w:t>18,073</w:t>
            </w:r>
          </w:p>
        </w:tc>
      </w:tr>
      <w:tr>
        <w:trPr>
          <w:trHeight w:val="203"/>
        </w:trPr>
        <w:tc>
          <w:tcPr>
            <w:tcW w:w="7080" w:type="dxa"/>
            <w:vAlign w:val="bottom"/>
          </w:tcPr>
          <w:p>
            <w:pPr>
              <w:ind w:left="60"/>
              <w:spacing w:after="0" w:line="202" w:lineRule="exact"/>
              <w:rPr>
                <w:sz w:val="20"/>
                <w:szCs w:val="20"/>
                <w:color w:val="auto"/>
              </w:rPr>
            </w:pPr>
            <w:r>
              <w:rPr>
                <w:rFonts w:ascii="Arial" w:cs="Arial" w:eastAsia="Arial" w:hAnsi="Arial"/>
                <w:sz w:val="18"/>
                <w:szCs w:val="18"/>
                <w:color w:val="auto"/>
              </w:rPr>
              <w:t>Paul Read</w:t>
            </w:r>
          </w:p>
        </w:tc>
        <w:tc>
          <w:tcPr>
            <w:tcW w:w="5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353"/>
              <w:spacing w:after="0" w:line="202" w:lineRule="exact"/>
              <w:rPr>
                <w:sz w:val="20"/>
                <w:szCs w:val="20"/>
                <w:color w:val="auto"/>
              </w:rPr>
            </w:pPr>
            <w:r>
              <w:rPr>
                <w:rFonts w:ascii="Arial" w:cs="Arial" w:eastAsia="Arial" w:hAnsi="Arial"/>
                <w:sz w:val="18"/>
                <w:szCs w:val="18"/>
                <w:color w:val="auto"/>
              </w:rPr>
              <w:t>79</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79</w:t>
            </w:r>
          </w:p>
        </w:tc>
      </w:tr>
      <w:tr>
        <w:trPr>
          <w:trHeight w:val="203"/>
        </w:trPr>
        <w:tc>
          <w:tcPr>
            <w:tcW w:w="7080" w:type="dxa"/>
            <w:vAlign w:val="bottom"/>
            <w:shd w:val="clear" w:color="auto" w:fill="E6EDF3"/>
          </w:tcPr>
          <w:p>
            <w:pPr>
              <w:ind w:left="60"/>
              <w:spacing w:after="0" w:line="202" w:lineRule="exact"/>
              <w:rPr>
                <w:sz w:val="20"/>
                <w:szCs w:val="20"/>
                <w:color w:val="auto"/>
              </w:rPr>
            </w:pPr>
            <w:r>
              <w:rPr>
                <w:rFonts w:ascii="Arial" w:cs="Arial" w:eastAsia="Arial" w:hAnsi="Arial"/>
                <w:sz w:val="18"/>
                <w:szCs w:val="18"/>
                <w:color w:val="auto"/>
              </w:rPr>
              <w:t>John R. Walter</w:t>
            </w:r>
          </w:p>
        </w:tc>
        <w:tc>
          <w:tcPr>
            <w:tcW w:w="1240" w:type="dxa"/>
            <w:vAlign w:val="bottom"/>
            <w:gridSpan w:val="2"/>
            <w:shd w:val="clear" w:color="auto" w:fill="E6EDF3"/>
          </w:tcPr>
          <w:p>
            <w:pPr>
              <w:jc w:val="right"/>
              <w:spacing w:after="0" w:line="202" w:lineRule="exact"/>
              <w:rPr>
                <w:sz w:val="20"/>
                <w:szCs w:val="20"/>
                <w:color w:val="auto"/>
              </w:rPr>
            </w:pPr>
            <w:r>
              <w:rPr>
                <w:rFonts w:ascii="Arial" w:cs="Arial" w:eastAsia="Arial" w:hAnsi="Arial"/>
                <w:sz w:val="18"/>
                <w:szCs w:val="18"/>
                <w:color w:val="auto"/>
              </w:rPr>
              <w:t>7,913</w:t>
            </w:r>
          </w:p>
        </w:tc>
        <w:tc>
          <w:tcPr>
            <w:tcW w:w="1660" w:type="dxa"/>
            <w:vAlign w:val="bottom"/>
            <w:shd w:val="clear" w:color="auto" w:fill="E6EDF3"/>
          </w:tcPr>
          <w:p>
            <w:pPr>
              <w:jc w:val="right"/>
              <w:ind w:right="353"/>
              <w:spacing w:after="0" w:line="202" w:lineRule="exact"/>
              <w:rPr>
                <w:sz w:val="20"/>
                <w:szCs w:val="20"/>
                <w:color w:val="auto"/>
              </w:rPr>
            </w:pPr>
            <w:r>
              <w:rPr>
                <w:rFonts w:ascii="Arial" w:cs="Arial" w:eastAsia="Arial" w:hAnsi="Arial"/>
                <w:sz w:val="18"/>
                <w:szCs w:val="18"/>
                <w:color w:val="auto"/>
              </w:rPr>
              <w:t>7,247</w:t>
            </w:r>
          </w:p>
        </w:tc>
        <w:tc>
          <w:tcPr>
            <w:tcW w:w="740" w:type="dxa"/>
            <w:vAlign w:val="bottom"/>
            <w:shd w:val="clear" w:color="auto" w:fill="E6EDF3"/>
          </w:tcPr>
          <w:p>
            <w:pPr>
              <w:jc w:val="right"/>
              <w:ind w:right="12"/>
              <w:spacing w:after="0" w:line="202" w:lineRule="exact"/>
              <w:rPr>
                <w:sz w:val="20"/>
                <w:szCs w:val="20"/>
                <w:color w:val="auto"/>
              </w:rPr>
            </w:pPr>
            <w:r>
              <w:rPr>
                <w:rFonts w:ascii="Arial" w:cs="Arial" w:eastAsia="Arial" w:hAnsi="Arial"/>
                <w:sz w:val="18"/>
                <w:szCs w:val="18"/>
                <w:color w:val="auto"/>
              </w:rPr>
              <w:t>15,160</w:t>
            </w:r>
          </w:p>
        </w:tc>
      </w:tr>
      <w:tr>
        <w:trPr>
          <w:trHeight w:val="203"/>
        </w:trPr>
        <w:tc>
          <w:tcPr>
            <w:tcW w:w="708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rPr>
              <w:t>Edward J. Zore</w:t>
            </w:r>
          </w:p>
        </w:tc>
        <w:tc>
          <w:tcPr>
            <w:tcW w:w="12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634</w:t>
            </w:r>
          </w:p>
        </w:tc>
        <w:tc>
          <w:tcPr>
            <w:tcW w:w="1660" w:type="dxa"/>
            <w:vAlign w:val="bottom"/>
            <w:tcBorders>
              <w:bottom w:val="single" w:sz="8" w:color="auto"/>
            </w:tcBorders>
          </w:tcPr>
          <w:p>
            <w:pPr>
              <w:jc w:val="right"/>
              <w:ind w:right="353"/>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634</w:t>
            </w:r>
          </w:p>
        </w:tc>
      </w:tr>
    </w:tbl>
    <w:p>
      <w:pPr>
        <w:spacing w:after="0" w:line="153" w:lineRule="exact"/>
        <w:rPr>
          <w:sz w:val="20"/>
          <w:szCs w:val="20"/>
          <w:color w:val="auto"/>
        </w:rPr>
      </w:pPr>
    </w:p>
    <w:p>
      <w:pPr>
        <w:ind w:left="340"/>
        <w:spacing w:after="0" w:line="250" w:lineRule="auto"/>
        <w:rPr>
          <w:sz w:val="20"/>
          <w:szCs w:val="20"/>
          <w:color w:val="auto"/>
        </w:rPr>
      </w:pPr>
      <w:r>
        <w:rPr>
          <w:rFonts w:ascii="Arial" w:cs="Arial" w:eastAsia="Arial" w:hAnsi="Arial"/>
          <w:sz w:val="14"/>
          <w:szCs w:val="14"/>
          <w:color w:val="auto"/>
        </w:rPr>
        <w:t>The table does not include 1,632 unvested shares of deferred stock, which will be settled in shares of ManpowerGroup common stock on a one-for-one basis, held by each of Mr. Downe, Mr. Ferraro, Ms. Hemingway Hall, Ms. Howard, Mr. Mendoza and Mr. Walter that were issued under the 2011 Plan and the Terms and Conditions on January 1, 2017. These shares of deferred stock vest in equal quarterly installments during 2017.</w:t>
      </w:r>
    </w:p>
    <w:p>
      <w:pPr>
        <w:spacing w:after="0" w:line="51"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Common stock that may be acquired within 60 days of the record date through the exercise of stock options and the settlement of restricted stock units.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the following number of shares of unvested restricted stock as of the record date:</w:t>
      </w:r>
    </w:p>
    <w:p>
      <w:pPr>
        <w:spacing w:after="0" w:line="219" w:lineRule="exact"/>
        <w:rPr>
          <w:sz w:val="20"/>
          <w:szCs w:val="20"/>
          <w:color w:val="auto"/>
        </w:rPr>
      </w:pPr>
    </w:p>
    <w:tbl>
      <w:tblPr>
        <w:tblLayout w:type="fixed"/>
        <w:tblInd w:w="360" w:type="dxa"/>
        <w:tblCellMar>
          <w:top w:w="0" w:type="dxa"/>
          <w:left w:w="0" w:type="dxa"/>
          <w:bottom w:w="0" w:type="dxa"/>
          <w:right w:w="0" w:type="dxa"/>
        </w:tblCellMar>
      </w:tblPr>
      <w:tr>
        <w:trPr>
          <w:trHeight w:val="257"/>
        </w:trPr>
        <w:tc>
          <w:tcPr>
            <w:tcW w:w="7840" w:type="dxa"/>
            <w:vAlign w:val="bottom"/>
            <w:tcBorders>
              <w:top w:val="single" w:sz="8" w:color="auto"/>
            </w:tcBorders>
            <w:shd w:val="clear" w:color="auto" w:fill="9DB8D2"/>
          </w:tcPr>
          <w:p>
            <w:pPr>
              <w:spacing w:after="0"/>
              <w:rPr>
                <w:sz w:val="22"/>
                <w:szCs w:val="22"/>
                <w:color w:val="auto"/>
              </w:rPr>
            </w:pPr>
          </w:p>
        </w:tc>
        <w:tc>
          <w:tcPr>
            <w:tcW w:w="2880" w:type="dxa"/>
            <w:vAlign w:val="bottom"/>
            <w:tcBorders>
              <w:top w:val="single" w:sz="8" w:color="auto"/>
            </w:tcBorders>
            <w:shd w:val="clear" w:color="auto" w:fill="9DB8D2"/>
          </w:tcPr>
          <w:p>
            <w:pPr>
              <w:jc w:val="right"/>
              <w:ind w:right="314"/>
              <w:spacing w:after="0"/>
              <w:rPr>
                <w:sz w:val="20"/>
                <w:szCs w:val="20"/>
                <w:color w:val="auto"/>
              </w:rPr>
            </w:pPr>
            <w:r>
              <w:rPr>
                <w:rFonts w:ascii="Arial" w:cs="Arial" w:eastAsia="Arial" w:hAnsi="Arial"/>
                <w:sz w:val="14"/>
                <w:szCs w:val="14"/>
                <w:b w:val="1"/>
                <w:bCs w:val="1"/>
                <w:color w:val="auto"/>
              </w:rPr>
              <w:t>Unvested Restricted</w:t>
            </w:r>
          </w:p>
        </w:tc>
      </w:tr>
      <w:tr>
        <w:trPr>
          <w:trHeight w:val="189"/>
        </w:trPr>
        <w:tc>
          <w:tcPr>
            <w:tcW w:w="7840" w:type="dxa"/>
            <w:vAlign w:val="bottom"/>
            <w:shd w:val="clear" w:color="auto" w:fill="9DB8D2"/>
          </w:tcPr>
          <w:p>
            <w:pPr>
              <w:ind w:left="60"/>
              <w:spacing w:after="0"/>
              <w:rPr>
                <w:sz w:val="20"/>
                <w:szCs w:val="20"/>
                <w:color w:val="auto"/>
              </w:rPr>
            </w:pPr>
            <w:r>
              <w:rPr>
                <w:rFonts w:ascii="Arial" w:cs="Arial" w:eastAsia="Arial" w:hAnsi="Arial"/>
                <w:sz w:val="14"/>
                <w:szCs w:val="14"/>
                <w:b w:val="1"/>
                <w:bCs w:val="1"/>
                <w:color w:val="auto"/>
              </w:rPr>
              <w:t>Director</w:t>
            </w:r>
          </w:p>
        </w:tc>
        <w:tc>
          <w:tcPr>
            <w:tcW w:w="2880" w:type="dxa"/>
            <w:vAlign w:val="bottom"/>
            <w:shd w:val="clear" w:color="auto" w:fill="9DB8D2"/>
          </w:tcPr>
          <w:p>
            <w:pPr>
              <w:jc w:val="right"/>
              <w:ind w:right="814"/>
              <w:spacing w:after="0"/>
              <w:rPr>
                <w:sz w:val="20"/>
                <w:szCs w:val="20"/>
                <w:color w:val="auto"/>
              </w:rPr>
            </w:pPr>
            <w:r>
              <w:rPr>
                <w:rFonts w:ascii="Arial" w:cs="Arial" w:eastAsia="Arial" w:hAnsi="Arial"/>
                <w:sz w:val="14"/>
                <w:szCs w:val="14"/>
                <w:b w:val="1"/>
                <w:bCs w:val="1"/>
                <w:color w:val="auto"/>
              </w:rPr>
              <w:t>Stock</w:t>
            </w:r>
          </w:p>
        </w:tc>
      </w:tr>
      <w:tr>
        <w:trPr>
          <w:trHeight w:val="203"/>
        </w:trPr>
        <w:tc>
          <w:tcPr>
            <w:tcW w:w="7840" w:type="dxa"/>
            <w:vAlign w:val="bottom"/>
          </w:tcPr>
          <w:p>
            <w:pPr>
              <w:ind w:left="60"/>
              <w:spacing w:after="0" w:line="202" w:lineRule="exact"/>
              <w:rPr>
                <w:sz w:val="20"/>
                <w:szCs w:val="20"/>
                <w:color w:val="auto"/>
              </w:rPr>
            </w:pPr>
            <w:r>
              <w:rPr>
                <w:rFonts w:ascii="Arial" w:cs="Arial" w:eastAsia="Arial" w:hAnsi="Arial"/>
                <w:sz w:val="18"/>
                <w:szCs w:val="18"/>
                <w:color w:val="auto"/>
              </w:rPr>
              <w:t>Gina R. Boswell</w:t>
            </w:r>
          </w:p>
        </w:tc>
        <w:tc>
          <w:tcPr>
            <w:tcW w:w="288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1,632</w:t>
            </w:r>
          </w:p>
        </w:tc>
      </w:tr>
      <w:tr>
        <w:trPr>
          <w:trHeight w:val="203"/>
        </w:trPr>
        <w:tc>
          <w:tcPr>
            <w:tcW w:w="7840" w:type="dxa"/>
            <w:vAlign w:val="bottom"/>
            <w:shd w:val="clear" w:color="auto" w:fill="E6EDF3"/>
          </w:tcPr>
          <w:p>
            <w:pPr>
              <w:ind w:left="60"/>
              <w:spacing w:after="0" w:line="202" w:lineRule="exact"/>
              <w:rPr>
                <w:sz w:val="20"/>
                <w:szCs w:val="20"/>
                <w:color w:val="auto"/>
              </w:rPr>
            </w:pPr>
            <w:r>
              <w:rPr>
                <w:rFonts w:ascii="Arial" w:cs="Arial" w:eastAsia="Arial" w:hAnsi="Arial"/>
                <w:sz w:val="18"/>
                <w:szCs w:val="18"/>
                <w:color w:val="auto"/>
              </w:rPr>
              <w:t>Cari M. Dominguez</w:t>
            </w:r>
          </w:p>
        </w:tc>
        <w:tc>
          <w:tcPr>
            <w:tcW w:w="2880" w:type="dxa"/>
            <w:vAlign w:val="bottom"/>
            <w:shd w:val="clear" w:color="auto" w:fill="E6EDF3"/>
          </w:tcPr>
          <w:p>
            <w:pPr>
              <w:jc w:val="right"/>
              <w:ind w:right="314"/>
              <w:spacing w:after="0" w:line="202" w:lineRule="exact"/>
              <w:rPr>
                <w:sz w:val="20"/>
                <w:szCs w:val="20"/>
                <w:color w:val="auto"/>
              </w:rPr>
            </w:pPr>
            <w:r>
              <w:rPr>
                <w:rFonts w:ascii="Arial" w:cs="Arial" w:eastAsia="Arial" w:hAnsi="Arial"/>
                <w:sz w:val="18"/>
                <w:szCs w:val="18"/>
                <w:color w:val="auto"/>
              </w:rPr>
              <w:t>1,632</w:t>
            </w:r>
          </w:p>
        </w:tc>
      </w:tr>
      <w:tr>
        <w:trPr>
          <w:trHeight w:val="203"/>
        </w:trPr>
        <w:tc>
          <w:tcPr>
            <w:tcW w:w="7840" w:type="dxa"/>
            <w:vAlign w:val="bottom"/>
          </w:tcPr>
          <w:p>
            <w:pPr>
              <w:ind w:left="60"/>
              <w:spacing w:after="0" w:line="202" w:lineRule="exact"/>
              <w:rPr>
                <w:sz w:val="20"/>
                <w:szCs w:val="20"/>
                <w:color w:val="auto"/>
              </w:rPr>
            </w:pPr>
            <w:r>
              <w:rPr>
                <w:rFonts w:ascii="Arial" w:cs="Arial" w:eastAsia="Arial" w:hAnsi="Arial"/>
                <w:sz w:val="18"/>
                <w:szCs w:val="18"/>
                <w:color w:val="auto"/>
              </w:rPr>
              <w:t>Ulice Payne, Jr.</w:t>
            </w:r>
          </w:p>
        </w:tc>
        <w:tc>
          <w:tcPr>
            <w:tcW w:w="288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1,632</w:t>
            </w:r>
          </w:p>
        </w:tc>
      </w:tr>
      <w:tr>
        <w:trPr>
          <w:trHeight w:val="203"/>
        </w:trPr>
        <w:tc>
          <w:tcPr>
            <w:tcW w:w="7840" w:type="dxa"/>
            <w:vAlign w:val="bottom"/>
            <w:shd w:val="clear" w:color="auto" w:fill="E6EDF3"/>
          </w:tcPr>
          <w:p>
            <w:pPr>
              <w:ind w:left="60"/>
              <w:spacing w:after="0" w:line="202" w:lineRule="exact"/>
              <w:rPr>
                <w:sz w:val="20"/>
                <w:szCs w:val="20"/>
                <w:color w:val="auto"/>
              </w:rPr>
            </w:pPr>
            <w:r>
              <w:rPr>
                <w:rFonts w:ascii="Arial" w:cs="Arial" w:eastAsia="Arial" w:hAnsi="Arial"/>
                <w:sz w:val="18"/>
                <w:szCs w:val="18"/>
                <w:color w:val="auto"/>
              </w:rPr>
              <w:t>Paul Read</w:t>
            </w:r>
          </w:p>
        </w:tc>
        <w:tc>
          <w:tcPr>
            <w:tcW w:w="2880" w:type="dxa"/>
            <w:vAlign w:val="bottom"/>
            <w:shd w:val="clear" w:color="auto" w:fill="E6EDF3"/>
          </w:tcPr>
          <w:p>
            <w:pPr>
              <w:jc w:val="right"/>
              <w:ind w:right="314"/>
              <w:spacing w:after="0" w:line="202" w:lineRule="exact"/>
              <w:rPr>
                <w:sz w:val="20"/>
                <w:szCs w:val="20"/>
                <w:color w:val="auto"/>
              </w:rPr>
            </w:pPr>
            <w:r>
              <w:rPr>
                <w:rFonts w:ascii="Arial" w:cs="Arial" w:eastAsia="Arial" w:hAnsi="Arial"/>
                <w:sz w:val="18"/>
                <w:szCs w:val="18"/>
                <w:color w:val="auto"/>
              </w:rPr>
              <w:t>1,632</w:t>
            </w:r>
          </w:p>
        </w:tc>
      </w:tr>
      <w:tr>
        <w:trPr>
          <w:trHeight w:val="203"/>
        </w:trPr>
        <w:tc>
          <w:tcPr>
            <w:tcW w:w="7840" w:type="dxa"/>
            <w:vAlign w:val="bottom"/>
          </w:tcPr>
          <w:p>
            <w:pPr>
              <w:ind w:left="60"/>
              <w:spacing w:after="0" w:line="202" w:lineRule="exact"/>
              <w:rPr>
                <w:sz w:val="20"/>
                <w:szCs w:val="20"/>
                <w:color w:val="auto"/>
              </w:rPr>
            </w:pPr>
            <w:r>
              <w:rPr>
                <w:rFonts w:ascii="Arial" w:cs="Arial" w:eastAsia="Arial" w:hAnsi="Arial"/>
                <w:sz w:val="18"/>
                <w:szCs w:val="18"/>
                <w:color w:val="auto"/>
              </w:rPr>
              <w:t>Elizabeth P. Sartain</w:t>
            </w:r>
          </w:p>
        </w:tc>
        <w:tc>
          <w:tcPr>
            <w:tcW w:w="288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1,632</w:t>
            </w:r>
          </w:p>
        </w:tc>
      </w:tr>
      <w:tr>
        <w:trPr>
          <w:trHeight w:val="203"/>
        </w:trPr>
        <w:tc>
          <w:tcPr>
            <w:tcW w:w="7840" w:type="dxa"/>
            <w:vAlign w:val="bottom"/>
            <w:tcBorders>
              <w:bottom w:val="single" w:sz="8" w:color="auto"/>
            </w:tcBorders>
            <w:shd w:val="clear" w:color="auto" w:fill="E6EDF3"/>
          </w:tcPr>
          <w:p>
            <w:pPr>
              <w:ind w:left="60"/>
              <w:spacing w:after="0" w:line="202" w:lineRule="exact"/>
              <w:rPr>
                <w:sz w:val="20"/>
                <w:szCs w:val="20"/>
                <w:color w:val="auto"/>
              </w:rPr>
            </w:pPr>
            <w:r>
              <w:rPr>
                <w:rFonts w:ascii="Arial" w:cs="Arial" w:eastAsia="Arial" w:hAnsi="Arial"/>
                <w:sz w:val="18"/>
                <w:szCs w:val="18"/>
                <w:color w:val="auto"/>
              </w:rPr>
              <w:t>Edward J. Zore</w:t>
            </w:r>
          </w:p>
        </w:tc>
        <w:tc>
          <w:tcPr>
            <w:tcW w:w="2880" w:type="dxa"/>
            <w:vAlign w:val="bottom"/>
            <w:tcBorders>
              <w:bottom w:val="single" w:sz="8" w:color="auto"/>
            </w:tcBorders>
            <w:shd w:val="clear" w:color="auto" w:fill="E6EDF3"/>
          </w:tcPr>
          <w:p>
            <w:pPr>
              <w:jc w:val="right"/>
              <w:ind w:right="314"/>
              <w:spacing w:after="0" w:line="202" w:lineRule="exact"/>
              <w:rPr>
                <w:sz w:val="20"/>
                <w:szCs w:val="20"/>
                <w:color w:val="auto"/>
              </w:rPr>
            </w:pPr>
            <w:r>
              <w:rPr>
                <w:rFonts w:ascii="Arial" w:cs="Arial" w:eastAsia="Arial" w:hAnsi="Arial"/>
                <w:sz w:val="18"/>
                <w:szCs w:val="18"/>
                <w:color w:val="auto"/>
              </w:rPr>
              <w:t>1,632</w:t>
            </w:r>
          </w:p>
        </w:tc>
      </w:tr>
    </w:tbl>
    <w:p>
      <w:pPr>
        <w:spacing w:after="0" w:line="15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holders of the restricted stock have sole voting power with respect to all shares held and no dispositive power with respect to all shares held.</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8180"/>
        <w:spacing w:after="0"/>
        <w:rPr>
          <w:sz w:val="20"/>
          <w:szCs w:val="20"/>
          <w:color w:val="auto"/>
        </w:rPr>
      </w:pPr>
      <w:r>
        <w:rPr>
          <w:rFonts w:ascii="Arial" w:cs="Arial" w:eastAsia="Arial" w:hAnsi="Arial"/>
          <w:sz w:val="18"/>
          <w:szCs w:val="18"/>
          <w:color w:val="FFFFFF"/>
        </w:rPr>
        <w:t>Compensation Discussion and Analysis</w:t>
      </w:r>
    </w:p>
    <w:p>
      <w:pPr>
        <w:spacing w:after="0" w:line="241" w:lineRule="exact"/>
        <w:rPr>
          <w:sz w:val="20"/>
          <w:szCs w:val="20"/>
          <w:color w:val="auto"/>
        </w:rPr>
      </w:pPr>
    </w:p>
    <w:p>
      <w:pPr>
        <w:spacing w:after="0"/>
        <w:rPr>
          <w:sz w:val="20"/>
          <w:szCs w:val="20"/>
          <w:color w:val="auto"/>
        </w:rPr>
      </w:pPr>
      <w:r>
        <w:rPr>
          <w:rFonts w:ascii="Arial" w:cs="Arial" w:eastAsia="Arial" w:hAnsi="Arial"/>
          <w:sz w:val="41"/>
          <w:szCs w:val="41"/>
          <w:color w:val="5D89B4"/>
        </w:rPr>
        <w:t>Compensation Discussion and Analysis</w:t>
      </w:r>
    </w:p>
    <w:p>
      <w:pPr>
        <w:spacing w:after="0" w:line="293"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 w:type="dxa"/>
            <w:vAlign w:val="bottom"/>
          </w:tcPr>
          <w:p>
            <w:pPr>
              <w:spacing w:after="0"/>
              <w:rPr>
                <w:sz w:val="16"/>
                <w:szCs w:val="16"/>
                <w:color w:val="auto"/>
              </w:rPr>
            </w:pPr>
          </w:p>
        </w:tc>
        <w:tc>
          <w:tcPr>
            <w:tcW w:w="10260" w:type="dxa"/>
            <w:vAlign w:val="bottom"/>
            <w:gridSpan w:val="40"/>
          </w:tcPr>
          <w:p>
            <w:pPr>
              <w:spacing w:after="0"/>
              <w:rPr>
                <w:rFonts w:ascii="Arial" w:cs="Arial" w:eastAsia="Arial" w:hAnsi="Arial"/>
                <w:sz w:val="16"/>
                <w:szCs w:val="16"/>
                <w:b w:val="1"/>
                <w:bCs w:val="1"/>
                <w:color w:val="0000EE"/>
              </w:rPr>
            </w:pPr>
            <w:hyperlink w:anchor="page30">
              <w:r>
                <w:rPr>
                  <w:rFonts w:ascii="Arial" w:cs="Arial" w:eastAsia="Arial" w:hAnsi="Arial"/>
                  <w:sz w:val="16"/>
                  <w:szCs w:val="16"/>
                  <w:b w:val="1"/>
                  <w:bCs w:val="1"/>
                  <w:color w:val="0000EE"/>
                </w:rPr>
                <w:t>Background</w:t>
              </w:r>
            </w:hyperlink>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6"/>
        </w:trPr>
        <w:tc>
          <w:tcPr>
            <w:tcW w:w="80" w:type="dxa"/>
            <w:vAlign w:val="bottom"/>
            <w:tcBorders>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80" w:type="dxa"/>
            <w:vAlign w:val="bottom"/>
            <w:tcBorders>
              <w:top w:val="single" w:sz="8" w:color="0000EE"/>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3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6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300" w:type="dxa"/>
            <w:vAlign w:val="bottom"/>
            <w:tcBorders>
              <w:bottom w:val="single" w:sz="8" w:color="5D89B4"/>
            </w:tcBorders>
          </w:tcPr>
          <w:p>
            <w:pPr>
              <w:spacing w:after="0"/>
              <w:rPr>
                <w:sz w:val="17"/>
                <w:szCs w:val="17"/>
                <w:color w:val="auto"/>
              </w:rPr>
            </w:pPr>
          </w:p>
        </w:tc>
        <w:tc>
          <w:tcPr>
            <w:tcW w:w="1660" w:type="dxa"/>
            <w:vAlign w:val="bottom"/>
            <w:tcBorders>
              <w:bottom w:val="single" w:sz="8" w:color="5D89B4"/>
            </w:tcBorders>
          </w:tcPr>
          <w:p>
            <w:pPr>
              <w:spacing w:after="0"/>
              <w:rPr>
                <w:sz w:val="17"/>
                <w:szCs w:val="17"/>
                <w:color w:val="auto"/>
              </w:rPr>
            </w:pPr>
          </w:p>
        </w:tc>
        <w:tc>
          <w:tcPr>
            <w:tcW w:w="4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00" w:type="dxa"/>
            <w:vAlign w:val="bottom"/>
            <w:tcBorders>
              <w:bottom w:val="single" w:sz="8" w:color="5D89B4"/>
            </w:tcBorders>
          </w:tcPr>
          <w:p>
            <w:pPr>
              <w:spacing w:after="0"/>
              <w:rPr>
                <w:sz w:val="17"/>
                <w:szCs w:val="17"/>
                <w:color w:val="auto"/>
              </w:rPr>
            </w:pPr>
          </w:p>
        </w:tc>
        <w:tc>
          <w:tcPr>
            <w:tcW w:w="1620" w:type="dxa"/>
            <w:vAlign w:val="bottom"/>
            <w:tcBorders>
              <w:bottom w:val="single" w:sz="8" w:color="5D89B4"/>
            </w:tcBorders>
          </w:tcPr>
          <w:p>
            <w:pPr>
              <w:spacing w:after="0"/>
              <w:rPr>
                <w:sz w:val="17"/>
                <w:szCs w:val="17"/>
                <w:color w:val="auto"/>
              </w:rPr>
            </w:pPr>
          </w:p>
        </w:tc>
        <w:tc>
          <w:tcPr>
            <w:tcW w:w="700" w:type="dxa"/>
            <w:vAlign w:val="bottom"/>
            <w:tcBorders>
              <w:bottom w:val="single" w:sz="8" w:color="5D89B4"/>
            </w:tcBorders>
          </w:tcPr>
          <w:p>
            <w:pPr>
              <w:spacing w:after="0"/>
              <w:rPr>
                <w:sz w:val="17"/>
                <w:szCs w:val="17"/>
                <w:color w:val="auto"/>
              </w:rPr>
            </w:pPr>
          </w:p>
        </w:tc>
        <w:tc>
          <w:tcPr>
            <w:tcW w:w="10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10260" w:type="dxa"/>
            <w:vAlign w:val="bottom"/>
            <w:gridSpan w:val="40"/>
          </w:tcPr>
          <w:p>
            <w:pPr>
              <w:spacing w:after="0" w:line="155" w:lineRule="exact"/>
              <w:rPr>
                <w:rFonts w:ascii="Arial" w:cs="Arial" w:eastAsia="Arial" w:hAnsi="Arial"/>
                <w:sz w:val="16"/>
                <w:szCs w:val="16"/>
                <w:b w:val="1"/>
                <w:bCs w:val="1"/>
                <w:color w:val="0000EE"/>
              </w:rPr>
            </w:pPr>
            <w:hyperlink w:anchor="page30">
              <w:r>
                <w:rPr>
                  <w:rFonts w:ascii="Arial" w:cs="Arial" w:eastAsia="Arial" w:hAnsi="Arial"/>
                  <w:sz w:val="16"/>
                  <w:szCs w:val="16"/>
                  <w:b w:val="1"/>
                  <w:bCs w:val="1"/>
                  <w:color w:val="0000EE"/>
                </w:rPr>
                <w:t>Leadership Changes</w:t>
              </w:r>
            </w:hyperlink>
          </w:p>
        </w:tc>
        <w:tc>
          <w:tcPr>
            <w:tcW w:w="1080" w:type="dxa"/>
            <w:vAlign w:val="bottom"/>
          </w:tcPr>
          <w:p>
            <w:pPr>
              <w:jc w:val="right"/>
              <w:ind w:right="139"/>
              <w:spacing w:after="0" w:line="155"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6"/>
        </w:trPr>
        <w:tc>
          <w:tcPr>
            <w:tcW w:w="80" w:type="dxa"/>
            <w:vAlign w:val="bottom"/>
            <w:tcBorders>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8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3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6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300" w:type="dxa"/>
            <w:vAlign w:val="bottom"/>
            <w:tcBorders>
              <w:bottom w:val="single" w:sz="8" w:color="5D89B4"/>
            </w:tcBorders>
          </w:tcPr>
          <w:p>
            <w:pPr>
              <w:spacing w:after="0"/>
              <w:rPr>
                <w:sz w:val="17"/>
                <w:szCs w:val="17"/>
                <w:color w:val="auto"/>
              </w:rPr>
            </w:pPr>
          </w:p>
        </w:tc>
        <w:tc>
          <w:tcPr>
            <w:tcW w:w="1660" w:type="dxa"/>
            <w:vAlign w:val="bottom"/>
            <w:tcBorders>
              <w:bottom w:val="single" w:sz="8" w:color="5D89B4"/>
            </w:tcBorders>
          </w:tcPr>
          <w:p>
            <w:pPr>
              <w:spacing w:after="0"/>
              <w:rPr>
                <w:sz w:val="17"/>
                <w:szCs w:val="17"/>
                <w:color w:val="auto"/>
              </w:rPr>
            </w:pPr>
          </w:p>
        </w:tc>
        <w:tc>
          <w:tcPr>
            <w:tcW w:w="4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00" w:type="dxa"/>
            <w:vAlign w:val="bottom"/>
            <w:tcBorders>
              <w:bottom w:val="single" w:sz="8" w:color="5D89B4"/>
            </w:tcBorders>
          </w:tcPr>
          <w:p>
            <w:pPr>
              <w:spacing w:after="0"/>
              <w:rPr>
                <w:sz w:val="17"/>
                <w:szCs w:val="17"/>
                <w:color w:val="auto"/>
              </w:rPr>
            </w:pPr>
          </w:p>
        </w:tc>
        <w:tc>
          <w:tcPr>
            <w:tcW w:w="1620" w:type="dxa"/>
            <w:vAlign w:val="bottom"/>
            <w:tcBorders>
              <w:bottom w:val="single" w:sz="8" w:color="5D89B4"/>
            </w:tcBorders>
          </w:tcPr>
          <w:p>
            <w:pPr>
              <w:spacing w:after="0"/>
              <w:rPr>
                <w:sz w:val="17"/>
                <w:szCs w:val="17"/>
                <w:color w:val="auto"/>
              </w:rPr>
            </w:pPr>
          </w:p>
        </w:tc>
        <w:tc>
          <w:tcPr>
            <w:tcW w:w="700" w:type="dxa"/>
            <w:vAlign w:val="bottom"/>
            <w:tcBorders>
              <w:bottom w:val="single" w:sz="8" w:color="5D89B4"/>
            </w:tcBorders>
          </w:tcPr>
          <w:p>
            <w:pPr>
              <w:spacing w:after="0"/>
              <w:rPr>
                <w:sz w:val="17"/>
                <w:szCs w:val="17"/>
                <w:color w:val="auto"/>
              </w:rPr>
            </w:pPr>
          </w:p>
        </w:tc>
        <w:tc>
          <w:tcPr>
            <w:tcW w:w="10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10260" w:type="dxa"/>
            <w:vAlign w:val="bottom"/>
            <w:gridSpan w:val="40"/>
          </w:tcPr>
          <w:p>
            <w:pPr>
              <w:spacing w:after="0" w:line="155" w:lineRule="exact"/>
              <w:rPr>
                <w:rFonts w:ascii="Arial" w:cs="Arial" w:eastAsia="Arial" w:hAnsi="Arial"/>
                <w:sz w:val="16"/>
                <w:szCs w:val="16"/>
                <w:b w:val="1"/>
                <w:bCs w:val="1"/>
                <w:color w:val="0000EE"/>
              </w:rPr>
            </w:pPr>
            <w:hyperlink w:anchor="page30">
              <w:r>
                <w:rPr>
                  <w:rFonts w:ascii="Arial" w:cs="Arial" w:eastAsia="Arial" w:hAnsi="Arial"/>
                  <w:sz w:val="16"/>
                  <w:szCs w:val="16"/>
                  <w:b w:val="1"/>
                  <w:bCs w:val="1"/>
                  <w:color w:val="0000EE"/>
                </w:rPr>
                <w:t>Executive Summary</w:t>
              </w:r>
            </w:hyperlink>
          </w:p>
        </w:tc>
        <w:tc>
          <w:tcPr>
            <w:tcW w:w="1080" w:type="dxa"/>
            <w:vAlign w:val="bottom"/>
          </w:tcPr>
          <w:p>
            <w:pPr>
              <w:jc w:val="right"/>
              <w:ind w:right="139"/>
              <w:spacing w:after="0" w:line="155"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440" w:type="dxa"/>
            <w:vAlign w:val="bottom"/>
            <w:tcBorders>
              <w:top w:val="single" w:sz="8" w:color="0000EE"/>
            </w:tcBorders>
            <w:gridSpan w:val="5"/>
          </w:tcPr>
          <w:p>
            <w:pPr>
              <w:spacing w:after="0" w:line="169" w:lineRule="exact"/>
              <w:rPr>
                <w:rFonts w:ascii="Arial" w:cs="Arial" w:eastAsia="Arial" w:hAnsi="Arial"/>
                <w:sz w:val="16"/>
                <w:szCs w:val="16"/>
                <w:b w:val="1"/>
                <w:bCs w:val="1"/>
                <w:i w:val="1"/>
                <w:iCs w:val="1"/>
                <w:color w:val="0000EE"/>
                <w:w w:val="93"/>
              </w:rPr>
            </w:pPr>
            <w:hyperlink w:anchor="page30">
              <w:r>
                <w:rPr>
                  <w:rFonts w:ascii="Arial" w:cs="Arial" w:eastAsia="Arial" w:hAnsi="Arial"/>
                  <w:sz w:val="16"/>
                  <w:szCs w:val="16"/>
                  <w:b w:val="1"/>
                  <w:bCs w:val="1"/>
                  <w:i w:val="1"/>
                  <w:iCs w:val="1"/>
                  <w:color w:val="0000EE"/>
                  <w:w w:val="93"/>
                </w:rPr>
                <w:t>2016 Compensation</w:t>
              </w:r>
            </w:hyperlink>
          </w:p>
        </w:tc>
        <w:tc>
          <w:tcPr>
            <w:tcW w:w="8720" w:type="dxa"/>
            <w:vAlign w:val="bottom"/>
            <w:gridSpan w:val="34"/>
          </w:tcPr>
          <w:p>
            <w:pPr>
              <w:ind w:left="120"/>
              <w:spacing w:after="0" w:line="169" w:lineRule="exact"/>
              <w:rPr>
                <w:rFonts w:ascii="Arial" w:cs="Arial" w:eastAsia="Arial" w:hAnsi="Arial"/>
                <w:sz w:val="16"/>
                <w:szCs w:val="16"/>
                <w:b w:val="1"/>
                <w:bCs w:val="1"/>
                <w:i w:val="1"/>
                <w:iCs w:val="1"/>
                <w:color w:val="0000EE"/>
              </w:rPr>
            </w:pPr>
            <w:hyperlink w:anchor="page30">
              <w:r>
                <w:rPr>
                  <w:rFonts w:ascii="Arial" w:cs="Arial" w:eastAsia="Arial" w:hAnsi="Arial"/>
                  <w:sz w:val="16"/>
                  <w:szCs w:val="16"/>
                  <w:b w:val="1"/>
                  <w:bCs w:val="1"/>
                  <w:i w:val="1"/>
                  <w:iCs w:val="1"/>
                  <w:color w:val="0000EE"/>
                </w:rPr>
                <w:t>Reflected Strong 2016 Financial Results</w:t>
              </w:r>
            </w:hyperlink>
          </w:p>
        </w:tc>
        <w:tc>
          <w:tcPr>
            <w:tcW w:w="10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60" w:type="dxa"/>
            <w:vAlign w:val="bottom"/>
            <w:tcBorders>
              <w:top w:val="single" w:sz="8" w:color="0000EE"/>
            </w:tcBorders>
            <w:gridSpan w:val="30"/>
          </w:tcPr>
          <w:p>
            <w:pPr>
              <w:spacing w:after="0" w:line="169" w:lineRule="exact"/>
              <w:rPr>
                <w:rFonts w:ascii="Arial" w:cs="Arial" w:eastAsia="Arial" w:hAnsi="Arial"/>
                <w:sz w:val="16"/>
                <w:szCs w:val="16"/>
                <w:b w:val="1"/>
                <w:bCs w:val="1"/>
                <w:i w:val="1"/>
                <w:iCs w:val="1"/>
                <w:color w:val="0000EE"/>
              </w:rPr>
            </w:pPr>
            <w:hyperlink w:anchor="page31">
              <w:r>
                <w:rPr>
                  <w:rFonts w:ascii="Arial" w:cs="Arial" w:eastAsia="Arial" w:hAnsi="Arial"/>
                  <w:sz w:val="16"/>
                  <w:szCs w:val="16"/>
                  <w:b w:val="1"/>
                  <w:bCs w:val="1"/>
                  <w:i w:val="1"/>
                  <w:iCs w:val="1"/>
                  <w:color w:val="0000EE"/>
                </w:rPr>
                <w:t>We Manage Our Business in Light of Global Macroeconomic</w:t>
              </w:r>
            </w:hyperlink>
          </w:p>
        </w:tc>
        <w:tc>
          <w:tcPr>
            <w:tcW w:w="20" w:type="dxa"/>
            <w:vAlign w:val="bottom"/>
          </w:tcPr>
          <w:p>
            <w:pPr>
              <w:spacing w:after="0"/>
              <w:rPr>
                <w:sz w:val="14"/>
                <w:szCs w:val="14"/>
                <w:color w:val="auto"/>
              </w:rPr>
            </w:pPr>
          </w:p>
        </w:tc>
        <w:tc>
          <w:tcPr>
            <w:tcW w:w="5480" w:type="dxa"/>
            <w:vAlign w:val="bottom"/>
            <w:gridSpan w:val="8"/>
          </w:tcPr>
          <w:p>
            <w:pPr>
              <w:spacing w:after="0" w:line="169" w:lineRule="exact"/>
              <w:rPr>
                <w:rFonts w:ascii="Arial" w:cs="Arial" w:eastAsia="Arial" w:hAnsi="Arial"/>
                <w:sz w:val="16"/>
                <w:szCs w:val="16"/>
                <w:b w:val="1"/>
                <w:bCs w:val="1"/>
                <w:i w:val="1"/>
                <w:iCs w:val="1"/>
                <w:color w:val="0000EE"/>
              </w:rPr>
            </w:pPr>
            <w:hyperlink w:anchor="page31">
              <w:r>
                <w:rPr>
                  <w:rFonts w:ascii="Arial" w:cs="Arial" w:eastAsia="Arial" w:hAnsi="Arial"/>
                  <w:sz w:val="16"/>
                  <w:szCs w:val="16"/>
                  <w:b w:val="1"/>
                  <w:bCs w:val="1"/>
                  <w:i w:val="1"/>
                  <w:iCs w:val="1"/>
                  <w:color w:val="0000EE"/>
                </w:rPr>
                <w:t>Forces, Business Cycles and Complexity</w:t>
              </w:r>
            </w:hyperlink>
          </w:p>
        </w:tc>
        <w:tc>
          <w:tcPr>
            <w:tcW w:w="10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40" w:type="dxa"/>
            <w:vAlign w:val="bottom"/>
            <w:tcBorders>
              <w:top w:val="single" w:sz="8" w:color="0000EE"/>
            </w:tcBorders>
            <w:gridSpan w:val="37"/>
          </w:tcPr>
          <w:p>
            <w:pPr>
              <w:spacing w:after="0" w:line="169" w:lineRule="exact"/>
              <w:rPr>
                <w:rFonts w:ascii="Arial" w:cs="Arial" w:eastAsia="Arial" w:hAnsi="Arial"/>
                <w:sz w:val="16"/>
                <w:szCs w:val="16"/>
                <w:b w:val="1"/>
                <w:bCs w:val="1"/>
                <w:i w:val="1"/>
                <w:iCs w:val="1"/>
                <w:color w:val="0000EE"/>
              </w:rPr>
            </w:pPr>
            <w:hyperlink w:anchor="page31">
              <w:r>
                <w:rPr>
                  <w:rFonts w:ascii="Arial" w:cs="Arial" w:eastAsia="Arial" w:hAnsi="Arial"/>
                  <w:sz w:val="16"/>
                  <w:szCs w:val="16"/>
                  <w:b w:val="1"/>
                  <w:bCs w:val="1"/>
                  <w:i w:val="1"/>
                  <w:iCs w:val="1"/>
                  <w:color w:val="0000EE"/>
                </w:rPr>
                <w:t>Our Executive Pay is Designed to be Variable and Affordable</w:t>
              </w:r>
            </w:hyperlink>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80" w:type="dxa"/>
            <w:vAlign w:val="bottom"/>
            <w:tcBorders>
              <w:top w:val="single" w:sz="8" w:color="0000EE"/>
            </w:tcBorders>
            <w:gridSpan w:val="31"/>
          </w:tcPr>
          <w:p>
            <w:pPr>
              <w:spacing w:after="0" w:line="169" w:lineRule="exact"/>
              <w:rPr>
                <w:rFonts w:ascii="Arial" w:cs="Arial" w:eastAsia="Arial" w:hAnsi="Arial"/>
                <w:sz w:val="16"/>
                <w:szCs w:val="16"/>
                <w:b w:val="1"/>
                <w:bCs w:val="1"/>
                <w:i w:val="1"/>
                <w:iCs w:val="1"/>
                <w:color w:val="0000EE"/>
              </w:rPr>
            </w:pPr>
            <w:hyperlink w:anchor="page32">
              <w:r>
                <w:rPr>
                  <w:rFonts w:ascii="Arial" w:cs="Arial" w:eastAsia="Arial" w:hAnsi="Arial"/>
                  <w:sz w:val="16"/>
                  <w:szCs w:val="16"/>
                  <w:b w:val="1"/>
                  <w:bCs w:val="1"/>
                  <w:i w:val="1"/>
                  <w:iCs w:val="1"/>
                  <w:color w:val="0000EE"/>
                </w:rPr>
                <w:t>We Focus on Three Key Performance Metrics</w:t>
              </w:r>
            </w:hyperlink>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tcBorders>
              <w:top w:val="single" w:sz="8" w:color="0000EE"/>
            </w:tcBorders>
            <w:gridSpan w:val="17"/>
          </w:tcPr>
          <w:p>
            <w:pPr>
              <w:spacing w:after="0" w:line="169" w:lineRule="exact"/>
              <w:rPr>
                <w:rFonts w:ascii="Arial" w:cs="Arial" w:eastAsia="Arial" w:hAnsi="Arial"/>
                <w:sz w:val="16"/>
                <w:szCs w:val="16"/>
                <w:b w:val="1"/>
                <w:bCs w:val="1"/>
                <w:i w:val="1"/>
                <w:iCs w:val="1"/>
                <w:color w:val="0000EE"/>
              </w:rPr>
            </w:pPr>
            <w:hyperlink w:anchor="page32">
              <w:r>
                <w:rPr>
                  <w:rFonts w:ascii="Arial" w:cs="Arial" w:eastAsia="Arial" w:hAnsi="Arial"/>
                  <w:sz w:val="16"/>
                  <w:szCs w:val="16"/>
                  <w:b w:val="1"/>
                  <w:bCs w:val="1"/>
                  <w:i w:val="1"/>
                  <w:iCs w:val="1"/>
                  <w:color w:val="0000EE"/>
                </w:rPr>
                <w:t>We Utilize a Broad Group of Comparators for</w:t>
              </w:r>
            </w:hyperlink>
          </w:p>
        </w:tc>
        <w:tc>
          <w:tcPr>
            <w:tcW w:w="6680" w:type="dxa"/>
            <w:vAlign w:val="bottom"/>
            <w:gridSpan w:val="22"/>
          </w:tcPr>
          <w:p>
            <w:pPr>
              <w:ind w:left="20"/>
              <w:spacing w:after="0" w:line="169" w:lineRule="exact"/>
              <w:rPr>
                <w:rFonts w:ascii="Arial" w:cs="Arial" w:eastAsia="Arial" w:hAnsi="Arial"/>
                <w:sz w:val="16"/>
                <w:szCs w:val="16"/>
                <w:b w:val="1"/>
                <w:bCs w:val="1"/>
                <w:i w:val="1"/>
                <w:iCs w:val="1"/>
                <w:color w:val="0000EE"/>
              </w:rPr>
            </w:pPr>
            <w:hyperlink w:anchor="page32">
              <w:r>
                <w:rPr>
                  <w:rFonts w:ascii="Arial" w:cs="Arial" w:eastAsia="Arial" w:hAnsi="Arial"/>
                  <w:sz w:val="16"/>
                  <w:szCs w:val="16"/>
                  <w:b w:val="1"/>
                  <w:bCs w:val="1"/>
                  <w:i w:val="1"/>
                  <w:iCs w:val="1"/>
                  <w:color w:val="0000EE"/>
                </w:rPr>
                <w:t>Compensation</w:t>
              </w:r>
            </w:hyperlink>
          </w:p>
        </w:tc>
        <w:tc>
          <w:tcPr>
            <w:tcW w:w="10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40" w:type="dxa"/>
            <w:vAlign w:val="bottom"/>
            <w:tcBorders>
              <w:top w:val="single" w:sz="8" w:color="0000EE"/>
            </w:tcBorders>
            <w:gridSpan w:val="29"/>
          </w:tcPr>
          <w:p>
            <w:pPr>
              <w:spacing w:after="0" w:line="169" w:lineRule="exact"/>
              <w:rPr>
                <w:rFonts w:ascii="Arial" w:cs="Arial" w:eastAsia="Arial" w:hAnsi="Arial"/>
                <w:sz w:val="16"/>
                <w:szCs w:val="16"/>
                <w:b w:val="1"/>
                <w:bCs w:val="1"/>
                <w:i w:val="1"/>
                <w:iCs w:val="1"/>
                <w:color w:val="0000EE"/>
              </w:rPr>
            </w:pPr>
            <w:hyperlink w:anchor="page33">
              <w:r>
                <w:rPr>
                  <w:rFonts w:ascii="Arial" w:cs="Arial" w:eastAsia="Arial" w:hAnsi="Arial"/>
                  <w:sz w:val="16"/>
                  <w:szCs w:val="16"/>
                  <w:b w:val="1"/>
                  <w:bCs w:val="1"/>
                  <w:i w:val="1"/>
                  <w:iCs w:val="1"/>
                  <w:color w:val="0000EE"/>
                </w:rPr>
                <w:t>Key Compensation and Governance Policies</w:t>
              </w:r>
            </w:hyperlink>
          </w:p>
        </w:tc>
        <w:tc>
          <w:tcPr>
            <w:tcW w:w="80" w:type="dxa"/>
            <w:vAlign w:val="bottom"/>
            <w:gridSpan w:val="3"/>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tcBorders>
              <w:top w:val="single" w:sz="8" w:color="0000EE"/>
            </w:tcBorders>
            <w:gridSpan w:val="16"/>
          </w:tcPr>
          <w:p>
            <w:pPr>
              <w:spacing w:after="0" w:line="169" w:lineRule="exact"/>
              <w:rPr>
                <w:rFonts w:ascii="Arial" w:cs="Arial" w:eastAsia="Arial" w:hAnsi="Arial"/>
                <w:sz w:val="16"/>
                <w:szCs w:val="16"/>
                <w:b w:val="1"/>
                <w:bCs w:val="1"/>
                <w:i w:val="1"/>
                <w:iCs w:val="1"/>
                <w:color w:val="0000EE"/>
              </w:rPr>
            </w:pPr>
            <w:hyperlink w:anchor="page34">
              <w:r>
                <w:rPr>
                  <w:rFonts w:ascii="Arial" w:cs="Arial" w:eastAsia="Arial" w:hAnsi="Arial"/>
                  <w:sz w:val="16"/>
                  <w:szCs w:val="16"/>
                  <w:b w:val="1"/>
                  <w:bCs w:val="1"/>
                  <w:i w:val="1"/>
                  <w:iCs w:val="1"/>
                  <w:color w:val="0000EE"/>
                </w:rPr>
                <w:t>CEO Compensation Continues to Follow our</w:t>
              </w:r>
            </w:hyperlink>
          </w:p>
        </w:tc>
        <w:tc>
          <w:tcPr>
            <w:tcW w:w="6720" w:type="dxa"/>
            <w:vAlign w:val="bottom"/>
            <w:gridSpan w:val="23"/>
          </w:tcPr>
          <w:p>
            <w:pPr>
              <w:ind w:left="20"/>
              <w:spacing w:after="0" w:line="169" w:lineRule="exact"/>
              <w:rPr>
                <w:rFonts w:ascii="Arial" w:cs="Arial" w:eastAsia="Arial" w:hAnsi="Arial"/>
                <w:sz w:val="16"/>
                <w:szCs w:val="16"/>
                <w:b w:val="1"/>
                <w:bCs w:val="1"/>
                <w:i w:val="1"/>
                <w:iCs w:val="1"/>
                <w:color w:val="0000EE"/>
              </w:rPr>
            </w:pPr>
            <w:hyperlink w:anchor="page34">
              <w:r>
                <w:rPr>
                  <w:rFonts w:ascii="Arial" w:cs="Arial" w:eastAsia="Arial" w:hAnsi="Arial"/>
                  <w:sz w:val="16"/>
                  <w:szCs w:val="16"/>
                  <w:b w:val="1"/>
                  <w:bCs w:val="1"/>
                  <w:i w:val="1"/>
                  <w:iCs w:val="1"/>
                  <w:color w:val="0000EE"/>
                </w:rPr>
                <w:t>Guiding Principle of Pay-For-Performance</w:t>
              </w:r>
            </w:hyperlink>
          </w:p>
        </w:tc>
        <w:tc>
          <w:tcPr>
            <w:tcW w:w="10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6"/>
        </w:trPr>
        <w:tc>
          <w:tcPr>
            <w:tcW w:w="8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8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3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560" w:type="dxa"/>
            <w:vAlign w:val="bottom"/>
            <w:tcBorders>
              <w:top w:val="single" w:sz="8" w:color="0000EE"/>
              <w:bottom w:val="single" w:sz="8" w:color="5D89B4"/>
            </w:tcBorders>
          </w:tcPr>
          <w:p>
            <w:pPr>
              <w:spacing w:after="0"/>
              <w:rPr>
                <w:sz w:val="17"/>
                <w:szCs w:val="17"/>
                <w:color w:val="auto"/>
              </w:rPr>
            </w:pPr>
          </w:p>
        </w:tc>
        <w:tc>
          <w:tcPr>
            <w:tcW w:w="22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22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2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300" w:type="dxa"/>
            <w:vAlign w:val="bottom"/>
            <w:tcBorders>
              <w:top w:val="single" w:sz="8" w:color="0000EE"/>
              <w:bottom w:val="single" w:sz="8" w:color="5D89B4"/>
            </w:tcBorders>
          </w:tcPr>
          <w:p>
            <w:pPr>
              <w:spacing w:after="0"/>
              <w:rPr>
                <w:sz w:val="17"/>
                <w:szCs w:val="17"/>
                <w:color w:val="auto"/>
              </w:rPr>
            </w:pPr>
          </w:p>
        </w:tc>
        <w:tc>
          <w:tcPr>
            <w:tcW w:w="1660" w:type="dxa"/>
            <w:vAlign w:val="bottom"/>
            <w:tcBorders>
              <w:top w:val="single" w:sz="8" w:color="0000EE"/>
              <w:bottom w:val="single" w:sz="8" w:color="5D89B4"/>
            </w:tcBorders>
          </w:tcPr>
          <w:p>
            <w:pPr>
              <w:spacing w:after="0"/>
              <w:rPr>
                <w:sz w:val="17"/>
                <w:szCs w:val="17"/>
                <w:color w:val="auto"/>
              </w:rPr>
            </w:pPr>
          </w:p>
        </w:tc>
        <w:tc>
          <w:tcPr>
            <w:tcW w:w="4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00" w:type="dxa"/>
            <w:vAlign w:val="bottom"/>
            <w:tcBorders>
              <w:bottom w:val="single" w:sz="8" w:color="5D89B4"/>
            </w:tcBorders>
          </w:tcPr>
          <w:p>
            <w:pPr>
              <w:spacing w:after="0"/>
              <w:rPr>
                <w:sz w:val="17"/>
                <w:szCs w:val="17"/>
                <w:color w:val="auto"/>
              </w:rPr>
            </w:pPr>
          </w:p>
        </w:tc>
        <w:tc>
          <w:tcPr>
            <w:tcW w:w="1620" w:type="dxa"/>
            <w:vAlign w:val="bottom"/>
            <w:tcBorders>
              <w:bottom w:val="single" w:sz="8" w:color="5D89B4"/>
            </w:tcBorders>
          </w:tcPr>
          <w:p>
            <w:pPr>
              <w:spacing w:after="0"/>
              <w:rPr>
                <w:sz w:val="17"/>
                <w:szCs w:val="17"/>
                <w:color w:val="auto"/>
              </w:rPr>
            </w:pPr>
          </w:p>
        </w:tc>
        <w:tc>
          <w:tcPr>
            <w:tcW w:w="700" w:type="dxa"/>
            <w:vAlign w:val="bottom"/>
            <w:tcBorders>
              <w:bottom w:val="single" w:sz="8" w:color="5D89B4"/>
            </w:tcBorders>
          </w:tcPr>
          <w:p>
            <w:pPr>
              <w:spacing w:after="0"/>
              <w:rPr>
                <w:sz w:val="17"/>
                <w:szCs w:val="17"/>
                <w:color w:val="auto"/>
              </w:rPr>
            </w:pPr>
          </w:p>
        </w:tc>
        <w:tc>
          <w:tcPr>
            <w:tcW w:w="10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10260" w:type="dxa"/>
            <w:vAlign w:val="bottom"/>
            <w:gridSpan w:val="40"/>
          </w:tcPr>
          <w:p>
            <w:pPr>
              <w:spacing w:after="0" w:line="155" w:lineRule="exact"/>
              <w:rPr>
                <w:rFonts w:ascii="Arial" w:cs="Arial" w:eastAsia="Arial" w:hAnsi="Arial"/>
                <w:sz w:val="16"/>
                <w:szCs w:val="16"/>
                <w:b w:val="1"/>
                <w:bCs w:val="1"/>
                <w:color w:val="0000EE"/>
              </w:rPr>
            </w:pPr>
            <w:hyperlink w:anchor="page35">
              <w:r>
                <w:rPr>
                  <w:rFonts w:ascii="Arial" w:cs="Arial" w:eastAsia="Arial" w:hAnsi="Arial"/>
                  <w:sz w:val="16"/>
                  <w:szCs w:val="16"/>
                  <w:b w:val="1"/>
                  <w:bCs w:val="1"/>
                  <w:color w:val="0000EE"/>
                </w:rPr>
                <w:t>Objectives of Compensation Program</w:t>
              </w:r>
            </w:hyperlink>
          </w:p>
        </w:tc>
        <w:tc>
          <w:tcPr>
            <w:tcW w:w="1080" w:type="dxa"/>
            <w:vAlign w:val="bottom"/>
          </w:tcPr>
          <w:p>
            <w:pPr>
              <w:jc w:val="right"/>
              <w:ind w:right="139"/>
              <w:spacing w:after="0" w:line="155" w:lineRule="exact"/>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6"/>
        </w:trPr>
        <w:tc>
          <w:tcPr>
            <w:tcW w:w="80" w:type="dxa"/>
            <w:vAlign w:val="bottom"/>
            <w:tcBorders>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8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3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560" w:type="dxa"/>
            <w:vAlign w:val="bottom"/>
            <w:tcBorders>
              <w:top w:val="single" w:sz="8" w:color="0000EE"/>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300" w:type="dxa"/>
            <w:vAlign w:val="bottom"/>
            <w:tcBorders>
              <w:bottom w:val="single" w:sz="8" w:color="5D89B4"/>
            </w:tcBorders>
          </w:tcPr>
          <w:p>
            <w:pPr>
              <w:spacing w:after="0"/>
              <w:rPr>
                <w:sz w:val="17"/>
                <w:szCs w:val="17"/>
                <w:color w:val="auto"/>
              </w:rPr>
            </w:pPr>
          </w:p>
        </w:tc>
        <w:tc>
          <w:tcPr>
            <w:tcW w:w="1660" w:type="dxa"/>
            <w:vAlign w:val="bottom"/>
            <w:tcBorders>
              <w:bottom w:val="single" w:sz="8" w:color="5D89B4"/>
            </w:tcBorders>
          </w:tcPr>
          <w:p>
            <w:pPr>
              <w:spacing w:after="0"/>
              <w:rPr>
                <w:sz w:val="17"/>
                <w:szCs w:val="17"/>
                <w:color w:val="auto"/>
              </w:rPr>
            </w:pPr>
          </w:p>
        </w:tc>
        <w:tc>
          <w:tcPr>
            <w:tcW w:w="4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00" w:type="dxa"/>
            <w:vAlign w:val="bottom"/>
            <w:tcBorders>
              <w:bottom w:val="single" w:sz="8" w:color="5D89B4"/>
            </w:tcBorders>
          </w:tcPr>
          <w:p>
            <w:pPr>
              <w:spacing w:after="0"/>
              <w:rPr>
                <w:sz w:val="17"/>
                <w:szCs w:val="17"/>
                <w:color w:val="auto"/>
              </w:rPr>
            </w:pPr>
          </w:p>
        </w:tc>
        <w:tc>
          <w:tcPr>
            <w:tcW w:w="1620" w:type="dxa"/>
            <w:vAlign w:val="bottom"/>
            <w:tcBorders>
              <w:bottom w:val="single" w:sz="8" w:color="5D89B4"/>
            </w:tcBorders>
          </w:tcPr>
          <w:p>
            <w:pPr>
              <w:spacing w:after="0"/>
              <w:rPr>
                <w:sz w:val="17"/>
                <w:szCs w:val="17"/>
                <w:color w:val="auto"/>
              </w:rPr>
            </w:pPr>
          </w:p>
        </w:tc>
        <w:tc>
          <w:tcPr>
            <w:tcW w:w="700" w:type="dxa"/>
            <w:vAlign w:val="bottom"/>
            <w:tcBorders>
              <w:bottom w:val="single" w:sz="8" w:color="5D89B4"/>
            </w:tcBorders>
          </w:tcPr>
          <w:p>
            <w:pPr>
              <w:spacing w:after="0"/>
              <w:rPr>
                <w:sz w:val="17"/>
                <w:szCs w:val="17"/>
                <w:color w:val="auto"/>
              </w:rPr>
            </w:pPr>
          </w:p>
        </w:tc>
        <w:tc>
          <w:tcPr>
            <w:tcW w:w="10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10260" w:type="dxa"/>
            <w:vAlign w:val="bottom"/>
            <w:gridSpan w:val="40"/>
          </w:tcPr>
          <w:p>
            <w:pPr>
              <w:spacing w:after="0" w:line="155" w:lineRule="exact"/>
              <w:rPr>
                <w:rFonts w:ascii="Arial" w:cs="Arial" w:eastAsia="Arial" w:hAnsi="Arial"/>
                <w:sz w:val="16"/>
                <w:szCs w:val="16"/>
                <w:b w:val="1"/>
                <w:bCs w:val="1"/>
                <w:color w:val="0000EE"/>
              </w:rPr>
            </w:pPr>
            <w:hyperlink w:anchor="page36">
              <w:r>
                <w:rPr>
                  <w:rFonts w:ascii="Arial" w:cs="Arial" w:eastAsia="Arial" w:hAnsi="Arial"/>
                  <w:sz w:val="16"/>
                  <w:szCs w:val="16"/>
                  <w:b w:val="1"/>
                  <w:bCs w:val="1"/>
                  <w:color w:val="0000EE"/>
                </w:rPr>
                <w:t>Say on Pay and Say on Frequency Votes</w:t>
              </w:r>
            </w:hyperlink>
          </w:p>
        </w:tc>
        <w:tc>
          <w:tcPr>
            <w:tcW w:w="1080" w:type="dxa"/>
            <w:vAlign w:val="bottom"/>
          </w:tcPr>
          <w:p>
            <w:pPr>
              <w:jc w:val="right"/>
              <w:ind w:right="139"/>
              <w:spacing w:after="0" w:line="155"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6"/>
        </w:trPr>
        <w:tc>
          <w:tcPr>
            <w:tcW w:w="80" w:type="dxa"/>
            <w:vAlign w:val="bottom"/>
            <w:tcBorders>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8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3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560" w:type="dxa"/>
            <w:vAlign w:val="bottom"/>
            <w:tcBorders>
              <w:top w:val="single" w:sz="8" w:color="0000EE"/>
              <w:bottom w:val="single" w:sz="8" w:color="5D89B4"/>
            </w:tcBorders>
          </w:tcPr>
          <w:p>
            <w:pPr>
              <w:spacing w:after="0"/>
              <w:rPr>
                <w:sz w:val="17"/>
                <w:szCs w:val="17"/>
                <w:color w:val="auto"/>
              </w:rPr>
            </w:pPr>
          </w:p>
        </w:tc>
        <w:tc>
          <w:tcPr>
            <w:tcW w:w="220" w:type="dxa"/>
            <w:vAlign w:val="bottom"/>
            <w:tcBorders>
              <w:top w:val="single" w:sz="8" w:color="0000EE"/>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300" w:type="dxa"/>
            <w:vAlign w:val="bottom"/>
            <w:tcBorders>
              <w:bottom w:val="single" w:sz="8" w:color="5D89B4"/>
            </w:tcBorders>
          </w:tcPr>
          <w:p>
            <w:pPr>
              <w:spacing w:after="0"/>
              <w:rPr>
                <w:sz w:val="17"/>
                <w:szCs w:val="17"/>
                <w:color w:val="auto"/>
              </w:rPr>
            </w:pPr>
          </w:p>
        </w:tc>
        <w:tc>
          <w:tcPr>
            <w:tcW w:w="1660" w:type="dxa"/>
            <w:vAlign w:val="bottom"/>
            <w:tcBorders>
              <w:bottom w:val="single" w:sz="8" w:color="5D89B4"/>
            </w:tcBorders>
          </w:tcPr>
          <w:p>
            <w:pPr>
              <w:spacing w:after="0"/>
              <w:rPr>
                <w:sz w:val="17"/>
                <w:szCs w:val="17"/>
                <w:color w:val="auto"/>
              </w:rPr>
            </w:pPr>
          </w:p>
        </w:tc>
        <w:tc>
          <w:tcPr>
            <w:tcW w:w="4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00" w:type="dxa"/>
            <w:vAlign w:val="bottom"/>
            <w:tcBorders>
              <w:bottom w:val="single" w:sz="8" w:color="5D89B4"/>
            </w:tcBorders>
          </w:tcPr>
          <w:p>
            <w:pPr>
              <w:spacing w:after="0"/>
              <w:rPr>
                <w:sz w:val="17"/>
                <w:szCs w:val="17"/>
                <w:color w:val="auto"/>
              </w:rPr>
            </w:pPr>
          </w:p>
        </w:tc>
        <w:tc>
          <w:tcPr>
            <w:tcW w:w="1620" w:type="dxa"/>
            <w:vAlign w:val="bottom"/>
            <w:tcBorders>
              <w:bottom w:val="single" w:sz="8" w:color="5D89B4"/>
            </w:tcBorders>
          </w:tcPr>
          <w:p>
            <w:pPr>
              <w:spacing w:after="0"/>
              <w:rPr>
                <w:sz w:val="17"/>
                <w:szCs w:val="17"/>
                <w:color w:val="auto"/>
              </w:rPr>
            </w:pPr>
          </w:p>
        </w:tc>
        <w:tc>
          <w:tcPr>
            <w:tcW w:w="700" w:type="dxa"/>
            <w:vAlign w:val="bottom"/>
            <w:tcBorders>
              <w:bottom w:val="single" w:sz="8" w:color="5D89B4"/>
            </w:tcBorders>
          </w:tcPr>
          <w:p>
            <w:pPr>
              <w:spacing w:after="0"/>
              <w:rPr>
                <w:sz w:val="17"/>
                <w:szCs w:val="17"/>
                <w:color w:val="auto"/>
              </w:rPr>
            </w:pPr>
          </w:p>
        </w:tc>
        <w:tc>
          <w:tcPr>
            <w:tcW w:w="10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10260" w:type="dxa"/>
            <w:vAlign w:val="bottom"/>
            <w:gridSpan w:val="40"/>
          </w:tcPr>
          <w:p>
            <w:pPr>
              <w:spacing w:after="0" w:line="155" w:lineRule="exact"/>
              <w:rPr>
                <w:rFonts w:ascii="Arial" w:cs="Arial" w:eastAsia="Arial" w:hAnsi="Arial"/>
                <w:sz w:val="16"/>
                <w:szCs w:val="16"/>
                <w:b w:val="1"/>
                <w:bCs w:val="1"/>
                <w:color w:val="0000EE"/>
              </w:rPr>
            </w:pPr>
            <w:hyperlink w:anchor="page36">
              <w:r>
                <w:rPr>
                  <w:rFonts w:ascii="Arial" w:cs="Arial" w:eastAsia="Arial" w:hAnsi="Arial"/>
                  <w:sz w:val="16"/>
                  <w:szCs w:val="16"/>
                  <w:b w:val="1"/>
                  <w:bCs w:val="1"/>
                  <w:color w:val="0000EE"/>
                </w:rPr>
                <w:t>Shareholder Engagement</w:t>
              </w:r>
            </w:hyperlink>
          </w:p>
        </w:tc>
        <w:tc>
          <w:tcPr>
            <w:tcW w:w="1080" w:type="dxa"/>
            <w:vAlign w:val="bottom"/>
          </w:tcPr>
          <w:p>
            <w:pPr>
              <w:jc w:val="right"/>
              <w:ind w:right="139"/>
              <w:spacing w:after="0" w:line="155"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6"/>
        </w:trPr>
        <w:tc>
          <w:tcPr>
            <w:tcW w:w="80" w:type="dxa"/>
            <w:vAlign w:val="bottom"/>
            <w:tcBorders>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8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3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6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300" w:type="dxa"/>
            <w:vAlign w:val="bottom"/>
            <w:tcBorders>
              <w:bottom w:val="single" w:sz="8" w:color="5D89B4"/>
            </w:tcBorders>
          </w:tcPr>
          <w:p>
            <w:pPr>
              <w:spacing w:after="0"/>
              <w:rPr>
                <w:sz w:val="17"/>
                <w:szCs w:val="17"/>
                <w:color w:val="auto"/>
              </w:rPr>
            </w:pPr>
          </w:p>
        </w:tc>
        <w:tc>
          <w:tcPr>
            <w:tcW w:w="1660" w:type="dxa"/>
            <w:vAlign w:val="bottom"/>
            <w:tcBorders>
              <w:bottom w:val="single" w:sz="8" w:color="5D89B4"/>
            </w:tcBorders>
          </w:tcPr>
          <w:p>
            <w:pPr>
              <w:spacing w:after="0"/>
              <w:rPr>
                <w:sz w:val="17"/>
                <w:szCs w:val="17"/>
                <w:color w:val="auto"/>
              </w:rPr>
            </w:pPr>
          </w:p>
        </w:tc>
        <w:tc>
          <w:tcPr>
            <w:tcW w:w="4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00" w:type="dxa"/>
            <w:vAlign w:val="bottom"/>
            <w:tcBorders>
              <w:bottom w:val="single" w:sz="8" w:color="5D89B4"/>
            </w:tcBorders>
          </w:tcPr>
          <w:p>
            <w:pPr>
              <w:spacing w:after="0"/>
              <w:rPr>
                <w:sz w:val="17"/>
                <w:szCs w:val="17"/>
                <w:color w:val="auto"/>
              </w:rPr>
            </w:pPr>
          </w:p>
        </w:tc>
        <w:tc>
          <w:tcPr>
            <w:tcW w:w="1620" w:type="dxa"/>
            <w:vAlign w:val="bottom"/>
            <w:tcBorders>
              <w:bottom w:val="single" w:sz="8" w:color="5D89B4"/>
            </w:tcBorders>
          </w:tcPr>
          <w:p>
            <w:pPr>
              <w:spacing w:after="0"/>
              <w:rPr>
                <w:sz w:val="17"/>
                <w:szCs w:val="17"/>
                <w:color w:val="auto"/>
              </w:rPr>
            </w:pPr>
          </w:p>
        </w:tc>
        <w:tc>
          <w:tcPr>
            <w:tcW w:w="700" w:type="dxa"/>
            <w:vAlign w:val="bottom"/>
            <w:tcBorders>
              <w:bottom w:val="single" w:sz="8" w:color="5D89B4"/>
            </w:tcBorders>
          </w:tcPr>
          <w:p>
            <w:pPr>
              <w:spacing w:after="0"/>
              <w:rPr>
                <w:sz w:val="17"/>
                <w:szCs w:val="17"/>
                <w:color w:val="auto"/>
              </w:rPr>
            </w:pPr>
          </w:p>
        </w:tc>
        <w:tc>
          <w:tcPr>
            <w:tcW w:w="10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10260" w:type="dxa"/>
            <w:vAlign w:val="bottom"/>
            <w:gridSpan w:val="40"/>
          </w:tcPr>
          <w:p>
            <w:pPr>
              <w:spacing w:after="0" w:line="155" w:lineRule="exact"/>
              <w:rPr>
                <w:rFonts w:ascii="Arial" w:cs="Arial" w:eastAsia="Arial" w:hAnsi="Arial"/>
                <w:sz w:val="16"/>
                <w:szCs w:val="16"/>
                <w:b w:val="1"/>
                <w:bCs w:val="1"/>
                <w:color w:val="0000EE"/>
              </w:rPr>
            </w:pPr>
            <w:hyperlink w:anchor="page37">
              <w:r>
                <w:rPr>
                  <w:rFonts w:ascii="Arial" w:cs="Arial" w:eastAsia="Arial" w:hAnsi="Arial"/>
                  <w:sz w:val="16"/>
                  <w:szCs w:val="16"/>
                  <w:b w:val="1"/>
                  <w:bCs w:val="1"/>
                  <w:color w:val="0000EE"/>
                </w:rPr>
                <w:t>Compensation Elements</w:t>
              </w:r>
            </w:hyperlink>
          </w:p>
        </w:tc>
        <w:tc>
          <w:tcPr>
            <w:tcW w:w="1080" w:type="dxa"/>
            <w:vAlign w:val="bottom"/>
          </w:tcPr>
          <w:p>
            <w:pPr>
              <w:jc w:val="right"/>
              <w:ind w:right="139"/>
              <w:spacing w:after="0" w:line="155"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6"/>
        </w:trPr>
        <w:tc>
          <w:tcPr>
            <w:tcW w:w="80" w:type="dxa"/>
            <w:vAlign w:val="bottom"/>
            <w:tcBorders>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8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3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6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300" w:type="dxa"/>
            <w:vAlign w:val="bottom"/>
            <w:tcBorders>
              <w:bottom w:val="single" w:sz="8" w:color="5D89B4"/>
            </w:tcBorders>
          </w:tcPr>
          <w:p>
            <w:pPr>
              <w:spacing w:after="0"/>
              <w:rPr>
                <w:sz w:val="17"/>
                <w:szCs w:val="17"/>
                <w:color w:val="auto"/>
              </w:rPr>
            </w:pPr>
          </w:p>
        </w:tc>
        <w:tc>
          <w:tcPr>
            <w:tcW w:w="1660" w:type="dxa"/>
            <w:vAlign w:val="bottom"/>
            <w:tcBorders>
              <w:bottom w:val="single" w:sz="8" w:color="5D89B4"/>
            </w:tcBorders>
          </w:tcPr>
          <w:p>
            <w:pPr>
              <w:spacing w:after="0"/>
              <w:rPr>
                <w:sz w:val="17"/>
                <w:szCs w:val="17"/>
                <w:color w:val="auto"/>
              </w:rPr>
            </w:pPr>
          </w:p>
        </w:tc>
        <w:tc>
          <w:tcPr>
            <w:tcW w:w="4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00" w:type="dxa"/>
            <w:vAlign w:val="bottom"/>
            <w:tcBorders>
              <w:bottom w:val="single" w:sz="8" w:color="5D89B4"/>
            </w:tcBorders>
          </w:tcPr>
          <w:p>
            <w:pPr>
              <w:spacing w:after="0"/>
              <w:rPr>
                <w:sz w:val="17"/>
                <w:szCs w:val="17"/>
                <w:color w:val="auto"/>
              </w:rPr>
            </w:pPr>
          </w:p>
        </w:tc>
        <w:tc>
          <w:tcPr>
            <w:tcW w:w="1620" w:type="dxa"/>
            <w:vAlign w:val="bottom"/>
            <w:tcBorders>
              <w:bottom w:val="single" w:sz="8" w:color="5D89B4"/>
            </w:tcBorders>
          </w:tcPr>
          <w:p>
            <w:pPr>
              <w:spacing w:after="0"/>
              <w:rPr>
                <w:sz w:val="17"/>
                <w:szCs w:val="17"/>
                <w:color w:val="auto"/>
              </w:rPr>
            </w:pPr>
          </w:p>
        </w:tc>
        <w:tc>
          <w:tcPr>
            <w:tcW w:w="700" w:type="dxa"/>
            <w:vAlign w:val="bottom"/>
            <w:tcBorders>
              <w:bottom w:val="single" w:sz="8" w:color="5D89B4"/>
            </w:tcBorders>
          </w:tcPr>
          <w:p>
            <w:pPr>
              <w:spacing w:after="0"/>
              <w:rPr>
                <w:sz w:val="17"/>
                <w:szCs w:val="17"/>
                <w:color w:val="auto"/>
              </w:rPr>
            </w:pPr>
          </w:p>
        </w:tc>
        <w:tc>
          <w:tcPr>
            <w:tcW w:w="10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10260" w:type="dxa"/>
            <w:vAlign w:val="bottom"/>
            <w:gridSpan w:val="40"/>
          </w:tcPr>
          <w:p>
            <w:pPr>
              <w:spacing w:after="0" w:line="155" w:lineRule="exact"/>
              <w:rPr>
                <w:rFonts w:ascii="Arial" w:cs="Arial" w:eastAsia="Arial" w:hAnsi="Arial"/>
                <w:sz w:val="16"/>
                <w:szCs w:val="16"/>
                <w:b w:val="1"/>
                <w:bCs w:val="1"/>
                <w:color w:val="0000EE"/>
              </w:rPr>
            </w:pPr>
            <w:hyperlink w:anchor="page39">
              <w:r>
                <w:rPr>
                  <w:rFonts w:ascii="Arial" w:cs="Arial" w:eastAsia="Arial" w:hAnsi="Arial"/>
                  <w:sz w:val="16"/>
                  <w:szCs w:val="16"/>
                  <w:b w:val="1"/>
                  <w:bCs w:val="1"/>
                  <w:color w:val="0000EE"/>
                </w:rPr>
                <w:t>Pay for Results</w:t>
              </w:r>
            </w:hyperlink>
          </w:p>
        </w:tc>
        <w:tc>
          <w:tcPr>
            <w:tcW w:w="1080" w:type="dxa"/>
            <w:vAlign w:val="bottom"/>
          </w:tcPr>
          <w:p>
            <w:pPr>
              <w:jc w:val="right"/>
              <w:ind w:right="139"/>
              <w:spacing w:after="0" w:line="155" w:lineRule="exact"/>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96"/>
        </w:trPr>
        <w:tc>
          <w:tcPr>
            <w:tcW w:w="80" w:type="dxa"/>
            <w:vAlign w:val="bottom"/>
            <w:tcBorders>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8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36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16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6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300" w:type="dxa"/>
            <w:vAlign w:val="bottom"/>
            <w:tcBorders>
              <w:bottom w:val="single" w:sz="8" w:color="5D89B4"/>
            </w:tcBorders>
          </w:tcPr>
          <w:p>
            <w:pPr>
              <w:spacing w:after="0"/>
              <w:rPr>
                <w:sz w:val="17"/>
                <w:szCs w:val="17"/>
                <w:color w:val="auto"/>
              </w:rPr>
            </w:pPr>
          </w:p>
        </w:tc>
        <w:tc>
          <w:tcPr>
            <w:tcW w:w="1660" w:type="dxa"/>
            <w:vAlign w:val="bottom"/>
            <w:tcBorders>
              <w:bottom w:val="single" w:sz="8" w:color="5D89B4"/>
            </w:tcBorders>
          </w:tcPr>
          <w:p>
            <w:pPr>
              <w:spacing w:after="0"/>
              <w:rPr>
                <w:sz w:val="17"/>
                <w:szCs w:val="17"/>
                <w:color w:val="auto"/>
              </w:rPr>
            </w:pPr>
          </w:p>
        </w:tc>
        <w:tc>
          <w:tcPr>
            <w:tcW w:w="4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00" w:type="dxa"/>
            <w:vAlign w:val="bottom"/>
            <w:tcBorders>
              <w:bottom w:val="single" w:sz="8" w:color="5D89B4"/>
            </w:tcBorders>
          </w:tcPr>
          <w:p>
            <w:pPr>
              <w:spacing w:after="0"/>
              <w:rPr>
                <w:sz w:val="17"/>
                <w:szCs w:val="17"/>
                <w:color w:val="auto"/>
              </w:rPr>
            </w:pPr>
          </w:p>
        </w:tc>
        <w:tc>
          <w:tcPr>
            <w:tcW w:w="1620" w:type="dxa"/>
            <w:vAlign w:val="bottom"/>
            <w:tcBorders>
              <w:bottom w:val="single" w:sz="8" w:color="5D89B4"/>
            </w:tcBorders>
          </w:tcPr>
          <w:p>
            <w:pPr>
              <w:spacing w:after="0"/>
              <w:rPr>
                <w:sz w:val="17"/>
                <w:szCs w:val="17"/>
                <w:color w:val="auto"/>
              </w:rPr>
            </w:pPr>
          </w:p>
        </w:tc>
        <w:tc>
          <w:tcPr>
            <w:tcW w:w="700" w:type="dxa"/>
            <w:vAlign w:val="bottom"/>
            <w:tcBorders>
              <w:bottom w:val="single" w:sz="8" w:color="5D89B4"/>
            </w:tcBorders>
          </w:tcPr>
          <w:p>
            <w:pPr>
              <w:spacing w:after="0"/>
              <w:rPr>
                <w:sz w:val="17"/>
                <w:szCs w:val="17"/>
                <w:color w:val="auto"/>
              </w:rPr>
            </w:pPr>
          </w:p>
        </w:tc>
        <w:tc>
          <w:tcPr>
            <w:tcW w:w="10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10260" w:type="dxa"/>
            <w:vAlign w:val="bottom"/>
            <w:gridSpan w:val="40"/>
          </w:tcPr>
          <w:p>
            <w:pPr>
              <w:spacing w:after="0" w:line="155" w:lineRule="exact"/>
              <w:rPr>
                <w:rFonts w:ascii="Arial" w:cs="Arial" w:eastAsia="Arial" w:hAnsi="Arial"/>
                <w:sz w:val="16"/>
                <w:szCs w:val="16"/>
                <w:b w:val="1"/>
                <w:bCs w:val="1"/>
                <w:color w:val="0000EE"/>
              </w:rPr>
            </w:pPr>
            <w:hyperlink w:anchor="page40">
              <w:r>
                <w:rPr>
                  <w:rFonts w:ascii="Arial" w:cs="Arial" w:eastAsia="Arial" w:hAnsi="Arial"/>
                  <w:sz w:val="16"/>
                  <w:szCs w:val="16"/>
                  <w:b w:val="1"/>
                  <w:bCs w:val="1"/>
                  <w:color w:val="0000EE"/>
                </w:rPr>
                <w:t>Target Total Compensation</w:t>
              </w:r>
            </w:hyperlink>
          </w:p>
        </w:tc>
        <w:tc>
          <w:tcPr>
            <w:tcW w:w="1080" w:type="dxa"/>
            <w:vAlign w:val="bottom"/>
          </w:tcPr>
          <w:p>
            <w:pPr>
              <w:jc w:val="right"/>
              <w:ind w:right="139"/>
              <w:spacing w:after="0" w:line="155" w:lineRule="exact"/>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980" w:type="dxa"/>
            <w:vAlign w:val="bottom"/>
            <w:tcBorders>
              <w:top w:val="single" w:sz="8" w:color="0000EE"/>
            </w:tcBorders>
            <w:gridSpan w:val="11"/>
          </w:tcPr>
          <w:p>
            <w:pPr>
              <w:spacing w:after="0" w:line="169" w:lineRule="exact"/>
              <w:rPr>
                <w:rFonts w:ascii="Arial" w:cs="Arial" w:eastAsia="Arial" w:hAnsi="Arial"/>
                <w:sz w:val="16"/>
                <w:szCs w:val="16"/>
                <w:b w:val="1"/>
                <w:bCs w:val="1"/>
                <w:i w:val="1"/>
                <w:iCs w:val="1"/>
                <w:color w:val="0000EE"/>
                <w:w w:val="95"/>
              </w:rPr>
            </w:pPr>
            <w:hyperlink w:anchor="page41">
              <w:r>
                <w:rPr>
                  <w:rFonts w:ascii="Arial" w:cs="Arial" w:eastAsia="Arial" w:hAnsi="Arial"/>
                  <w:sz w:val="16"/>
                  <w:szCs w:val="16"/>
                  <w:b w:val="1"/>
                  <w:bCs w:val="1"/>
                  <w:i w:val="1"/>
                  <w:iCs w:val="1"/>
                  <w:color w:val="0000EE"/>
                  <w:w w:val="95"/>
                </w:rPr>
                <w:t>Balancing Short- and Long</w:t>
              </w:r>
            </w:hyperlink>
          </w:p>
        </w:tc>
        <w:tc>
          <w:tcPr>
            <w:tcW w:w="8180" w:type="dxa"/>
            <w:vAlign w:val="bottom"/>
            <w:gridSpan w:val="28"/>
          </w:tcPr>
          <w:p>
            <w:pPr>
              <w:ind w:left="80"/>
              <w:spacing w:after="0" w:line="169" w:lineRule="exact"/>
              <w:rPr>
                <w:rFonts w:ascii="Arial" w:cs="Arial" w:eastAsia="Arial" w:hAnsi="Arial"/>
                <w:sz w:val="16"/>
                <w:szCs w:val="16"/>
                <w:b w:val="1"/>
                <w:bCs w:val="1"/>
                <w:i w:val="1"/>
                <w:iCs w:val="1"/>
                <w:color w:val="0000EE"/>
              </w:rPr>
            </w:pPr>
            <w:hyperlink w:anchor="page41">
              <w:r>
                <w:rPr>
                  <w:rFonts w:ascii="Arial" w:cs="Arial" w:eastAsia="Arial" w:hAnsi="Arial"/>
                  <w:sz w:val="16"/>
                  <w:szCs w:val="16"/>
                  <w:b w:val="1"/>
                  <w:bCs w:val="1"/>
                  <w:i w:val="1"/>
                  <w:iCs w:val="1"/>
                  <w:color w:val="0000EE"/>
                </w:rPr>
                <w:t>-Term Compensation</w:t>
              </w:r>
            </w:hyperlink>
          </w:p>
        </w:tc>
        <w:tc>
          <w:tcPr>
            <w:tcW w:w="10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96"/>
        </w:trPr>
        <w:tc>
          <w:tcPr>
            <w:tcW w:w="8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8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3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560" w:type="dxa"/>
            <w:vAlign w:val="bottom"/>
            <w:tcBorders>
              <w:top w:val="single" w:sz="8" w:color="0000EE"/>
              <w:bottom w:val="single" w:sz="8" w:color="5D89B4"/>
            </w:tcBorders>
          </w:tcPr>
          <w:p>
            <w:pPr>
              <w:spacing w:after="0"/>
              <w:rPr>
                <w:sz w:val="17"/>
                <w:szCs w:val="17"/>
                <w:color w:val="auto"/>
              </w:rPr>
            </w:pPr>
          </w:p>
        </w:tc>
        <w:tc>
          <w:tcPr>
            <w:tcW w:w="22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300" w:type="dxa"/>
            <w:vAlign w:val="bottom"/>
            <w:tcBorders>
              <w:bottom w:val="single" w:sz="8" w:color="5D89B4"/>
            </w:tcBorders>
          </w:tcPr>
          <w:p>
            <w:pPr>
              <w:spacing w:after="0"/>
              <w:rPr>
                <w:sz w:val="17"/>
                <w:szCs w:val="17"/>
                <w:color w:val="auto"/>
              </w:rPr>
            </w:pPr>
          </w:p>
        </w:tc>
        <w:tc>
          <w:tcPr>
            <w:tcW w:w="1660" w:type="dxa"/>
            <w:vAlign w:val="bottom"/>
            <w:tcBorders>
              <w:bottom w:val="single" w:sz="8" w:color="5D89B4"/>
            </w:tcBorders>
          </w:tcPr>
          <w:p>
            <w:pPr>
              <w:spacing w:after="0"/>
              <w:rPr>
                <w:sz w:val="17"/>
                <w:szCs w:val="17"/>
                <w:color w:val="auto"/>
              </w:rPr>
            </w:pPr>
          </w:p>
        </w:tc>
        <w:tc>
          <w:tcPr>
            <w:tcW w:w="4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00" w:type="dxa"/>
            <w:vAlign w:val="bottom"/>
            <w:tcBorders>
              <w:bottom w:val="single" w:sz="8" w:color="5D89B4"/>
            </w:tcBorders>
          </w:tcPr>
          <w:p>
            <w:pPr>
              <w:spacing w:after="0"/>
              <w:rPr>
                <w:sz w:val="17"/>
                <w:szCs w:val="17"/>
                <w:color w:val="auto"/>
              </w:rPr>
            </w:pPr>
          </w:p>
        </w:tc>
        <w:tc>
          <w:tcPr>
            <w:tcW w:w="1620" w:type="dxa"/>
            <w:vAlign w:val="bottom"/>
            <w:tcBorders>
              <w:bottom w:val="single" w:sz="8" w:color="5D89B4"/>
            </w:tcBorders>
          </w:tcPr>
          <w:p>
            <w:pPr>
              <w:spacing w:after="0"/>
              <w:rPr>
                <w:sz w:val="17"/>
                <w:szCs w:val="17"/>
                <w:color w:val="auto"/>
              </w:rPr>
            </w:pPr>
          </w:p>
        </w:tc>
        <w:tc>
          <w:tcPr>
            <w:tcW w:w="700" w:type="dxa"/>
            <w:vAlign w:val="bottom"/>
            <w:tcBorders>
              <w:bottom w:val="single" w:sz="8" w:color="5D89B4"/>
            </w:tcBorders>
          </w:tcPr>
          <w:p>
            <w:pPr>
              <w:spacing w:after="0"/>
              <w:rPr>
                <w:sz w:val="17"/>
                <w:szCs w:val="17"/>
                <w:color w:val="auto"/>
              </w:rPr>
            </w:pPr>
          </w:p>
        </w:tc>
        <w:tc>
          <w:tcPr>
            <w:tcW w:w="10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10260" w:type="dxa"/>
            <w:vAlign w:val="bottom"/>
            <w:gridSpan w:val="40"/>
          </w:tcPr>
          <w:p>
            <w:pPr>
              <w:spacing w:after="0" w:line="155" w:lineRule="exact"/>
              <w:rPr>
                <w:rFonts w:ascii="Arial" w:cs="Arial" w:eastAsia="Arial" w:hAnsi="Arial"/>
                <w:sz w:val="16"/>
                <w:szCs w:val="16"/>
                <w:b w:val="1"/>
                <w:bCs w:val="1"/>
                <w:color w:val="0000EE"/>
              </w:rPr>
            </w:pPr>
            <w:hyperlink w:anchor="page42">
              <w:r>
                <w:rPr>
                  <w:rFonts w:ascii="Arial" w:cs="Arial" w:eastAsia="Arial" w:hAnsi="Arial"/>
                  <w:sz w:val="16"/>
                  <w:szCs w:val="16"/>
                  <w:b w:val="1"/>
                  <w:bCs w:val="1"/>
                  <w:color w:val="0000EE"/>
                </w:rPr>
                <w:t>Market Positioning: We Target Compensation Outcomes to the Median of the Competitive Market</w:t>
              </w:r>
            </w:hyperlink>
          </w:p>
        </w:tc>
        <w:tc>
          <w:tcPr>
            <w:tcW w:w="1080" w:type="dxa"/>
            <w:vAlign w:val="bottom"/>
          </w:tcPr>
          <w:p>
            <w:pPr>
              <w:jc w:val="right"/>
              <w:ind w:right="139"/>
              <w:spacing w:after="0" w:line="155"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7340" w:type="dxa"/>
            <w:vAlign w:val="bottom"/>
            <w:tcBorders>
              <w:top w:val="single" w:sz="8" w:color="0000EE"/>
            </w:tcBorders>
            <w:gridSpan w:val="36"/>
          </w:tcPr>
          <w:p>
            <w:pPr>
              <w:spacing w:after="0" w:line="169" w:lineRule="exact"/>
              <w:rPr>
                <w:rFonts w:ascii="Arial" w:cs="Arial" w:eastAsia="Arial" w:hAnsi="Arial"/>
                <w:sz w:val="16"/>
                <w:szCs w:val="16"/>
                <w:b w:val="1"/>
                <w:bCs w:val="1"/>
                <w:i w:val="1"/>
                <w:iCs w:val="1"/>
                <w:color w:val="0000EE"/>
              </w:rPr>
            </w:pPr>
            <w:hyperlink w:anchor="page42">
              <w:r>
                <w:rPr>
                  <w:rFonts w:ascii="Arial" w:cs="Arial" w:eastAsia="Arial" w:hAnsi="Arial"/>
                  <w:sz w:val="16"/>
                  <w:szCs w:val="16"/>
                  <w:b w:val="1"/>
                  <w:bCs w:val="1"/>
                  <w:i w:val="1"/>
                  <w:iCs w:val="1"/>
                  <w:color w:val="0000EE"/>
                </w:rPr>
                <w:t>How We Determine the Competitive Market: Challenges in Identifying a Relevant Peer Group</w:t>
              </w:r>
            </w:hyperlink>
          </w:p>
        </w:tc>
        <w:tc>
          <w:tcPr>
            <w:tcW w:w="212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80" w:type="dxa"/>
            <w:vAlign w:val="bottom"/>
            <w:tcBorders>
              <w:top w:val="single" w:sz="8" w:color="0000EE"/>
            </w:tcBorders>
            <w:gridSpan w:val="35"/>
          </w:tcPr>
          <w:p>
            <w:pPr>
              <w:spacing w:after="0" w:line="169" w:lineRule="exact"/>
              <w:rPr>
                <w:rFonts w:ascii="Arial" w:cs="Arial" w:eastAsia="Arial" w:hAnsi="Arial"/>
                <w:sz w:val="16"/>
                <w:szCs w:val="16"/>
                <w:b w:val="1"/>
                <w:bCs w:val="1"/>
                <w:i w:val="1"/>
                <w:iCs w:val="1"/>
                <w:color w:val="0000EE"/>
              </w:rPr>
            </w:pPr>
            <w:hyperlink w:anchor="page44">
              <w:r>
                <w:rPr>
                  <w:rFonts w:ascii="Arial" w:cs="Arial" w:eastAsia="Arial" w:hAnsi="Arial"/>
                  <w:sz w:val="16"/>
                  <w:szCs w:val="16"/>
                  <w:b w:val="1"/>
                  <w:bCs w:val="1"/>
                  <w:i w:val="1"/>
                  <w:iCs w:val="1"/>
                  <w:color w:val="0000EE"/>
                </w:rPr>
                <w:t>Assessing Individual Factors</w:t>
              </w:r>
            </w:hyperlink>
          </w:p>
        </w:tc>
        <w:tc>
          <w:tcPr>
            <w:tcW w:w="238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96"/>
        </w:trPr>
        <w:tc>
          <w:tcPr>
            <w:tcW w:w="8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8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3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56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80" w:type="dxa"/>
            <w:vAlign w:val="bottom"/>
            <w:tcBorders>
              <w:bottom w:val="single" w:sz="8" w:color="5D89B4"/>
            </w:tcBorders>
          </w:tcPr>
          <w:p>
            <w:pPr>
              <w:spacing w:after="0"/>
              <w:rPr>
                <w:sz w:val="17"/>
                <w:szCs w:val="17"/>
                <w:color w:val="auto"/>
              </w:rPr>
            </w:pPr>
          </w:p>
        </w:tc>
        <w:tc>
          <w:tcPr>
            <w:tcW w:w="12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60" w:type="dxa"/>
            <w:vAlign w:val="bottom"/>
            <w:tcBorders>
              <w:bottom w:val="single" w:sz="8" w:color="5D89B4"/>
            </w:tcBorders>
          </w:tcPr>
          <w:p>
            <w:pPr>
              <w:spacing w:after="0"/>
              <w:rPr>
                <w:sz w:val="17"/>
                <w:szCs w:val="17"/>
                <w:color w:val="auto"/>
              </w:rPr>
            </w:pPr>
          </w:p>
        </w:tc>
        <w:tc>
          <w:tcPr>
            <w:tcW w:w="22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4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20" w:type="dxa"/>
            <w:vAlign w:val="bottom"/>
            <w:tcBorders>
              <w:bottom w:val="single" w:sz="8" w:color="5D89B4"/>
            </w:tcBorders>
          </w:tcPr>
          <w:p>
            <w:pPr>
              <w:spacing w:after="0"/>
              <w:rPr>
                <w:sz w:val="17"/>
                <w:szCs w:val="17"/>
                <w:color w:val="auto"/>
              </w:rPr>
            </w:pPr>
          </w:p>
        </w:tc>
        <w:tc>
          <w:tcPr>
            <w:tcW w:w="40" w:type="dxa"/>
            <w:vAlign w:val="bottom"/>
            <w:tcBorders>
              <w:bottom w:val="single" w:sz="8" w:color="5D89B4"/>
            </w:tcBorders>
          </w:tcPr>
          <w:p>
            <w:pPr>
              <w:spacing w:after="0"/>
              <w:rPr>
                <w:sz w:val="17"/>
                <w:szCs w:val="17"/>
                <w:color w:val="auto"/>
              </w:rPr>
            </w:pPr>
          </w:p>
        </w:tc>
        <w:tc>
          <w:tcPr>
            <w:tcW w:w="300" w:type="dxa"/>
            <w:vAlign w:val="bottom"/>
            <w:tcBorders>
              <w:bottom w:val="single" w:sz="8" w:color="5D89B4"/>
            </w:tcBorders>
          </w:tcPr>
          <w:p>
            <w:pPr>
              <w:spacing w:after="0"/>
              <w:rPr>
                <w:sz w:val="17"/>
                <w:szCs w:val="17"/>
                <w:color w:val="auto"/>
              </w:rPr>
            </w:pPr>
          </w:p>
        </w:tc>
        <w:tc>
          <w:tcPr>
            <w:tcW w:w="1660" w:type="dxa"/>
            <w:vAlign w:val="bottom"/>
            <w:tcBorders>
              <w:bottom w:val="single" w:sz="8" w:color="5D89B4"/>
            </w:tcBorders>
          </w:tcPr>
          <w:p>
            <w:pPr>
              <w:spacing w:after="0"/>
              <w:rPr>
                <w:sz w:val="17"/>
                <w:szCs w:val="17"/>
                <w:color w:val="auto"/>
              </w:rPr>
            </w:pPr>
          </w:p>
        </w:tc>
        <w:tc>
          <w:tcPr>
            <w:tcW w:w="400" w:type="dxa"/>
            <w:vAlign w:val="bottom"/>
            <w:tcBorders>
              <w:bottom w:val="single" w:sz="8" w:color="5D89B4"/>
            </w:tcBorders>
          </w:tcPr>
          <w:p>
            <w:pPr>
              <w:spacing w:after="0"/>
              <w:rPr>
                <w:sz w:val="17"/>
                <w:szCs w:val="17"/>
                <w:color w:val="auto"/>
              </w:rPr>
            </w:pPr>
          </w:p>
        </w:tc>
        <w:tc>
          <w:tcPr>
            <w:tcW w:w="260" w:type="dxa"/>
            <w:vAlign w:val="bottom"/>
            <w:tcBorders>
              <w:bottom w:val="single" w:sz="8" w:color="5D89B4"/>
            </w:tcBorders>
          </w:tcPr>
          <w:p>
            <w:pPr>
              <w:spacing w:after="0"/>
              <w:rPr>
                <w:sz w:val="17"/>
                <w:szCs w:val="17"/>
                <w:color w:val="auto"/>
              </w:rPr>
            </w:pPr>
          </w:p>
        </w:tc>
        <w:tc>
          <w:tcPr>
            <w:tcW w:w="500" w:type="dxa"/>
            <w:vAlign w:val="bottom"/>
            <w:tcBorders>
              <w:bottom w:val="single" w:sz="8" w:color="5D89B4"/>
            </w:tcBorders>
          </w:tcPr>
          <w:p>
            <w:pPr>
              <w:spacing w:after="0"/>
              <w:rPr>
                <w:sz w:val="17"/>
                <w:szCs w:val="17"/>
                <w:color w:val="auto"/>
              </w:rPr>
            </w:pPr>
          </w:p>
        </w:tc>
        <w:tc>
          <w:tcPr>
            <w:tcW w:w="1620" w:type="dxa"/>
            <w:vAlign w:val="bottom"/>
            <w:tcBorders>
              <w:bottom w:val="single" w:sz="8" w:color="5D89B4"/>
            </w:tcBorders>
          </w:tcPr>
          <w:p>
            <w:pPr>
              <w:spacing w:after="0"/>
              <w:rPr>
                <w:sz w:val="17"/>
                <w:szCs w:val="17"/>
                <w:color w:val="auto"/>
              </w:rPr>
            </w:pPr>
          </w:p>
        </w:tc>
        <w:tc>
          <w:tcPr>
            <w:tcW w:w="700" w:type="dxa"/>
            <w:vAlign w:val="bottom"/>
            <w:tcBorders>
              <w:bottom w:val="single" w:sz="8" w:color="5D89B4"/>
            </w:tcBorders>
          </w:tcPr>
          <w:p>
            <w:pPr>
              <w:spacing w:after="0"/>
              <w:rPr>
                <w:sz w:val="17"/>
                <w:szCs w:val="17"/>
                <w:color w:val="auto"/>
              </w:rPr>
            </w:pPr>
          </w:p>
        </w:tc>
        <w:tc>
          <w:tcPr>
            <w:tcW w:w="10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4160" w:type="dxa"/>
            <w:vAlign w:val="bottom"/>
            <w:tcBorders>
              <w:bottom w:val="single" w:sz="8" w:color="0000EE"/>
            </w:tcBorders>
            <w:gridSpan w:val="23"/>
          </w:tcPr>
          <w:p>
            <w:pPr>
              <w:spacing w:after="0" w:line="155" w:lineRule="exact"/>
              <w:rPr>
                <w:rFonts w:ascii="Arial" w:cs="Arial" w:eastAsia="Arial" w:hAnsi="Arial"/>
                <w:sz w:val="16"/>
                <w:szCs w:val="16"/>
                <w:b w:val="1"/>
                <w:bCs w:val="1"/>
                <w:color w:val="0000EE"/>
              </w:rPr>
            </w:pPr>
            <w:hyperlink w:anchor="page44">
              <w:r>
                <w:rPr>
                  <w:rFonts w:ascii="Arial" w:cs="Arial" w:eastAsia="Arial" w:hAnsi="Arial"/>
                  <w:sz w:val="16"/>
                  <w:szCs w:val="16"/>
                  <w:b w:val="1"/>
                  <w:bCs w:val="1"/>
                  <w:color w:val="0000EE"/>
                </w:rPr>
                <w:t>How the Committee Determines Compensation Levels</w:t>
              </w:r>
            </w:hyperlink>
          </w:p>
        </w:tc>
        <w:tc>
          <w:tcPr>
            <w:tcW w:w="6100" w:type="dxa"/>
            <w:vAlign w:val="bottom"/>
            <w:gridSpan w:val="17"/>
          </w:tcPr>
          <w:p>
            <w:pPr>
              <w:spacing w:after="0"/>
              <w:rPr>
                <w:sz w:val="13"/>
                <w:szCs w:val="13"/>
                <w:color w:val="auto"/>
              </w:rPr>
            </w:pPr>
          </w:p>
        </w:tc>
        <w:tc>
          <w:tcPr>
            <w:tcW w:w="1080" w:type="dxa"/>
            <w:vAlign w:val="bottom"/>
          </w:tcPr>
          <w:p>
            <w:pPr>
              <w:jc w:val="right"/>
              <w:ind w:right="139"/>
              <w:spacing w:after="0" w:line="155"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160" w:type="dxa"/>
            <w:vAlign w:val="bottom"/>
            <w:gridSpan w:val="39"/>
          </w:tcPr>
          <w:p>
            <w:pPr>
              <w:spacing w:after="0" w:line="169" w:lineRule="exact"/>
              <w:rPr>
                <w:rFonts w:ascii="Arial" w:cs="Arial" w:eastAsia="Arial" w:hAnsi="Arial"/>
                <w:sz w:val="16"/>
                <w:szCs w:val="16"/>
                <w:b w:val="1"/>
                <w:bCs w:val="1"/>
                <w:i w:val="1"/>
                <w:iCs w:val="1"/>
                <w:color w:val="0000EE"/>
              </w:rPr>
            </w:pPr>
            <w:hyperlink w:anchor="page44">
              <w:r>
                <w:rPr>
                  <w:rFonts w:ascii="Arial" w:cs="Arial" w:eastAsia="Arial" w:hAnsi="Arial"/>
                  <w:sz w:val="16"/>
                  <w:szCs w:val="16"/>
                  <w:b w:val="1"/>
                  <w:bCs w:val="1"/>
                  <w:i w:val="1"/>
                  <w:iCs w:val="1"/>
                  <w:color w:val="0000EE"/>
                </w:rPr>
                <w:t>Setting Annual Incentive Goals and Equity Awards for Mr. Prising</w:t>
              </w:r>
            </w:hyperlink>
          </w:p>
        </w:tc>
        <w:tc>
          <w:tcPr>
            <w:tcW w:w="10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20" w:type="dxa"/>
            <w:vAlign w:val="bottom"/>
            <w:tcBorders>
              <w:top w:val="single" w:sz="8" w:color="0000EE"/>
            </w:tcBorders>
            <w:gridSpan w:val="33"/>
          </w:tcPr>
          <w:p>
            <w:pPr>
              <w:spacing w:after="0" w:line="169" w:lineRule="exact"/>
              <w:rPr>
                <w:rFonts w:ascii="Arial" w:cs="Arial" w:eastAsia="Arial" w:hAnsi="Arial"/>
                <w:sz w:val="16"/>
                <w:szCs w:val="16"/>
                <w:b w:val="1"/>
                <w:bCs w:val="1"/>
                <w:i w:val="1"/>
                <w:iCs w:val="1"/>
                <w:color w:val="0000EE"/>
              </w:rPr>
            </w:pPr>
            <w:hyperlink w:anchor="page45">
              <w:r>
                <w:rPr>
                  <w:rFonts w:ascii="Arial" w:cs="Arial" w:eastAsia="Arial" w:hAnsi="Arial"/>
                  <w:sz w:val="16"/>
                  <w:szCs w:val="16"/>
                  <w:b w:val="1"/>
                  <w:bCs w:val="1"/>
                  <w:i w:val="1"/>
                  <w:iCs w:val="1"/>
                  <w:color w:val="0000EE"/>
                </w:rPr>
                <w:t>Setting Annual Incentive Goals and Equity Awards for Messrs.</w:t>
              </w:r>
            </w:hyperlink>
          </w:p>
        </w:tc>
        <w:tc>
          <w:tcPr>
            <w:tcW w:w="5140" w:type="dxa"/>
            <w:vAlign w:val="bottom"/>
            <w:gridSpan w:val="6"/>
          </w:tcPr>
          <w:p>
            <w:pPr>
              <w:spacing w:after="0" w:line="169" w:lineRule="exact"/>
              <w:rPr>
                <w:rFonts w:ascii="Arial" w:cs="Arial" w:eastAsia="Arial" w:hAnsi="Arial"/>
                <w:sz w:val="16"/>
                <w:szCs w:val="16"/>
                <w:b w:val="1"/>
                <w:bCs w:val="1"/>
                <w:i w:val="1"/>
                <w:iCs w:val="1"/>
                <w:color w:val="0000EE"/>
              </w:rPr>
            </w:pPr>
            <w:hyperlink w:anchor="page45">
              <w:r>
                <w:rPr>
                  <w:rFonts w:ascii="Arial" w:cs="Arial" w:eastAsia="Arial" w:hAnsi="Arial"/>
                  <w:sz w:val="16"/>
                  <w:szCs w:val="16"/>
                  <w:b w:val="1"/>
                  <w:bCs w:val="1"/>
                  <w:i w:val="1"/>
                  <w:iCs w:val="1"/>
                  <w:color w:val="0000EE"/>
                </w:rPr>
                <w:t>McGinnis, Green, Chandrashekar, Van Handel and Ms. Swan</w:t>
              </w:r>
            </w:hyperlink>
          </w:p>
        </w:tc>
        <w:tc>
          <w:tcPr>
            <w:tcW w:w="10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6"/>
        </w:trPr>
        <w:tc>
          <w:tcPr>
            <w:tcW w:w="8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68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36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560" w:type="dxa"/>
            <w:vAlign w:val="bottom"/>
            <w:tcBorders>
              <w:top w:val="single" w:sz="8" w:color="0000EE"/>
              <w:bottom w:val="single" w:sz="8" w:color="5D89B4"/>
            </w:tcBorders>
          </w:tcPr>
          <w:p>
            <w:pPr>
              <w:spacing w:after="0"/>
              <w:rPr>
                <w:sz w:val="17"/>
                <w:szCs w:val="17"/>
                <w:color w:val="auto"/>
              </w:rPr>
            </w:pPr>
          </w:p>
        </w:tc>
        <w:tc>
          <w:tcPr>
            <w:tcW w:w="22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80" w:type="dxa"/>
            <w:vAlign w:val="bottom"/>
            <w:tcBorders>
              <w:top w:val="single" w:sz="8" w:color="0000EE"/>
              <w:bottom w:val="single" w:sz="8" w:color="5D89B4"/>
            </w:tcBorders>
          </w:tcPr>
          <w:p>
            <w:pPr>
              <w:spacing w:after="0"/>
              <w:rPr>
                <w:sz w:val="17"/>
                <w:szCs w:val="17"/>
                <w:color w:val="auto"/>
              </w:rPr>
            </w:pPr>
          </w:p>
        </w:tc>
        <w:tc>
          <w:tcPr>
            <w:tcW w:w="12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22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60" w:type="dxa"/>
            <w:vAlign w:val="bottom"/>
            <w:tcBorders>
              <w:top w:val="single" w:sz="8" w:color="0000EE"/>
              <w:bottom w:val="single" w:sz="8" w:color="5D89B4"/>
            </w:tcBorders>
          </w:tcPr>
          <w:p>
            <w:pPr>
              <w:spacing w:after="0"/>
              <w:rPr>
                <w:sz w:val="17"/>
                <w:szCs w:val="17"/>
                <w:color w:val="auto"/>
              </w:rPr>
            </w:pPr>
          </w:p>
        </w:tc>
        <w:tc>
          <w:tcPr>
            <w:tcW w:w="220" w:type="dxa"/>
            <w:vAlign w:val="bottom"/>
            <w:tcBorders>
              <w:top w:val="single" w:sz="8" w:color="0000EE"/>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4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20" w:type="dxa"/>
            <w:vAlign w:val="bottom"/>
            <w:tcBorders>
              <w:top w:val="single" w:sz="8" w:color="0000EE"/>
              <w:bottom w:val="single" w:sz="8" w:color="5D89B4"/>
            </w:tcBorders>
          </w:tcPr>
          <w:p>
            <w:pPr>
              <w:spacing w:after="0"/>
              <w:rPr>
                <w:sz w:val="17"/>
                <w:szCs w:val="17"/>
                <w:color w:val="auto"/>
              </w:rPr>
            </w:pPr>
          </w:p>
        </w:tc>
        <w:tc>
          <w:tcPr>
            <w:tcW w:w="40" w:type="dxa"/>
            <w:vAlign w:val="bottom"/>
            <w:tcBorders>
              <w:top w:val="single" w:sz="8" w:color="0000EE"/>
              <w:bottom w:val="single" w:sz="8" w:color="5D89B4"/>
            </w:tcBorders>
          </w:tcPr>
          <w:p>
            <w:pPr>
              <w:spacing w:after="0"/>
              <w:rPr>
                <w:sz w:val="17"/>
                <w:szCs w:val="17"/>
                <w:color w:val="auto"/>
              </w:rPr>
            </w:pPr>
          </w:p>
        </w:tc>
        <w:tc>
          <w:tcPr>
            <w:tcW w:w="300" w:type="dxa"/>
            <w:vAlign w:val="bottom"/>
            <w:tcBorders>
              <w:top w:val="single" w:sz="8" w:color="0000EE"/>
              <w:bottom w:val="single" w:sz="8" w:color="5D89B4"/>
            </w:tcBorders>
          </w:tcPr>
          <w:p>
            <w:pPr>
              <w:spacing w:after="0"/>
              <w:rPr>
                <w:sz w:val="17"/>
                <w:szCs w:val="17"/>
                <w:color w:val="auto"/>
              </w:rPr>
            </w:pPr>
          </w:p>
        </w:tc>
        <w:tc>
          <w:tcPr>
            <w:tcW w:w="1660" w:type="dxa"/>
            <w:vAlign w:val="bottom"/>
            <w:tcBorders>
              <w:top w:val="single" w:sz="8" w:color="0000EE"/>
              <w:bottom w:val="single" w:sz="8" w:color="5D89B4"/>
            </w:tcBorders>
          </w:tcPr>
          <w:p>
            <w:pPr>
              <w:spacing w:after="0"/>
              <w:rPr>
                <w:sz w:val="17"/>
                <w:szCs w:val="17"/>
                <w:color w:val="auto"/>
              </w:rPr>
            </w:pPr>
          </w:p>
        </w:tc>
        <w:tc>
          <w:tcPr>
            <w:tcW w:w="400" w:type="dxa"/>
            <w:vAlign w:val="bottom"/>
            <w:tcBorders>
              <w:top w:val="single" w:sz="8" w:color="0000EE"/>
              <w:bottom w:val="single" w:sz="8" w:color="5D89B4"/>
            </w:tcBorders>
          </w:tcPr>
          <w:p>
            <w:pPr>
              <w:spacing w:after="0"/>
              <w:rPr>
                <w:sz w:val="17"/>
                <w:szCs w:val="17"/>
                <w:color w:val="auto"/>
              </w:rPr>
            </w:pPr>
          </w:p>
        </w:tc>
        <w:tc>
          <w:tcPr>
            <w:tcW w:w="260" w:type="dxa"/>
            <w:vAlign w:val="bottom"/>
            <w:tcBorders>
              <w:top w:val="single" w:sz="8" w:color="0000EE"/>
              <w:bottom w:val="single" w:sz="8" w:color="5D89B4"/>
            </w:tcBorders>
          </w:tcPr>
          <w:p>
            <w:pPr>
              <w:spacing w:after="0"/>
              <w:rPr>
                <w:sz w:val="17"/>
                <w:szCs w:val="17"/>
                <w:color w:val="auto"/>
              </w:rPr>
            </w:pPr>
          </w:p>
        </w:tc>
        <w:tc>
          <w:tcPr>
            <w:tcW w:w="500" w:type="dxa"/>
            <w:vAlign w:val="bottom"/>
            <w:tcBorders>
              <w:top w:val="single" w:sz="8" w:color="0000EE"/>
              <w:bottom w:val="single" w:sz="8" w:color="5D89B4"/>
            </w:tcBorders>
          </w:tcPr>
          <w:p>
            <w:pPr>
              <w:spacing w:after="0"/>
              <w:rPr>
                <w:sz w:val="17"/>
                <w:szCs w:val="17"/>
                <w:color w:val="auto"/>
              </w:rPr>
            </w:pPr>
          </w:p>
        </w:tc>
        <w:tc>
          <w:tcPr>
            <w:tcW w:w="1620" w:type="dxa"/>
            <w:vAlign w:val="bottom"/>
            <w:tcBorders>
              <w:top w:val="single" w:sz="8" w:color="0000EE"/>
              <w:bottom w:val="single" w:sz="8" w:color="5D89B4"/>
            </w:tcBorders>
          </w:tcPr>
          <w:p>
            <w:pPr>
              <w:spacing w:after="0"/>
              <w:rPr>
                <w:sz w:val="17"/>
                <w:szCs w:val="17"/>
                <w:color w:val="auto"/>
              </w:rPr>
            </w:pPr>
          </w:p>
        </w:tc>
        <w:tc>
          <w:tcPr>
            <w:tcW w:w="700" w:type="dxa"/>
            <w:vAlign w:val="bottom"/>
            <w:tcBorders>
              <w:bottom w:val="single" w:sz="8" w:color="5D89B4"/>
            </w:tcBorders>
          </w:tcPr>
          <w:p>
            <w:pPr>
              <w:spacing w:after="0"/>
              <w:rPr>
                <w:sz w:val="17"/>
                <w:szCs w:val="17"/>
                <w:color w:val="auto"/>
              </w:rPr>
            </w:pPr>
          </w:p>
        </w:tc>
        <w:tc>
          <w:tcPr>
            <w:tcW w:w="1080" w:type="dxa"/>
            <w:vAlign w:val="bottom"/>
            <w:tcBorders>
              <w:bottom w:val="single" w:sz="8" w:color="5D89B4"/>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10260" w:type="dxa"/>
            <w:vAlign w:val="bottom"/>
            <w:gridSpan w:val="40"/>
          </w:tcPr>
          <w:p>
            <w:pPr>
              <w:spacing w:after="0" w:line="155" w:lineRule="exact"/>
              <w:rPr>
                <w:rFonts w:ascii="Arial" w:cs="Arial" w:eastAsia="Arial" w:hAnsi="Arial"/>
                <w:sz w:val="16"/>
                <w:szCs w:val="16"/>
                <w:b w:val="1"/>
                <w:bCs w:val="1"/>
                <w:color w:val="0000EE"/>
              </w:rPr>
            </w:pPr>
            <w:hyperlink w:anchor="page45">
              <w:r>
                <w:rPr>
                  <w:rFonts w:ascii="Arial" w:cs="Arial" w:eastAsia="Arial" w:hAnsi="Arial"/>
                  <w:sz w:val="16"/>
                  <w:szCs w:val="16"/>
                  <w:b w:val="1"/>
                  <w:bCs w:val="1"/>
                  <w:color w:val="0000EE"/>
                </w:rPr>
                <w:t>Components of the 2016 Executive Compensation Program</w:t>
              </w:r>
            </w:hyperlink>
          </w:p>
        </w:tc>
        <w:tc>
          <w:tcPr>
            <w:tcW w:w="1080" w:type="dxa"/>
            <w:vAlign w:val="bottom"/>
          </w:tcPr>
          <w:p>
            <w:pPr>
              <w:jc w:val="right"/>
              <w:ind w:right="139"/>
              <w:spacing w:after="0" w:line="155"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4460" w:type="dxa"/>
            <w:vAlign w:val="bottom"/>
            <w:tcBorders>
              <w:top w:val="single" w:sz="8" w:color="0000EE"/>
            </w:tcBorders>
            <w:gridSpan w:val="26"/>
          </w:tcPr>
          <w:p>
            <w:pPr>
              <w:spacing w:after="0" w:line="169" w:lineRule="exact"/>
              <w:rPr>
                <w:rFonts w:ascii="Arial" w:cs="Arial" w:eastAsia="Arial" w:hAnsi="Arial"/>
                <w:sz w:val="16"/>
                <w:szCs w:val="16"/>
                <w:b w:val="1"/>
                <w:bCs w:val="1"/>
                <w:i w:val="1"/>
                <w:iCs w:val="1"/>
                <w:color w:val="0000EE"/>
              </w:rPr>
            </w:pPr>
            <w:hyperlink w:anchor="page45">
              <w:r>
                <w:rPr>
                  <w:rFonts w:ascii="Arial" w:cs="Arial" w:eastAsia="Arial" w:hAnsi="Arial"/>
                  <w:sz w:val="16"/>
                  <w:szCs w:val="16"/>
                  <w:b w:val="1"/>
                  <w:bCs w:val="1"/>
                  <w:i w:val="1"/>
                  <w:iCs w:val="1"/>
                  <w:color w:val="0000EE"/>
                </w:rPr>
                <w:t>Base Salary</w:t>
              </w:r>
            </w:hyperlink>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5440" w:type="dxa"/>
            <w:vAlign w:val="bottom"/>
            <w:gridSpan w:val="7"/>
          </w:tcPr>
          <w:p>
            <w:pPr>
              <w:spacing w:after="0"/>
              <w:rPr>
                <w:sz w:val="14"/>
                <w:szCs w:val="14"/>
                <w:color w:val="auto"/>
              </w:rPr>
            </w:pPr>
          </w:p>
        </w:tc>
        <w:tc>
          <w:tcPr>
            <w:tcW w:w="10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0000EE"/>
            </w:tcBorders>
            <w:gridSpan w:val="3"/>
          </w:tcPr>
          <w:p>
            <w:pPr>
              <w:spacing w:after="0" w:line="169" w:lineRule="exact"/>
              <w:rPr>
                <w:rFonts w:ascii="Arial" w:cs="Arial" w:eastAsia="Arial" w:hAnsi="Arial"/>
                <w:sz w:val="16"/>
                <w:szCs w:val="16"/>
                <w:b w:val="1"/>
                <w:bCs w:val="1"/>
                <w:i w:val="1"/>
                <w:iCs w:val="1"/>
                <w:color w:val="0000EE"/>
                <w:w w:val="89"/>
              </w:rPr>
            </w:pPr>
            <w:hyperlink w:anchor="page45">
              <w:r>
                <w:rPr>
                  <w:rFonts w:ascii="Arial" w:cs="Arial" w:eastAsia="Arial" w:hAnsi="Arial"/>
                  <w:sz w:val="16"/>
                  <w:szCs w:val="16"/>
                  <w:b w:val="1"/>
                  <w:bCs w:val="1"/>
                  <w:i w:val="1"/>
                  <w:iCs w:val="1"/>
                  <w:color w:val="0000EE"/>
                  <w:w w:val="89"/>
                </w:rPr>
                <w:t>Annual Cash</w:t>
              </w:r>
            </w:hyperlink>
          </w:p>
        </w:tc>
        <w:tc>
          <w:tcPr>
            <w:tcW w:w="9260" w:type="dxa"/>
            <w:vAlign w:val="bottom"/>
            <w:gridSpan w:val="36"/>
          </w:tcPr>
          <w:p>
            <w:pPr>
              <w:ind w:left="120"/>
              <w:spacing w:after="0" w:line="169" w:lineRule="exact"/>
              <w:rPr>
                <w:rFonts w:ascii="Arial" w:cs="Arial" w:eastAsia="Arial" w:hAnsi="Arial"/>
                <w:sz w:val="16"/>
                <w:szCs w:val="16"/>
                <w:b w:val="1"/>
                <w:bCs w:val="1"/>
                <w:i w:val="1"/>
                <w:iCs w:val="1"/>
                <w:color w:val="0000EE"/>
              </w:rPr>
            </w:pPr>
            <w:hyperlink w:anchor="page45">
              <w:r>
                <w:rPr>
                  <w:rFonts w:ascii="Arial" w:cs="Arial" w:eastAsia="Arial" w:hAnsi="Arial"/>
                  <w:sz w:val="16"/>
                  <w:szCs w:val="16"/>
                  <w:b w:val="1"/>
                  <w:bCs w:val="1"/>
                  <w:i w:val="1"/>
                  <w:iCs w:val="1"/>
                  <w:color w:val="0000EE"/>
                </w:rPr>
                <w:t>Incentives</w:t>
              </w:r>
            </w:hyperlink>
          </w:p>
        </w:tc>
        <w:tc>
          <w:tcPr>
            <w:tcW w:w="10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660" w:type="dxa"/>
            <w:vAlign w:val="bottom"/>
            <w:tcBorders>
              <w:top w:val="single" w:sz="8" w:color="0000EE"/>
            </w:tcBorders>
            <w:gridSpan w:val="8"/>
          </w:tcPr>
          <w:p>
            <w:pPr>
              <w:spacing w:after="0" w:line="169" w:lineRule="exact"/>
              <w:rPr>
                <w:rFonts w:ascii="Arial" w:cs="Arial" w:eastAsia="Arial" w:hAnsi="Arial"/>
                <w:sz w:val="16"/>
                <w:szCs w:val="16"/>
                <w:i w:val="1"/>
                <w:iCs w:val="1"/>
                <w:color w:val="0000EE"/>
              </w:rPr>
            </w:pPr>
            <w:hyperlink w:anchor="page45">
              <w:r>
                <w:rPr>
                  <w:rFonts w:ascii="Arial" w:cs="Arial" w:eastAsia="Arial" w:hAnsi="Arial"/>
                  <w:sz w:val="16"/>
                  <w:szCs w:val="16"/>
                  <w:i w:val="1"/>
                  <w:iCs w:val="1"/>
                  <w:color w:val="0000EE"/>
                </w:rPr>
                <w:t>Pool Plan</w:t>
              </w:r>
            </w:hyperlink>
          </w:p>
        </w:tc>
        <w:tc>
          <w:tcPr>
            <w:tcW w:w="1220" w:type="dxa"/>
            <w:vAlign w:val="bottom"/>
            <w:gridSpan w:val="6"/>
          </w:tcPr>
          <w:p>
            <w:pPr>
              <w:spacing w:after="0"/>
              <w:rPr>
                <w:sz w:val="14"/>
                <w:szCs w:val="14"/>
                <w:color w:val="auto"/>
              </w:rPr>
            </w:pPr>
          </w:p>
        </w:tc>
        <w:tc>
          <w:tcPr>
            <w:tcW w:w="520" w:type="dxa"/>
            <w:vAlign w:val="bottom"/>
            <w:gridSpan w:val="3"/>
          </w:tcPr>
          <w:p>
            <w:pPr>
              <w:spacing w:after="0"/>
              <w:rPr>
                <w:sz w:val="14"/>
                <w:szCs w:val="14"/>
                <w:color w:val="auto"/>
              </w:rPr>
            </w:pPr>
          </w:p>
        </w:tc>
        <w:tc>
          <w:tcPr>
            <w:tcW w:w="26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5440" w:type="dxa"/>
            <w:vAlign w:val="bottom"/>
            <w:gridSpan w:val="7"/>
          </w:tcPr>
          <w:p>
            <w:pPr>
              <w:spacing w:after="0"/>
              <w:rPr>
                <w:sz w:val="14"/>
                <w:szCs w:val="14"/>
                <w:color w:val="auto"/>
              </w:rPr>
            </w:pPr>
          </w:p>
        </w:tc>
        <w:tc>
          <w:tcPr>
            <w:tcW w:w="10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top w:val="single" w:sz="8" w:color="0000EE"/>
            </w:tcBorders>
          </w:tcPr>
          <w:p>
            <w:pPr>
              <w:spacing w:after="0" w:line="169" w:lineRule="exact"/>
              <w:rPr>
                <w:rFonts w:ascii="Arial" w:cs="Arial" w:eastAsia="Arial" w:hAnsi="Arial"/>
                <w:sz w:val="16"/>
                <w:szCs w:val="16"/>
                <w:i w:val="1"/>
                <w:iCs w:val="1"/>
                <w:color w:val="0000EE"/>
              </w:rPr>
            </w:pPr>
            <w:hyperlink w:anchor="page46">
              <w:r>
                <w:rPr>
                  <w:rFonts w:ascii="Arial" w:cs="Arial" w:eastAsia="Arial" w:hAnsi="Arial"/>
                  <w:sz w:val="16"/>
                  <w:szCs w:val="16"/>
                  <w:i w:val="1"/>
                  <w:iCs w:val="1"/>
                  <w:color w:val="0000EE"/>
                </w:rPr>
                <w:t>How the</w:t>
              </w:r>
            </w:hyperlink>
          </w:p>
        </w:tc>
        <w:tc>
          <w:tcPr>
            <w:tcW w:w="9320" w:type="dxa"/>
            <w:vAlign w:val="bottom"/>
            <w:gridSpan w:val="37"/>
          </w:tcPr>
          <w:p>
            <w:pPr>
              <w:spacing w:after="0" w:line="169" w:lineRule="exact"/>
              <w:rPr>
                <w:rFonts w:ascii="Arial" w:cs="Arial" w:eastAsia="Arial" w:hAnsi="Arial"/>
                <w:sz w:val="16"/>
                <w:szCs w:val="16"/>
                <w:i w:val="1"/>
                <w:iCs w:val="1"/>
                <w:color w:val="0000EE"/>
              </w:rPr>
            </w:pPr>
            <w:hyperlink w:anchor="page46">
              <w:r>
                <w:rPr>
                  <w:rFonts w:ascii="Arial" w:cs="Arial" w:eastAsia="Arial" w:hAnsi="Arial"/>
                  <w:sz w:val="16"/>
                  <w:szCs w:val="16"/>
                  <w:i w:val="1"/>
                  <w:iCs w:val="1"/>
                  <w:color w:val="0000EE"/>
                </w:rPr>
                <w:t>Committee Sets Underlying Goals for EPS and ROIC</w:t>
              </w:r>
            </w:hyperlink>
          </w:p>
        </w:tc>
        <w:tc>
          <w:tcPr>
            <w:tcW w:w="10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tcBorders>
              <w:top w:val="single" w:sz="8" w:color="0000EE"/>
              <w:bottom w:val="single" w:sz="8" w:color="0000EE"/>
            </w:tcBorders>
            <w:gridSpan w:val="14"/>
          </w:tcPr>
          <w:p>
            <w:pPr>
              <w:spacing w:after="0" w:line="169" w:lineRule="exact"/>
              <w:rPr>
                <w:rFonts w:ascii="Arial" w:cs="Arial" w:eastAsia="Arial" w:hAnsi="Arial"/>
                <w:sz w:val="16"/>
                <w:szCs w:val="16"/>
                <w:i w:val="1"/>
                <w:iCs w:val="1"/>
                <w:color w:val="0000EE"/>
              </w:rPr>
            </w:pPr>
            <w:hyperlink w:anchor="page46">
              <w:r>
                <w:rPr>
                  <w:rFonts w:ascii="Arial" w:cs="Arial" w:eastAsia="Arial" w:hAnsi="Arial"/>
                  <w:sz w:val="16"/>
                  <w:szCs w:val="16"/>
                  <w:i w:val="1"/>
                  <w:iCs w:val="1"/>
                  <w:color w:val="0000EE"/>
                </w:rPr>
                <w:t>Why the Company Uses EPS and ROIC</w:t>
              </w:r>
            </w:hyperlink>
          </w:p>
        </w:tc>
        <w:tc>
          <w:tcPr>
            <w:tcW w:w="1560" w:type="dxa"/>
            <w:vAlign w:val="bottom"/>
            <w:tcBorders>
              <w:top w:val="single" w:sz="8" w:color="0000EE"/>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5440" w:type="dxa"/>
            <w:vAlign w:val="bottom"/>
            <w:gridSpan w:val="7"/>
          </w:tcPr>
          <w:p>
            <w:pPr>
              <w:spacing w:after="0"/>
              <w:rPr>
                <w:sz w:val="14"/>
                <w:szCs w:val="14"/>
                <w:color w:val="auto"/>
              </w:rPr>
            </w:pPr>
          </w:p>
        </w:tc>
        <w:tc>
          <w:tcPr>
            <w:tcW w:w="10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60" w:type="dxa"/>
            <w:vAlign w:val="bottom"/>
            <w:tcBorders>
              <w:bottom w:val="single" w:sz="8" w:color="0000EE"/>
            </w:tcBorders>
            <w:gridSpan w:val="19"/>
          </w:tcPr>
          <w:p>
            <w:pPr>
              <w:spacing w:after="0" w:line="169" w:lineRule="exact"/>
              <w:rPr>
                <w:rFonts w:ascii="Arial" w:cs="Arial" w:eastAsia="Arial" w:hAnsi="Arial"/>
                <w:sz w:val="16"/>
                <w:szCs w:val="16"/>
                <w:i w:val="1"/>
                <w:iCs w:val="1"/>
                <w:color w:val="0000EE"/>
              </w:rPr>
            </w:pPr>
            <w:hyperlink w:anchor="page47">
              <w:r>
                <w:rPr>
                  <w:rFonts w:ascii="Arial" w:cs="Arial" w:eastAsia="Arial" w:hAnsi="Arial"/>
                  <w:sz w:val="16"/>
                  <w:szCs w:val="16"/>
                  <w:i w:val="1"/>
                  <w:iCs w:val="1"/>
                  <w:color w:val="0000EE"/>
                </w:rPr>
                <w:t>The Committee Also Uses AOUP for Certain NEOs</w:t>
              </w:r>
            </w:hyperlink>
          </w:p>
        </w:tc>
        <w:tc>
          <w:tcPr>
            <w:tcW w:w="6340" w:type="dxa"/>
            <w:vAlign w:val="bottom"/>
            <w:gridSpan w:val="19"/>
          </w:tcPr>
          <w:p>
            <w:pPr>
              <w:spacing w:after="0"/>
              <w:rPr>
                <w:sz w:val="14"/>
                <w:szCs w:val="14"/>
                <w:color w:val="auto"/>
              </w:rPr>
            </w:pPr>
          </w:p>
        </w:tc>
        <w:tc>
          <w:tcPr>
            <w:tcW w:w="10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20" w:type="dxa"/>
            <w:vAlign w:val="bottom"/>
            <w:gridSpan w:val="20"/>
          </w:tcPr>
          <w:p>
            <w:pPr>
              <w:spacing w:after="0" w:line="169" w:lineRule="exact"/>
              <w:rPr>
                <w:rFonts w:ascii="Arial" w:cs="Arial" w:eastAsia="Arial" w:hAnsi="Arial"/>
                <w:sz w:val="16"/>
                <w:szCs w:val="16"/>
                <w:b w:val="1"/>
                <w:bCs w:val="1"/>
                <w:i w:val="1"/>
                <w:iCs w:val="1"/>
                <w:color w:val="0000EE"/>
              </w:rPr>
            </w:pPr>
            <w:hyperlink w:anchor="page47">
              <w:r>
                <w:rPr>
                  <w:rFonts w:ascii="Arial" w:cs="Arial" w:eastAsia="Arial" w:hAnsi="Arial"/>
                  <w:sz w:val="16"/>
                  <w:szCs w:val="16"/>
                  <w:b w:val="1"/>
                  <w:bCs w:val="1"/>
                  <w:i w:val="1"/>
                  <w:iCs w:val="1"/>
                  <w:color w:val="0000EE"/>
                </w:rPr>
                <w:t>Annual Incentive Award Opportunities by NEO</w:t>
              </w:r>
            </w:hyperlink>
          </w:p>
        </w:tc>
        <w:tc>
          <w:tcPr>
            <w:tcW w:w="2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gridSpan w:val="3"/>
          </w:tcPr>
          <w:p>
            <w:pPr>
              <w:spacing w:after="0"/>
              <w:rPr>
                <w:sz w:val="14"/>
                <w:szCs w:val="14"/>
                <w:color w:val="auto"/>
              </w:rPr>
            </w:pPr>
          </w:p>
        </w:tc>
        <w:tc>
          <w:tcPr>
            <w:tcW w:w="100" w:type="dxa"/>
            <w:vAlign w:val="bottom"/>
            <w:gridSpan w:val="4"/>
          </w:tcPr>
          <w:p>
            <w:pPr>
              <w:spacing w:after="0"/>
              <w:rPr>
                <w:sz w:val="14"/>
                <w:szCs w:val="14"/>
                <w:color w:val="auto"/>
              </w:rPr>
            </w:pPr>
          </w:p>
        </w:tc>
        <w:tc>
          <w:tcPr>
            <w:tcW w:w="5440" w:type="dxa"/>
            <w:vAlign w:val="bottom"/>
            <w:gridSpan w:val="7"/>
          </w:tcPr>
          <w:p>
            <w:pPr>
              <w:spacing w:after="0"/>
              <w:rPr>
                <w:sz w:val="14"/>
                <w:szCs w:val="14"/>
                <w:color w:val="auto"/>
              </w:rPr>
            </w:pPr>
          </w:p>
        </w:tc>
        <w:tc>
          <w:tcPr>
            <w:tcW w:w="10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1900" w:type="dxa"/>
            <w:vAlign w:val="bottom"/>
            <w:gridSpan w:val="11"/>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0" w:type="dxa"/>
            <w:vAlign w:val="bottom"/>
            <w:gridSpan w:val="38"/>
          </w:tcPr>
          <w:p>
            <w:pPr>
              <w:spacing w:after="0" w:line="169" w:lineRule="exact"/>
              <w:rPr>
                <w:rFonts w:ascii="Arial" w:cs="Arial" w:eastAsia="Arial" w:hAnsi="Arial"/>
                <w:sz w:val="16"/>
                <w:szCs w:val="16"/>
                <w:i w:val="1"/>
                <w:iCs w:val="1"/>
                <w:color w:val="0000EE"/>
              </w:rPr>
            </w:pPr>
            <w:hyperlink w:anchor="page47">
              <w:r>
                <w:rPr>
                  <w:rFonts w:ascii="Arial" w:cs="Arial" w:eastAsia="Arial" w:hAnsi="Arial"/>
                  <w:sz w:val="16"/>
                  <w:szCs w:val="16"/>
                  <w:i w:val="1"/>
                  <w:iCs w:val="1"/>
                  <w:color w:val="0000EE"/>
                </w:rPr>
                <w:t>Jonas Prising — Annual Incentive Award Opportunities</w:t>
              </w:r>
            </w:hyperlink>
          </w:p>
        </w:tc>
        <w:tc>
          <w:tcPr>
            <w:tcW w:w="10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2380" w:type="dxa"/>
            <w:vAlign w:val="bottom"/>
            <w:gridSpan w:val="1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0" w:type="dxa"/>
            <w:vAlign w:val="bottom"/>
            <w:gridSpan w:val="38"/>
          </w:tcPr>
          <w:p>
            <w:pPr>
              <w:spacing w:after="0" w:line="169" w:lineRule="exact"/>
              <w:rPr>
                <w:rFonts w:ascii="Arial" w:cs="Arial" w:eastAsia="Arial" w:hAnsi="Arial"/>
                <w:sz w:val="16"/>
                <w:szCs w:val="16"/>
                <w:i w:val="1"/>
                <w:iCs w:val="1"/>
                <w:color w:val="0000EE"/>
              </w:rPr>
            </w:pPr>
            <w:hyperlink w:anchor="page48">
              <w:r>
                <w:rPr>
                  <w:rFonts w:ascii="Arial" w:cs="Arial" w:eastAsia="Arial" w:hAnsi="Arial"/>
                  <w:sz w:val="16"/>
                  <w:szCs w:val="16"/>
                  <w:i w:val="1"/>
                  <w:iCs w:val="1"/>
                  <w:color w:val="0000EE"/>
                </w:rPr>
                <w:t>John T. McGinnis — Annual Incentive Award Opportunities</w:t>
              </w:r>
            </w:hyperlink>
          </w:p>
        </w:tc>
        <w:tc>
          <w:tcPr>
            <w:tcW w:w="10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0" w:type="dxa"/>
            <w:vAlign w:val="bottom"/>
            <w:tcBorders>
              <w:top w:val="single" w:sz="8" w:color="0000EE"/>
            </w:tcBorders>
            <w:gridSpan w:val="24"/>
          </w:tcPr>
          <w:p>
            <w:pPr>
              <w:spacing w:after="0" w:line="169" w:lineRule="exact"/>
              <w:rPr>
                <w:rFonts w:ascii="Arial" w:cs="Arial" w:eastAsia="Arial" w:hAnsi="Arial"/>
                <w:sz w:val="16"/>
                <w:szCs w:val="16"/>
                <w:i w:val="1"/>
                <w:iCs w:val="1"/>
                <w:color w:val="0000EE"/>
              </w:rPr>
            </w:pPr>
            <w:hyperlink w:anchor="page49">
              <w:r>
                <w:rPr>
                  <w:rFonts w:ascii="Arial" w:cs="Arial" w:eastAsia="Arial" w:hAnsi="Arial"/>
                  <w:sz w:val="16"/>
                  <w:szCs w:val="16"/>
                  <w:i w:val="1"/>
                  <w:iCs w:val="1"/>
                  <w:color w:val="0000EE"/>
                </w:rPr>
                <w:t>Darryl Green — Annual Incentive Award Opportunities</w:t>
              </w:r>
            </w:hyperlink>
          </w:p>
        </w:tc>
        <w:tc>
          <w:tcPr>
            <w:tcW w:w="260" w:type="dxa"/>
            <w:vAlign w:val="bottom"/>
            <w:gridSpan w:val="3"/>
          </w:tcPr>
          <w:p>
            <w:pPr>
              <w:spacing w:after="0"/>
              <w:rPr>
                <w:sz w:val="14"/>
                <w:szCs w:val="14"/>
                <w:color w:val="auto"/>
              </w:rPr>
            </w:pPr>
          </w:p>
        </w:tc>
        <w:tc>
          <w:tcPr>
            <w:tcW w:w="100" w:type="dxa"/>
            <w:vAlign w:val="bottom"/>
            <w:gridSpan w:val="4"/>
          </w:tcPr>
          <w:p>
            <w:pPr>
              <w:spacing w:after="0"/>
              <w:rPr>
                <w:sz w:val="14"/>
                <w:szCs w:val="14"/>
                <w:color w:val="auto"/>
              </w:rPr>
            </w:pPr>
          </w:p>
        </w:tc>
        <w:tc>
          <w:tcPr>
            <w:tcW w:w="5440" w:type="dxa"/>
            <w:vAlign w:val="bottom"/>
            <w:gridSpan w:val="7"/>
          </w:tcPr>
          <w:p>
            <w:pPr>
              <w:spacing w:after="0"/>
              <w:rPr>
                <w:sz w:val="14"/>
                <w:szCs w:val="14"/>
                <w:color w:val="auto"/>
              </w:rPr>
            </w:pPr>
          </w:p>
        </w:tc>
        <w:tc>
          <w:tcPr>
            <w:tcW w:w="10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2380" w:type="dxa"/>
            <w:vAlign w:val="bottom"/>
            <w:gridSpan w:val="14"/>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0" w:type="dxa"/>
            <w:vAlign w:val="bottom"/>
            <w:gridSpan w:val="38"/>
          </w:tcPr>
          <w:p>
            <w:pPr>
              <w:spacing w:after="0" w:line="169" w:lineRule="exact"/>
              <w:rPr>
                <w:rFonts w:ascii="Arial" w:cs="Arial" w:eastAsia="Arial" w:hAnsi="Arial"/>
                <w:sz w:val="16"/>
                <w:szCs w:val="16"/>
                <w:i w:val="1"/>
                <w:iCs w:val="1"/>
                <w:color w:val="0000EE"/>
              </w:rPr>
            </w:pPr>
            <w:hyperlink w:anchor="page49">
              <w:r>
                <w:rPr>
                  <w:rFonts w:ascii="Arial" w:cs="Arial" w:eastAsia="Arial" w:hAnsi="Arial"/>
                  <w:sz w:val="16"/>
                  <w:szCs w:val="16"/>
                  <w:i w:val="1"/>
                  <w:iCs w:val="1"/>
                  <w:color w:val="0000EE"/>
                </w:rPr>
                <w:t>Ram Chandrashekar — Annual Incentive Award Opportunities</w:t>
              </w:r>
            </w:hyperlink>
          </w:p>
        </w:tc>
        <w:tc>
          <w:tcPr>
            <w:tcW w:w="10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80" w:type="dxa"/>
            <w:vAlign w:val="bottom"/>
            <w:tcBorders>
              <w:top w:val="single" w:sz="8" w:color="0000EE"/>
              <w:bottom w:val="single" w:sz="8" w:color="0000EE"/>
            </w:tcBorders>
            <w:gridSpan w:val="23"/>
          </w:tcPr>
          <w:p>
            <w:pPr>
              <w:spacing w:after="0" w:line="169" w:lineRule="exact"/>
              <w:rPr>
                <w:rFonts w:ascii="Arial" w:cs="Arial" w:eastAsia="Arial" w:hAnsi="Arial"/>
                <w:sz w:val="16"/>
                <w:szCs w:val="16"/>
                <w:i w:val="1"/>
                <w:iCs w:val="1"/>
                <w:color w:val="0000EE"/>
              </w:rPr>
            </w:pPr>
            <w:hyperlink w:anchor="page50">
              <w:r>
                <w:rPr>
                  <w:rFonts w:ascii="Arial" w:cs="Arial" w:eastAsia="Arial" w:hAnsi="Arial"/>
                  <w:sz w:val="16"/>
                  <w:szCs w:val="16"/>
                  <w:i w:val="1"/>
                  <w:iCs w:val="1"/>
                  <w:color w:val="0000EE"/>
                </w:rPr>
                <w:t>Mara E. Swan — Annual Incentive Award Opportunities</w:t>
              </w:r>
            </w:hyperlink>
          </w:p>
        </w:tc>
        <w:tc>
          <w:tcPr>
            <w:tcW w:w="480" w:type="dxa"/>
            <w:vAlign w:val="bottom"/>
            <w:tcBorders>
              <w:top w:val="single" w:sz="8" w:color="0000EE"/>
            </w:tcBorders>
            <w:gridSpan w:val="4"/>
          </w:tcPr>
          <w:p>
            <w:pPr>
              <w:spacing w:after="0"/>
              <w:rPr>
                <w:sz w:val="14"/>
                <w:szCs w:val="14"/>
                <w:color w:val="auto"/>
              </w:rPr>
            </w:pPr>
          </w:p>
        </w:tc>
        <w:tc>
          <w:tcPr>
            <w:tcW w:w="100" w:type="dxa"/>
            <w:vAlign w:val="bottom"/>
            <w:gridSpan w:val="4"/>
          </w:tcPr>
          <w:p>
            <w:pPr>
              <w:spacing w:after="0"/>
              <w:rPr>
                <w:sz w:val="14"/>
                <w:szCs w:val="14"/>
                <w:color w:val="auto"/>
              </w:rPr>
            </w:pPr>
          </w:p>
        </w:tc>
        <w:tc>
          <w:tcPr>
            <w:tcW w:w="5440" w:type="dxa"/>
            <w:vAlign w:val="bottom"/>
            <w:gridSpan w:val="7"/>
          </w:tcPr>
          <w:p>
            <w:pPr>
              <w:spacing w:after="0"/>
              <w:rPr>
                <w:sz w:val="14"/>
                <w:szCs w:val="14"/>
                <w:color w:val="auto"/>
              </w:rPr>
            </w:pPr>
          </w:p>
        </w:tc>
        <w:tc>
          <w:tcPr>
            <w:tcW w:w="10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0" w:type="dxa"/>
            <w:vAlign w:val="bottom"/>
            <w:gridSpan w:val="38"/>
          </w:tcPr>
          <w:p>
            <w:pPr>
              <w:spacing w:after="0" w:line="169" w:lineRule="exact"/>
              <w:rPr>
                <w:rFonts w:ascii="Arial" w:cs="Arial" w:eastAsia="Arial" w:hAnsi="Arial"/>
                <w:sz w:val="16"/>
                <w:szCs w:val="16"/>
                <w:i w:val="1"/>
                <w:iCs w:val="1"/>
                <w:color w:val="0000EE"/>
              </w:rPr>
            </w:pPr>
            <w:hyperlink w:anchor="page50">
              <w:r>
                <w:rPr>
                  <w:rFonts w:ascii="Arial" w:cs="Arial" w:eastAsia="Arial" w:hAnsi="Arial"/>
                  <w:sz w:val="16"/>
                  <w:szCs w:val="16"/>
                  <w:i w:val="1"/>
                  <w:iCs w:val="1"/>
                  <w:color w:val="0000EE"/>
                </w:rPr>
                <w:t>Michael J. Van Handel — Annual Incentive Award Opportunities</w:t>
              </w:r>
            </w:hyperlink>
          </w:p>
        </w:tc>
        <w:tc>
          <w:tcPr>
            <w:tcW w:w="10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3060" w:type="dxa"/>
            <w:vAlign w:val="bottom"/>
            <w:gridSpan w:val="25"/>
            <w:shd w:val="clear" w:color="auto" w:fill="0000EE"/>
          </w:tcPr>
          <w:p>
            <w:pPr>
              <w:spacing w:after="0" w:line="20" w:lineRule="exact"/>
              <w:rPr>
                <w:sz w:val="1"/>
                <w:szCs w:val="1"/>
                <w:color w:val="auto"/>
              </w:rPr>
            </w:pPr>
          </w:p>
        </w:tc>
        <w:tc>
          <w:tcPr>
            <w:tcW w:w="5440" w:type="dxa"/>
            <w:vAlign w:val="bottom"/>
            <w:gridSpan w:val="7"/>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20" w:type="dxa"/>
            <w:vAlign w:val="bottom"/>
            <w:gridSpan w:val="32"/>
          </w:tcPr>
          <w:p>
            <w:pPr>
              <w:spacing w:after="0" w:line="169" w:lineRule="exact"/>
              <w:rPr>
                <w:rFonts w:ascii="Arial" w:cs="Arial" w:eastAsia="Arial" w:hAnsi="Arial"/>
                <w:sz w:val="16"/>
                <w:szCs w:val="16"/>
                <w:b w:val="1"/>
                <w:bCs w:val="1"/>
                <w:i w:val="1"/>
                <w:iCs w:val="1"/>
                <w:color w:val="0000EE"/>
              </w:rPr>
            </w:pPr>
            <w:hyperlink w:anchor="page51">
              <w:r>
                <w:rPr>
                  <w:rFonts w:ascii="Arial" w:cs="Arial" w:eastAsia="Arial" w:hAnsi="Arial"/>
                  <w:sz w:val="16"/>
                  <w:szCs w:val="16"/>
                  <w:b w:val="1"/>
                  <w:bCs w:val="1"/>
                  <w:i w:val="1"/>
                  <w:iCs w:val="1"/>
                  <w:color w:val="0000EE"/>
                </w:rPr>
                <w:t>Long-Term Incentives</w:t>
              </w:r>
            </w:hyperlink>
          </w:p>
        </w:tc>
        <w:tc>
          <w:tcPr>
            <w:tcW w:w="5440" w:type="dxa"/>
            <w:vAlign w:val="bottom"/>
            <w:gridSpan w:val="7"/>
            <w:vMerge w:val="continue"/>
          </w:tcPr>
          <w:p>
            <w:pPr>
              <w:spacing w:after="0"/>
              <w:rPr>
                <w:sz w:val="14"/>
                <w:szCs w:val="14"/>
                <w:color w:val="auto"/>
              </w:rPr>
            </w:pPr>
          </w:p>
        </w:tc>
        <w:tc>
          <w:tcPr>
            <w:tcW w:w="10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p>
      <w:pPr>
        <w:ind w:left="9880"/>
        <w:spacing w:after="0"/>
        <w:rPr>
          <w:sz w:val="20"/>
          <w:szCs w:val="20"/>
          <w:color w:val="auto"/>
        </w:rPr>
      </w:pPr>
      <w:r>
        <w:rPr>
          <w:rFonts w:ascii="Arial" w:cs="Arial" w:eastAsia="Arial" w:hAnsi="Arial"/>
          <w:sz w:val="16"/>
          <w:szCs w:val="16"/>
          <w:b w:val="1"/>
          <w:bCs w:val="1"/>
          <w:color w:val="5D89B4"/>
        </w:rPr>
        <w:t xml:space="preserve">23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Compensation Discussion and Analysis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 w:type="dxa"/>
            <w:vAlign w:val="bottom"/>
          </w:tcPr>
          <w:p>
            <w:pPr>
              <w:spacing w:after="0"/>
              <w:rPr>
                <w:sz w:val="16"/>
                <w:szCs w:val="16"/>
                <w:color w:val="auto"/>
              </w:rPr>
            </w:pPr>
          </w:p>
        </w:tc>
        <w:tc>
          <w:tcPr>
            <w:tcW w:w="5560" w:type="dxa"/>
            <w:vAlign w:val="bottom"/>
            <w:gridSpan w:val="12"/>
          </w:tcPr>
          <w:p>
            <w:pPr>
              <w:spacing w:after="0"/>
              <w:rPr>
                <w:rFonts w:ascii="Arial" w:cs="Arial" w:eastAsia="Arial" w:hAnsi="Arial"/>
                <w:sz w:val="16"/>
                <w:szCs w:val="16"/>
                <w:b w:val="1"/>
                <w:bCs w:val="1"/>
                <w:color w:val="0000EE"/>
              </w:rPr>
            </w:pPr>
            <w:hyperlink w:anchor="page52">
              <w:r>
                <w:rPr>
                  <w:rFonts w:ascii="Arial" w:cs="Arial" w:eastAsia="Arial" w:hAnsi="Arial"/>
                  <w:sz w:val="16"/>
                  <w:szCs w:val="16"/>
                  <w:b w:val="1"/>
                  <w:bCs w:val="1"/>
                  <w:color w:val="0000EE"/>
                </w:rPr>
                <w:t>Career Shares and Deferred Compensation Plans</w:t>
              </w:r>
            </w:hyperlink>
          </w:p>
        </w:tc>
        <w:tc>
          <w:tcPr>
            <w:tcW w:w="5780" w:type="dxa"/>
            <w:vAlign w:val="bottom"/>
          </w:tcPr>
          <w:p>
            <w:pPr>
              <w:jc w:val="right"/>
              <w:ind w:right="139"/>
              <w:spacing w:after="0"/>
              <w:rPr>
                <w:sz w:val="20"/>
                <w:szCs w:val="20"/>
                <w:color w:val="auto"/>
              </w:rPr>
            </w:pPr>
            <w:r>
              <w:rPr>
                <w:rFonts w:ascii="Arial" w:cs="Arial" w:eastAsia="Arial" w:hAnsi="Arial"/>
                <w:sz w:val="16"/>
                <w:szCs w:val="16"/>
                <w:color w:val="auto"/>
              </w:rPr>
              <w:t>47</w:t>
            </w:r>
          </w:p>
        </w:tc>
      </w:tr>
      <w:tr>
        <w:trPr>
          <w:trHeight w:val="196"/>
        </w:trPr>
        <w:tc>
          <w:tcPr>
            <w:tcW w:w="80" w:type="dxa"/>
            <w:vAlign w:val="bottom"/>
            <w:tcBorders>
              <w:bottom w:val="single" w:sz="8" w:color="5D89B4"/>
            </w:tcBorders>
          </w:tcPr>
          <w:p>
            <w:pPr>
              <w:spacing w:after="0"/>
              <w:rPr>
                <w:sz w:val="17"/>
                <w:szCs w:val="17"/>
                <w:color w:val="auto"/>
              </w:rPr>
            </w:pPr>
          </w:p>
        </w:tc>
        <w:tc>
          <w:tcPr>
            <w:tcW w:w="100" w:type="dxa"/>
            <w:vAlign w:val="bottom"/>
            <w:tcBorders>
              <w:top w:val="single" w:sz="8" w:color="0000EE"/>
              <w:bottom w:val="single" w:sz="8" w:color="5D89B4"/>
            </w:tcBorders>
          </w:tcPr>
          <w:p>
            <w:pPr>
              <w:spacing w:after="0"/>
              <w:rPr>
                <w:sz w:val="17"/>
                <w:szCs w:val="17"/>
                <w:color w:val="auto"/>
              </w:rPr>
            </w:pPr>
          </w:p>
        </w:tc>
        <w:tc>
          <w:tcPr>
            <w:tcW w:w="1020" w:type="dxa"/>
            <w:vAlign w:val="bottom"/>
            <w:tcBorders>
              <w:top w:val="single" w:sz="8" w:color="0000EE"/>
              <w:bottom w:val="single" w:sz="8" w:color="5D89B4"/>
            </w:tcBorders>
          </w:tcPr>
          <w:p>
            <w:pPr>
              <w:spacing w:after="0"/>
              <w:rPr>
                <w:sz w:val="17"/>
                <w:szCs w:val="17"/>
                <w:color w:val="auto"/>
              </w:rPr>
            </w:pPr>
          </w:p>
        </w:tc>
        <w:tc>
          <w:tcPr>
            <w:tcW w:w="60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8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32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500" w:type="dxa"/>
            <w:vAlign w:val="bottom"/>
            <w:tcBorders>
              <w:bottom w:val="single" w:sz="8" w:color="5D89B4"/>
            </w:tcBorders>
          </w:tcPr>
          <w:p>
            <w:pPr>
              <w:spacing w:after="0"/>
              <w:rPr>
                <w:sz w:val="17"/>
                <w:szCs w:val="17"/>
                <w:color w:val="auto"/>
              </w:rPr>
            </w:pPr>
          </w:p>
        </w:tc>
        <w:tc>
          <w:tcPr>
            <w:tcW w:w="840" w:type="dxa"/>
            <w:vAlign w:val="bottom"/>
            <w:tcBorders>
              <w:bottom w:val="single" w:sz="8" w:color="5D89B4"/>
            </w:tcBorders>
          </w:tcPr>
          <w:p>
            <w:pPr>
              <w:spacing w:after="0"/>
              <w:rPr>
                <w:sz w:val="17"/>
                <w:szCs w:val="17"/>
                <w:color w:val="auto"/>
              </w:rPr>
            </w:pPr>
          </w:p>
        </w:tc>
        <w:tc>
          <w:tcPr>
            <w:tcW w:w="57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5560" w:type="dxa"/>
            <w:vAlign w:val="bottom"/>
            <w:gridSpan w:val="12"/>
          </w:tcPr>
          <w:p>
            <w:pPr>
              <w:spacing w:after="0" w:line="155" w:lineRule="exact"/>
              <w:rPr>
                <w:rFonts w:ascii="Arial" w:cs="Arial" w:eastAsia="Arial" w:hAnsi="Arial"/>
                <w:sz w:val="16"/>
                <w:szCs w:val="16"/>
                <w:b w:val="1"/>
                <w:bCs w:val="1"/>
                <w:color w:val="0000EE"/>
              </w:rPr>
            </w:pPr>
            <w:hyperlink w:anchor="page53">
              <w:r>
                <w:rPr>
                  <w:rFonts w:ascii="Arial" w:cs="Arial" w:eastAsia="Arial" w:hAnsi="Arial"/>
                  <w:sz w:val="16"/>
                  <w:szCs w:val="16"/>
                  <w:b w:val="1"/>
                  <w:bCs w:val="1"/>
                  <w:color w:val="0000EE"/>
                </w:rPr>
                <w:t>Other Benefits</w:t>
              </w:r>
            </w:hyperlink>
          </w:p>
        </w:tc>
        <w:tc>
          <w:tcPr>
            <w:tcW w:w="5780" w:type="dxa"/>
            <w:vAlign w:val="bottom"/>
          </w:tcPr>
          <w:p>
            <w:pPr>
              <w:jc w:val="right"/>
              <w:ind w:right="139"/>
              <w:spacing w:after="0" w:line="155" w:lineRule="exact"/>
              <w:rPr>
                <w:sz w:val="20"/>
                <w:szCs w:val="20"/>
                <w:color w:val="auto"/>
              </w:rPr>
            </w:pPr>
            <w:r>
              <w:rPr>
                <w:rFonts w:ascii="Arial" w:cs="Arial" w:eastAsia="Arial" w:hAnsi="Arial"/>
                <w:sz w:val="16"/>
                <w:szCs w:val="16"/>
                <w:color w:val="auto"/>
              </w:rPr>
              <w:t>48</w:t>
            </w:r>
          </w:p>
        </w:tc>
      </w:tr>
      <w:tr>
        <w:trPr>
          <w:trHeight w:val="169"/>
        </w:trPr>
        <w:tc>
          <w:tcPr>
            <w:tcW w:w="80" w:type="dxa"/>
            <w:vAlign w:val="bottom"/>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020" w:type="dxa"/>
            <w:vAlign w:val="bottom"/>
            <w:tcBorders>
              <w:top w:val="single" w:sz="8" w:color="0000EE"/>
            </w:tcBorders>
          </w:tcPr>
          <w:p>
            <w:pPr>
              <w:spacing w:after="0" w:line="169" w:lineRule="exact"/>
              <w:rPr>
                <w:rFonts w:ascii="Arial" w:cs="Arial" w:eastAsia="Arial" w:hAnsi="Arial"/>
                <w:sz w:val="16"/>
                <w:szCs w:val="16"/>
                <w:b w:val="1"/>
                <w:bCs w:val="1"/>
                <w:i w:val="1"/>
                <w:iCs w:val="1"/>
                <w:color w:val="0000EE"/>
              </w:rPr>
            </w:pPr>
            <w:hyperlink w:anchor="page53">
              <w:r>
                <w:rPr>
                  <w:rFonts w:ascii="Arial" w:cs="Arial" w:eastAsia="Arial" w:hAnsi="Arial"/>
                  <w:sz w:val="16"/>
                  <w:szCs w:val="16"/>
                  <w:b w:val="1"/>
                  <w:bCs w:val="1"/>
                  <w:i w:val="1"/>
                  <w:iCs w:val="1"/>
                  <w:color w:val="0000EE"/>
                </w:rPr>
                <w:t>Severance</w:t>
              </w:r>
            </w:hyperlink>
          </w:p>
        </w:tc>
        <w:tc>
          <w:tcPr>
            <w:tcW w:w="4440" w:type="dxa"/>
            <w:vAlign w:val="bottom"/>
            <w:gridSpan w:val="10"/>
          </w:tcPr>
          <w:p>
            <w:pPr>
              <w:spacing w:after="0" w:line="169" w:lineRule="exact"/>
              <w:rPr>
                <w:rFonts w:ascii="Arial" w:cs="Arial" w:eastAsia="Arial" w:hAnsi="Arial"/>
                <w:sz w:val="16"/>
                <w:szCs w:val="16"/>
                <w:b w:val="1"/>
                <w:bCs w:val="1"/>
                <w:i w:val="1"/>
                <w:iCs w:val="1"/>
                <w:color w:val="0000EE"/>
              </w:rPr>
            </w:pPr>
            <w:hyperlink w:anchor="page53">
              <w:r>
                <w:rPr>
                  <w:rFonts w:ascii="Arial" w:cs="Arial" w:eastAsia="Arial" w:hAnsi="Arial"/>
                  <w:sz w:val="16"/>
                  <w:szCs w:val="16"/>
                  <w:b w:val="1"/>
                  <w:bCs w:val="1"/>
                  <w:i w:val="1"/>
                  <w:iCs w:val="1"/>
                  <w:color w:val="0000EE"/>
                </w:rPr>
                <w:t>Agreements</w:t>
              </w:r>
            </w:hyperlink>
          </w:p>
        </w:tc>
        <w:tc>
          <w:tcPr>
            <w:tcW w:w="57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48</w:t>
            </w:r>
          </w:p>
        </w:tc>
      </w:tr>
      <w:tr>
        <w:trPr>
          <w:trHeight w:val="196"/>
        </w:trPr>
        <w:tc>
          <w:tcPr>
            <w:tcW w:w="8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020" w:type="dxa"/>
            <w:vAlign w:val="bottom"/>
            <w:tcBorders>
              <w:top w:val="single" w:sz="8" w:color="0000EE"/>
              <w:bottom w:val="single" w:sz="8" w:color="5D89B4"/>
            </w:tcBorders>
          </w:tcPr>
          <w:p>
            <w:pPr>
              <w:spacing w:after="0"/>
              <w:rPr>
                <w:sz w:val="17"/>
                <w:szCs w:val="17"/>
                <w:color w:val="auto"/>
              </w:rPr>
            </w:pPr>
          </w:p>
        </w:tc>
        <w:tc>
          <w:tcPr>
            <w:tcW w:w="60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86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180" w:type="dxa"/>
            <w:vAlign w:val="bottom"/>
            <w:tcBorders>
              <w:bottom w:val="single" w:sz="8" w:color="5D89B4"/>
            </w:tcBorders>
          </w:tcPr>
          <w:p>
            <w:pPr>
              <w:spacing w:after="0"/>
              <w:rPr>
                <w:sz w:val="17"/>
                <w:szCs w:val="17"/>
                <w:color w:val="auto"/>
              </w:rPr>
            </w:pPr>
          </w:p>
        </w:tc>
        <w:tc>
          <w:tcPr>
            <w:tcW w:w="320" w:type="dxa"/>
            <w:vAlign w:val="bottom"/>
            <w:tcBorders>
              <w:bottom w:val="single" w:sz="8" w:color="5D89B4"/>
            </w:tcBorders>
          </w:tcPr>
          <w:p>
            <w:pPr>
              <w:spacing w:after="0"/>
              <w:rPr>
                <w:sz w:val="17"/>
                <w:szCs w:val="17"/>
                <w:color w:val="auto"/>
              </w:rPr>
            </w:pPr>
          </w:p>
        </w:tc>
        <w:tc>
          <w:tcPr>
            <w:tcW w:w="38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500" w:type="dxa"/>
            <w:vAlign w:val="bottom"/>
            <w:tcBorders>
              <w:bottom w:val="single" w:sz="8" w:color="5D89B4"/>
            </w:tcBorders>
          </w:tcPr>
          <w:p>
            <w:pPr>
              <w:spacing w:after="0"/>
              <w:rPr>
                <w:sz w:val="17"/>
                <w:szCs w:val="17"/>
                <w:color w:val="auto"/>
              </w:rPr>
            </w:pPr>
          </w:p>
        </w:tc>
        <w:tc>
          <w:tcPr>
            <w:tcW w:w="840" w:type="dxa"/>
            <w:vAlign w:val="bottom"/>
            <w:tcBorders>
              <w:bottom w:val="single" w:sz="8" w:color="5D89B4"/>
            </w:tcBorders>
          </w:tcPr>
          <w:p>
            <w:pPr>
              <w:spacing w:after="0"/>
              <w:rPr>
                <w:sz w:val="17"/>
                <w:szCs w:val="17"/>
                <w:color w:val="auto"/>
              </w:rPr>
            </w:pPr>
          </w:p>
        </w:tc>
        <w:tc>
          <w:tcPr>
            <w:tcW w:w="57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5560" w:type="dxa"/>
            <w:vAlign w:val="bottom"/>
            <w:gridSpan w:val="12"/>
          </w:tcPr>
          <w:p>
            <w:pPr>
              <w:spacing w:after="0" w:line="155" w:lineRule="exact"/>
              <w:rPr>
                <w:rFonts w:ascii="Arial" w:cs="Arial" w:eastAsia="Arial" w:hAnsi="Arial"/>
                <w:sz w:val="16"/>
                <w:szCs w:val="16"/>
                <w:b w:val="1"/>
                <w:bCs w:val="1"/>
                <w:color w:val="0000EE"/>
              </w:rPr>
            </w:pPr>
            <w:hyperlink w:anchor="page53">
              <w:r>
                <w:rPr>
                  <w:rFonts w:ascii="Arial" w:cs="Arial" w:eastAsia="Arial" w:hAnsi="Arial"/>
                  <w:sz w:val="16"/>
                  <w:szCs w:val="16"/>
                  <w:b w:val="1"/>
                  <w:bCs w:val="1"/>
                  <w:color w:val="0000EE"/>
                </w:rPr>
                <w:t>Additional Executive Compensation Policies</w:t>
              </w:r>
            </w:hyperlink>
          </w:p>
        </w:tc>
        <w:tc>
          <w:tcPr>
            <w:tcW w:w="5780" w:type="dxa"/>
            <w:vAlign w:val="bottom"/>
          </w:tcPr>
          <w:p>
            <w:pPr>
              <w:jc w:val="right"/>
              <w:ind w:right="139"/>
              <w:spacing w:after="0" w:line="155" w:lineRule="exact"/>
              <w:rPr>
                <w:sz w:val="20"/>
                <w:szCs w:val="20"/>
                <w:color w:val="auto"/>
              </w:rPr>
            </w:pPr>
            <w:r>
              <w:rPr>
                <w:rFonts w:ascii="Arial" w:cs="Arial" w:eastAsia="Arial" w:hAnsi="Arial"/>
                <w:sz w:val="16"/>
                <w:szCs w:val="16"/>
                <w:color w:val="auto"/>
              </w:rPr>
              <w:t>48</w:t>
            </w:r>
          </w:p>
        </w:tc>
      </w:tr>
      <w:tr>
        <w:trPr>
          <w:trHeight w:val="169"/>
        </w:trPr>
        <w:tc>
          <w:tcPr>
            <w:tcW w:w="80" w:type="dxa"/>
            <w:vAlign w:val="bottom"/>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3320" w:type="dxa"/>
            <w:vAlign w:val="bottom"/>
            <w:tcBorders>
              <w:top w:val="single" w:sz="8" w:color="0000EE"/>
            </w:tcBorders>
            <w:gridSpan w:val="7"/>
          </w:tcPr>
          <w:p>
            <w:pPr>
              <w:spacing w:after="0" w:line="169" w:lineRule="exact"/>
              <w:rPr>
                <w:rFonts w:ascii="Arial" w:cs="Arial" w:eastAsia="Arial" w:hAnsi="Arial"/>
                <w:sz w:val="16"/>
                <w:szCs w:val="16"/>
                <w:b w:val="1"/>
                <w:bCs w:val="1"/>
                <w:i w:val="1"/>
                <w:iCs w:val="1"/>
                <w:color w:val="0000EE"/>
              </w:rPr>
            </w:pPr>
            <w:hyperlink w:anchor="page53">
              <w:r>
                <w:rPr>
                  <w:rFonts w:ascii="Arial" w:cs="Arial" w:eastAsia="Arial" w:hAnsi="Arial"/>
                  <w:sz w:val="16"/>
                  <w:szCs w:val="16"/>
                  <w:b w:val="1"/>
                  <w:bCs w:val="1"/>
                  <w:i w:val="1"/>
                  <w:iCs w:val="1"/>
                  <w:color w:val="0000EE"/>
                </w:rPr>
                <w:t>We Have Stock Ownership Guidelines for</w:t>
              </w:r>
            </w:hyperlink>
          </w:p>
        </w:tc>
        <w:tc>
          <w:tcPr>
            <w:tcW w:w="2140" w:type="dxa"/>
            <w:vAlign w:val="bottom"/>
            <w:gridSpan w:val="4"/>
          </w:tcPr>
          <w:p>
            <w:pPr>
              <w:spacing w:after="0" w:line="169" w:lineRule="exact"/>
              <w:rPr>
                <w:rFonts w:ascii="Arial" w:cs="Arial" w:eastAsia="Arial" w:hAnsi="Arial"/>
                <w:sz w:val="16"/>
                <w:szCs w:val="16"/>
                <w:b w:val="1"/>
                <w:bCs w:val="1"/>
                <w:i w:val="1"/>
                <w:iCs w:val="1"/>
                <w:color w:val="0000EE"/>
              </w:rPr>
            </w:pPr>
            <w:hyperlink w:anchor="page53">
              <w:r>
                <w:rPr>
                  <w:rFonts w:ascii="Arial" w:cs="Arial" w:eastAsia="Arial" w:hAnsi="Arial"/>
                  <w:sz w:val="16"/>
                  <w:szCs w:val="16"/>
                  <w:b w:val="1"/>
                  <w:bCs w:val="1"/>
                  <w:i w:val="1"/>
                  <w:iCs w:val="1"/>
                  <w:color w:val="0000EE"/>
                </w:rPr>
                <w:t>Executive Officers</w:t>
              </w:r>
            </w:hyperlink>
          </w:p>
        </w:tc>
        <w:tc>
          <w:tcPr>
            <w:tcW w:w="57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48</w:t>
            </w:r>
          </w:p>
        </w:tc>
      </w:tr>
      <w:tr>
        <w:trPr>
          <w:trHeight w:val="169"/>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20" w:type="dxa"/>
            <w:vAlign w:val="bottom"/>
            <w:tcBorders>
              <w:top w:val="single" w:sz="8" w:color="0000EE"/>
            </w:tcBorders>
            <w:gridSpan w:val="10"/>
          </w:tcPr>
          <w:p>
            <w:pPr>
              <w:spacing w:after="0" w:line="169" w:lineRule="exact"/>
              <w:rPr>
                <w:rFonts w:ascii="Arial" w:cs="Arial" w:eastAsia="Arial" w:hAnsi="Arial"/>
                <w:sz w:val="16"/>
                <w:szCs w:val="16"/>
                <w:b w:val="1"/>
                <w:bCs w:val="1"/>
                <w:i w:val="1"/>
                <w:iCs w:val="1"/>
                <w:color w:val="0000EE"/>
              </w:rPr>
            </w:pPr>
            <w:hyperlink w:anchor="page54">
              <w:r>
                <w:rPr>
                  <w:rFonts w:ascii="Arial" w:cs="Arial" w:eastAsia="Arial" w:hAnsi="Arial"/>
                  <w:sz w:val="16"/>
                  <w:szCs w:val="16"/>
                  <w:b w:val="1"/>
                  <w:bCs w:val="1"/>
                  <w:i w:val="1"/>
                  <w:iCs w:val="1"/>
                  <w:color w:val="0000EE"/>
                </w:rPr>
                <w:t>We Have Adopted a Clawback Policy</w:t>
              </w:r>
            </w:hyperlink>
          </w:p>
        </w:tc>
        <w:tc>
          <w:tcPr>
            <w:tcW w:w="840" w:type="dxa"/>
            <w:vAlign w:val="bottom"/>
          </w:tcPr>
          <w:p>
            <w:pPr>
              <w:spacing w:after="0"/>
              <w:rPr>
                <w:sz w:val="14"/>
                <w:szCs w:val="14"/>
                <w:color w:val="auto"/>
              </w:rPr>
            </w:pPr>
          </w:p>
        </w:tc>
        <w:tc>
          <w:tcPr>
            <w:tcW w:w="57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49</w:t>
            </w:r>
          </w:p>
        </w:tc>
      </w:tr>
      <w:tr>
        <w:trPr>
          <w:trHeight w:val="169"/>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b w:val="1"/>
                <w:bCs w:val="1"/>
                <w:i w:val="1"/>
                <w:iCs w:val="1"/>
                <w:color w:val="0000EE"/>
              </w:rPr>
            </w:pPr>
            <w:hyperlink w:anchor="page54">
              <w:r>
                <w:rPr>
                  <w:rFonts w:ascii="Arial" w:cs="Arial" w:eastAsia="Arial" w:hAnsi="Arial"/>
                  <w:sz w:val="16"/>
                  <w:szCs w:val="16"/>
                  <w:b w:val="1"/>
                  <w:bCs w:val="1"/>
                  <w:i w:val="1"/>
                  <w:iCs w:val="1"/>
                  <w:color w:val="0000EE"/>
                </w:rPr>
                <w:t>We Prohibit Hedging Transactions</w:t>
              </w:r>
            </w:hyperlink>
          </w:p>
        </w:tc>
        <w:tc>
          <w:tcPr>
            <w:tcW w:w="180" w:type="dxa"/>
            <w:vAlign w:val="bottom"/>
            <w:tcBorders>
              <w:top w:val="single" w:sz="8" w:color="0000EE"/>
            </w:tcBorders>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spacing w:after="0"/>
              <w:rPr>
                <w:sz w:val="14"/>
                <w:szCs w:val="14"/>
                <w:color w:val="auto"/>
              </w:rPr>
            </w:pPr>
          </w:p>
        </w:tc>
        <w:tc>
          <w:tcPr>
            <w:tcW w:w="1340" w:type="dxa"/>
            <w:vAlign w:val="bottom"/>
            <w:gridSpan w:val="2"/>
          </w:tcPr>
          <w:p>
            <w:pPr>
              <w:spacing w:after="0"/>
              <w:rPr>
                <w:sz w:val="14"/>
                <w:szCs w:val="14"/>
                <w:color w:val="auto"/>
              </w:rPr>
            </w:pPr>
          </w:p>
        </w:tc>
        <w:tc>
          <w:tcPr>
            <w:tcW w:w="57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49</w:t>
            </w:r>
          </w:p>
        </w:tc>
      </w:tr>
      <w:tr>
        <w:trPr>
          <w:trHeight w:val="169"/>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60" w:type="dxa"/>
            <w:vAlign w:val="bottom"/>
            <w:gridSpan w:val="11"/>
          </w:tcPr>
          <w:p>
            <w:pPr>
              <w:spacing w:after="0" w:line="169" w:lineRule="exact"/>
              <w:rPr>
                <w:rFonts w:ascii="Arial" w:cs="Arial" w:eastAsia="Arial" w:hAnsi="Arial"/>
                <w:sz w:val="16"/>
                <w:szCs w:val="16"/>
                <w:b w:val="1"/>
                <w:bCs w:val="1"/>
                <w:i w:val="1"/>
                <w:iCs w:val="1"/>
                <w:color w:val="0000EE"/>
              </w:rPr>
            </w:pPr>
            <w:hyperlink w:anchor="page54">
              <w:r>
                <w:rPr>
                  <w:rFonts w:ascii="Arial" w:cs="Arial" w:eastAsia="Arial" w:hAnsi="Arial"/>
                  <w:sz w:val="16"/>
                  <w:szCs w:val="16"/>
                  <w:b w:val="1"/>
                  <w:bCs w:val="1"/>
                  <w:i w:val="1"/>
                  <w:iCs w:val="1"/>
                  <w:color w:val="0000EE"/>
                </w:rPr>
                <w:t>We Provide Limited Expatriate Benefits</w:t>
              </w:r>
            </w:hyperlink>
          </w:p>
        </w:tc>
        <w:tc>
          <w:tcPr>
            <w:tcW w:w="57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49</w:t>
            </w:r>
          </w:p>
        </w:tc>
      </w:tr>
      <w:tr>
        <w:trPr>
          <w:trHeight w:val="196"/>
        </w:trPr>
        <w:tc>
          <w:tcPr>
            <w:tcW w:w="8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020" w:type="dxa"/>
            <w:vAlign w:val="bottom"/>
            <w:tcBorders>
              <w:top w:val="single" w:sz="8" w:color="0000EE"/>
              <w:bottom w:val="single" w:sz="8" w:color="5D89B4"/>
            </w:tcBorders>
          </w:tcPr>
          <w:p>
            <w:pPr>
              <w:spacing w:after="0"/>
              <w:rPr>
                <w:sz w:val="17"/>
                <w:szCs w:val="17"/>
                <w:color w:val="auto"/>
              </w:rPr>
            </w:pPr>
          </w:p>
        </w:tc>
        <w:tc>
          <w:tcPr>
            <w:tcW w:w="60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8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320" w:type="dxa"/>
            <w:vAlign w:val="bottom"/>
            <w:tcBorders>
              <w:bottom w:val="single" w:sz="8" w:color="5D89B4"/>
            </w:tcBorders>
          </w:tcPr>
          <w:p>
            <w:pPr>
              <w:spacing w:after="0"/>
              <w:rPr>
                <w:sz w:val="17"/>
                <w:szCs w:val="17"/>
                <w:color w:val="auto"/>
              </w:rPr>
            </w:pPr>
          </w:p>
        </w:tc>
        <w:tc>
          <w:tcPr>
            <w:tcW w:w="380" w:type="dxa"/>
            <w:vAlign w:val="bottom"/>
            <w:tcBorders>
              <w:bottom w:val="single" w:sz="8" w:color="5D89B4"/>
            </w:tcBorders>
          </w:tcPr>
          <w:p>
            <w:pPr>
              <w:spacing w:after="0"/>
              <w:rPr>
                <w:sz w:val="17"/>
                <w:szCs w:val="17"/>
                <w:color w:val="auto"/>
              </w:rPr>
            </w:pPr>
          </w:p>
        </w:tc>
        <w:tc>
          <w:tcPr>
            <w:tcW w:w="420" w:type="dxa"/>
            <w:vAlign w:val="bottom"/>
            <w:tcBorders>
              <w:bottom w:val="single" w:sz="8" w:color="5D89B4"/>
            </w:tcBorders>
          </w:tcPr>
          <w:p>
            <w:pPr>
              <w:spacing w:after="0"/>
              <w:rPr>
                <w:sz w:val="17"/>
                <w:szCs w:val="17"/>
                <w:color w:val="auto"/>
              </w:rPr>
            </w:pPr>
          </w:p>
        </w:tc>
        <w:tc>
          <w:tcPr>
            <w:tcW w:w="500" w:type="dxa"/>
            <w:vAlign w:val="bottom"/>
            <w:tcBorders>
              <w:bottom w:val="single" w:sz="8" w:color="5D89B4"/>
            </w:tcBorders>
          </w:tcPr>
          <w:p>
            <w:pPr>
              <w:spacing w:after="0"/>
              <w:rPr>
                <w:sz w:val="17"/>
                <w:szCs w:val="17"/>
                <w:color w:val="auto"/>
              </w:rPr>
            </w:pPr>
          </w:p>
        </w:tc>
        <w:tc>
          <w:tcPr>
            <w:tcW w:w="840" w:type="dxa"/>
            <w:vAlign w:val="bottom"/>
            <w:tcBorders>
              <w:bottom w:val="single" w:sz="8" w:color="5D89B4"/>
            </w:tcBorders>
          </w:tcPr>
          <w:p>
            <w:pPr>
              <w:spacing w:after="0"/>
              <w:rPr>
                <w:sz w:val="17"/>
                <w:szCs w:val="17"/>
                <w:color w:val="auto"/>
              </w:rPr>
            </w:pPr>
          </w:p>
        </w:tc>
        <w:tc>
          <w:tcPr>
            <w:tcW w:w="57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1720" w:type="dxa"/>
            <w:vAlign w:val="bottom"/>
            <w:tcBorders>
              <w:bottom w:val="single" w:sz="8" w:color="0000EE"/>
            </w:tcBorders>
            <w:gridSpan w:val="3"/>
          </w:tcPr>
          <w:p>
            <w:pPr>
              <w:spacing w:after="0" w:line="155" w:lineRule="exact"/>
              <w:rPr>
                <w:rFonts w:ascii="Arial" w:cs="Arial" w:eastAsia="Arial" w:hAnsi="Arial"/>
                <w:sz w:val="16"/>
                <w:szCs w:val="16"/>
                <w:b w:val="1"/>
                <w:bCs w:val="1"/>
                <w:color w:val="0000EE"/>
              </w:rPr>
            </w:pPr>
            <w:hyperlink w:anchor="page54">
              <w:r>
                <w:rPr>
                  <w:rFonts w:ascii="Arial" w:cs="Arial" w:eastAsia="Arial" w:hAnsi="Arial"/>
                  <w:sz w:val="16"/>
                  <w:szCs w:val="16"/>
                  <w:b w:val="1"/>
                  <w:bCs w:val="1"/>
                  <w:color w:val="0000EE"/>
                </w:rPr>
                <w:t>Realizable Pay in 2016</w:t>
              </w:r>
            </w:hyperlink>
          </w:p>
        </w:tc>
        <w:tc>
          <w:tcPr>
            <w:tcW w:w="3840" w:type="dxa"/>
            <w:vAlign w:val="bottom"/>
            <w:gridSpan w:val="9"/>
          </w:tcPr>
          <w:p>
            <w:pPr>
              <w:spacing w:after="0"/>
              <w:rPr>
                <w:sz w:val="13"/>
                <w:szCs w:val="13"/>
                <w:color w:val="auto"/>
              </w:rPr>
            </w:pPr>
          </w:p>
        </w:tc>
        <w:tc>
          <w:tcPr>
            <w:tcW w:w="5780" w:type="dxa"/>
            <w:vAlign w:val="bottom"/>
          </w:tcPr>
          <w:p>
            <w:pPr>
              <w:jc w:val="right"/>
              <w:ind w:right="139"/>
              <w:spacing w:after="0" w:line="155" w:lineRule="exact"/>
              <w:rPr>
                <w:sz w:val="20"/>
                <w:szCs w:val="20"/>
                <w:color w:val="auto"/>
              </w:rPr>
            </w:pPr>
            <w:r>
              <w:rPr>
                <w:rFonts w:ascii="Arial" w:cs="Arial" w:eastAsia="Arial" w:hAnsi="Arial"/>
                <w:sz w:val="16"/>
                <w:szCs w:val="16"/>
                <w:color w:val="auto"/>
              </w:rPr>
              <w:t>49</w:t>
            </w:r>
          </w:p>
        </w:tc>
      </w:tr>
      <w:tr>
        <w:trPr>
          <w:trHeight w:val="169"/>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60" w:type="dxa"/>
            <w:vAlign w:val="bottom"/>
            <w:gridSpan w:val="11"/>
          </w:tcPr>
          <w:p>
            <w:pPr>
              <w:spacing w:after="0" w:line="169" w:lineRule="exact"/>
              <w:rPr>
                <w:rFonts w:ascii="Arial" w:cs="Arial" w:eastAsia="Arial" w:hAnsi="Arial"/>
                <w:sz w:val="16"/>
                <w:szCs w:val="16"/>
                <w:b w:val="1"/>
                <w:bCs w:val="1"/>
                <w:i w:val="1"/>
                <w:iCs w:val="1"/>
                <w:color w:val="0000EE"/>
              </w:rPr>
            </w:pPr>
            <w:hyperlink w:anchor="page55">
              <w:r>
                <w:rPr>
                  <w:rFonts w:ascii="Arial" w:cs="Arial" w:eastAsia="Arial" w:hAnsi="Arial"/>
                  <w:sz w:val="16"/>
                  <w:szCs w:val="16"/>
                  <w:b w:val="1"/>
                  <w:bCs w:val="1"/>
                  <w:i w:val="1"/>
                  <w:iCs w:val="1"/>
                  <w:color w:val="0000EE"/>
                </w:rPr>
                <w:t>Supplemental Table of CEO Realizable Compensation</w:t>
              </w:r>
            </w:hyperlink>
          </w:p>
        </w:tc>
        <w:tc>
          <w:tcPr>
            <w:tcW w:w="5780" w:type="dxa"/>
            <w:vAlign w:val="bottom"/>
          </w:tcPr>
          <w:p>
            <w:pPr>
              <w:jc w:val="right"/>
              <w:ind w:right="139"/>
              <w:spacing w:after="0" w:line="169" w:lineRule="exact"/>
              <w:rPr>
                <w:sz w:val="20"/>
                <w:szCs w:val="20"/>
                <w:color w:val="auto"/>
              </w:rPr>
            </w:pPr>
            <w:r>
              <w:rPr>
                <w:rFonts w:ascii="Arial" w:cs="Arial" w:eastAsia="Arial" w:hAnsi="Arial"/>
                <w:sz w:val="16"/>
                <w:szCs w:val="16"/>
                <w:color w:val="auto"/>
              </w:rPr>
              <w:t>50</w:t>
            </w:r>
          </w:p>
        </w:tc>
      </w:tr>
      <w:tr>
        <w:trPr>
          <w:trHeight w:val="196"/>
        </w:trPr>
        <w:tc>
          <w:tcPr>
            <w:tcW w:w="80" w:type="dxa"/>
            <w:vAlign w:val="bottom"/>
            <w:tcBorders>
              <w:bottom w:val="single" w:sz="8" w:color="5D89B4"/>
            </w:tcBorders>
          </w:tcPr>
          <w:p>
            <w:pPr>
              <w:spacing w:after="0"/>
              <w:rPr>
                <w:sz w:val="17"/>
                <w:szCs w:val="17"/>
                <w:color w:val="auto"/>
              </w:rPr>
            </w:pPr>
          </w:p>
        </w:tc>
        <w:tc>
          <w:tcPr>
            <w:tcW w:w="100" w:type="dxa"/>
            <w:vAlign w:val="bottom"/>
            <w:tcBorders>
              <w:bottom w:val="single" w:sz="8" w:color="5D89B4"/>
            </w:tcBorders>
          </w:tcPr>
          <w:p>
            <w:pPr>
              <w:spacing w:after="0"/>
              <w:rPr>
                <w:sz w:val="17"/>
                <w:szCs w:val="17"/>
                <w:color w:val="auto"/>
              </w:rPr>
            </w:pPr>
          </w:p>
        </w:tc>
        <w:tc>
          <w:tcPr>
            <w:tcW w:w="1020" w:type="dxa"/>
            <w:vAlign w:val="bottom"/>
            <w:tcBorders>
              <w:top w:val="single" w:sz="8" w:color="0000EE"/>
              <w:bottom w:val="single" w:sz="8" w:color="5D89B4"/>
            </w:tcBorders>
          </w:tcPr>
          <w:p>
            <w:pPr>
              <w:spacing w:after="0"/>
              <w:rPr>
                <w:sz w:val="17"/>
                <w:szCs w:val="17"/>
                <w:color w:val="auto"/>
              </w:rPr>
            </w:pPr>
          </w:p>
        </w:tc>
        <w:tc>
          <w:tcPr>
            <w:tcW w:w="600" w:type="dxa"/>
            <w:vAlign w:val="bottom"/>
            <w:tcBorders>
              <w:top w:val="single" w:sz="8" w:color="0000EE"/>
              <w:bottom w:val="single" w:sz="8" w:color="5D89B4"/>
            </w:tcBorders>
          </w:tcPr>
          <w:p>
            <w:pPr>
              <w:spacing w:after="0"/>
              <w:rPr>
                <w:sz w:val="17"/>
                <w:szCs w:val="17"/>
                <w:color w:val="auto"/>
              </w:rPr>
            </w:pPr>
          </w:p>
        </w:tc>
        <w:tc>
          <w:tcPr>
            <w:tcW w:w="160" w:type="dxa"/>
            <w:vAlign w:val="bottom"/>
            <w:tcBorders>
              <w:top w:val="single" w:sz="8" w:color="0000EE"/>
              <w:bottom w:val="single" w:sz="8" w:color="5D89B4"/>
            </w:tcBorders>
          </w:tcPr>
          <w:p>
            <w:pPr>
              <w:spacing w:after="0"/>
              <w:rPr>
                <w:sz w:val="17"/>
                <w:szCs w:val="17"/>
                <w:color w:val="auto"/>
              </w:rPr>
            </w:pPr>
          </w:p>
        </w:tc>
        <w:tc>
          <w:tcPr>
            <w:tcW w:w="86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180" w:type="dxa"/>
            <w:vAlign w:val="bottom"/>
            <w:tcBorders>
              <w:top w:val="single" w:sz="8" w:color="0000EE"/>
              <w:bottom w:val="single" w:sz="8" w:color="5D89B4"/>
            </w:tcBorders>
          </w:tcPr>
          <w:p>
            <w:pPr>
              <w:spacing w:after="0"/>
              <w:rPr>
                <w:sz w:val="17"/>
                <w:szCs w:val="17"/>
                <w:color w:val="auto"/>
              </w:rPr>
            </w:pPr>
          </w:p>
        </w:tc>
        <w:tc>
          <w:tcPr>
            <w:tcW w:w="320" w:type="dxa"/>
            <w:vAlign w:val="bottom"/>
            <w:tcBorders>
              <w:top w:val="single" w:sz="8" w:color="0000EE"/>
              <w:bottom w:val="single" w:sz="8" w:color="5D89B4"/>
            </w:tcBorders>
          </w:tcPr>
          <w:p>
            <w:pPr>
              <w:spacing w:after="0"/>
              <w:rPr>
                <w:sz w:val="17"/>
                <w:szCs w:val="17"/>
                <w:color w:val="auto"/>
              </w:rPr>
            </w:pPr>
          </w:p>
        </w:tc>
        <w:tc>
          <w:tcPr>
            <w:tcW w:w="380" w:type="dxa"/>
            <w:vAlign w:val="bottom"/>
            <w:tcBorders>
              <w:top w:val="single" w:sz="8" w:color="0000EE"/>
              <w:bottom w:val="single" w:sz="8" w:color="5D89B4"/>
            </w:tcBorders>
          </w:tcPr>
          <w:p>
            <w:pPr>
              <w:spacing w:after="0"/>
              <w:rPr>
                <w:sz w:val="17"/>
                <w:szCs w:val="17"/>
                <w:color w:val="auto"/>
              </w:rPr>
            </w:pPr>
          </w:p>
        </w:tc>
        <w:tc>
          <w:tcPr>
            <w:tcW w:w="420" w:type="dxa"/>
            <w:vAlign w:val="bottom"/>
            <w:tcBorders>
              <w:top w:val="single" w:sz="8" w:color="0000EE"/>
              <w:bottom w:val="single" w:sz="8" w:color="5D89B4"/>
            </w:tcBorders>
          </w:tcPr>
          <w:p>
            <w:pPr>
              <w:spacing w:after="0"/>
              <w:rPr>
                <w:sz w:val="17"/>
                <w:szCs w:val="17"/>
                <w:color w:val="auto"/>
              </w:rPr>
            </w:pPr>
          </w:p>
        </w:tc>
        <w:tc>
          <w:tcPr>
            <w:tcW w:w="500" w:type="dxa"/>
            <w:vAlign w:val="bottom"/>
            <w:tcBorders>
              <w:bottom w:val="single" w:sz="8" w:color="5D89B4"/>
            </w:tcBorders>
          </w:tcPr>
          <w:p>
            <w:pPr>
              <w:spacing w:after="0"/>
              <w:rPr>
                <w:sz w:val="17"/>
                <w:szCs w:val="17"/>
                <w:color w:val="auto"/>
              </w:rPr>
            </w:pPr>
          </w:p>
        </w:tc>
        <w:tc>
          <w:tcPr>
            <w:tcW w:w="840" w:type="dxa"/>
            <w:vAlign w:val="bottom"/>
            <w:tcBorders>
              <w:bottom w:val="single" w:sz="8" w:color="5D89B4"/>
            </w:tcBorders>
          </w:tcPr>
          <w:p>
            <w:pPr>
              <w:spacing w:after="0"/>
              <w:rPr>
                <w:sz w:val="17"/>
                <w:szCs w:val="17"/>
                <w:color w:val="auto"/>
              </w:rPr>
            </w:pPr>
          </w:p>
        </w:tc>
        <w:tc>
          <w:tcPr>
            <w:tcW w:w="5780" w:type="dxa"/>
            <w:vAlign w:val="bottom"/>
            <w:tcBorders>
              <w:bottom w:val="single" w:sz="8" w:color="5D89B4"/>
            </w:tcBorders>
          </w:tcPr>
          <w:p>
            <w:pPr>
              <w:spacing w:after="0"/>
              <w:rPr>
                <w:sz w:val="17"/>
                <w:szCs w:val="17"/>
                <w:color w:val="auto"/>
              </w:rPr>
            </w:pPr>
          </w:p>
        </w:tc>
      </w:tr>
      <w:tr>
        <w:trPr>
          <w:trHeight w:val="156"/>
        </w:trPr>
        <w:tc>
          <w:tcPr>
            <w:tcW w:w="80" w:type="dxa"/>
            <w:vAlign w:val="bottom"/>
          </w:tcPr>
          <w:p>
            <w:pPr>
              <w:spacing w:after="0"/>
              <w:rPr>
                <w:sz w:val="13"/>
                <w:szCs w:val="13"/>
                <w:color w:val="auto"/>
              </w:rPr>
            </w:pPr>
          </w:p>
        </w:tc>
        <w:tc>
          <w:tcPr>
            <w:tcW w:w="5560" w:type="dxa"/>
            <w:vAlign w:val="bottom"/>
            <w:tcBorders>
              <w:bottom w:val="single" w:sz="8" w:color="0000EE"/>
            </w:tcBorders>
            <w:gridSpan w:val="12"/>
          </w:tcPr>
          <w:p>
            <w:pPr>
              <w:spacing w:after="0" w:line="155" w:lineRule="exact"/>
              <w:rPr>
                <w:rFonts w:ascii="Arial" w:cs="Arial" w:eastAsia="Arial" w:hAnsi="Arial"/>
                <w:sz w:val="16"/>
                <w:szCs w:val="16"/>
                <w:b w:val="1"/>
                <w:bCs w:val="1"/>
                <w:color w:val="0000EE"/>
              </w:rPr>
            </w:pPr>
            <w:hyperlink w:anchor="page55">
              <w:r>
                <w:rPr>
                  <w:rFonts w:ascii="Arial" w:cs="Arial" w:eastAsia="Arial" w:hAnsi="Arial"/>
                  <w:sz w:val="16"/>
                  <w:szCs w:val="16"/>
                  <w:b w:val="1"/>
                  <w:bCs w:val="1"/>
                  <w:color w:val="0000EE"/>
                </w:rPr>
                <w:t>Other Material Tax Implications of the Executive Compensation Program</w:t>
              </w:r>
            </w:hyperlink>
          </w:p>
        </w:tc>
        <w:tc>
          <w:tcPr>
            <w:tcW w:w="5780" w:type="dxa"/>
            <w:vAlign w:val="bottom"/>
          </w:tcPr>
          <w:p>
            <w:pPr>
              <w:jc w:val="right"/>
              <w:ind w:right="139"/>
              <w:spacing w:after="0" w:line="155" w:lineRule="exact"/>
              <w:rPr>
                <w:sz w:val="20"/>
                <w:szCs w:val="20"/>
                <w:color w:val="auto"/>
              </w:rPr>
            </w:pPr>
            <w:r>
              <w:rPr>
                <w:rFonts w:ascii="Arial" w:cs="Arial" w:eastAsia="Arial" w:hAnsi="Arial"/>
                <w:sz w:val="16"/>
                <w:szCs w:val="16"/>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8180"/>
        <w:spacing w:after="0"/>
        <w:rPr>
          <w:sz w:val="20"/>
          <w:szCs w:val="20"/>
          <w:color w:val="auto"/>
        </w:rPr>
      </w:pPr>
      <w:r>
        <w:rPr>
          <w:rFonts w:ascii="Arial" w:cs="Arial" w:eastAsia="Arial" w:hAnsi="Arial"/>
          <w:sz w:val="18"/>
          <w:szCs w:val="18"/>
          <w:color w:val="FFFFFF"/>
        </w:rPr>
        <w:t>Compensation Discussion and Analysis</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Background</w:t>
      </w:r>
    </w:p>
    <w:p>
      <w:pPr>
        <w:spacing w:after="0" w:line="18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compensation discussion and analysis (“CD&amp;A”) describes ManpowerGroup’s executive compensation program for our executive officers for whom disclosure is required under the rules of the Securities and Exchange Commission (“SEC”). We refer to this group of executives as our named executive officers (“NEOs”). ManpowerGroup’s NEOs for the year ended December 31, 2016 are the Chief Executive Officer (CEO), Chief Financial Officer (CFO) and the three most highly compensated executive officers (other than the CEO and CFO), who were serving as executive officers as of December 31, 2016. As required under SEC rules, our NEOs also include our former Chief Financial Officer, who retired from the role effective February 15, 2016 and became Senior Executive Vice President (see below for further details). Our NEOs are listed below with their titles as of December 31, 2016:</w:t>
      </w:r>
    </w:p>
    <w:p>
      <w:pPr>
        <w:spacing w:after="0" w:line="136" w:lineRule="exact"/>
        <w:rPr>
          <w:sz w:val="20"/>
          <w:szCs w:val="20"/>
          <w:color w:val="auto"/>
        </w:rPr>
      </w:pPr>
    </w:p>
    <w:p>
      <w:pPr>
        <w:ind w:left="440" w:hanging="324"/>
        <w:spacing w:after="0"/>
        <w:tabs>
          <w:tab w:leader="none" w:pos="440" w:val="left"/>
        </w:tabs>
        <w:numPr>
          <w:ilvl w:val="0"/>
          <w:numId w:val="30"/>
        </w:numPr>
        <w:rPr>
          <w:rFonts w:ascii="Arial" w:cs="Arial" w:eastAsia="Arial" w:hAnsi="Arial"/>
          <w:sz w:val="18"/>
          <w:szCs w:val="18"/>
          <w:color w:val="5D89B4"/>
        </w:rPr>
      </w:pPr>
      <w:r>
        <w:rPr>
          <w:rFonts w:ascii="Arial" w:cs="Arial" w:eastAsia="Arial" w:hAnsi="Arial"/>
          <w:sz w:val="18"/>
          <w:szCs w:val="18"/>
          <w:color w:val="auto"/>
        </w:rPr>
        <w:t>Jonas Prising — Chairman and Chief Executive Officer</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30"/>
        </w:numPr>
        <w:rPr>
          <w:rFonts w:ascii="Arial" w:cs="Arial" w:eastAsia="Arial" w:hAnsi="Arial"/>
          <w:sz w:val="18"/>
          <w:szCs w:val="18"/>
          <w:color w:val="5D89B4"/>
        </w:rPr>
      </w:pPr>
      <w:r>
        <w:rPr>
          <w:rFonts w:ascii="Arial" w:cs="Arial" w:eastAsia="Arial" w:hAnsi="Arial"/>
          <w:sz w:val="18"/>
          <w:szCs w:val="18"/>
          <w:color w:val="auto"/>
        </w:rPr>
        <w:t>John T. McGinnis — Executive Vice President and CFO</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30"/>
        </w:numPr>
        <w:rPr>
          <w:rFonts w:ascii="Arial" w:cs="Arial" w:eastAsia="Arial" w:hAnsi="Arial"/>
          <w:sz w:val="18"/>
          <w:szCs w:val="18"/>
          <w:color w:val="5D89B4"/>
        </w:rPr>
      </w:pPr>
      <w:r>
        <w:rPr>
          <w:rFonts w:ascii="Arial" w:cs="Arial" w:eastAsia="Arial" w:hAnsi="Arial"/>
          <w:sz w:val="18"/>
          <w:szCs w:val="18"/>
          <w:color w:val="auto"/>
        </w:rPr>
        <w:t>Darryl Green — President and Chief Operating Officer</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30"/>
        </w:numPr>
        <w:rPr>
          <w:rFonts w:ascii="Arial" w:cs="Arial" w:eastAsia="Arial" w:hAnsi="Arial"/>
          <w:sz w:val="18"/>
          <w:szCs w:val="18"/>
          <w:color w:val="5D89B4"/>
        </w:rPr>
      </w:pPr>
      <w:r>
        <w:rPr>
          <w:rFonts w:ascii="Arial" w:cs="Arial" w:eastAsia="Arial" w:hAnsi="Arial"/>
          <w:sz w:val="18"/>
          <w:szCs w:val="18"/>
          <w:color w:val="auto"/>
        </w:rPr>
        <w:t>Ram Chandrashekar — Executive Vice President, Operational Excellence and IT, and President, Asia Pacific Middle East</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30"/>
        </w:numPr>
        <w:rPr>
          <w:rFonts w:ascii="Arial" w:cs="Arial" w:eastAsia="Arial" w:hAnsi="Arial"/>
          <w:sz w:val="18"/>
          <w:szCs w:val="18"/>
          <w:color w:val="5D89B4"/>
        </w:rPr>
      </w:pPr>
      <w:r>
        <w:rPr>
          <w:rFonts w:ascii="Arial" w:cs="Arial" w:eastAsia="Arial" w:hAnsi="Arial"/>
          <w:sz w:val="18"/>
          <w:szCs w:val="18"/>
          <w:color w:val="auto"/>
        </w:rPr>
        <w:t>Mara E. Swan — Executive Vice President, Global Strategy and Talent</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30"/>
        </w:numPr>
        <w:rPr>
          <w:rFonts w:ascii="Arial" w:cs="Arial" w:eastAsia="Arial" w:hAnsi="Arial"/>
          <w:sz w:val="18"/>
          <w:szCs w:val="18"/>
          <w:color w:val="5D89B4"/>
        </w:rPr>
      </w:pPr>
      <w:r>
        <w:rPr>
          <w:rFonts w:ascii="Arial" w:cs="Arial" w:eastAsia="Arial" w:hAnsi="Arial"/>
          <w:sz w:val="18"/>
          <w:szCs w:val="18"/>
          <w:color w:val="auto"/>
        </w:rPr>
        <w:t>Michael J. Van Handel — Senior Executive Vice President</w:t>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Leadership Changes</w:t>
      </w:r>
    </w:p>
    <w:p>
      <w:pPr>
        <w:spacing w:after="0" w:line="18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Effective February 15, 2016, John T. McGinnis was appointed as the Company’s Executive Vice President and CFO. Michael J. Van Handel, his predecessor as CFO, took on a new role as Senior Executive Vice President, with responsibility for investor relations and ensuring a successful CFO transition. At the time of this transition, it was anticipated that Mr. Van Handel would remain as an executive with the Company at least through 2016, before his retirement from the Company, which occurred in February 2017. The Executive Compensation and Human Resources Committee (the “Committee”) structured Mr. Van Handel’s compensation for 2016 in light of these responsibilities and expected tenure.</w:t>
      </w:r>
    </w:p>
    <w:p>
      <w:pPr>
        <w:spacing w:after="0" w:line="284"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Executive Summary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2016 Compensation Reflected Strong 2016 Financial Results</w:t>
      </w:r>
    </w:p>
    <w:p>
      <w:pPr>
        <w:spacing w:after="0" w:line="16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executive compensation programs are designed to reward performance, and 2016 was a strong year, with revenue growth in constant currency in most of our major markets. Management continued to focus on improving our operating leverage and operational efficiency. In our key performance metrics, 2016 results showed increases in Earnings Per Share, Return on Invested Capital and Operating Profit Margin Percent, as shown below. The Committee determined the compensation of our NEOs for 2016 based on our results on these three metrics, as further described in this CD&amp;A.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146685</wp:posOffset>
            </wp:positionV>
            <wp:extent cx="5196840" cy="15951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96840"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25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Beginning in 2015, the Committee determined that, for purposes of our compensation plans, our key performance metrics of EPS and ROIC should be calculated and measured on a constant currency basis to ensure that payments under our annual incentives reflect the underlying performance of our businesses. By eliminating the impact of changes in foreign currency exchange rates, we are better able to capture year-over-year changes in underlying performance. As such, for compensation purposes we used EPS of $6.42 and ROIC of 14.6% which are calculated on a constant currency basis.</w:t>
      </w:r>
    </w:p>
    <w:p>
      <w:pPr>
        <w:spacing w:after="0" w:line="135"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Additionally, in 2016, the Committee exercised negative discretion, and excluded from the EPS calculation the benefit of share repurchases the company completed in 2016, except to the extent necessary to offset dilution resulting from shares issued under equity plans. This reduced the constant currency EPS from $6.42 to $6.14 for purposes of the compensation plan. A similar adjustment was made for 2015.</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Our key performance metrics, as calculated under our compensation plans for 2016 and 2015 in constant currency,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152400</wp:posOffset>
            </wp:positionV>
            <wp:extent cx="5385435" cy="15951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385435"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See page 41 for an explanation of the calculations for EPS and ROIC and page 46 for OPMP.</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We Manage Our Business in Light of Global Macroeconomic Forces, Business Cycles and Complexity</w:t>
      </w:r>
    </w:p>
    <w:p>
      <w:pPr>
        <w:spacing w:after="0" w:line="166"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We derive over 85% of our revenue from outside the United States, with the largest portions coming from our operating segments in Southern Europe (38%), Northern Europe (26%) and Asia Pacific Middle East (13%). Our business is truly global in nature and complexity, with over 28,000 employees and over 600,000 associates connected with clients worldwide on any given day. Our worldwide network serves global, multinational and local companies in 80 countries and territories. We placed over 3 million people in jobs in 2016, and provided a broad range of workforce solutions including recruitment and assessment, training and development, career management, outsourcing and workforce consulting.</w:t>
      </w:r>
    </w:p>
    <w:p>
      <w:pPr>
        <w:spacing w:after="0" w:line="12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results are highly dependent on labor market conditions, business cycles and other macroeconomic forces. During periods of recovery, we typically expect to see improvements in revenue, operating profit margin, and ROIC. During declines in the economic cycle, or periods of economic uncertainty, our revenue will often decline as our clients scale back use of our services due to reduced demand for their products and services. We have used periods of economic weakness and uncertainty to streamline our cost structure, focusing on enhancing productivity and efficiency throughout our business. Despite a continued uneven global economic recovery, our strong operating discipline contributed to an increase in earnings of 5.8% as reported, or 8.4% in constant currency, for ManpowerGroup in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Our Executive Pay is Designed to be Variable and Affordable</w:t>
      </w:r>
    </w:p>
    <w:p>
      <w:pPr>
        <w:spacing w:after="0" w:line="16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We believe the interests of our shareholders are served when strong operating performance drives enhanced financial performance. Therefore, the pay for our CEO and our other senior executives is closely aligned with our results, and their compensation varies year-over-year based on whether they have achieved collective and individual performance goals set by our Committee. This also reflects our philosophy of affordability</w:t>
      </w:r>
    </w:p>
    <w:p>
      <w:pPr>
        <w:spacing w:after="0" w:line="2"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 compensation is higher when our executives have delivered financial results that make it affordable for the Company and lower when financial results decline and make it less affordable for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26</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8180"/>
        <w:spacing w:after="0"/>
        <w:rPr>
          <w:sz w:val="20"/>
          <w:szCs w:val="20"/>
          <w:color w:val="auto"/>
        </w:rPr>
      </w:pPr>
      <w:r>
        <w:rPr>
          <w:rFonts w:ascii="Arial" w:cs="Arial" w:eastAsia="Arial" w:hAnsi="Arial"/>
          <w:sz w:val="18"/>
          <w:szCs w:val="18"/>
          <w:color w:val="FFFFFF"/>
        </w:rPr>
        <w:t>Compensation Discussion and Analysis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We Focus on Three Key Performance Metrics</w:t>
      </w:r>
    </w:p>
    <w:p>
      <w:pPr>
        <w:spacing w:after="0" w:line="166"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In 2016, we continued to focus on three performance metrics that we believe reflect whether we are running our businesses successfully for our shareholders.</w:t>
      </w:r>
    </w:p>
    <w:p>
      <w:pPr>
        <w:spacing w:after="0" w:line="129" w:lineRule="exact"/>
        <w:rPr>
          <w:sz w:val="20"/>
          <w:szCs w:val="20"/>
          <w:color w:val="auto"/>
        </w:rPr>
      </w:pPr>
    </w:p>
    <w:p>
      <w:pPr>
        <w:ind w:left="440" w:right="300" w:hanging="324"/>
        <w:spacing w:after="0" w:line="246" w:lineRule="auto"/>
        <w:tabs>
          <w:tab w:leader="none" w:pos="440" w:val="left"/>
        </w:tabs>
        <w:numPr>
          <w:ilvl w:val="0"/>
          <w:numId w:val="32"/>
        </w:numPr>
        <w:rPr>
          <w:rFonts w:ascii="Arial" w:cs="Arial" w:eastAsia="Arial" w:hAnsi="Arial"/>
          <w:sz w:val="18"/>
          <w:szCs w:val="18"/>
          <w:color w:val="5D89B4"/>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 Focuses our NEOs on producing financial results that align with the interests of our shareholders. We believe this metric is a critical measure of executive performance.</w:t>
      </w:r>
    </w:p>
    <w:p>
      <w:pPr>
        <w:spacing w:after="0" w:line="61" w:lineRule="exact"/>
        <w:rPr>
          <w:rFonts w:ascii="Arial" w:cs="Arial" w:eastAsia="Arial" w:hAnsi="Arial"/>
          <w:sz w:val="18"/>
          <w:szCs w:val="18"/>
          <w:color w:val="5D89B4"/>
        </w:rPr>
      </w:pPr>
    </w:p>
    <w:p>
      <w:pPr>
        <w:ind w:left="440" w:right="20" w:hanging="324"/>
        <w:spacing w:after="0"/>
        <w:tabs>
          <w:tab w:leader="none" w:pos="440" w:val="left"/>
        </w:tabs>
        <w:numPr>
          <w:ilvl w:val="0"/>
          <w:numId w:val="32"/>
        </w:numPr>
        <w:rPr>
          <w:rFonts w:ascii="Arial" w:cs="Arial" w:eastAsia="Arial" w:hAnsi="Arial"/>
          <w:sz w:val="18"/>
          <w:szCs w:val="18"/>
          <w:color w:val="5D89B4"/>
        </w:rPr>
      </w:pPr>
      <w:r>
        <w:rPr>
          <w:rFonts w:ascii="Arial" w:cs="Arial" w:eastAsia="Arial" w:hAnsi="Arial"/>
          <w:sz w:val="18"/>
          <w:szCs w:val="18"/>
          <w:u w:val="single" w:color="auto"/>
          <w:color w:val="auto"/>
        </w:rPr>
        <w:t>Return on Invested Capital</w:t>
      </w:r>
      <w:r>
        <w:rPr>
          <w:rFonts w:ascii="Arial" w:cs="Arial" w:eastAsia="Arial" w:hAnsi="Arial"/>
          <w:sz w:val="18"/>
          <w:szCs w:val="18"/>
          <w:color w:val="auto"/>
        </w:rPr>
        <w:t>. Even though we operate in the services industry, our business is capital intensive. We must pay our associates and consultants before we typically bill and collect from our clients. Our “ROIC” metric measures how efficiently and quickly we are converting our services into cash.</w:t>
      </w:r>
    </w:p>
    <w:p>
      <w:pPr>
        <w:spacing w:after="0" w:line="67" w:lineRule="exact"/>
        <w:rPr>
          <w:rFonts w:ascii="Arial" w:cs="Arial" w:eastAsia="Arial" w:hAnsi="Arial"/>
          <w:sz w:val="18"/>
          <w:szCs w:val="18"/>
          <w:color w:val="5D89B4"/>
        </w:rPr>
      </w:pPr>
    </w:p>
    <w:p>
      <w:pPr>
        <w:ind w:left="440" w:right="440" w:hanging="324"/>
        <w:spacing w:after="0" w:line="246" w:lineRule="auto"/>
        <w:tabs>
          <w:tab w:leader="none" w:pos="440" w:val="left"/>
        </w:tabs>
        <w:numPr>
          <w:ilvl w:val="0"/>
          <w:numId w:val="32"/>
        </w:numPr>
        <w:rPr>
          <w:rFonts w:ascii="Arial" w:cs="Arial" w:eastAsia="Arial" w:hAnsi="Arial"/>
          <w:sz w:val="18"/>
          <w:szCs w:val="18"/>
          <w:color w:val="5D89B4"/>
        </w:rPr>
      </w:pPr>
      <w:r>
        <w:rPr>
          <w:rFonts w:ascii="Arial" w:cs="Arial" w:eastAsia="Arial" w:hAnsi="Arial"/>
          <w:sz w:val="18"/>
          <w:szCs w:val="18"/>
          <w:u w:val="single" w:color="auto"/>
          <w:color w:val="auto"/>
        </w:rPr>
        <w:t>Operating Profit Margin Percent</w:t>
      </w:r>
      <w:r>
        <w:rPr>
          <w:rFonts w:ascii="Arial" w:cs="Arial" w:eastAsia="Arial" w:hAnsi="Arial"/>
          <w:sz w:val="18"/>
          <w:szCs w:val="18"/>
          <w:color w:val="auto"/>
        </w:rPr>
        <w:t>. Measures how efficiently our NEOs have deployed our operating resources to generate a profit. We believe using this metric drives a long-term focus on achieving sustainable profits.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these three metrics, the Committee also sets individual operating objectives for each executive officer.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We Utilize a Broad Group of Comparators for Compensation</w:t>
      </w:r>
    </w:p>
    <w:p>
      <w:pPr>
        <w:spacing w:after="0" w:line="16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It is difficult to find an industry-specific group of peer companies for benchmarking our executive compensation. We are significantly larger than other U.S. listed companies in our industry (with $19.7 billion in revenue in 2016, compared to $5.3 billion of our nearest U.S.-listed competitor). Our two largest competitors, Adecco and Randstad, are based in Europe, and although the Committee reviews available compensation data for these two companies, their pay practices are different, and full compensation information is not disclosed. To ensure that we are utilizing meaningful data, the Committee’s independent compensation consultant, Mercer, has customized a peer group, which consists of 82 companies within the S&amp;P 500 and is designed to properly benchmark our NEOs’ compensation against the relevant talent marketplace. The Committee believes that using this group provides a robust basis for comparing us to companies of similar scale and also represents the universe of top-tier companies we consider when looking for executive talent. The median revenue of the peers approximates that of ManpowerGroup, with a range of 70% to approximately 200% of our revenue.</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27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Compensation Discussion and Analysis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Key Compensation and Governance Policies</w:t>
      </w:r>
    </w:p>
    <w:p>
      <w:pPr>
        <w:spacing w:after="0" w:line="16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were pleased that our shareholders overwhelmingly approved the non-binding advisory vote on our executive compensation in 2016 with approximately 98% of votes cast in favor of the proposal. The Committee continually reviews the Company’s executive compensation program to maintain compensation practices that are in the best interests of our shareholders. Some of our key policies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7254875" cy="163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163195"/>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p>
      <w:pPr>
        <w:spacing w:after="0" w:line="235"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5D89B4"/>
        </w:rPr>
        <w:t>WHAT WE DO:</w:t>
      </w:r>
    </w:p>
    <w:p>
      <w:pPr>
        <w:spacing w:after="0" w:line="45" w:lineRule="exact"/>
        <w:rPr>
          <w:sz w:val="20"/>
          <w:szCs w:val="20"/>
          <w:color w:val="auto"/>
        </w:rPr>
      </w:pPr>
    </w:p>
    <w:p>
      <w:pPr>
        <w:ind w:left="580" w:right="60" w:hanging="572"/>
        <w:spacing w:after="0" w:line="182" w:lineRule="auto"/>
        <w:tabs>
          <w:tab w:leader="none" w:pos="580" w:val="left"/>
        </w:tabs>
        <w:numPr>
          <w:ilvl w:val="0"/>
          <w:numId w:val="33"/>
        </w:numPr>
        <w:rPr>
          <w:rFonts w:ascii="MS PGothic" w:cs="MS PGothic" w:eastAsia="MS PGothic" w:hAnsi="MS PGothic"/>
          <w:sz w:val="38"/>
          <w:szCs w:val="38"/>
          <w:color w:val="5D89B4"/>
          <w:vertAlign w:val="subscript"/>
        </w:rPr>
      </w:pPr>
      <w:r>
        <w:rPr>
          <w:rFonts w:ascii="Arial" w:cs="Arial" w:eastAsia="Arial" w:hAnsi="Arial"/>
          <w:sz w:val="15"/>
          <w:szCs w:val="15"/>
          <w:color w:val="auto"/>
        </w:rPr>
        <w:t>We tie pay to performance, including the use of performance share units. The majority of executive pay is variable.</w:t>
      </w:r>
    </w:p>
    <w:p>
      <w:pPr>
        <w:spacing w:after="0" w:line="200" w:lineRule="exact"/>
        <w:rPr>
          <w:rFonts w:ascii="MS PGothic" w:cs="MS PGothic" w:eastAsia="MS PGothic" w:hAnsi="MS PGothic"/>
          <w:sz w:val="38"/>
          <w:szCs w:val="38"/>
          <w:color w:val="5D89B4"/>
          <w:vertAlign w:val="subscript"/>
        </w:rPr>
      </w:pPr>
    </w:p>
    <w:p>
      <w:pPr>
        <w:spacing w:after="0" w:line="200" w:lineRule="exact"/>
        <w:rPr>
          <w:rFonts w:ascii="MS PGothic" w:cs="MS PGothic" w:eastAsia="MS PGothic" w:hAnsi="MS PGothic"/>
          <w:sz w:val="38"/>
          <w:szCs w:val="38"/>
          <w:color w:val="5D89B4"/>
          <w:vertAlign w:val="subscript"/>
        </w:rPr>
      </w:pPr>
    </w:p>
    <w:p>
      <w:pPr>
        <w:spacing w:after="0" w:line="200" w:lineRule="exact"/>
        <w:rPr>
          <w:rFonts w:ascii="MS PGothic" w:cs="MS PGothic" w:eastAsia="MS PGothic" w:hAnsi="MS PGothic"/>
          <w:sz w:val="38"/>
          <w:szCs w:val="38"/>
          <w:color w:val="5D89B4"/>
          <w:vertAlign w:val="subscript"/>
        </w:rPr>
      </w:pPr>
    </w:p>
    <w:p>
      <w:pPr>
        <w:spacing w:after="0" w:line="200" w:lineRule="exact"/>
        <w:rPr>
          <w:rFonts w:ascii="MS PGothic" w:cs="MS PGothic" w:eastAsia="MS PGothic" w:hAnsi="MS PGothic"/>
          <w:sz w:val="38"/>
          <w:szCs w:val="38"/>
          <w:color w:val="5D89B4"/>
          <w:vertAlign w:val="subscript"/>
        </w:rPr>
      </w:pPr>
    </w:p>
    <w:p>
      <w:pPr>
        <w:spacing w:after="0" w:line="200" w:lineRule="exact"/>
        <w:rPr>
          <w:rFonts w:ascii="MS PGothic" w:cs="MS PGothic" w:eastAsia="MS PGothic" w:hAnsi="MS PGothic"/>
          <w:sz w:val="38"/>
          <w:szCs w:val="38"/>
          <w:color w:val="5D89B4"/>
          <w:vertAlign w:val="subscript"/>
        </w:rPr>
      </w:pPr>
    </w:p>
    <w:p>
      <w:pPr>
        <w:spacing w:after="0" w:line="200" w:lineRule="exact"/>
        <w:rPr>
          <w:rFonts w:ascii="MS PGothic" w:cs="MS PGothic" w:eastAsia="MS PGothic" w:hAnsi="MS PGothic"/>
          <w:sz w:val="38"/>
          <w:szCs w:val="38"/>
          <w:color w:val="5D89B4"/>
          <w:vertAlign w:val="subscript"/>
        </w:rPr>
      </w:pPr>
    </w:p>
    <w:p>
      <w:pPr>
        <w:spacing w:after="0" w:line="204" w:lineRule="exact"/>
        <w:rPr>
          <w:rFonts w:ascii="MS PGothic" w:cs="MS PGothic" w:eastAsia="MS PGothic" w:hAnsi="MS PGothic"/>
          <w:sz w:val="38"/>
          <w:szCs w:val="38"/>
          <w:color w:val="5D89B4"/>
          <w:vertAlign w:val="subscript"/>
        </w:rPr>
      </w:pPr>
    </w:p>
    <w:p>
      <w:pPr>
        <w:ind w:left="580" w:hanging="572"/>
        <w:spacing w:after="0" w:line="182" w:lineRule="auto"/>
        <w:tabs>
          <w:tab w:leader="none" w:pos="580" w:val="left"/>
        </w:tabs>
        <w:numPr>
          <w:ilvl w:val="0"/>
          <w:numId w:val="33"/>
        </w:numPr>
        <w:rPr>
          <w:rFonts w:ascii="MS PGothic" w:cs="MS PGothic" w:eastAsia="MS PGothic" w:hAnsi="MS PGothic"/>
          <w:sz w:val="36"/>
          <w:szCs w:val="36"/>
          <w:color w:val="5D89B4"/>
          <w:vertAlign w:val="subscript"/>
          <w:shd w:val="clear" w:color="auto" w:fill="E6EDF3"/>
        </w:rPr>
      </w:pPr>
      <w:r>
        <w:rPr>
          <w:rFonts w:ascii="Arial" w:cs="Arial" w:eastAsia="Arial" w:hAnsi="Arial"/>
          <w:sz w:val="15"/>
          <w:szCs w:val="15"/>
          <w:color w:val="auto"/>
        </w:rPr>
        <w:t>We use double triggers in our severance agreements and our equity awards.</w:t>
      </w:r>
    </w:p>
    <w:p>
      <w:pPr>
        <w:spacing w:after="0" w:line="1" w:lineRule="exact"/>
        <w:rPr>
          <w:rFonts w:ascii="MS PGothic" w:cs="MS PGothic" w:eastAsia="MS PGothic" w:hAnsi="MS PGothic"/>
          <w:sz w:val="36"/>
          <w:szCs w:val="36"/>
          <w:color w:val="5D89B4"/>
          <w:vertAlign w:val="subscript"/>
          <w:shd w:val="clear" w:color="auto" w:fill="E6EDF3"/>
        </w:rPr>
      </w:pPr>
    </w:p>
    <w:p>
      <w:pPr>
        <w:ind w:left="580" w:right="260" w:hanging="572"/>
        <w:spacing w:after="0"/>
        <w:tabs>
          <w:tab w:leader="none" w:pos="580" w:val="left"/>
        </w:tabs>
        <w:numPr>
          <w:ilvl w:val="0"/>
          <w:numId w:val="33"/>
        </w:numPr>
        <w:rPr>
          <w:rFonts w:ascii="MS PGothic" w:cs="MS PGothic" w:eastAsia="MS PGothic" w:hAnsi="MS PGothic"/>
          <w:sz w:val="38"/>
          <w:szCs w:val="38"/>
          <w:color w:val="5D89B4"/>
          <w:vertAlign w:val="subscript"/>
        </w:rPr>
      </w:pPr>
      <w:r>
        <w:rPr>
          <w:rFonts w:ascii="Arial" w:cs="Arial" w:eastAsia="Arial" w:hAnsi="Arial"/>
          <w:sz w:val="15"/>
          <w:szCs w:val="15"/>
          <w:color w:val="auto"/>
        </w:rPr>
        <w:t>We maintain significant stock ownership guidelines for our NEOs.</w:t>
      </w:r>
    </w:p>
    <w:p>
      <w:pPr>
        <w:spacing w:after="0" w:line="25" w:lineRule="exact"/>
        <w:rPr>
          <w:rFonts w:ascii="MS PGothic" w:cs="MS PGothic" w:eastAsia="MS PGothic" w:hAnsi="MS PGothic"/>
          <w:sz w:val="38"/>
          <w:szCs w:val="38"/>
          <w:color w:val="5D89B4"/>
          <w:vertAlign w:val="subscript"/>
        </w:rPr>
      </w:pPr>
    </w:p>
    <w:p>
      <w:pPr>
        <w:ind w:left="580" w:right="380" w:hanging="572"/>
        <w:spacing w:after="0" w:line="182" w:lineRule="auto"/>
        <w:tabs>
          <w:tab w:leader="none" w:pos="580" w:val="left"/>
        </w:tabs>
        <w:numPr>
          <w:ilvl w:val="0"/>
          <w:numId w:val="33"/>
        </w:numPr>
        <w:rPr>
          <w:rFonts w:ascii="MS PGothic" w:cs="MS PGothic" w:eastAsia="MS PGothic" w:hAnsi="MS PGothic"/>
          <w:sz w:val="36"/>
          <w:szCs w:val="36"/>
          <w:color w:val="5D89B4"/>
          <w:vertAlign w:val="subscript"/>
          <w:shd w:val="clear" w:color="auto" w:fill="E6EDF3"/>
        </w:rPr>
      </w:pPr>
      <w:r>
        <w:rPr>
          <w:rFonts w:ascii="Arial" w:cs="Arial" w:eastAsia="Arial" w:hAnsi="Arial"/>
          <w:sz w:val="15"/>
          <w:szCs w:val="15"/>
          <w:color w:val="auto"/>
        </w:rPr>
        <w:t>The Committee engages an independent compensation consultant that works solely in support of the Committee.</w:t>
      </w:r>
    </w:p>
    <w:p>
      <w:pPr>
        <w:spacing w:after="0" w:line="1" w:lineRule="exact"/>
        <w:rPr>
          <w:rFonts w:ascii="MS PGothic" w:cs="MS PGothic" w:eastAsia="MS PGothic" w:hAnsi="MS PGothic"/>
          <w:sz w:val="36"/>
          <w:szCs w:val="36"/>
          <w:color w:val="5D89B4"/>
          <w:vertAlign w:val="subscript"/>
          <w:shd w:val="clear" w:color="auto" w:fill="E6EDF3"/>
        </w:rPr>
      </w:pPr>
    </w:p>
    <w:p>
      <w:pPr>
        <w:ind w:left="580" w:right="120" w:hanging="572"/>
        <w:spacing w:after="0" w:line="186" w:lineRule="auto"/>
        <w:tabs>
          <w:tab w:leader="none" w:pos="580" w:val="left"/>
        </w:tabs>
        <w:numPr>
          <w:ilvl w:val="0"/>
          <w:numId w:val="33"/>
        </w:numPr>
        <w:rPr>
          <w:rFonts w:ascii="MS PGothic" w:cs="MS PGothic" w:eastAsia="MS PGothic" w:hAnsi="MS PGothic"/>
          <w:sz w:val="58"/>
          <w:szCs w:val="58"/>
          <w:color w:val="5D89B4"/>
          <w:vertAlign w:val="subscript"/>
        </w:rPr>
      </w:pPr>
      <w:r>
        <w:rPr>
          <w:rFonts w:ascii="Arial" w:cs="Arial" w:eastAsia="Arial" w:hAnsi="Arial"/>
          <w:sz w:val="18"/>
          <w:szCs w:val="18"/>
          <w:color w:val="auto"/>
        </w:rPr>
        <w:t>We listen to our shareholders. In addition to an annual “say-on-pay” advisory vote, we regularly reach out to leading shareholders and their advisory firms to discuss our governance and executive compensation. In 2016, we continued to meet with our shareholders to review these topics and ensure our programs are well-understood and consistent with their expectations.</w:t>
      </w:r>
    </w:p>
    <w:p>
      <w:pPr>
        <w:spacing w:after="0" w:line="6" w:lineRule="exact"/>
        <w:rPr>
          <w:rFonts w:ascii="MS PGothic" w:cs="MS PGothic" w:eastAsia="MS PGothic" w:hAnsi="MS PGothic"/>
          <w:sz w:val="58"/>
          <w:szCs w:val="58"/>
          <w:color w:val="5D89B4"/>
          <w:vertAlign w:val="subscript"/>
        </w:rPr>
      </w:pPr>
    </w:p>
    <w:p>
      <w:pPr>
        <w:ind w:left="580" w:right="40" w:hanging="572"/>
        <w:spacing w:after="0" w:line="188" w:lineRule="auto"/>
        <w:tabs>
          <w:tab w:leader="none" w:pos="580" w:val="left"/>
        </w:tabs>
        <w:numPr>
          <w:ilvl w:val="0"/>
          <w:numId w:val="33"/>
        </w:numPr>
        <w:rPr>
          <w:rFonts w:ascii="MS PGothic" w:cs="MS PGothic" w:eastAsia="MS PGothic" w:hAnsi="MS PGothic"/>
          <w:sz w:val="58"/>
          <w:szCs w:val="58"/>
          <w:color w:val="5D89B4"/>
          <w:vertAlign w:val="subscript"/>
        </w:rPr>
      </w:pPr>
      <w:r>
        <w:rPr>
          <w:rFonts w:ascii="Arial" w:cs="Arial" w:eastAsia="Arial" w:hAnsi="Arial"/>
          <w:sz w:val="18"/>
          <w:szCs w:val="18"/>
          <w:color w:val="auto"/>
        </w:rPr>
        <w:t>We adjust our programs based on shareholder input. For example, in the past, we received comments that the performance period we utilized in our performance share unit program was too short. Based on that feedback, beginning in 2014, the Committee moved the performance period for our performance share units to a 3-year, rather than a 1-year,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-2577465</wp:posOffset>
            </wp:positionV>
            <wp:extent cx="3181350" cy="2571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181350" cy="25717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-2063115</wp:posOffset>
            </wp:positionV>
            <wp:extent cx="3181350" cy="2571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18135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-904875</wp:posOffset>
            </wp:positionV>
            <wp:extent cx="3473450" cy="900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73450" cy="90043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28</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2178"/>
        <w:spacing w:after="0"/>
        <w:rPr>
          <w:sz w:val="20"/>
          <w:szCs w:val="20"/>
          <w:color w:val="auto"/>
        </w:rPr>
      </w:pPr>
      <w:r>
        <w:rPr>
          <w:rFonts w:ascii="Arial" w:cs="Arial" w:eastAsia="Arial" w:hAnsi="Arial"/>
          <w:sz w:val="18"/>
          <w:szCs w:val="18"/>
          <w:b w:val="1"/>
          <w:bCs w:val="1"/>
          <w:color w:val="5D89B4"/>
        </w:rPr>
        <w:t>WHAT WE DON’T DO:</w:t>
      </w:r>
    </w:p>
    <w:p>
      <w:pPr>
        <w:spacing w:after="0" w:line="45" w:lineRule="exact"/>
        <w:rPr>
          <w:sz w:val="20"/>
          <w:szCs w:val="20"/>
          <w:color w:val="auto"/>
        </w:rPr>
      </w:pPr>
    </w:p>
    <w:p>
      <w:pPr>
        <w:ind w:left="598" w:hanging="598"/>
        <w:spacing w:after="0" w:line="188" w:lineRule="auto"/>
        <w:tabs>
          <w:tab w:leader="none" w:pos="598" w:val="left"/>
        </w:tabs>
        <w:numPr>
          <w:ilvl w:val="0"/>
          <w:numId w:val="34"/>
        </w:numPr>
        <w:rPr>
          <w:rFonts w:ascii="Arial" w:cs="Arial" w:eastAsia="Arial" w:hAnsi="Arial"/>
          <w:sz w:val="58"/>
          <w:szCs w:val="58"/>
          <w:b w:val="1"/>
          <w:bCs w:val="1"/>
          <w:i w:val="1"/>
          <w:iCs w:val="1"/>
          <w:color w:val="5D89B4"/>
          <w:vertAlign w:val="subscript"/>
        </w:rPr>
      </w:pPr>
      <w:r>
        <w:rPr>
          <w:rFonts w:ascii="Arial" w:cs="Arial" w:eastAsia="Arial" w:hAnsi="Arial"/>
          <w:sz w:val="18"/>
          <w:szCs w:val="18"/>
          <w:color w:val="auto"/>
        </w:rPr>
        <w:t>We do not reward our NEOs on Total Shareholder Return (“TSR”) as a performance metric. In our experience, our stock price can rise or fall quickly, often in advance of perceived changes in the global business climate. These fluctuations are often de-coupled from the fundamentals of our business. We believe other performance metrics are more effective at incenting executive performance, and we do not make use of TSR. Instead, our Committee sets meaningful targets each year for our three key metrics.</w:t>
      </w:r>
    </w:p>
    <w:p>
      <w:pPr>
        <w:spacing w:after="0" w:line="3" w:lineRule="exact"/>
        <w:rPr>
          <w:rFonts w:ascii="Arial" w:cs="Arial" w:eastAsia="Arial" w:hAnsi="Arial"/>
          <w:sz w:val="58"/>
          <w:szCs w:val="58"/>
          <w:b w:val="1"/>
          <w:bCs w:val="1"/>
          <w:i w:val="1"/>
          <w:iCs w:val="1"/>
          <w:color w:val="5D89B4"/>
          <w:vertAlign w:val="subscript"/>
        </w:rPr>
      </w:pPr>
    </w:p>
    <w:p>
      <w:pPr>
        <w:ind w:left="598" w:right="300" w:hanging="598"/>
        <w:spacing w:after="0" w:line="187" w:lineRule="auto"/>
        <w:tabs>
          <w:tab w:leader="none" w:pos="598" w:val="left"/>
        </w:tabs>
        <w:numPr>
          <w:ilvl w:val="0"/>
          <w:numId w:val="34"/>
        </w:numPr>
        <w:rPr>
          <w:rFonts w:ascii="Arial" w:cs="Arial" w:eastAsia="Arial" w:hAnsi="Arial"/>
          <w:sz w:val="31"/>
          <w:szCs w:val="31"/>
          <w:b w:val="1"/>
          <w:bCs w:val="1"/>
          <w:i w:val="1"/>
          <w:iCs w:val="1"/>
          <w:color w:val="5D89B4"/>
          <w:vertAlign w:val="subscript"/>
        </w:rPr>
      </w:pPr>
      <w:r>
        <w:rPr>
          <w:rFonts w:ascii="Arial" w:cs="Arial" w:eastAsia="Arial" w:hAnsi="Arial"/>
          <w:sz w:val="14"/>
          <w:szCs w:val="14"/>
          <w:color w:val="auto"/>
        </w:rPr>
        <w:t>We do not provide tax gross up payments for any amounts considered excess parachute payments.</w:t>
      </w:r>
    </w:p>
    <w:p>
      <w:pPr>
        <w:spacing w:after="0" w:line="1" w:lineRule="exact"/>
        <w:rPr>
          <w:rFonts w:ascii="Arial" w:cs="Arial" w:eastAsia="Arial" w:hAnsi="Arial"/>
          <w:sz w:val="31"/>
          <w:szCs w:val="31"/>
          <w:b w:val="1"/>
          <w:bCs w:val="1"/>
          <w:i w:val="1"/>
          <w:iCs w:val="1"/>
          <w:color w:val="5D89B4"/>
          <w:vertAlign w:val="subscript"/>
        </w:rPr>
      </w:pPr>
    </w:p>
    <w:p>
      <w:pPr>
        <w:ind w:left="598" w:hanging="598"/>
        <w:spacing w:after="0" w:line="181" w:lineRule="auto"/>
        <w:tabs>
          <w:tab w:leader="none" w:pos="598" w:val="left"/>
        </w:tabs>
        <w:numPr>
          <w:ilvl w:val="0"/>
          <w:numId w:val="34"/>
        </w:numPr>
        <w:rPr>
          <w:rFonts w:ascii="Arial" w:cs="Arial" w:eastAsia="Arial" w:hAnsi="Arial"/>
          <w:sz w:val="25"/>
          <w:szCs w:val="25"/>
          <w:b w:val="1"/>
          <w:bCs w:val="1"/>
          <w:i w:val="1"/>
          <w:iCs w:val="1"/>
          <w:color w:val="5D89B4"/>
          <w:vertAlign w:val="subscript"/>
        </w:rPr>
      </w:pPr>
      <w:r>
        <w:rPr>
          <w:rFonts w:ascii="Arial" w:cs="Arial" w:eastAsia="Arial" w:hAnsi="Arial"/>
          <w:sz w:val="14"/>
          <w:szCs w:val="14"/>
          <w:color w:val="auto"/>
        </w:rPr>
        <w:t>We do not pay dividends on performance share units.</w:t>
      </w:r>
    </w:p>
    <w:p>
      <w:pPr>
        <w:spacing w:after="0" w:line="188" w:lineRule="exact"/>
        <w:rPr>
          <w:rFonts w:ascii="Arial" w:cs="Arial" w:eastAsia="Arial" w:hAnsi="Arial"/>
          <w:sz w:val="25"/>
          <w:szCs w:val="25"/>
          <w:b w:val="1"/>
          <w:bCs w:val="1"/>
          <w:i w:val="1"/>
          <w:iCs w:val="1"/>
          <w:color w:val="5D89B4"/>
          <w:vertAlign w:val="subscript"/>
        </w:rPr>
      </w:pPr>
    </w:p>
    <w:p>
      <w:pPr>
        <w:ind w:left="598" w:right="20" w:hanging="598"/>
        <w:spacing w:after="0" w:line="187" w:lineRule="auto"/>
        <w:tabs>
          <w:tab w:leader="none" w:pos="598" w:val="left"/>
        </w:tabs>
        <w:numPr>
          <w:ilvl w:val="0"/>
          <w:numId w:val="34"/>
        </w:numPr>
        <w:rPr>
          <w:rFonts w:ascii="Arial" w:cs="Arial" w:eastAsia="Arial" w:hAnsi="Arial"/>
          <w:sz w:val="31"/>
          <w:szCs w:val="31"/>
          <w:b w:val="1"/>
          <w:bCs w:val="1"/>
          <w:i w:val="1"/>
          <w:iCs w:val="1"/>
          <w:color w:val="5D89B4"/>
          <w:vertAlign w:val="subscript"/>
        </w:rPr>
      </w:pPr>
      <w:r>
        <w:rPr>
          <w:rFonts w:ascii="Arial" w:cs="Arial" w:eastAsia="Arial" w:hAnsi="Arial"/>
          <w:sz w:val="14"/>
          <w:szCs w:val="14"/>
          <w:color w:val="auto"/>
        </w:rPr>
        <w:t>We do not permit the repricing of stock options without prior shareholder approval, except in connection with a transaction.</w:t>
      </w:r>
    </w:p>
    <w:p>
      <w:pPr>
        <w:spacing w:after="0" w:line="1" w:lineRule="exact"/>
        <w:rPr>
          <w:rFonts w:ascii="Arial" w:cs="Arial" w:eastAsia="Arial" w:hAnsi="Arial"/>
          <w:sz w:val="31"/>
          <w:szCs w:val="31"/>
          <w:b w:val="1"/>
          <w:bCs w:val="1"/>
          <w:i w:val="1"/>
          <w:iCs w:val="1"/>
          <w:color w:val="5D89B4"/>
          <w:vertAlign w:val="subscript"/>
        </w:rPr>
      </w:pPr>
    </w:p>
    <w:p>
      <w:pPr>
        <w:ind w:left="598" w:right="300" w:hanging="598"/>
        <w:spacing w:after="0" w:line="185" w:lineRule="auto"/>
        <w:tabs>
          <w:tab w:leader="none" w:pos="598" w:val="left"/>
        </w:tabs>
        <w:numPr>
          <w:ilvl w:val="0"/>
          <w:numId w:val="34"/>
        </w:numPr>
        <w:rPr>
          <w:rFonts w:ascii="Arial" w:cs="Arial" w:eastAsia="Arial" w:hAnsi="Arial"/>
          <w:sz w:val="45"/>
          <w:szCs w:val="45"/>
          <w:b w:val="1"/>
          <w:bCs w:val="1"/>
          <w:i w:val="1"/>
          <w:iCs w:val="1"/>
          <w:color w:val="5D89B4"/>
          <w:vertAlign w:val="subscript"/>
        </w:rPr>
      </w:pPr>
      <w:r>
        <w:rPr>
          <w:rFonts w:ascii="Arial" w:cs="Arial" w:eastAsia="Arial" w:hAnsi="Arial"/>
          <w:sz w:val="16"/>
          <w:szCs w:val="16"/>
          <w:color w:val="auto"/>
        </w:rPr>
        <w:t>We do not permit executives to engage in short-selling of ManpowerGroup securities or trading in puts and calls on ManpowerGroup securities. Similarly, we do not permit our NEOs to pledge shares of our common stock.</w:t>
      </w:r>
    </w:p>
    <w:p>
      <w:pPr>
        <w:spacing w:after="0" w:line="143" w:lineRule="exact"/>
        <w:rPr>
          <w:rFonts w:ascii="Arial" w:cs="Arial" w:eastAsia="Arial" w:hAnsi="Arial"/>
          <w:sz w:val="45"/>
          <w:szCs w:val="45"/>
          <w:b w:val="1"/>
          <w:bCs w:val="1"/>
          <w:i w:val="1"/>
          <w:iCs w:val="1"/>
          <w:color w:val="5D89B4"/>
          <w:vertAlign w:val="subscript"/>
        </w:rPr>
      </w:pPr>
    </w:p>
    <w:p>
      <w:pPr>
        <w:ind w:left="598" w:hanging="598"/>
        <w:spacing w:after="0"/>
        <w:tabs>
          <w:tab w:leader="none" w:pos="598" w:val="left"/>
        </w:tabs>
        <w:numPr>
          <w:ilvl w:val="0"/>
          <w:numId w:val="34"/>
        </w:numPr>
        <w:rPr>
          <w:rFonts w:ascii="Arial" w:cs="Arial" w:eastAsia="Arial" w:hAnsi="Arial"/>
          <w:sz w:val="58"/>
          <w:szCs w:val="58"/>
          <w:b w:val="1"/>
          <w:bCs w:val="1"/>
          <w:i w:val="1"/>
          <w:iCs w:val="1"/>
          <w:color w:val="5D89B4"/>
          <w:vertAlign w:val="subscript"/>
        </w:rPr>
      </w:pPr>
      <w:r>
        <w:rPr>
          <w:rFonts w:ascii="Arial" w:cs="Arial" w:eastAsia="Arial" w:hAnsi="Arial"/>
          <w:sz w:val="18"/>
          <w:szCs w:val="18"/>
          <w:color w:val="auto"/>
        </w:rPr>
        <w:t>We do not provide excessive perquisites to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-1809115</wp:posOffset>
            </wp:positionV>
            <wp:extent cx="3636010" cy="2571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636010" cy="25717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-1294130</wp:posOffset>
            </wp:positionV>
            <wp:extent cx="3636010" cy="2571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636010" cy="25717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-136525</wp:posOffset>
            </wp:positionV>
            <wp:extent cx="3636010" cy="9004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636010" cy="900430"/>
                    </a:xfrm>
                    <a:prstGeom prst="rect">
                      <a:avLst/>
                    </a:prstGeom>
                    <a:noFill/>
                  </pic:spPr>
                </pic:pic>
              </a:graphicData>
            </a:graphic>
          </wp:anchor>
        </w:drawing>
      </w:r>
    </w:p>
    <w:p>
      <w:pPr>
        <w:sectPr>
          <w:pgSz w:w="11900" w:h="16838" w:orient="portrait"/>
          <w:cols w:equalWidth="0" w:num="2">
            <w:col w:w="5460" w:space="342"/>
            <w:col w:w="5558"/>
          </w:cols>
          <w:pgMar w:left="240" w:top="459" w:right="29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8180"/>
        <w:spacing w:after="0"/>
        <w:rPr>
          <w:sz w:val="20"/>
          <w:szCs w:val="20"/>
          <w:color w:val="auto"/>
        </w:rPr>
      </w:pPr>
      <w:r>
        <w:rPr>
          <w:rFonts w:ascii="Arial" w:cs="Arial" w:eastAsia="Arial" w:hAnsi="Arial"/>
          <w:sz w:val="18"/>
          <w:szCs w:val="18"/>
          <w:color w:val="FFFFF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306705</wp:posOffset>
            </wp:positionV>
            <wp:extent cx="7254875" cy="163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875" cy="16319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5D89B4"/>
        </w:rPr>
        <w:t>WE MAINTAIN STRONG COMPENSATION AND CORPORATE GOVERNANCE PRACTICES: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 the years we have continued to enhance our compensation and corporate governance practices:</w:t>
      </w:r>
    </w:p>
    <w:p>
      <w:pPr>
        <w:spacing w:after="0" w:line="8" w:lineRule="exact"/>
        <w:rPr>
          <w:sz w:val="20"/>
          <w:szCs w:val="20"/>
          <w:color w:val="auto"/>
        </w:rPr>
      </w:pPr>
    </w:p>
    <w:p>
      <w:pPr>
        <w:ind w:left="580" w:right="120" w:hanging="572"/>
        <w:spacing w:after="0" w:line="216" w:lineRule="auto"/>
        <w:tabs>
          <w:tab w:leader="none" w:pos="580" w:val="left"/>
        </w:tabs>
        <w:numPr>
          <w:ilvl w:val="0"/>
          <w:numId w:val="35"/>
        </w:numPr>
        <w:rPr>
          <w:rFonts w:ascii="MS PGothic" w:cs="MS PGothic" w:eastAsia="MS PGothic" w:hAnsi="MS PGothic"/>
          <w:sz w:val="45"/>
          <w:szCs w:val="45"/>
          <w:color w:val="5D89B4"/>
          <w:vertAlign w:val="subscript"/>
        </w:rPr>
      </w:pPr>
      <w:r>
        <w:rPr>
          <w:rFonts w:ascii="Arial" w:cs="Arial" w:eastAsia="Arial" w:hAnsi="Arial"/>
          <w:sz w:val="16"/>
          <w:szCs w:val="16"/>
          <w:u w:val="single" w:color="auto"/>
          <w:color w:val="auto"/>
        </w:rPr>
        <w:t>Use ROIC as a key performance metric</w:t>
      </w:r>
      <w:r>
        <w:rPr>
          <w:rFonts w:ascii="Arial" w:cs="Arial" w:eastAsia="Arial" w:hAnsi="Arial"/>
          <w:sz w:val="16"/>
          <w:szCs w:val="16"/>
          <w:color w:val="auto"/>
        </w:rPr>
        <w:t>: We replaced Economic Profit with ROIC to more clearly measure how effectively we are using our capital.</w:t>
      </w:r>
    </w:p>
    <w:p>
      <w:pPr>
        <w:ind w:left="580" w:right="240" w:hanging="572"/>
        <w:spacing w:after="0" w:line="182" w:lineRule="auto"/>
        <w:tabs>
          <w:tab w:leader="none" w:pos="580" w:val="left"/>
        </w:tabs>
        <w:numPr>
          <w:ilvl w:val="0"/>
          <w:numId w:val="35"/>
        </w:numPr>
        <w:rPr>
          <w:rFonts w:ascii="MS PGothic" w:cs="MS PGothic" w:eastAsia="MS PGothic" w:hAnsi="MS PGothic"/>
          <w:sz w:val="36"/>
          <w:szCs w:val="36"/>
          <w:color w:val="5D89B4"/>
          <w:vertAlign w:val="subscript"/>
          <w:shd w:val="clear" w:color="auto" w:fill="E6EDF3"/>
        </w:rPr>
      </w:pPr>
      <w:r>
        <w:rPr>
          <w:rFonts w:ascii="Arial" w:cs="Arial" w:eastAsia="Arial" w:hAnsi="Arial"/>
          <w:sz w:val="15"/>
          <w:szCs w:val="15"/>
          <w:u w:val="single" w:color="auto"/>
          <w:color w:val="auto"/>
        </w:rPr>
        <w:t>Return to 3-year performance period for performance share units</w:t>
      </w:r>
      <w:r>
        <w:rPr>
          <w:rFonts w:ascii="Arial" w:cs="Arial" w:eastAsia="Arial" w:hAnsi="Arial"/>
          <w:sz w:val="15"/>
          <w:szCs w:val="15"/>
          <w:color w:val="auto"/>
        </w:rPr>
        <w:t>: We returned to a 3-year performance period for performance share units to better align the interests of executive officers with long-term shareholder value.</w:t>
      </w:r>
    </w:p>
    <w:p>
      <w:pPr>
        <w:spacing w:after="0" w:line="1" w:lineRule="exact"/>
        <w:rPr>
          <w:rFonts w:ascii="MS PGothic" w:cs="MS PGothic" w:eastAsia="MS PGothic" w:hAnsi="MS PGothic"/>
          <w:sz w:val="36"/>
          <w:szCs w:val="36"/>
          <w:color w:val="5D89B4"/>
          <w:vertAlign w:val="subscript"/>
          <w:shd w:val="clear" w:color="auto" w:fill="E6EDF3"/>
        </w:rPr>
      </w:pPr>
    </w:p>
    <w:p>
      <w:pPr>
        <w:ind w:left="580" w:right="180" w:hanging="572"/>
        <w:spacing w:after="0" w:line="182" w:lineRule="auto"/>
        <w:tabs>
          <w:tab w:leader="none" w:pos="580" w:val="left"/>
        </w:tabs>
        <w:numPr>
          <w:ilvl w:val="0"/>
          <w:numId w:val="35"/>
        </w:numPr>
        <w:rPr>
          <w:rFonts w:ascii="MS PGothic" w:cs="MS PGothic" w:eastAsia="MS PGothic" w:hAnsi="MS PGothic"/>
          <w:sz w:val="36"/>
          <w:szCs w:val="36"/>
          <w:color w:val="5D89B4"/>
          <w:vertAlign w:val="subscript"/>
        </w:rPr>
      </w:pPr>
      <w:r>
        <w:rPr>
          <w:rFonts w:ascii="Arial" w:cs="Arial" w:eastAsia="Arial" w:hAnsi="Arial"/>
          <w:sz w:val="15"/>
          <w:szCs w:val="15"/>
          <w:u w:val="single" w:color="auto"/>
          <w:color w:val="auto"/>
        </w:rPr>
        <w:t>Further expanded use of performance-based equity</w:t>
      </w:r>
      <w:r>
        <w:rPr>
          <w:rFonts w:ascii="Arial" w:cs="Arial" w:eastAsia="Arial" w:hAnsi="Arial"/>
          <w:sz w:val="15"/>
          <w:szCs w:val="15"/>
          <w:color w:val="auto"/>
        </w:rPr>
        <w:t>: We modified our long-term incentive program to increase our use of performance share units to represent over 60% of long-term equity grants.</w:t>
      </w:r>
    </w:p>
    <w:p>
      <w:pPr>
        <w:spacing w:after="0" w:line="1" w:lineRule="exact"/>
        <w:rPr>
          <w:rFonts w:ascii="MS PGothic" w:cs="MS PGothic" w:eastAsia="MS PGothic" w:hAnsi="MS PGothic"/>
          <w:sz w:val="36"/>
          <w:szCs w:val="36"/>
          <w:color w:val="5D89B4"/>
          <w:vertAlign w:val="subscript"/>
        </w:rPr>
      </w:pPr>
    </w:p>
    <w:p>
      <w:pPr>
        <w:ind w:left="580" w:hanging="572"/>
        <w:spacing w:after="0" w:line="185" w:lineRule="auto"/>
        <w:tabs>
          <w:tab w:leader="none" w:pos="580" w:val="left"/>
        </w:tabs>
        <w:numPr>
          <w:ilvl w:val="0"/>
          <w:numId w:val="35"/>
        </w:numPr>
        <w:rPr>
          <w:rFonts w:ascii="MS PGothic" w:cs="MS PGothic" w:eastAsia="MS PGothic" w:hAnsi="MS PGothic"/>
          <w:sz w:val="28"/>
          <w:szCs w:val="28"/>
          <w:color w:val="5D89B4"/>
          <w:vertAlign w:val="subscript"/>
          <w:shd w:val="clear" w:color="auto" w:fill="E6EDF3"/>
        </w:rPr>
      </w:pPr>
      <w:r>
        <w:rPr>
          <w:rFonts w:ascii="Arial" w:cs="Arial" w:eastAsia="Arial" w:hAnsi="Arial"/>
          <w:sz w:val="14"/>
          <w:szCs w:val="14"/>
          <w:u w:val="single" w:color="auto"/>
          <w:color w:val="auto"/>
        </w:rPr>
        <w:t>Elimination of classified board</w:t>
      </w:r>
      <w:r>
        <w:rPr>
          <w:rFonts w:ascii="Arial" w:cs="Arial" w:eastAsia="Arial" w:hAnsi="Arial"/>
          <w:sz w:val="14"/>
          <w:szCs w:val="14"/>
          <w:color w:val="auto"/>
        </w:rPr>
        <w:t>: We eliminated our classified board structure and hold annual elections of directors.</w:t>
      </w:r>
    </w:p>
    <w:p>
      <w:pPr>
        <w:spacing w:after="0" w:line="135" w:lineRule="exact"/>
        <w:rPr>
          <w:rFonts w:ascii="MS PGothic" w:cs="MS PGothic" w:eastAsia="MS PGothic" w:hAnsi="MS PGothic"/>
          <w:sz w:val="28"/>
          <w:szCs w:val="28"/>
          <w:color w:val="5D89B4"/>
          <w:vertAlign w:val="subscript"/>
          <w:shd w:val="clear" w:color="auto" w:fill="E6EDF3"/>
        </w:rPr>
      </w:pPr>
    </w:p>
    <w:p>
      <w:pPr>
        <w:jc w:val="both"/>
        <w:ind w:left="580" w:right="120" w:hanging="572"/>
        <w:spacing w:after="0" w:line="180" w:lineRule="auto"/>
        <w:tabs>
          <w:tab w:leader="none" w:pos="580" w:val="left"/>
        </w:tabs>
        <w:numPr>
          <w:ilvl w:val="0"/>
          <w:numId w:val="35"/>
        </w:numPr>
        <w:rPr>
          <w:rFonts w:ascii="MS PGothic" w:cs="MS PGothic" w:eastAsia="MS PGothic" w:hAnsi="MS PGothic"/>
          <w:sz w:val="44"/>
          <w:szCs w:val="44"/>
          <w:color w:val="5D89B4"/>
          <w:vertAlign w:val="subscript"/>
        </w:rPr>
      </w:pPr>
      <w:r>
        <w:rPr>
          <w:rFonts w:ascii="Arial" w:cs="Arial" w:eastAsia="Arial" w:hAnsi="Arial"/>
          <w:sz w:val="16"/>
          <w:szCs w:val="16"/>
          <w:u w:val="single" w:color="auto"/>
          <w:color w:val="auto"/>
        </w:rPr>
        <w:t>Strengthened role of lead director</w:t>
      </w:r>
      <w:r>
        <w:rPr>
          <w:rFonts w:ascii="Arial" w:cs="Arial" w:eastAsia="Arial" w:hAnsi="Arial"/>
          <w:sz w:val="16"/>
          <w:szCs w:val="16"/>
          <w:color w:val="auto"/>
        </w:rPr>
        <w:t>: We eliminated a practice in which we rotated our lead director annually. Today, our board appoints a lead director with the intent that the individual will serve for at least three years. The roles and responsibilities of the lead director have been clarified, and the lead director receives additional compensation for serving in this role.</w:t>
      </w:r>
    </w:p>
    <w:p>
      <w:pPr>
        <w:spacing w:after="0" w:line="1" w:lineRule="exact"/>
        <w:rPr>
          <w:rFonts w:ascii="MS PGothic" w:cs="MS PGothic" w:eastAsia="MS PGothic" w:hAnsi="MS PGothic"/>
          <w:sz w:val="44"/>
          <w:szCs w:val="44"/>
          <w:color w:val="5D89B4"/>
          <w:vertAlign w:val="subscript"/>
        </w:rPr>
      </w:pPr>
    </w:p>
    <w:p>
      <w:pPr>
        <w:ind w:left="580" w:right="20" w:hanging="572"/>
        <w:spacing w:after="0" w:line="180" w:lineRule="auto"/>
        <w:tabs>
          <w:tab w:leader="none" w:pos="580" w:val="left"/>
        </w:tabs>
        <w:numPr>
          <w:ilvl w:val="0"/>
          <w:numId w:val="35"/>
        </w:numPr>
        <w:rPr>
          <w:rFonts w:ascii="MS PGothic" w:cs="MS PGothic" w:eastAsia="MS PGothic" w:hAnsi="MS PGothic"/>
          <w:sz w:val="49"/>
          <w:szCs w:val="49"/>
          <w:color w:val="5D89B4"/>
          <w:vertAlign w:val="subscript"/>
        </w:rPr>
      </w:pPr>
      <w:r>
        <w:rPr>
          <w:rFonts w:ascii="Arial" w:cs="Arial" w:eastAsia="Arial" w:hAnsi="Arial"/>
          <w:sz w:val="17"/>
          <w:szCs w:val="17"/>
          <w:u w:val="single" w:color="auto"/>
          <w:color w:val="auto"/>
        </w:rPr>
        <w:t>Adoption of clawback policy</w:t>
      </w:r>
      <w:r>
        <w:rPr>
          <w:rFonts w:ascii="Arial" w:cs="Arial" w:eastAsia="Arial" w:hAnsi="Arial"/>
          <w:sz w:val="17"/>
          <w:szCs w:val="17"/>
          <w:color w:val="auto"/>
        </w:rPr>
        <w:t>: Even though the SEC has not adopted final rules under the Dodd-Frank Wall Street Reform and Consumer Protection Act regarding clawback requirements, we believe it is an important feature of an executive compensation program. Under our clawback policy, if the Committee determines an employee engaged in intentional misconduct that causes a financial restatement, it may revoke any outstanding awards, including cash incentives or equity awards, that were received as a result of the misconduct.</w:t>
      </w:r>
    </w:p>
    <w:p>
      <w:pPr>
        <w:spacing w:after="0" w:line="2" w:lineRule="exact"/>
        <w:rPr>
          <w:rFonts w:ascii="MS PGothic" w:cs="MS PGothic" w:eastAsia="MS PGothic" w:hAnsi="MS PGothic"/>
          <w:sz w:val="49"/>
          <w:szCs w:val="49"/>
          <w:color w:val="5D89B4"/>
          <w:vertAlign w:val="subscript"/>
        </w:rPr>
      </w:pPr>
    </w:p>
    <w:p>
      <w:pPr>
        <w:ind w:left="580" w:right="320" w:hanging="572"/>
        <w:spacing w:after="0" w:line="182" w:lineRule="auto"/>
        <w:tabs>
          <w:tab w:leader="none" w:pos="580" w:val="left"/>
        </w:tabs>
        <w:numPr>
          <w:ilvl w:val="0"/>
          <w:numId w:val="35"/>
        </w:numPr>
        <w:rPr>
          <w:rFonts w:ascii="MS PGothic" w:cs="MS PGothic" w:eastAsia="MS PGothic" w:hAnsi="MS PGothic"/>
          <w:sz w:val="38"/>
          <w:szCs w:val="38"/>
          <w:color w:val="5D89B4"/>
          <w:vertAlign w:val="subscript"/>
        </w:rPr>
      </w:pPr>
      <w:r>
        <w:rPr>
          <w:rFonts w:ascii="Arial" w:cs="Arial" w:eastAsia="Arial" w:hAnsi="Arial"/>
          <w:sz w:val="15"/>
          <w:szCs w:val="15"/>
          <w:u w:val="single" w:color="auto"/>
          <w:color w:val="auto"/>
        </w:rPr>
        <w:t>Tightened stock ownership guidelines</w:t>
      </w:r>
      <w:r>
        <w:rPr>
          <w:rFonts w:ascii="Arial" w:cs="Arial" w:eastAsia="Arial" w:hAnsi="Arial"/>
          <w:sz w:val="15"/>
          <w:szCs w:val="15"/>
          <w:color w:val="auto"/>
        </w:rPr>
        <w:t>: Senior executives who have not met their individual ownership requirement must hold 50% of any of the shares they receive from an exercise or vesting of awards until the requirement is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-1903095</wp:posOffset>
            </wp:positionV>
            <wp:extent cx="6955155" cy="2571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55155" cy="25717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-1388110</wp:posOffset>
            </wp:positionV>
            <wp:extent cx="6955155" cy="2228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55155"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-779145</wp:posOffset>
            </wp:positionV>
            <wp:extent cx="7246620" cy="514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5143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CEO Compensation Continues to Follow our Guiding Principle of Pay-For-Performance</w:t>
      </w:r>
    </w:p>
    <w:p>
      <w:pPr>
        <w:spacing w:after="0" w:line="166" w:lineRule="exact"/>
        <w:rPr>
          <w:sz w:val="20"/>
          <w:szCs w:val="20"/>
          <w:color w:val="auto"/>
        </w:rPr>
      </w:pPr>
    </w:p>
    <w:p>
      <w:pPr>
        <w:jc w:val="both"/>
        <w:ind w:right="660"/>
        <w:spacing w:after="0"/>
        <w:rPr>
          <w:sz w:val="20"/>
          <w:szCs w:val="20"/>
          <w:color w:val="auto"/>
        </w:rPr>
      </w:pPr>
      <w:r>
        <w:rPr>
          <w:rFonts w:ascii="Arial" w:cs="Arial" w:eastAsia="Arial" w:hAnsi="Arial"/>
          <w:sz w:val="18"/>
          <w:szCs w:val="18"/>
          <w:color w:val="auto"/>
        </w:rPr>
        <w:t>We remain committed to performance-based compensation. Approximately 74% of Mr. Prising’s 2016 target compensation was tied to Company performance and 90% of his total pay was variable. As a result of our strong financial performance in 2016, Mr. Prising’s total compensation in 2016 was 104% of target. The discussion below highlights each component of Mr. Prising’s compensation in 2016.</w:t>
      </w:r>
    </w:p>
    <w:p>
      <w:pPr>
        <w:spacing w:after="0" w:line="135"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u w:val="single" w:color="auto"/>
          <w:color w:val="auto"/>
        </w:rPr>
        <w:t>Annual Cash Incentive: Payout Was 124% of Target</w:t>
      </w:r>
      <w:r>
        <w:rPr>
          <w:rFonts w:ascii="Arial" w:cs="Arial" w:eastAsia="Arial" w:hAnsi="Arial"/>
          <w:sz w:val="18"/>
          <w:szCs w:val="18"/>
          <w:color w:val="auto"/>
        </w:rPr>
        <w:t>. In light of the financial performance of the Company and the Committee’s assessment of Mr. Prising’s achievement of his operating objectives as CEO, Mr. Prising’s annual cash incentive payout was 124% of target.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actual cash incentive payout to Mr. Prising for 2016:</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200" w:type="dxa"/>
            <w:vAlign w:val="bottom"/>
            <w:tcBorders>
              <w:top w:val="single" w:sz="8" w:color="auto"/>
            </w:tcBorders>
            <w:shd w:val="clear" w:color="auto" w:fill="9DB8D2"/>
          </w:tcPr>
          <w:p>
            <w:pPr>
              <w:spacing w:after="0"/>
              <w:rPr>
                <w:sz w:val="22"/>
                <w:szCs w:val="22"/>
                <w:color w:val="auto"/>
              </w:rPr>
            </w:pPr>
          </w:p>
        </w:tc>
        <w:tc>
          <w:tcPr>
            <w:tcW w:w="1820" w:type="dxa"/>
            <w:vAlign w:val="bottom"/>
            <w:tcBorders>
              <w:top w:val="single" w:sz="8" w:color="auto"/>
            </w:tcBorders>
            <w:shd w:val="clear" w:color="auto" w:fill="9DB8D2"/>
          </w:tcPr>
          <w:p>
            <w:pPr>
              <w:jc w:val="right"/>
              <w:ind w:right="256"/>
              <w:spacing w:after="0"/>
              <w:rPr>
                <w:sz w:val="20"/>
                <w:szCs w:val="20"/>
                <w:color w:val="auto"/>
              </w:rPr>
            </w:pPr>
            <w:r>
              <w:rPr>
                <w:rFonts w:ascii="Arial" w:cs="Arial" w:eastAsia="Arial" w:hAnsi="Arial"/>
                <w:sz w:val="14"/>
                <w:szCs w:val="14"/>
                <w:b w:val="1"/>
                <w:bCs w:val="1"/>
                <w:color w:val="auto"/>
              </w:rPr>
              <w:t>2016 Actual</w:t>
            </w:r>
          </w:p>
        </w:tc>
        <w:tc>
          <w:tcPr>
            <w:tcW w:w="1400" w:type="dxa"/>
            <w:vAlign w:val="bottom"/>
            <w:tcBorders>
              <w:top w:val="single" w:sz="8" w:color="auto"/>
            </w:tcBorders>
            <w:shd w:val="clear" w:color="auto" w:fill="9DB8D2"/>
          </w:tcPr>
          <w:p>
            <w:pPr>
              <w:jc w:val="right"/>
              <w:ind w:right="136"/>
              <w:spacing w:after="0"/>
              <w:rPr>
                <w:sz w:val="20"/>
                <w:szCs w:val="20"/>
                <w:color w:val="auto"/>
              </w:rPr>
            </w:pPr>
            <w:r>
              <w:rPr>
                <w:rFonts w:ascii="Arial" w:cs="Arial" w:eastAsia="Arial" w:hAnsi="Arial"/>
                <w:sz w:val="14"/>
                <w:szCs w:val="14"/>
                <w:b w:val="1"/>
                <w:bCs w:val="1"/>
                <w:color w:val="auto"/>
              </w:rPr>
              <w:t>% Compared</w:t>
            </w:r>
          </w:p>
        </w:tc>
      </w:tr>
      <w:tr>
        <w:trPr>
          <w:trHeight w:val="189"/>
        </w:trPr>
        <w:tc>
          <w:tcPr>
            <w:tcW w:w="8200" w:type="dxa"/>
            <w:vAlign w:val="bottom"/>
            <w:tcBorders>
              <w:bottom w:val="single" w:sz="8" w:color="auto"/>
            </w:tcBorders>
            <w:shd w:val="clear" w:color="auto" w:fill="9DB8D2"/>
          </w:tcPr>
          <w:p>
            <w:pPr>
              <w:spacing w:after="0"/>
              <w:rPr>
                <w:sz w:val="16"/>
                <w:szCs w:val="16"/>
                <w:color w:val="auto"/>
              </w:rPr>
            </w:pPr>
          </w:p>
        </w:tc>
        <w:tc>
          <w:tcPr>
            <w:tcW w:w="1820" w:type="dxa"/>
            <w:vAlign w:val="bottom"/>
            <w:tcBorders>
              <w:bottom w:val="single" w:sz="8" w:color="auto"/>
            </w:tcBorders>
            <w:shd w:val="clear" w:color="auto" w:fill="9DB8D2"/>
          </w:tcPr>
          <w:p>
            <w:pPr>
              <w:jc w:val="right"/>
              <w:ind w:right="356"/>
              <w:spacing w:after="0"/>
              <w:rPr>
                <w:sz w:val="20"/>
                <w:szCs w:val="20"/>
                <w:color w:val="auto"/>
              </w:rPr>
            </w:pPr>
            <w:r>
              <w:rPr>
                <w:rFonts w:ascii="Arial" w:cs="Arial" w:eastAsia="Arial" w:hAnsi="Arial"/>
                <w:sz w:val="14"/>
                <w:szCs w:val="14"/>
                <w:b w:val="1"/>
                <w:bCs w:val="1"/>
                <w:color w:val="auto"/>
              </w:rPr>
              <w:t>Payout $</w:t>
            </w:r>
          </w:p>
        </w:tc>
        <w:tc>
          <w:tcPr>
            <w:tcW w:w="1400" w:type="dxa"/>
            <w:vAlign w:val="bottom"/>
            <w:tcBorders>
              <w:bottom w:val="single" w:sz="8" w:color="auto"/>
            </w:tcBorders>
            <w:shd w:val="clear" w:color="auto" w:fill="9DB8D2"/>
          </w:tcPr>
          <w:p>
            <w:pPr>
              <w:jc w:val="right"/>
              <w:ind w:right="276"/>
              <w:spacing w:after="0"/>
              <w:rPr>
                <w:sz w:val="20"/>
                <w:szCs w:val="20"/>
                <w:color w:val="auto"/>
              </w:rPr>
            </w:pPr>
            <w:r>
              <w:rPr>
                <w:rFonts w:ascii="Arial" w:cs="Arial" w:eastAsia="Arial" w:hAnsi="Arial"/>
                <w:sz w:val="14"/>
                <w:szCs w:val="14"/>
                <w:b w:val="1"/>
                <w:bCs w:val="1"/>
                <w:color w:val="auto"/>
              </w:rPr>
              <w:t>to Target</w:t>
            </w:r>
          </w:p>
        </w:tc>
      </w:tr>
      <w:tr>
        <w:trPr>
          <w:trHeight w:val="196"/>
        </w:trPr>
        <w:tc>
          <w:tcPr>
            <w:tcW w:w="8200" w:type="dxa"/>
            <w:vAlign w:val="bottom"/>
          </w:tcPr>
          <w:p>
            <w:pPr>
              <w:ind w:left="80"/>
              <w:spacing w:after="0" w:line="196" w:lineRule="exact"/>
              <w:rPr>
                <w:sz w:val="20"/>
                <w:szCs w:val="20"/>
                <w:color w:val="auto"/>
              </w:rPr>
            </w:pPr>
            <w:r>
              <w:rPr>
                <w:rFonts w:ascii="Arial" w:cs="Arial" w:eastAsia="Arial" w:hAnsi="Arial"/>
                <w:sz w:val="18"/>
                <w:szCs w:val="18"/>
                <w:color w:val="auto"/>
              </w:rPr>
              <w:t>EPS Goal</w:t>
            </w:r>
          </w:p>
        </w:tc>
        <w:tc>
          <w:tcPr>
            <w:tcW w:w="1820" w:type="dxa"/>
            <w:vAlign w:val="bottom"/>
          </w:tcPr>
          <w:p>
            <w:pPr>
              <w:jc w:val="right"/>
              <w:ind w:right="236"/>
              <w:spacing w:after="0" w:line="196" w:lineRule="exact"/>
              <w:rPr>
                <w:sz w:val="20"/>
                <w:szCs w:val="20"/>
                <w:color w:val="auto"/>
              </w:rPr>
            </w:pPr>
            <w:r>
              <w:rPr>
                <w:rFonts w:ascii="Arial" w:cs="Arial" w:eastAsia="Arial" w:hAnsi="Arial"/>
                <w:sz w:val="18"/>
                <w:szCs w:val="18"/>
                <w:color w:val="auto"/>
              </w:rPr>
              <w:t>752,000</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203"/>
        </w:trPr>
        <w:tc>
          <w:tcPr>
            <w:tcW w:w="8200" w:type="dxa"/>
            <w:vAlign w:val="bottom"/>
            <w:shd w:val="clear" w:color="auto" w:fill="E6EDF3"/>
          </w:tcPr>
          <w:p>
            <w:pPr>
              <w:ind w:left="80"/>
              <w:spacing w:after="0" w:line="202" w:lineRule="exact"/>
              <w:rPr>
                <w:sz w:val="20"/>
                <w:szCs w:val="20"/>
                <w:color w:val="auto"/>
              </w:rPr>
            </w:pPr>
            <w:r>
              <w:rPr>
                <w:rFonts w:ascii="Arial" w:cs="Arial" w:eastAsia="Arial" w:hAnsi="Arial"/>
                <w:sz w:val="18"/>
                <w:szCs w:val="18"/>
                <w:color w:val="auto"/>
              </w:rPr>
              <w:t>ROIC Goal</w:t>
            </w:r>
          </w:p>
        </w:tc>
        <w:tc>
          <w:tcPr>
            <w:tcW w:w="1820" w:type="dxa"/>
            <w:vAlign w:val="bottom"/>
            <w:shd w:val="clear" w:color="auto" w:fill="E6EDF3"/>
          </w:tcPr>
          <w:p>
            <w:pPr>
              <w:jc w:val="right"/>
              <w:ind w:right="236"/>
              <w:spacing w:after="0" w:line="202" w:lineRule="exact"/>
              <w:rPr>
                <w:sz w:val="20"/>
                <w:szCs w:val="20"/>
                <w:color w:val="auto"/>
              </w:rPr>
            </w:pPr>
            <w:r>
              <w:rPr>
                <w:rFonts w:ascii="Arial" w:cs="Arial" w:eastAsia="Arial" w:hAnsi="Arial"/>
                <w:sz w:val="18"/>
                <w:szCs w:val="18"/>
                <w:color w:val="auto"/>
              </w:rPr>
              <w:t>936,000</w:t>
            </w:r>
          </w:p>
        </w:tc>
        <w:tc>
          <w:tcPr>
            <w:tcW w:w="1400" w:type="dxa"/>
            <w:vAlign w:val="bottom"/>
            <w:shd w:val="clear" w:color="auto" w:fill="E6EDF3"/>
          </w:tcPr>
          <w:p>
            <w:pPr>
              <w:jc w:val="right"/>
              <w:spacing w:after="0" w:line="202" w:lineRule="exact"/>
              <w:rPr>
                <w:sz w:val="20"/>
                <w:szCs w:val="20"/>
                <w:color w:val="auto"/>
              </w:rPr>
            </w:pPr>
            <w:r>
              <w:rPr>
                <w:rFonts w:ascii="Arial" w:cs="Arial" w:eastAsia="Arial" w:hAnsi="Arial"/>
                <w:sz w:val="18"/>
                <w:szCs w:val="18"/>
                <w:color w:val="auto"/>
              </w:rPr>
              <w:t>130%</w:t>
            </w:r>
          </w:p>
        </w:tc>
      </w:tr>
      <w:tr>
        <w:trPr>
          <w:trHeight w:val="203"/>
        </w:trPr>
        <w:tc>
          <w:tcPr>
            <w:tcW w:w="8200" w:type="dxa"/>
            <w:vAlign w:val="bottom"/>
          </w:tcPr>
          <w:p>
            <w:pPr>
              <w:ind w:left="80"/>
              <w:spacing w:after="0" w:line="202" w:lineRule="exact"/>
              <w:rPr>
                <w:sz w:val="20"/>
                <w:szCs w:val="20"/>
                <w:color w:val="auto"/>
              </w:rPr>
            </w:pPr>
            <w:r>
              <w:rPr>
                <w:rFonts w:ascii="Arial" w:cs="Arial" w:eastAsia="Arial" w:hAnsi="Arial"/>
                <w:sz w:val="18"/>
                <w:szCs w:val="18"/>
                <w:color w:val="auto"/>
              </w:rPr>
              <w:t>Operating Objectives</w:t>
            </w:r>
          </w:p>
        </w:tc>
        <w:tc>
          <w:tcPr>
            <w:tcW w:w="1820" w:type="dxa"/>
            <w:vAlign w:val="bottom"/>
          </w:tcPr>
          <w:p>
            <w:pPr>
              <w:jc w:val="right"/>
              <w:ind w:right="236"/>
              <w:spacing w:after="0" w:line="202" w:lineRule="exact"/>
              <w:rPr>
                <w:sz w:val="20"/>
                <w:szCs w:val="20"/>
                <w:color w:val="auto"/>
              </w:rPr>
            </w:pPr>
            <w:r>
              <w:rPr>
                <w:rFonts w:ascii="Arial" w:cs="Arial" w:eastAsia="Arial" w:hAnsi="Arial"/>
                <w:sz w:val="18"/>
                <w:szCs w:val="18"/>
                <w:color w:val="auto"/>
              </w:rPr>
              <w:t>550,000</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153%</w:t>
            </w:r>
          </w:p>
        </w:tc>
      </w:tr>
      <w:tr>
        <w:trPr>
          <w:trHeight w:val="203"/>
        </w:trPr>
        <w:tc>
          <w:tcPr>
            <w:tcW w:w="8200" w:type="dxa"/>
            <w:vAlign w:val="bottom"/>
            <w:tcBorders>
              <w:bottom w:val="single" w:sz="8" w:color="auto"/>
            </w:tcBorders>
            <w:shd w:val="clear" w:color="auto" w:fill="E6EDF3"/>
          </w:tcPr>
          <w:p>
            <w:pPr>
              <w:ind w:left="80"/>
              <w:spacing w:after="0" w:line="202" w:lineRule="exact"/>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shd w:val="clear" w:color="auto" w:fill="E6EDF3"/>
          </w:tcPr>
          <w:p>
            <w:pPr>
              <w:jc w:val="right"/>
              <w:ind w:right="236"/>
              <w:spacing w:after="0" w:line="202" w:lineRule="exact"/>
              <w:rPr>
                <w:sz w:val="20"/>
                <w:szCs w:val="20"/>
                <w:color w:val="auto"/>
              </w:rPr>
            </w:pPr>
            <w:r>
              <w:rPr>
                <w:rFonts w:ascii="Arial" w:cs="Arial" w:eastAsia="Arial" w:hAnsi="Arial"/>
                <w:sz w:val="18"/>
                <w:szCs w:val="18"/>
                <w:color w:val="auto"/>
              </w:rPr>
              <w:t>2,238,000</w:t>
            </w:r>
          </w:p>
        </w:tc>
        <w:tc>
          <w:tcPr>
            <w:tcW w:w="1400" w:type="dxa"/>
            <w:vAlign w:val="bottom"/>
            <w:tcBorders>
              <w:bottom w:val="single" w:sz="8" w:color="auto"/>
            </w:tcBorders>
            <w:shd w:val="clear" w:color="auto" w:fill="E6EDF3"/>
          </w:tcPr>
          <w:p>
            <w:pPr>
              <w:jc w:val="right"/>
              <w:spacing w:after="0" w:line="202" w:lineRule="exact"/>
              <w:rPr>
                <w:sz w:val="20"/>
                <w:szCs w:val="20"/>
                <w:color w:val="auto"/>
              </w:rPr>
            </w:pPr>
            <w:r>
              <w:rPr>
                <w:rFonts w:ascii="Arial" w:cs="Arial" w:eastAsia="Arial" w:hAnsi="Arial"/>
                <w:sz w:val="18"/>
                <w:szCs w:val="18"/>
                <w:color w:val="auto"/>
              </w:rPr>
              <w:t>124%</w:t>
            </w:r>
          </w:p>
        </w:tc>
      </w:tr>
    </w:tbl>
    <w:p>
      <w:pPr>
        <w:spacing w:after="0" w:line="148"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u w:val="single" w:color="auto"/>
          <w:color w:val="auto"/>
        </w:rPr>
        <w:t>Long-Term Equity Awards: Approximately 60% are Based on Performance</w:t>
      </w:r>
      <w:r>
        <w:rPr>
          <w:rFonts w:ascii="Arial" w:cs="Arial" w:eastAsia="Arial" w:hAnsi="Arial"/>
          <w:sz w:val="18"/>
          <w:szCs w:val="18"/>
          <w:color w:val="auto"/>
        </w:rPr>
        <w:t>. Mr. Prising’s 2016 compensation package included three long-term equity components:</w:t>
      </w:r>
    </w:p>
    <w:p>
      <w:pPr>
        <w:spacing w:after="0" w:line="129" w:lineRule="exact"/>
        <w:rPr>
          <w:sz w:val="20"/>
          <w:szCs w:val="20"/>
          <w:color w:val="auto"/>
        </w:rPr>
      </w:pPr>
    </w:p>
    <w:p>
      <w:pPr>
        <w:ind w:left="440" w:right="20" w:hanging="324"/>
        <w:spacing w:after="0" w:line="239" w:lineRule="auto"/>
        <w:tabs>
          <w:tab w:leader="none" w:pos="440" w:val="left"/>
        </w:tabs>
        <w:numPr>
          <w:ilvl w:val="0"/>
          <w:numId w:val="36"/>
        </w:numPr>
        <w:rPr>
          <w:rFonts w:ascii="Arial" w:cs="Arial" w:eastAsia="Arial" w:hAnsi="Arial"/>
          <w:sz w:val="18"/>
          <w:szCs w:val="18"/>
          <w:color w:val="5D89B4"/>
        </w:rPr>
      </w:pPr>
      <w:r>
        <w:rPr>
          <w:rFonts w:ascii="Arial" w:cs="Arial" w:eastAsia="Arial" w:hAnsi="Arial"/>
          <w:sz w:val="18"/>
          <w:szCs w:val="18"/>
          <w:color w:val="auto"/>
        </w:rPr>
        <w:t>Approximately 60% of long-term awards were performance share units. Similar to 2015, these performance share units use a three-year performance period. They are calibrated to Operating Profit Margin Percent, which the Committee believes correctly focuses executive officers on long-term profitability. Following completion of the 2016-2018 performance period, the Committee will compare Operating Profit Margin Percent performance against target levels.</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29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Compensation Discussion and Analysis</w:t>
      </w:r>
    </w:p>
    <w:p>
      <w:pPr>
        <w:spacing w:after="0" w:line="320" w:lineRule="exact"/>
        <w:rPr>
          <w:sz w:val="20"/>
          <w:szCs w:val="20"/>
          <w:color w:val="auto"/>
        </w:rPr>
      </w:pPr>
    </w:p>
    <w:p>
      <w:pPr>
        <w:ind w:left="440" w:hanging="324"/>
        <w:spacing w:after="0"/>
        <w:tabs>
          <w:tab w:leader="none" w:pos="440" w:val="left"/>
        </w:tabs>
        <w:numPr>
          <w:ilvl w:val="0"/>
          <w:numId w:val="37"/>
        </w:numPr>
        <w:rPr>
          <w:rFonts w:ascii="Arial" w:cs="Arial" w:eastAsia="Arial" w:hAnsi="Arial"/>
          <w:sz w:val="18"/>
          <w:szCs w:val="18"/>
          <w:color w:val="5D89B4"/>
        </w:rPr>
      </w:pPr>
      <w:r>
        <w:rPr>
          <w:rFonts w:ascii="Arial" w:cs="Arial" w:eastAsia="Arial" w:hAnsi="Arial"/>
          <w:sz w:val="18"/>
          <w:szCs w:val="18"/>
          <w:color w:val="auto"/>
        </w:rPr>
        <w:t>Approximately 20% of long-term awards were stock options that vest over a four year period.</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37"/>
        </w:numPr>
        <w:rPr>
          <w:rFonts w:ascii="Arial" w:cs="Arial" w:eastAsia="Arial" w:hAnsi="Arial"/>
          <w:sz w:val="18"/>
          <w:szCs w:val="18"/>
          <w:color w:val="5D89B4"/>
        </w:rPr>
      </w:pPr>
      <w:r>
        <w:rPr>
          <w:rFonts w:ascii="Arial" w:cs="Arial" w:eastAsia="Arial" w:hAnsi="Arial"/>
          <w:sz w:val="18"/>
          <w:szCs w:val="18"/>
          <w:color w:val="auto"/>
        </w:rPr>
        <w:t>Approximately 20% of long-term awards were restricted stock units that cliff vest in full after three years.</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8"/>
          <w:szCs w:val="18"/>
          <w:u w:val="single" w:color="auto"/>
          <w:color w:val="auto"/>
        </w:rPr>
        <w:t>Realizable Pay Reflected Stock Price Fluctuations</w:t>
      </w:r>
      <w:r>
        <w:rPr>
          <w:rFonts w:ascii="Arial" w:cs="Arial" w:eastAsia="Arial" w:hAnsi="Arial"/>
          <w:sz w:val="18"/>
          <w:szCs w:val="18"/>
          <w:color w:val="auto"/>
        </w:rPr>
        <w:t>. Although we do not utilize TSR as a performance metric, we calculated realizable pay for Mr. Prising to show the impact of Company performance and stock price on his compensation granted or awarded during the year. The Company’s stock price appreciated from $84.29 on January 1, 2016 to $88.87 as of December 31, 2016. The year-end price of $88.87 as of December 31, 2016 resulted in Mr. Prising’s calculated realizable pay being $10.9 million for 2016, which is slightly less than the total compensation shown in the Summary Compensation Table using SEC reporting methodology. Mr. Prising’s realizable pay was slightly less than his reported compensation because despite strong operating performance and stock appreciation, the intrinsic value of his stock options at the end of the year was less than the fair value of the options at the date of grant as reported in the Summary Compensation Table. In 2015</w:t>
      </w:r>
    </w:p>
    <w:p>
      <w:pPr>
        <w:spacing w:after="0" w:line="5"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Mr. Prising’s realizable pay was also less than his reported compensation, despite strong operating performance, due to the intrinsic value of his stock options. See page 49 for further details.</w:t>
      </w:r>
    </w:p>
    <w:p>
      <w:pPr>
        <w:spacing w:after="0" w:line="12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u w:val="single" w:color="auto"/>
          <w:color w:val="auto"/>
        </w:rPr>
        <w:t>Other Compensation Was Limited</w:t>
      </w:r>
      <w:r>
        <w:rPr>
          <w:rFonts w:ascii="Arial" w:cs="Arial" w:eastAsia="Arial" w:hAnsi="Arial"/>
          <w:sz w:val="18"/>
          <w:szCs w:val="18"/>
          <w:color w:val="auto"/>
        </w:rPr>
        <w:t>. The level of perquisites provided to Mr. Prising is limited. We reimburse him for financial planning expenses which are capped at $12,000 per year. Prior to 2016, we provided a car lease to Mr. Prising under our broad-based auto program, in which Mr. Prising was responsible for 25% of the lease payments. Effective February 2016, Mr. Prising no longer participated in that program. Besides these two items, Other Compensation in 2016 also included a company match and profit sharing contribution under our Nonqualified Savings Plan, in which Mr. Prising has elected to participate. Mr. Prising does not have a current pension plan, and does not participate in the Company’s 401(k) plan.</w:t>
      </w:r>
    </w:p>
    <w:p>
      <w:pPr>
        <w:spacing w:after="0" w:line="284"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Objectives of Compensation Program</w:t>
      </w:r>
    </w:p>
    <w:p>
      <w:pPr>
        <w:spacing w:after="0" w:line="174" w:lineRule="exact"/>
        <w:rPr>
          <w:sz w:val="20"/>
          <w:szCs w:val="20"/>
          <w:color w:val="auto"/>
        </w:rPr>
      </w:pPr>
    </w:p>
    <w:p>
      <w:pPr>
        <w:jc w:val="both"/>
        <w:ind w:right="400"/>
        <w:spacing w:after="0"/>
        <w:rPr>
          <w:sz w:val="20"/>
          <w:szCs w:val="20"/>
          <w:color w:val="auto"/>
        </w:rPr>
      </w:pPr>
      <w:r>
        <w:rPr>
          <w:rFonts w:ascii="Arial" w:cs="Arial" w:eastAsia="Arial" w:hAnsi="Arial"/>
          <w:sz w:val="18"/>
          <w:szCs w:val="18"/>
          <w:color w:val="auto"/>
        </w:rPr>
        <w:t>In making decisions regarding compensation elements, program features and compensation award levels, ManpowerGroup is guided by a series of principles, listed below. Within the framework of these principles, ManpowerGroup considers governance trends, the competitive market, corporate, business unit and individual results, and various individual factors.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ManpowerGroup’s executive compensation guiding principles are to:</w:t>
      </w:r>
    </w:p>
    <w:p>
      <w:pPr>
        <w:spacing w:after="0" w:line="122" w:lineRule="exact"/>
        <w:rPr>
          <w:sz w:val="20"/>
          <w:szCs w:val="20"/>
          <w:color w:val="auto"/>
        </w:rPr>
      </w:pPr>
    </w:p>
    <w:p>
      <w:pPr>
        <w:ind w:left="440" w:right="400" w:hanging="324"/>
        <w:spacing w:after="0" w:line="253" w:lineRule="auto"/>
        <w:tabs>
          <w:tab w:leader="none" w:pos="440" w:val="left"/>
        </w:tabs>
        <w:numPr>
          <w:ilvl w:val="0"/>
          <w:numId w:val="38"/>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Pay for results: </w:t>
      </w:r>
      <w:r>
        <w:rPr>
          <w:rFonts w:ascii="Arial" w:cs="Arial" w:eastAsia="Arial" w:hAnsi="Arial"/>
          <w:sz w:val="18"/>
          <w:szCs w:val="18"/>
          <w:color w:val="auto"/>
        </w:rPr>
        <w:t>We tie a significant portion of compensation to the achievement of Company and business unit goals as well as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 individual accomplishments that contribute to ManpowerGroup’s success. For example, in 2016, approximately 60% of the CEO’s and 56% of the CFO’s target compensation, respectively, was tied to short- and long-term financial performance goals.</w:t>
      </w:r>
    </w:p>
    <w:p>
      <w:pPr>
        <w:spacing w:after="0" w:line="34" w:lineRule="exact"/>
        <w:rPr>
          <w:rFonts w:ascii="Arial" w:cs="Arial" w:eastAsia="Arial" w:hAnsi="Arial"/>
          <w:sz w:val="18"/>
          <w:szCs w:val="18"/>
          <w:color w:val="5D89B4"/>
        </w:rPr>
      </w:pPr>
    </w:p>
    <w:p>
      <w:pPr>
        <w:ind w:left="440" w:right="100" w:hanging="324"/>
        <w:spacing w:after="0" w:line="244" w:lineRule="auto"/>
        <w:tabs>
          <w:tab w:leader="none" w:pos="440" w:val="left"/>
        </w:tabs>
        <w:numPr>
          <w:ilvl w:val="0"/>
          <w:numId w:val="38"/>
        </w:numPr>
        <w:rPr>
          <w:rFonts w:ascii="Arial" w:cs="Arial" w:eastAsia="Arial" w:hAnsi="Arial"/>
          <w:sz w:val="18"/>
          <w:szCs w:val="18"/>
          <w:color w:val="5D89B4"/>
        </w:rPr>
      </w:pPr>
      <w:r>
        <w:rPr>
          <w:rFonts w:ascii="Arial" w:cs="Arial" w:eastAsia="Arial" w:hAnsi="Arial"/>
          <w:sz w:val="18"/>
          <w:szCs w:val="18"/>
          <w:b w:val="1"/>
          <w:bCs w:val="1"/>
          <w:i w:val="1"/>
          <w:iCs w:val="1"/>
          <w:color w:val="auto"/>
        </w:rPr>
        <w:t>Not pay for failure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set threshold goals for each performance-based incentive element of our executive compensation program.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believes these threshold goals are the lowest acceptable levels at which it is appropriate for the NEOs to receive an award. If the threshold level is not met, NEOs do not receive a payout related to that performance measure. In 2016, all of the executives met at least the threshold level for each performance-based incentive element, except for Mr. Chandrashekar who did not meet his AOUP threshold level.</w:t>
      </w:r>
    </w:p>
    <w:p>
      <w:pPr>
        <w:spacing w:after="0" w:line="41" w:lineRule="exact"/>
        <w:rPr>
          <w:rFonts w:ascii="Arial" w:cs="Arial" w:eastAsia="Arial" w:hAnsi="Arial"/>
          <w:sz w:val="18"/>
          <w:szCs w:val="18"/>
          <w:color w:val="5D89B4"/>
        </w:rPr>
      </w:pPr>
    </w:p>
    <w:p>
      <w:pPr>
        <w:ind w:left="440" w:right="100" w:hanging="324"/>
        <w:spacing w:after="0" w:line="241" w:lineRule="auto"/>
        <w:tabs>
          <w:tab w:leader="none" w:pos="440" w:val="left"/>
        </w:tabs>
        <w:numPr>
          <w:ilvl w:val="0"/>
          <w:numId w:val="38"/>
        </w:numPr>
        <w:rPr>
          <w:rFonts w:ascii="Arial" w:cs="Arial" w:eastAsia="Arial" w:hAnsi="Arial"/>
          <w:sz w:val="18"/>
          <w:szCs w:val="18"/>
          <w:color w:val="5D89B4"/>
        </w:rPr>
      </w:pPr>
      <w:r>
        <w:rPr>
          <w:rFonts w:ascii="Arial" w:cs="Arial" w:eastAsia="Arial" w:hAnsi="Arial"/>
          <w:sz w:val="18"/>
          <w:szCs w:val="18"/>
          <w:b w:val="1"/>
          <w:bCs w:val="1"/>
          <w:i w:val="1"/>
          <w:iCs w:val="1"/>
          <w:color w:val="auto"/>
        </w:rPr>
        <w:t>Align with shareholder interests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sets performance goals and chooses compensation elements that closely align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executives’ interests with those of shareholders. For example, performance share units, which make up approximately 40% of target compensation for both the CEO and CFO, respectively, are tied to operating profit margin, an incentive correlated with shareholder value because the higher the profit margin, the more valuable the Company becomes. Stock options and restricted stock units are directly aligned with shareholders’ economic interests as the ultimate value the NEOs realize is dependent upon the value of our stock. In addition, a substantial portion of the annual cash incentive awards paid to our CEO and CFO are based on achievement of EPS and ROIC goals for the year.</w:t>
      </w:r>
    </w:p>
    <w:p>
      <w:pPr>
        <w:spacing w:after="0" w:line="44" w:lineRule="exact"/>
        <w:rPr>
          <w:rFonts w:ascii="Arial" w:cs="Arial" w:eastAsia="Arial" w:hAnsi="Arial"/>
          <w:sz w:val="18"/>
          <w:szCs w:val="18"/>
          <w:color w:val="5D89B4"/>
        </w:rPr>
      </w:pPr>
    </w:p>
    <w:p>
      <w:pPr>
        <w:jc w:val="both"/>
        <w:ind w:left="440" w:right="40" w:hanging="324"/>
        <w:spacing w:after="0" w:line="253" w:lineRule="auto"/>
        <w:tabs>
          <w:tab w:leader="none" w:pos="440" w:val="left"/>
        </w:tabs>
        <w:numPr>
          <w:ilvl w:val="0"/>
          <w:numId w:val="38"/>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Pay competitively: </w:t>
      </w:r>
      <w:r>
        <w:rPr>
          <w:rFonts w:ascii="Arial" w:cs="Arial" w:eastAsia="Arial" w:hAnsi="Arial"/>
          <w:sz w:val="18"/>
          <w:szCs w:val="18"/>
          <w:color w:val="auto"/>
        </w:rPr>
        <w:t>In order for ManpowerGroup to be successful, we need senior executives who have the capability and experience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operate in a global and complex environment. The Committee believes it must provide pay opportunities to the NEOs that are competitive in order to attract and retain executives of this caliber.</w:t>
      </w:r>
    </w:p>
    <w:p>
      <w:pPr>
        <w:spacing w:after="0" w:line="34" w:lineRule="exact"/>
        <w:rPr>
          <w:rFonts w:ascii="Arial" w:cs="Arial" w:eastAsia="Arial" w:hAnsi="Arial"/>
          <w:sz w:val="18"/>
          <w:szCs w:val="18"/>
          <w:color w:val="5D89B4"/>
        </w:rPr>
      </w:pPr>
    </w:p>
    <w:p>
      <w:pPr>
        <w:ind w:left="440" w:right="420" w:hanging="324"/>
        <w:spacing w:after="0" w:line="271" w:lineRule="auto"/>
        <w:tabs>
          <w:tab w:leader="none" w:pos="440" w:val="left"/>
        </w:tabs>
        <w:numPr>
          <w:ilvl w:val="0"/>
          <w:numId w:val="38"/>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Balance cash and equity: </w:t>
      </w:r>
      <w:r>
        <w:rPr>
          <w:rFonts w:ascii="Arial" w:cs="Arial" w:eastAsia="Arial" w:hAnsi="Arial"/>
          <w:sz w:val="18"/>
          <w:szCs w:val="18"/>
          <w:color w:val="auto"/>
        </w:rPr>
        <w:t>We balance the mix of cash and equity compensation to align compensation to both long- and short-term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results of the Company.</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8180"/>
        <w:spacing w:after="0"/>
        <w:rPr>
          <w:sz w:val="20"/>
          <w:szCs w:val="20"/>
          <w:color w:val="auto"/>
        </w:rPr>
      </w:pPr>
      <w:r>
        <w:rPr>
          <w:rFonts w:ascii="Arial" w:cs="Arial" w:eastAsia="Arial" w:hAnsi="Arial"/>
          <w:sz w:val="18"/>
          <w:szCs w:val="18"/>
          <w:color w:val="FFFFFF"/>
        </w:rPr>
        <w:t>Compensation Discussion and Analysis</w:t>
      </w:r>
    </w:p>
    <w:p>
      <w:pPr>
        <w:spacing w:after="0" w:line="217" w:lineRule="exact"/>
        <w:rPr>
          <w:sz w:val="20"/>
          <w:szCs w:val="20"/>
          <w:color w:val="auto"/>
        </w:rPr>
      </w:pPr>
    </w:p>
    <w:p>
      <w:pPr>
        <w:ind w:left="440" w:right="60" w:hanging="324"/>
        <w:spacing w:after="0" w:line="253" w:lineRule="auto"/>
        <w:tabs>
          <w:tab w:leader="none" w:pos="440" w:val="left"/>
        </w:tabs>
        <w:numPr>
          <w:ilvl w:val="0"/>
          <w:numId w:val="39"/>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Use internal and external performance reference points: </w:t>
      </w:r>
      <w:r>
        <w:rPr>
          <w:rFonts w:ascii="Arial" w:cs="Arial" w:eastAsia="Arial" w:hAnsi="Arial"/>
          <w:sz w:val="18"/>
          <w:szCs w:val="18"/>
          <w:color w:val="auto"/>
        </w:rPr>
        <w:t>We evaluate the elements of our compensation program against appropriate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comparator company practices as well as other executives within the Company. However, identifying our competitive market is a challenge. See page 37 for further information regarding our competitive market.</w:t>
      </w:r>
    </w:p>
    <w:p>
      <w:pPr>
        <w:spacing w:after="0" w:line="34" w:lineRule="exact"/>
        <w:rPr>
          <w:rFonts w:ascii="Arial" w:cs="Arial" w:eastAsia="Arial" w:hAnsi="Arial"/>
          <w:sz w:val="18"/>
          <w:szCs w:val="18"/>
          <w:color w:val="5D89B4"/>
        </w:rPr>
      </w:pPr>
    </w:p>
    <w:p>
      <w:pPr>
        <w:ind w:left="440" w:right="620" w:hanging="324"/>
        <w:spacing w:after="0" w:line="253" w:lineRule="auto"/>
        <w:tabs>
          <w:tab w:leader="none" w:pos="440" w:val="left"/>
        </w:tabs>
        <w:numPr>
          <w:ilvl w:val="0"/>
          <w:numId w:val="39"/>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Recognize the cyclical nature of our business: </w:t>
      </w:r>
      <w:r>
        <w:rPr>
          <w:rFonts w:ascii="Arial" w:cs="Arial" w:eastAsia="Arial" w:hAnsi="Arial"/>
          <w:sz w:val="18"/>
          <w:szCs w:val="18"/>
          <w:color w:val="auto"/>
        </w:rPr>
        <w:t>Our business is highly cyclical and our financial results are impacted by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economic cycles, which are difficult to predict. In determining executive compensation, the Committee tries to strike an appropriate balance between fixed and variable pay, and to create meaningful incentives at all points in an economic cycle.</w:t>
      </w:r>
    </w:p>
    <w:p>
      <w:pPr>
        <w:spacing w:after="0" w:line="34" w:lineRule="exact"/>
        <w:rPr>
          <w:rFonts w:ascii="Arial" w:cs="Arial" w:eastAsia="Arial" w:hAnsi="Arial"/>
          <w:sz w:val="18"/>
          <w:szCs w:val="18"/>
          <w:color w:val="5D89B4"/>
        </w:rPr>
      </w:pPr>
    </w:p>
    <w:p>
      <w:pPr>
        <w:ind w:left="440" w:right="440" w:hanging="324"/>
        <w:spacing w:after="0" w:line="253" w:lineRule="auto"/>
        <w:tabs>
          <w:tab w:leader="none" w:pos="440" w:val="left"/>
        </w:tabs>
        <w:numPr>
          <w:ilvl w:val="0"/>
          <w:numId w:val="39"/>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Attract and retain executives: </w:t>
      </w:r>
      <w:r>
        <w:rPr>
          <w:rFonts w:ascii="Arial" w:cs="Arial" w:eastAsia="Arial" w:hAnsi="Arial"/>
          <w:sz w:val="18"/>
          <w:szCs w:val="18"/>
          <w:color w:val="auto"/>
        </w:rPr>
        <w:t>The Company structures its compensation program for the NEOs so that the overall target outcome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falls within the median of the competitive market. The Committee believes this is the appropriate level to provide in order to attract and retain executives with the experience and capabilities we need.</w:t>
      </w:r>
    </w:p>
    <w:p>
      <w:pPr>
        <w:spacing w:after="0" w:line="34" w:lineRule="exact"/>
        <w:rPr>
          <w:rFonts w:ascii="Arial" w:cs="Arial" w:eastAsia="Arial" w:hAnsi="Arial"/>
          <w:sz w:val="18"/>
          <w:szCs w:val="18"/>
          <w:color w:val="5D89B4"/>
        </w:rPr>
      </w:pPr>
    </w:p>
    <w:p>
      <w:pPr>
        <w:ind w:left="440" w:right="80" w:hanging="324"/>
        <w:spacing w:after="0" w:line="244" w:lineRule="auto"/>
        <w:tabs>
          <w:tab w:leader="none" w:pos="440" w:val="left"/>
        </w:tabs>
        <w:numPr>
          <w:ilvl w:val="0"/>
          <w:numId w:val="39"/>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Assure total compensation is affordable: </w:t>
      </w:r>
      <w:r>
        <w:rPr>
          <w:rFonts w:ascii="Arial" w:cs="Arial" w:eastAsia="Arial" w:hAnsi="Arial"/>
          <w:sz w:val="18"/>
          <w:szCs w:val="18"/>
          <w:color w:val="auto"/>
        </w:rPr>
        <w:t>Our NEOs’ compensation is variable year-over-year, which means compensation is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financial objectives are achieved and incremental compensation is more affordable for the Company and compensation is lower when financial results decline and it is less affordable for the Company. In addition, payouts under the annual cash incentive plan and the performance share units are capped at the outstanding performance levels, which make the maximum cost predictable and ensures affordability.</w:t>
      </w:r>
    </w:p>
    <w:p>
      <w:pPr>
        <w:spacing w:after="0" w:line="41" w:lineRule="exact"/>
        <w:rPr>
          <w:rFonts w:ascii="Arial" w:cs="Arial" w:eastAsia="Arial" w:hAnsi="Arial"/>
          <w:sz w:val="18"/>
          <w:szCs w:val="18"/>
          <w:color w:val="5D89B4"/>
        </w:rPr>
      </w:pPr>
    </w:p>
    <w:p>
      <w:pPr>
        <w:ind w:left="440" w:right="140" w:hanging="324"/>
        <w:spacing w:after="0" w:line="253" w:lineRule="auto"/>
        <w:tabs>
          <w:tab w:leader="none" w:pos="440" w:val="left"/>
        </w:tabs>
        <w:numPr>
          <w:ilvl w:val="0"/>
          <w:numId w:val="39"/>
        </w:numPr>
        <w:rPr>
          <w:rFonts w:ascii="Arial" w:cs="Arial" w:eastAsia="Arial" w:hAnsi="Arial"/>
          <w:sz w:val="18"/>
          <w:szCs w:val="18"/>
          <w:color w:val="5D89B4"/>
        </w:rPr>
      </w:pPr>
      <w:r>
        <w:rPr>
          <w:rFonts w:ascii="Arial" w:cs="Arial" w:eastAsia="Arial" w:hAnsi="Arial"/>
          <w:sz w:val="18"/>
          <w:szCs w:val="18"/>
          <w:b w:val="1"/>
          <w:bCs w:val="1"/>
          <w:i w:val="1"/>
          <w:iCs w:val="1"/>
          <w:color w:val="auto"/>
        </w:rPr>
        <w:t xml:space="preserve">Clearly communicate plans so that they are understood: </w:t>
      </w:r>
      <w:r>
        <w:rPr>
          <w:rFonts w:ascii="Arial" w:cs="Arial" w:eastAsia="Arial" w:hAnsi="Arial"/>
          <w:sz w:val="18"/>
          <w:szCs w:val="18"/>
          <w:color w:val="auto"/>
        </w:rPr>
        <w:t>We clearly communicate to each NEO their specific goals, targets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objectives under the various elements of the compensation program to ensure our executives are focused on achieving the financial and operational results that the Committee believes will best promote shareholder value.</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Say on Pay and Say on Frequency Votes</w:t>
      </w:r>
    </w:p>
    <w:p>
      <w:pPr>
        <w:spacing w:after="0" w:line="18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ManpowerGroup held a non-binding shareholder advisory vote at its 2016 Annual Meeting of Shareholders to approve the compensation of ManpowerGroup’s NEOs, also known as “Say on Pay.” This shareholder resolution was approved by approximately 98% of the votes cast, an increase from the 96% we received in 2015. In part, because of the high shareholder approval ratings in both 2015 and 2016, which we believe demonstrates our shareholders’ satisfaction with the alignment of our NEOs’ compensation with the Company’s performance, we did not make significant changes to the compensation program for 2017.</w:t>
      </w:r>
    </w:p>
    <w:p>
      <w:pPr>
        <w:spacing w:after="0" w:line="135"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We believe our annual “say on pay” vote represents an important opportunity for our shareholders to respond to our executive compensation programs. We are recommending our shareholders continue to have this opportunity on an annual basis. See the proposal entitled “Advisory Vote on the Frequency of the Advisory Vote on the Compensation of Our Named Executive Officers” beginning on page 86 for further information.</w:t>
      </w:r>
    </w:p>
    <w:p>
      <w:pPr>
        <w:spacing w:after="0" w:line="28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Shareholder Engagement</w:t>
      </w:r>
    </w:p>
    <w:p>
      <w:pPr>
        <w:spacing w:after="0" w:line="174"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We believe that shareholder engagement is an important part of our governance practices. Over the past two years, we have enhanced our shareholder outreach program, to better understand our investors’ perspectives on our compensation philosophies and our governance structure, and to answer their questions. These efforts, which began in 2015, have been conducted by members of executive management, and have included:</w:t>
      </w:r>
    </w:p>
    <w:p>
      <w:pPr>
        <w:spacing w:after="0" w:line="134" w:lineRule="exact"/>
        <w:rPr>
          <w:sz w:val="20"/>
          <w:szCs w:val="20"/>
          <w:color w:val="auto"/>
        </w:rPr>
      </w:pPr>
    </w:p>
    <w:p>
      <w:pPr>
        <w:ind w:left="440" w:hanging="324"/>
        <w:spacing w:after="0"/>
        <w:tabs>
          <w:tab w:leader="none" w:pos="440" w:val="left"/>
        </w:tabs>
        <w:numPr>
          <w:ilvl w:val="0"/>
          <w:numId w:val="40"/>
        </w:numPr>
        <w:rPr>
          <w:rFonts w:ascii="Arial" w:cs="Arial" w:eastAsia="Arial" w:hAnsi="Arial"/>
          <w:sz w:val="18"/>
          <w:szCs w:val="18"/>
          <w:color w:val="5D89B4"/>
        </w:rPr>
      </w:pPr>
      <w:r>
        <w:rPr>
          <w:rFonts w:ascii="Arial" w:cs="Arial" w:eastAsia="Arial" w:hAnsi="Arial"/>
          <w:sz w:val="18"/>
          <w:szCs w:val="18"/>
          <w:color w:val="auto"/>
        </w:rPr>
        <w:t>Contacting our top shareholders, representing more than 50% of our shares.</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40"/>
        </w:numPr>
        <w:rPr>
          <w:rFonts w:ascii="Arial" w:cs="Arial" w:eastAsia="Arial" w:hAnsi="Arial"/>
          <w:sz w:val="18"/>
          <w:szCs w:val="18"/>
          <w:color w:val="5D89B4"/>
        </w:rPr>
      </w:pPr>
      <w:r>
        <w:rPr>
          <w:rFonts w:ascii="Arial" w:cs="Arial" w:eastAsia="Arial" w:hAnsi="Arial"/>
          <w:sz w:val="18"/>
          <w:szCs w:val="18"/>
          <w:color w:val="auto"/>
        </w:rPr>
        <w:t>Meeting with shareholders representing approximately 20% of our shares.</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40"/>
        </w:numPr>
        <w:rPr>
          <w:rFonts w:ascii="Arial" w:cs="Arial" w:eastAsia="Arial" w:hAnsi="Arial"/>
          <w:sz w:val="18"/>
          <w:szCs w:val="18"/>
          <w:color w:val="5D89B4"/>
        </w:rPr>
      </w:pPr>
      <w:r>
        <w:rPr>
          <w:rFonts w:ascii="Arial" w:cs="Arial" w:eastAsia="Arial" w:hAnsi="Arial"/>
          <w:sz w:val="18"/>
          <w:szCs w:val="18"/>
          <w:color w:val="auto"/>
        </w:rPr>
        <w:t>Presenting shareholder feedback to the Committee as well as the nominating and governance committee.</w:t>
      </w:r>
    </w:p>
    <w:p>
      <w:pPr>
        <w:spacing w:after="0" w:line="144"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The Committee evaluated this feedback, as well as our say-on-pay voting results (98% in 2016 and 96% 2015), among other factors in developing our executive compensation programs as discussed in this CD&amp;A. Similarly, our nominating and governance committee has reviewed the feedback concerning our governance practices in developing our governance policies, including our approach to Board refreshment.</w:t>
      </w:r>
    </w:p>
    <w:p>
      <w:pPr>
        <w:spacing w:after="0" w:line="13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Additionally, our executive management team, primarily through our Chairman and CEO, our Senior Executive Vice President (prior to his retirement in February 2017) and Executive Vice President and CFO, regularly engage in dialogue with our shareholders through our quarterly earnings calls, investor meetings and conferences, and other channels for communication.</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31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Compensation Elements</w:t>
      </w:r>
    </w:p>
    <w:p>
      <w:pPr>
        <w:spacing w:after="0" w:line="147"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following are the main elements used by ManpowerGroup in its compensation program in 2016 along with key decisions by the Committee related to those elements:</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060" w:type="dxa"/>
            <w:vAlign w:val="bottom"/>
            <w:tcBorders>
              <w:top w:val="single" w:sz="8" w:color="auto"/>
              <w:left w:val="single" w:sz="8" w:color="auto"/>
              <w:bottom w:val="single" w:sz="8" w:color="auto"/>
            </w:tcBorders>
            <w:shd w:val="clear" w:color="auto" w:fill="9DB8D2"/>
          </w:tcPr>
          <w:p>
            <w:pPr>
              <w:ind w:left="240"/>
              <w:spacing w:after="0"/>
              <w:rPr>
                <w:sz w:val="20"/>
                <w:szCs w:val="20"/>
                <w:color w:val="auto"/>
              </w:rPr>
            </w:pPr>
            <w:r>
              <w:rPr>
                <w:rFonts w:ascii="Arial" w:cs="Arial" w:eastAsia="Arial" w:hAnsi="Arial"/>
                <w:sz w:val="14"/>
                <w:szCs w:val="14"/>
                <w:b w:val="1"/>
                <w:bCs w:val="1"/>
                <w:color w:val="auto"/>
              </w:rPr>
              <w:t>Compensation Element</w:t>
            </w:r>
          </w:p>
        </w:tc>
        <w:tc>
          <w:tcPr>
            <w:tcW w:w="3340" w:type="dxa"/>
            <w:vAlign w:val="bottom"/>
            <w:tcBorders>
              <w:top w:val="single" w:sz="8" w:color="auto"/>
              <w:bottom w:val="single" w:sz="8" w:color="auto"/>
            </w:tcBorders>
            <w:shd w:val="clear" w:color="auto" w:fill="9DB8D2"/>
          </w:tcPr>
          <w:p>
            <w:pPr>
              <w:ind w:left="100"/>
              <w:spacing w:after="0"/>
              <w:rPr>
                <w:sz w:val="20"/>
                <w:szCs w:val="20"/>
                <w:color w:val="auto"/>
              </w:rPr>
            </w:pPr>
            <w:r>
              <w:rPr>
                <w:rFonts w:ascii="Arial" w:cs="Arial" w:eastAsia="Arial" w:hAnsi="Arial"/>
                <w:sz w:val="14"/>
                <w:szCs w:val="14"/>
                <w:b w:val="1"/>
                <w:bCs w:val="1"/>
                <w:color w:val="auto"/>
              </w:rPr>
              <w:t>Key Characteristics</w:t>
            </w:r>
          </w:p>
        </w:tc>
        <w:tc>
          <w:tcPr>
            <w:tcW w:w="3100" w:type="dxa"/>
            <w:vAlign w:val="bottom"/>
            <w:tcBorders>
              <w:top w:val="single" w:sz="8" w:color="auto"/>
              <w:bottom w:val="single" w:sz="8" w:color="auto"/>
            </w:tcBorders>
            <w:shd w:val="clear" w:color="auto" w:fill="9DB8D2"/>
          </w:tcPr>
          <w:p>
            <w:pPr>
              <w:ind w:left="60"/>
              <w:spacing w:after="0"/>
              <w:rPr>
                <w:sz w:val="20"/>
                <w:szCs w:val="20"/>
                <w:color w:val="auto"/>
              </w:rPr>
            </w:pPr>
            <w:r>
              <w:rPr>
                <w:rFonts w:ascii="Arial" w:cs="Arial" w:eastAsia="Arial" w:hAnsi="Arial"/>
                <w:sz w:val="14"/>
                <w:szCs w:val="14"/>
                <w:b w:val="1"/>
                <w:bCs w:val="1"/>
                <w:color w:val="auto"/>
              </w:rPr>
              <w:t>Objective and Determination</w:t>
            </w:r>
          </w:p>
        </w:tc>
        <w:tc>
          <w:tcPr>
            <w:tcW w:w="2940" w:type="dxa"/>
            <w:vAlign w:val="bottom"/>
            <w:tcBorders>
              <w:top w:val="single" w:sz="8" w:color="auto"/>
              <w:bottom w:val="single" w:sz="8" w:color="auto"/>
              <w:right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2016 Decisions</w:t>
            </w:r>
          </w:p>
        </w:tc>
        <w:tc>
          <w:tcPr>
            <w:tcW w:w="0" w:type="dxa"/>
            <w:vAlign w:val="bottom"/>
          </w:tcPr>
          <w:p>
            <w:pPr>
              <w:spacing w:after="0"/>
              <w:rPr>
                <w:sz w:val="1"/>
                <w:szCs w:val="1"/>
                <w:color w:val="auto"/>
              </w:rPr>
            </w:pPr>
          </w:p>
        </w:tc>
      </w:tr>
      <w:tr>
        <w:trPr>
          <w:trHeight w:val="160"/>
        </w:trPr>
        <w:tc>
          <w:tcPr>
            <w:tcW w:w="2060" w:type="dxa"/>
            <w:vAlign w:val="bottom"/>
            <w:tcBorders>
              <w:left w:val="single" w:sz="8" w:color="auto"/>
            </w:tcBorders>
          </w:tcPr>
          <w:p>
            <w:pPr>
              <w:ind w:left="160"/>
              <w:spacing w:after="0"/>
              <w:rPr>
                <w:sz w:val="20"/>
                <w:szCs w:val="20"/>
                <w:color w:val="auto"/>
              </w:rPr>
            </w:pPr>
            <w:r>
              <w:rPr>
                <w:rFonts w:ascii="Arial" w:cs="Arial" w:eastAsia="Arial" w:hAnsi="Arial"/>
                <w:sz w:val="14"/>
                <w:szCs w:val="14"/>
                <w:b w:val="1"/>
                <w:bCs w:val="1"/>
                <w:color w:val="auto"/>
              </w:rPr>
              <w:t>Base Salary</w:t>
            </w:r>
          </w:p>
        </w:tc>
        <w:tc>
          <w:tcPr>
            <w:tcW w:w="3340" w:type="dxa"/>
            <w:vAlign w:val="bottom"/>
          </w:tcPr>
          <w:p>
            <w:pPr>
              <w:ind w:left="100"/>
              <w:spacing w:after="0"/>
              <w:rPr>
                <w:sz w:val="20"/>
                <w:szCs w:val="20"/>
                <w:color w:val="auto"/>
              </w:rPr>
            </w:pPr>
            <w:r>
              <w:rPr>
                <w:rFonts w:ascii="Arial" w:cs="Arial" w:eastAsia="Arial" w:hAnsi="Arial"/>
                <w:sz w:val="14"/>
                <w:szCs w:val="14"/>
                <w:color w:val="auto"/>
              </w:rPr>
              <w:t>Fixed compensation for performing the core areas</w:t>
            </w:r>
          </w:p>
        </w:tc>
        <w:tc>
          <w:tcPr>
            <w:tcW w:w="3100" w:type="dxa"/>
            <w:vAlign w:val="bottom"/>
          </w:tcPr>
          <w:p>
            <w:pPr>
              <w:ind w:left="60"/>
              <w:spacing w:after="0"/>
              <w:rPr>
                <w:sz w:val="20"/>
                <w:szCs w:val="20"/>
                <w:color w:val="auto"/>
              </w:rPr>
            </w:pPr>
            <w:r>
              <w:rPr>
                <w:rFonts w:ascii="Arial" w:cs="Arial" w:eastAsia="Arial" w:hAnsi="Arial"/>
                <w:sz w:val="14"/>
                <w:szCs w:val="14"/>
                <w:color w:val="auto"/>
              </w:rPr>
              <w:t>Provide a fixed compensation for performing</w:t>
            </w:r>
          </w:p>
        </w:tc>
        <w:tc>
          <w:tcPr>
            <w:tcW w:w="29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Mr. Prising received an increase in base</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tcPr>
          <w:p>
            <w:pPr>
              <w:spacing w:after="0"/>
              <w:rPr>
                <w:sz w:val="14"/>
                <w:szCs w:val="14"/>
                <w:color w:val="auto"/>
              </w:rPr>
            </w:pPr>
          </w:p>
        </w:tc>
        <w:tc>
          <w:tcPr>
            <w:tcW w:w="3340" w:type="dxa"/>
            <w:vAlign w:val="bottom"/>
          </w:tcPr>
          <w:p>
            <w:pPr>
              <w:ind w:left="100"/>
              <w:spacing w:after="0"/>
              <w:rPr>
                <w:sz w:val="20"/>
                <w:szCs w:val="20"/>
                <w:color w:val="auto"/>
              </w:rPr>
            </w:pPr>
            <w:r>
              <w:rPr>
                <w:rFonts w:ascii="Arial" w:cs="Arial" w:eastAsia="Arial" w:hAnsi="Arial"/>
                <w:sz w:val="14"/>
                <w:szCs w:val="14"/>
                <w:color w:val="auto"/>
              </w:rPr>
              <w:t>of responsibility in amounts that are competitive in</w:t>
            </w:r>
          </w:p>
        </w:tc>
        <w:tc>
          <w:tcPr>
            <w:tcW w:w="3100" w:type="dxa"/>
            <w:vAlign w:val="bottom"/>
          </w:tcPr>
          <w:p>
            <w:pPr>
              <w:ind w:left="60"/>
              <w:spacing w:after="0"/>
              <w:rPr>
                <w:sz w:val="20"/>
                <w:szCs w:val="20"/>
                <w:color w:val="auto"/>
              </w:rPr>
            </w:pPr>
            <w:r>
              <w:rPr>
                <w:rFonts w:ascii="Arial" w:cs="Arial" w:eastAsia="Arial" w:hAnsi="Arial"/>
                <w:sz w:val="14"/>
                <w:szCs w:val="14"/>
                <w:color w:val="auto"/>
              </w:rPr>
              <w:t>the core areas of responsibility of the NEO.</w:t>
            </w:r>
          </w:p>
        </w:tc>
        <w:tc>
          <w:tcPr>
            <w:tcW w:w="294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salary in 2016.</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tcPr>
          <w:p>
            <w:pPr>
              <w:spacing w:after="0"/>
              <w:rPr>
                <w:sz w:val="14"/>
                <w:szCs w:val="14"/>
                <w:color w:val="auto"/>
              </w:rPr>
            </w:pPr>
          </w:p>
        </w:tc>
        <w:tc>
          <w:tcPr>
            <w:tcW w:w="3340" w:type="dxa"/>
            <w:vAlign w:val="bottom"/>
          </w:tcPr>
          <w:p>
            <w:pPr>
              <w:ind w:left="100"/>
              <w:spacing w:after="0"/>
              <w:rPr>
                <w:sz w:val="20"/>
                <w:szCs w:val="20"/>
                <w:color w:val="auto"/>
              </w:rPr>
            </w:pPr>
            <w:r>
              <w:rPr>
                <w:rFonts w:ascii="Arial" w:cs="Arial" w:eastAsia="Arial" w:hAnsi="Arial"/>
                <w:sz w:val="14"/>
                <w:szCs w:val="14"/>
                <w:color w:val="auto"/>
              </w:rPr>
              <w:t>the markets in which we operate.</w:t>
            </w:r>
          </w:p>
        </w:tc>
        <w:tc>
          <w:tcPr>
            <w:tcW w:w="3100" w:type="dxa"/>
            <w:vAlign w:val="bottom"/>
          </w:tcPr>
          <w:p>
            <w:pPr>
              <w:ind w:left="60"/>
              <w:spacing w:after="0"/>
              <w:rPr>
                <w:sz w:val="20"/>
                <w:szCs w:val="20"/>
                <w:color w:val="auto"/>
              </w:rPr>
            </w:pPr>
            <w:r>
              <w:rPr>
                <w:rFonts w:ascii="Arial" w:cs="Arial" w:eastAsia="Arial" w:hAnsi="Arial"/>
                <w:sz w:val="14"/>
                <w:szCs w:val="14"/>
                <w:color w:val="auto"/>
              </w:rPr>
              <w:t>These are reviewed annually and adjusted</w:t>
            </w:r>
          </w:p>
        </w:tc>
        <w:tc>
          <w:tcPr>
            <w:tcW w:w="2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60" w:type="dxa"/>
            <w:vAlign w:val="bottom"/>
            <w:tcBorders>
              <w:left w:val="single" w:sz="8" w:color="auto"/>
            </w:tcBorders>
          </w:tcPr>
          <w:p>
            <w:pPr>
              <w:spacing w:after="0"/>
              <w:rPr>
                <w:sz w:val="14"/>
                <w:szCs w:val="14"/>
                <w:color w:val="auto"/>
              </w:rPr>
            </w:pPr>
          </w:p>
        </w:tc>
        <w:tc>
          <w:tcPr>
            <w:tcW w:w="3340" w:type="dxa"/>
            <w:vAlign w:val="bottom"/>
          </w:tcPr>
          <w:p>
            <w:pPr>
              <w:spacing w:after="0"/>
              <w:rPr>
                <w:sz w:val="14"/>
                <w:szCs w:val="14"/>
                <w:color w:val="auto"/>
              </w:rPr>
            </w:pPr>
          </w:p>
        </w:tc>
        <w:tc>
          <w:tcPr>
            <w:tcW w:w="3100" w:type="dxa"/>
            <w:vAlign w:val="bottom"/>
          </w:tcPr>
          <w:p>
            <w:pPr>
              <w:ind w:left="60"/>
              <w:spacing w:after="0"/>
              <w:rPr>
                <w:sz w:val="20"/>
                <w:szCs w:val="20"/>
                <w:color w:val="auto"/>
              </w:rPr>
            </w:pPr>
            <w:r>
              <w:rPr>
                <w:rFonts w:ascii="Arial" w:cs="Arial" w:eastAsia="Arial" w:hAnsi="Arial"/>
                <w:sz w:val="14"/>
                <w:szCs w:val="14"/>
                <w:color w:val="auto"/>
              </w:rPr>
              <w:t>when appropriate.</w:t>
            </w:r>
          </w:p>
        </w:tc>
        <w:tc>
          <w:tcPr>
            <w:tcW w:w="2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2060" w:type="dxa"/>
            <w:vAlign w:val="bottom"/>
            <w:tcBorders>
              <w:left w:val="single" w:sz="8" w:color="auto"/>
            </w:tcBorders>
          </w:tcPr>
          <w:p>
            <w:pPr>
              <w:spacing w:after="0"/>
              <w:rPr>
                <w:sz w:val="24"/>
                <w:szCs w:val="24"/>
                <w:color w:val="auto"/>
              </w:rPr>
            </w:pPr>
          </w:p>
        </w:tc>
        <w:tc>
          <w:tcPr>
            <w:tcW w:w="3340" w:type="dxa"/>
            <w:vAlign w:val="bottom"/>
          </w:tcPr>
          <w:p>
            <w:pPr>
              <w:spacing w:after="0"/>
              <w:rPr>
                <w:sz w:val="24"/>
                <w:szCs w:val="24"/>
                <w:color w:val="auto"/>
              </w:rPr>
            </w:pPr>
          </w:p>
        </w:tc>
        <w:tc>
          <w:tcPr>
            <w:tcW w:w="3100" w:type="dxa"/>
            <w:vAlign w:val="bottom"/>
          </w:tcPr>
          <w:p>
            <w:pPr>
              <w:ind w:left="60"/>
              <w:spacing w:after="0"/>
              <w:rPr>
                <w:sz w:val="20"/>
                <w:szCs w:val="20"/>
                <w:color w:val="auto"/>
              </w:rPr>
            </w:pPr>
            <w:r>
              <w:rPr>
                <w:rFonts w:ascii="Arial" w:cs="Arial" w:eastAsia="Arial" w:hAnsi="Arial"/>
                <w:sz w:val="14"/>
                <w:szCs w:val="14"/>
                <w:color w:val="auto"/>
              </w:rPr>
              <w:t>Factors used to determine base salaries:</w:t>
            </w:r>
          </w:p>
        </w:tc>
        <w:tc>
          <w:tcPr>
            <w:tcW w:w="2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60" w:type="dxa"/>
            <w:vAlign w:val="bottom"/>
            <w:tcBorders>
              <w:left w:val="single" w:sz="8" w:color="auto"/>
            </w:tcBorders>
          </w:tcPr>
          <w:p>
            <w:pPr>
              <w:spacing w:after="0"/>
              <w:rPr>
                <w:sz w:val="19"/>
                <w:szCs w:val="19"/>
                <w:color w:val="auto"/>
              </w:rPr>
            </w:pPr>
          </w:p>
        </w:tc>
        <w:tc>
          <w:tcPr>
            <w:tcW w:w="3340" w:type="dxa"/>
            <w:vAlign w:val="bottom"/>
          </w:tcPr>
          <w:p>
            <w:pPr>
              <w:spacing w:after="0"/>
              <w:rPr>
                <w:sz w:val="19"/>
                <w:szCs w:val="19"/>
                <w:color w:val="auto"/>
              </w:rPr>
            </w:pPr>
          </w:p>
        </w:tc>
        <w:tc>
          <w:tcPr>
            <w:tcW w:w="3100" w:type="dxa"/>
            <w:vAlign w:val="bottom"/>
          </w:tcPr>
          <w:p>
            <w:pPr>
              <w:ind w:left="6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NEO’s experience, skill, and performance.</w:t>
            </w:r>
          </w:p>
        </w:tc>
        <w:tc>
          <w:tcPr>
            <w:tcW w:w="2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tcBorders>
              <w:left w:val="single" w:sz="8" w:color="auto"/>
            </w:tcBorders>
          </w:tcPr>
          <w:p>
            <w:pPr>
              <w:spacing w:after="0"/>
              <w:rPr>
                <w:sz w:val="19"/>
                <w:szCs w:val="19"/>
                <w:color w:val="auto"/>
              </w:rPr>
            </w:pPr>
          </w:p>
        </w:tc>
        <w:tc>
          <w:tcPr>
            <w:tcW w:w="3340" w:type="dxa"/>
            <w:vAlign w:val="bottom"/>
          </w:tcPr>
          <w:p>
            <w:pPr>
              <w:spacing w:after="0"/>
              <w:rPr>
                <w:sz w:val="19"/>
                <w:szCs w:val="19"/>
                <w:color w:val="auto"/>
              </w:rPr>
            </w:pPr>
          </w:p>
        </w:tc>
        <w:tc>
          <w:tcPr>
            <w:tcW w:w="3100" w:type="dxa"/>
            <w:vAlign w:val="bottom"/>
          </w:tcPr>
          <w:p>
            <w:pPr>
              <w:ind w:left="6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The breadth of the NEO’s responsibilities.</w:t>
            </w:r>
          </w:p>
        </w:tc>
        <w:tc>
          <w:tcPr>
            <w:tcW w:w="2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tcBorders>
              <w:left w:val="single" w:sz="8" w:color="auto"/>
            </w:tcBorders>
          </w:tcPr>
          <w:p>
            <w:pPr>
              <w:spacing w:after="0"/>
              <w:rPr>
                <w:sz w:val="19"/>
                <w:szCs w:val="19"/>
                <w:color w:val="auto"/>
              </w:rPr>
            </w:pPr>
          </w:p>
        </w:tc>
        <w:tc>
          <w:tcPr>
            <w:tcW w:w="3340" w:type="dxa"/>
            <w:vAlign w:val="bottom"/>
          </w:tcPr>
          <w:p>
            <w:pPr>
              <w:spacing w:after="0"/>
              <w:rPr>
                <w:sz w:val="19"/>
                <w:szCs w:val="19"/>
                <w:color w:val="auto"/>
              </w:rPr>
            </w:pPr>
          </w:p>
        </w:tc>
        <w:tc>
          <w:tcPr>
            <w:tcW w:w="3100" w:type="dxa"/>
            <w:vAlign w:val="bottom"/>
          </w:tcPr>
          <w:p>
            <w:pPr>
              <w:ind w:left="6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Internal equity among other NEOs.</w:t>
            </w:r>
          </w:p>
        </w:tc>
        <w:tc>
          <w:tcPr>
            <w:tcW w:w="2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60" w:type="dxa"/>
            <w:vAlign w:val="bottom"/>
            <w:tcBorders>
              <w:left w:val="single" w:sz="8" w:color="auto"/>
              <w:bottom w:val="single" w:sz="8" w:color="auto"/>
            </w:tcBorders>
          </w:tcPr>
          <w:p>
            <w:pPr>
              <w:spacing w:after="0"/>
              <w:rPr>
                <w:sz w:val="19"/>
                <w:szCs w:val="19"/>
                <w:color w:val="auto"/>
              </w:rPr>
            </w:pPr>
          </w:p>
        </w:tc>
        <w:tc>
          <w:tcPr>
            <w:tcW w:w="334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Pay relative to market.</w:t>
            </w:r>
          </w:p>
        </w:tc>
        <w:tc>
          <w:tcPr>
            <w:tcW w:w="2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060" w:type="dxa"/>
            <w:vAlign w:val="bottom"/>
            <w:tcBorders>
              <w:left w:val="single" w:sz="8" w:color="auto"/>
            </w:tcBorders>
            <w:shd w:val="clear" w:color="auto" w:fill="E6EDF3"/>
          </w:tcPr>
          <w:p>
            <w:pPr>
              <w:ind w:left="160"/>
              <w:spacing w:after="0"/>
              <w:rPr>
                <w:sz w:val="20"/>
                <w:szCs w:val="20"/>
                <w:color w:val="auto"/>
              </w:rPr>
            </w:pPr>
            <w:r>
              <w:rPr>
                <w:rFonts w:ascii="Arial" w:cs="Arial" w:eastAsia="Arial" w:hAnsi="Arial"/>
                <w:sz w:val="14"/>
                <w:szCs w:val="14"/>
                <w:b w:val="1"/>
                <w:bCs w:val="1"/>
                <w:color w:val="auto"/>
              </w:rPr>
              <w:t>Annual Incentive Award</w:t>
            </w:r>
          </w:p>
        </w:tc>
        <w:tc>
          <w:tcPr>
            <w:tcW w:w="3340" w:type="dxa"/>
            <w:vAlign w:val="bottom"/>
            <w:shd w:val="clear" w:color="auto" w:fill="E6EDF3"/>
          </w:tcPr>
          <w:p>
            <w:pPr>
              <w:ind w:left="100"/>
              <w:spacing w:after="0"/>
              <w:rPr>
                <w:sz w:val="20"/>
                <w:szCs w:val="20"/>
                <w:color w:val="auto"/>
              </w:rPr>
            </w:pPr>
            <w:r>
              <w:rPr>
                <w:rFonts w:ascii="Arial" w:cs="Arial" w:eastAsia="Arial" w:hAnsi="Arial"/>
                <w:sz w:val="14"/>
                <w:szCs w:val="14"/>
                <w:color w:val="auto"/>
              </w:rPr>
              <w:t>Variable compensation payable in cash based on</w:t>
            </w:r>
          </w:p>
        </w:tc>
        <w:tc>
          <w:tcPr>
            <w:tcW w:w="3100" w:type="dxa"/>
            <w:vAlign w:val="bottom"/>
            <w:shd w:val="clear" w:color="auto" w:fill="E6EDF3"/>
          </w:tcPr>
          <w:p>
            <w:pPr>
              <w:ind w:left="60"/>
              <w:spacing w:after="0"/>
              <w:rPr>
                <w:sz w:val="20"/>
                <w:szCs w:val="20"/>
                <w:color w:val="auto"/>
              </w:rPr>
            </w:pPr>
            <w:r>
              <w:rPr>
                <w:rFonts w:ascii="Arial" w:cs="Arial" w:eastAsia="Arial" w:hAnsi="Arial"/>
                <w:sz w:val="14"/>
                <w:szCs w:val="14"/>
                <w:color w:val="auto"/>
              </w:rPr>
              <w:t>Motivate and reward NEOs for achievement of</w:t>
            </w:r>
          </w:p>
        </w:tc>
        <w:tc>
          <w:tcPr>
            <w:tcW w:w="2940" w:type="dxa"/>
            <w:vAlign w:val="bottom"/>
            <w:tcBorders>
              <w:right w:val="single" w:sz="8" w:color="auto"/>
            </w:tcBorders>
            <w:shd w:val="clear" w:color="auto" w:fill="E6EDF3"/>
          </w:tcPr>
          <w:p>
            <w:pPr>
              <w:ind w:left="8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The Pool for 2016 was $25.0 million. Mr.</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ind w:left="100"/>
              <w:spacing w:after="0"/>
              <w:rPr>
                <w:sz w:val="20"/>
                <w:szCs w:val="20"/>
                <w:color w:val="auto"/>
              </w:rPr>
            </w:pPr>
            <w:r>
              <w:rPr>
                <w:rFonts w:ascii="Arial" w:cs="Arial" w:eastAsia="Arial" w:hAnsi="Arial"/>
                <w:sz w:val="14"/>
                <w:szCs w:val="14"/>
                <w:color w:val="auto"/>
              </w:rPr>
              <w:t>performance against annually established goals</w:t>
            </w:r>
          </w:p>
        </w:tc>
        <w:tc>
          <w:tcPr>
            <w:tcW w:w="3100" w:type="dxa"/>
            <w:vAlign w:val="bottom"/>
            <w:shd w:val="clear" w:color="auto" w:fill="E6EDF3"/>
          </w:tcPr>
          <w:p>
            <w:pPr>
              <w:ind w:left="60"/>
              <w:spacing w:after="0"/>
              <w:rPr>
                <w:sz w:val="20"/>
                <w:szCs w:val="20"/>
                <w:color w:val="auto"/>
              </w:rPr>
            </w:pPr>
            <w:r>
              <w:rPr>
                <w:rFonts w:ascii="Arial" w:cs="Arial" w:eastAsia="Arial" w:hAnsi="Arial"/>
                <w:sz w:val="14"/>
                <w:szCs w:val="14"/>
                <w:color w:val="auto"/>
              </w:rPr>
              <w:t>key strategic, operational and financial</w:t>
            </w:r>
          </w:p>
        </w:tc>
        <w:tc>
          <w:tcPr>
            <w:tcW w:w="2940" w:type="dxa"/>
            <w:vAlign w:val="bottom"/>
            <w:tcBorders>
              <w:right w:val="single" w:sz="8" w:color="auto"/>
            </w:tcBorders>
            <w:shd w:val="clear" w:color="auto" w:fill="E6EDF3"/>
          </w:tcPr>
          <w:p>
            <w:pPr>
              <w:ind w:left="220"/>
              <w:spacing w:after="0"/>
              <w:rPr>
                <w:sz w:val="20"/>
                <w:szCs w:val="20"/>
                <w:color w:val="auto"/>
              </w:rPr>
            </w:pPr>
            <w:r>
              <w:rPr>
                <w:rFonts w:ascii="Arial" w:cs="Arial" w:eastAsia="Arial" w:hAnsi="Arial"/>
                <w:sz w:val="14"/>
                <w:szCs w:val="14"/>
                <w:color w:val="auto"/>
              </w:rPr>
              <w:t>Prising’s portion of the Pool for 2016 was</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ind w:left="100"/>
              <w:spacing w:after="0"/>
              <w:rPr>
                <w:sz w:val="20"/>
                <w:szCs w:val="20"/>
                <w:color w:val="auto"/>
              </w:rPr>
            </w:pPr>
            <w:r>
              <w:rPr>
                <w:rFonts w:ascii="Arial" w:cs="Arial" w:eastAsia="Arial" w:hAnsi="Arial"/>
                <w:sz w:val="14"/>
                <w:szCs w:val="14"/>
                <w:color w:val="auto"/>
              </w:rPr>
              <w:t>and assessment of individual performance.</w:t>
            </w:r>
          </w:p>
        </w:tc>
        <w:tc>
          <w:tcPr>
            <w:tcW w:w="3100" w:type="dxa"/>
            <w:vAlign w:val="bottom"/>
            <w:shd w:val="clear" w:color="auto" w:fill="E6EDF3"/>
          </w:tcPr>
          <w:p>
            <w:pPr>
              <w:ind w:left="60"/>
              <w:spacing w:after="0"/>
              <w:rPr>
                <w:sz w:val="20"/>
                <w:szCs w:val="20"/>
                <w:color w:val="auto"/>
              </w:rPr>
            </w:pPr>
            <w:r>
              <w:rPr>
                <w:rFonts w:ascii="Arial" w:cs="Arial" w:eastAsia="Arial" w:hAnsi="Arial"/>
                <w:sz w:val="14"/>
                <w:szCs w:val="14"/>
                <w:color w:val="auto"/>
              </w:rPr>
              <w:t>measures over the year.</w:t>
            </w:r>
          </w:p>
        </w:tc>
        <w:tc>
          <w:tcPr>
            <w:tcW w:w="2940" w:type="dxa"/>
            <w:vAlign w:val="bottom"/>
            <w:tcBorders>
              <w:right w:val="single" w:sz="8" w:color="auto"/>
            </w:tcBorders>
            <w:shd w:val="clear" w:color="auto" w:fill="E6EDF3"/>
          </w:tcPr>
          <w:p>
            <w:pPr>
              <w:ind w:left="220"/>
              <w:spacing w:after="0"/>
              <w:rPr>
                <w:sz w:val="20"/>
                <w:szCs w:val="20"/>
                <w:color w:val="auto"/>
              </w:rPr>
            </w:pPr>
            <w:r>
              <w:rPr>
                <w:rFonts w:ascii="Arial" w:cs="Arial" w:eastAsia="Arial" w:hAnsi="Arial"/>
                <w:sz w:val="14"/>
                <w:szCs w:val="14"/>
                <w:color w:val="auto"/>
              </w:rPr>
              <w:t>$6.5 million. However, the individual limit</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spacing w:after="0"/>
              <w:rPr>
                <w:sz w:val="14"/>
                <w:szCs w:val="14"/>
                <w:color w:val="auto"/>
              </w:rPr>
            </w:pPr>
          </w:p>
        </w:tc>
        <w:tc>
          <w:tcPr>
            <w:tcW w:w="3100" w:type="dxa"/>
            <w:vAlign w:val="bottom"/>
            <w:vMerge w:val="restart"/>
            <w:shd w:val="clear" w:color="auto" w:fill="E6EDF3"/>
          </w:tcPr>
          <w:p>
            <w:pPr>
              <w:ind w:left="60"/>
              <w:spacing w:after="0"/>
              <w:rPr>
                <w:sz w:val="20"/>
                <w:szCs w:val="20"/>
                <w:color w:val="auto"/>
              </w:rPr>
            </w:pPr>
            <w:r>
              <w:rPr>
                <w:rFonts w:ascii="Arial" w:cs="Arial" w:eastAsia="Arial" w:hAnsi="Arial"/>
                <w:sz w:val="14"/>
                <w:szCs w:val="14"/>
                <w:color w:val="auto"/>
              </w:rPr>
              <w:t>Measures used to determine annual incentive:</w:t>
            </w:r>
          </w:p>
        </w:tc>
        <w:tc>
          <w:tcPr>
            <w:tcW w:w="2940" w:type="dxa"/>
            <w:vAlign w:val="bottom"/>
            <w:tcBorders>
              <w:right w:val="single" w:sz="8" w:color="auto"/>
            </w:tcBorders>
            <w:shd w:val="clear" w:color="auto" w:fill="E6EDF3"/>
          </w:tcPr>
          <w:p>
            <w:pPr>
              <w:ind w:left="220"/>
              <w:spacing w:after="0"/>
              <w:rPr>
                <w:sz w:val="20"/>
                <w:szCs w:val="20"/>
                <w:color w:val="auto"/>
              </w:rPr>
            </w:pPr>
            <w:r>
              <w:rPr>
                <w:rFonts w:ascii="Arial" w:cs="Arial" w:eastAsia="Arial" w:hAnsi="Arial"/>
                <w:sz w:val="14"/>
                <w:szCs w:val="14"/>
                <w:color w:val="auto"/>
              </w:rPr>
              <w:t>under the Pool Plan is $5 million, which</w:t>
            </w:r>
          </w:p>
        </w:tc>
        <w:tc>
          <w:tcPr>
            <w:tcW w:w="0" w:type="dxa"/>
            <w:vAlign w:val="bottom"/>
          </w:tcPr>
          <w:p>
            <w:pPr>
              <w:spacing w:after="0"/>
              <w:rPr>
                <w:sz w:val="1"/>
                <w:szCs w:val="1"/>
                <w:color w:val="auto"/>
              </w:rPr>
            </w:pPr>
          </w:p>
        </w:tc>
      </w:tr>
      <w:tr>
        <w:trPr>
          <w:trHeight w:val="17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spacing w:after="0"/>
              <w:rPr>
                <w:sz w:val="14"/>
                <w:szCs w:val="14"/>
                <w:color w:val="auto"/>
              </w:rPr>
            </w:pPr>
          </w:p>
        </w:tc>
        <w:tc>
          <w:tcPr>
            <w:tcW w:w="3100" w:type="dxa"/>
            <w:vAlign w:val="bottom"/>
            <w:vMerge w:val="continue"/>
            <w:shd w:val="clear" w:color="auto" w:fill="E6EDF3"/>
          </w:tcPr>
          <w:p>
            <w:pPr>
              <w:spacing w:after="0"/>
              <w:rPr>
                <w:sz w:val="14"/>
                <w:szCs w:val="14"/>
                <w:color w:val="auto"/>
              </w:rPr>
            </w:pPr>
          </w:p>
        </w:tc>
        <w:tc>
          <w:tcPr>
            <w:tcW w:w="2940" w:type="dxa"/>
            <w:vAlign w:val="bottom"/>
            <w:tcBorders>
              <w:right w:val="single" w:sz="8" w:color="auto"/>
            </w:tcBorders>
            <w:shd w:val="clear" w:color="auto" w:fill="E6EDF3"/>
          </w:tcPr>
          <w:p>
            <w:pPr>
              <w:ind w:left="220"/>
              <w:spacing w:after="0"/>
              <w:rPr>
                <w:sz w:val="20"/>
                <w:szCs w:val="20"/>
                <w:color w:val="auto"/>
              </w:rPr>
            </w:pPr>
            <w:r>
              <w:rPr>
                <w:rFonts w:ascii="Arial" w:cs="Arial" w:eastAsia="Arial" w:hAnsi="Arial"/>
                <w:sz w:val="14"/>
                <w:szCs w:val="14"/>
                <w:color w:val="auto"/>
              </w:rPr>
              <w:t>was less than his share of the Pool.</w:t>
            </w:r>
          </w:p>
        </w:tc>
        <w:tc>
          <w:tcPr>
            <w:tcW w:w="0" w:type="dxa"/>
            <w:vAlign w:val="bottom"/>
          </w:tcPr>
          <w:p>
            <w:pPr>
              <w:spacing w:after="0"/>
              <w:rPr>
                <w:sz w:val="1"/>
                <w:szCs w:val="1"/>
                <w:color w:val="auto"/>
              </w:rPr>
            </w:pPr>
          </w:p>
        </w:tc>
      </w:tr>
      <w:tr>
        <w:trPr>
          <w:trHeight w:val="188"/>
        </w:trPr>
        <w:tc>
          <w:tcPr>
            <w:tcW w:w="2060" w:type="dxa"/>
            <w:vAlign w:val="bottom"/>
            <w:tcBorders>
              <w:left w:val="single" w:sz="8" w:color="auto"/>
            </w:tcBorders>
            <w:shd w:val="clear" w:color="auto" w:fill="E6EDF3"/>
          </w:tcPr>
          <w:p>
            <w:pPr>
              <w:spacing w:after="0"/>
              <w:rPr>
                <w:sz w:val="16"/>
                <w:szCs w:val="16"/>
                <w:color w:val="auto"/>
              </w:rPr>
            </w:pPr>
          </w:p>
        </w:tc>
        <w:tc>
          <w:tcPr>
            <w:tcW w:w="3340" w:type="dxa"/>
            <w:vAlign w:val="bottom"/>
            <w:shd w:val="clear" w:color="auto" w:fill="E6EDF3"/>
          </w:tcPr>
          <w:p>
            <w:pPr>
              <w:spacing w:after="0"/>
              <w:rPr>
                <w:sz w:val="16"/>
                <w:szCs w:val="16"/>
                <w:color w:val="auto"/>
              </w:rPr>
            </w:pPr>
          </w:p>
        </w:tc>
        <w:tc>
          <w:tcPr>
            <w:tcW w:w="3100" w:type="dxa"/>
            <w:vAlign w:val="bottom"/>
            <w:shd w:val="clear" w:color="auto" w:fill="E6EDF3"/>
          </w:tcPr>
          <w:p>
            <w:pPr>
              <w:ind w:left="6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The maximum aggregate annual incentives</w:t>
            </w:r>
          </w:p>
        </w:tc>
        <w:tc>
          <w:tcPr>
            <w:tcW w:w="2940" w:type="dxa"/>
            <w:vAlign w:val="bottom"/>
            <w:tcBorders>
              <w:right w:val="single" w:sz="8" w:color="auto"/>
            </w:tcBorders>
            <w:shd w:val="clear" w:color="auto" w:fill="E6EDF3"/>
          </w:tcPr>
          <w:p>
            <w:pPr>
              <w:ind w:left="8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Each participant in the Pool Plan received</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spacing w:after="0"/>
              <w:rPr>
                <w:sz w:val="14"/>
                <w:szCs w:val="14"/>
                <w:color w:val="auto"/>
              </w:rPr>
            </w:pPr>
          </w:p>
        </w:tc>
        <w:tc>
          <w:tcPr>
            <w:tcW w:w="3100" w:type="dxa"/>
            <w:vAlign w:val="bottom"/>
            <w:shd w:val="clear" w:color="auto" w:fill="E6EDF3"/>
          </w:tcPr>
          <w:p>
            <w:pPr>
              <w:ind w:left="200"/>
              <w:spacing w:after="0"/>
              <w:rPr>
                <w:sz w:val="20"/>
                <w:szCs w:val="20"/>
                <w:color w:val="auto"/>
              </w:rPr>
            </w:pPr>
            <w:r>
              <w:rPr>
                <w:rFonts w:ascii="Arial" w:cs="Arial" w:eastAsia="Arial" w:hAnsi="Arial"/>
                <w:sz w:val="14"/>
                <w:szCs w:val="14"/>
                <w:color w:val="auto"/>
              </w:rPr>
              <w:t>earned by the NEOs subject to the</w:t>
            </w:r>
          </w:p>
        </w:tc>
        <w:tc>
          <w:tcPr>
            <w:tcW w:w="2940" w:type="dxa"/>
            <w:vAlign w:val="bottom"/>
            <w:tcBorders>
              <w:right w:val="single" w:sz="8" w:color="auto"/>
            </w:tcBorders>
            <w:shd w:val="clear" w:color="auto" w:fill="E6EDF3"/>
          </w:tcPr>
          <w:p>
            <w:pPr>
              <w:ind w:left="220"/>
              <w:spacing w:after="0"/>
              <w:rPr>
                <w:sz w:val="20"/>
                <w:szCs w:val="20"/>
                <w:color w:val="auto"/>
              </w:rPr>
            </w:pPr>
            <w:r>
              <w:rPr>
                <w:rFonts w:ascii="Arial" w:cs="Arial" w:eastAsia="Arial" w:hAnsi="Arial"/>
                <w:sz w:val="14"/>
                <w:szCs w:val="14"/>
                <w:color w:val="auto"/>
              </w:rPr>
              <w:t>an incentive significantly below his or her</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spacing w:after="0"/>
              <w:rPr>
                <w:sz w:val="14"/>
                <w:szCs w:val="14"/>
                <w:color w:val="auto"/>
              </w:rPr>
            </w:pPr>
          </w:p>
        </w:tc>
        <w:tc>
          <w:tcPr>
            <w:tcW w:w="3100" w:type="dxa"/>
            <w:vAlign w:val="bottom"/>
            <w:shd w:val="clear" w:color="auto" w:fill="E6EDF3"/>
          </w:tcPr>
          <w:p>
            <w:pPr>
              <w:ind w:left="200"/>
              <w:spacing w:after="0"/>
              <w:rPr>
                <w:sz w:val="20"/>
                <w:szCs w:val="20"/>
                <w:color w:val="auto"/>
              </w:rPr>
            </w:pPr>
            <w:r>
              <w:rPr>
                <w:rFonts w:ascii="Arial" w:cs="Arial" w:eastAsia="Arial" w:hAnsi="Arial"/>
                <w:sz w:val="14"/>
                <w:szCs w:val="14"/>
                <w:color w:val="auto"/>
              </w:rPr>
              <w:t>ManpowerGroup Inc. Corporate Senior</w:t>
            </w:r>
          </w:p>
        </w:tc>
        <w:tc>
          <w:tcPr>
            <w:tcW w:w="2940" w:type="dxa"/>
            <w:vAlign w:val="bottom"/>
            <w:tcBorders>
              <w:right w:val="single" w:sz="8" w:color="auto"/>
            </w:tcBorders>
            <w:shd w:val="clear" w:color="auto" w:fill="E6EDF3"/>
          </w:tcPr>
          <w:p>
            <w:pPr>
              <w:ind w:left="220"/>
              <w:spacing w:after="0"/>
              <w:rPr>
                <w:sz w:val="20"/>
                <w:szCs w:val="20"/>
                <w:color w:val="auto"/>
              </w:rPr>
            </w:pPr>
            <w:r>
              <w:rPr>
                <w:rFonts w:ascii="Arial" w:cs="Arial" w:eastAsia="Arial" w:hAnsi="Arial"/>
                <w:sz w:val="14"/>
                <w:szCs w:val="14"/>
                <w:color w:val="auto"/>
              </w:rPr>
              <w:t>allocated portion of the Pool.</w:t>
            </w:r>
          </w:p>
        </w:tc>
        <w:tc>
          <w:tcPr>
            <w:tcW w:w="0" w:type="dxa"/>
            <w:vAlign w:val="bottom"/>
          </w:tcPr>
          <w:p>
            <w:pPr>
              <w:spacing w:after="0"/>
              <w:rPr>
                <w:sz w:val="1"/>
                <w:szCs w:val="1"/>
                <w:color w:val="auto"/>
              </w:rPr>
            </w:pPr>
          </w:p>
        </w:tc>
      </w:tr>
      <w:tr>
        <w:trPr>
          <w:trHeight w:val="153"/>
        </w:trPr>
        <w:tc>
          <w:tcPr>
            <w:tcW w:w="2060" w:type="dxa"/>
            <w:vAlign w:val="bottom"/>
            <w:tcBorders>
              <w:left w:val="single" w:sz="8" w:color="auto"/>
            </w:tcBorders>
            <w:shd w:val="clear" w:color="auto" w:fill="E6EDF3"/>
          </w:tcPr>
          <w:p>
            <w:pPr>
              <w:spacing w:after="0"/>
              <w:rPr>
                <w:sz w:val="13"/>
                <w:szCs w:val="13"/>
                <w:color w:val="auto"/>
              </w:rPr>
            </w:pPr>
          </w:p>
        </w:tc>
        <w:tc>
          <w:tcPr>
            <w:tcW w:w="3340" w:type="dxa"/>
            <w:vAlign w:val="bottom"/>
            <w:shd w:val="clear" w:color="auto" w:fill="E6EDF3"/>
          </w:tcPr>
          <w:p>
            <w:pPr>
              <w:spacing w:after="0"/>
              <w:rPr>
                <w:sz w:val="13"/>
                <w:szCs w:val="13"/>
                <w:color w:val="auto"/>
              </w:rPr>
            </w:pPr>
          </w:p>
        </w:tc>
        <w:tc>
          <w:tcPr>
            <w:tcW w:w="3100" w:type="dxa"/>
            <w:vAlign w:val="bottom"/>
            <w:shd w:val="clear" w:color="auto" w:fill="E6EDF3"/>
          </w:tcPr>
          <w:p>
            <w:pPr>
              <w:ind w:left="200"/>
              <w:spacing w:after="0" w:line="153" w:lineRule="exact"/>
              <w:rPr>
                <w:sz w:val="20"/>
                <w:szCs w:val="20"/>
                <w:color w:val="auto"/>
              </w:rPr>
            </w:pPr>
            <w:r>
              <w:rPr>
                <w:rFonts w:ascii="Arial" w:cs="Arial" w:eastAsia="Arial" w:hAnsi="Arial"/>
                <w:sz w:val="14"/>
                <w:szCs w:val="14"/>
                <w:color w:val="auto"/>
              </w:rPr>
              <w:t>Management Annual Incentive Pool Plan</w:t>
            </w:r>
          </w:p>
        </w:tc>
        <w:tc>
          <w:tcPr>
            <w:tcW w:w="2940" w:type="dxa"/>
            <w:vAlign w:val="bottom"/>
            <w:tcBorders>
              <w:right w:val="single" w:sz="8" w:color="auto"/>
            </w:tcBorders>
            <w:vMerge w:val="restart"/>
            <w:shd w:val="clear" w:color="auto" w:fill="E6EDF3"/>
          </w:tcPr>
          <w:p>
            <w:pPr>
              <w:ind w:left="8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The EPS and ROIC levels achieved were</w:t>
            </w: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tcBorders>
            <w:shd w:val="clear" w:color="auto" w:fill="E6EDF3"/>
          </w:tcPr>
          <w:p>
            <w:pPr>
              <w:spacing w:after="0"/>
              <w:rPr>
                <w:sz w:val="9"/>
                <w:szCs w:val="9"/>
                <w:color w:val="auto"/>
              </w:rPr>
            </w:pPr>
          </w:p>
        </w:tc>
        <w:tc>
          <w:tcPr>
            <w:tcW w:w="3340" w:type="dxa"/>
            <w:vAlign w:val="bottom"/>
            <w:shd w:val="clear" w:color="auto" w:fill="E6EDF3"/>
          </w:tcPr>
          <w:p>
            <w:pPr>
              <w:spacing w:after="0"/>
              <w:rPr>
                <w:sz w:val="9"/>
                <w:szCs w:val="9"/>
                <w:color w:val="auto"/>
              </w:rPr>
            </w:pPr>
          </w:p>
        </w:tc>
        <w:tc>
          <w:tcPr>
            <w:tcW w:w="3100" w:type="dxa"/>
            <w:vAlign w:val="bottom"/>
            <w:vMerge w:val="restart"/>
            <w:shd w:val="clear" w:color="auto" w:fill="E6EDF3"/>
          </w:tcPr>
          <w:p>
            <w:pPr>
              <w:ind w:left="200"/>
              <w:spacing w:after="0"/>
              <w:rPr>
                <w:sz w:val="20"/>
                <w:szCs w:val="20"/>
                <w:color w:val="auto"/>
              </w:rPr>
            </w:pPr>
            <w:r>
              <w:rPr>
                <w:rFonts w:ascii="Arial" w:cs="Arial" w:eastAsia="Arial" w:hAnsi="Arial"/>
                <w:sz w:val="14"/>
                <w:szCs w:val="14"/>
                <w:color w:val="auto"/>
              </w:rPr>
              <w:t>(“Pool Plan”) cannot exceed a certain</w:t>
            </w:r>
          </w:p>
        </w:tc>
        <w:tc>
          <w:tcPr>
            <w:tcW w:w="2940" w:type="dxa"/>
            <w:vAlign w:val="bottom"/>
            <w:tcBorders>
              <w:right w:val="single" w:sz="8" w:color="auto"/>
            </w:tcBorders>
            <w:vMerge w:val="continue"/>
            <w:shd w:val="clear" w:color="auto" w:fill="E6EDF3"/>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60" w:type="dxa"/>
            <w:vAlign w:val="bottom"/>
            <w:tcBorders>
              <w:left w:val="single" w:sz="8" w:color="auto"/>
            </w:tcBorders>
            <w:shd w:val="clear" w:color="auto" w:fill="E6EDF3"/>
          </w:tcPr>
          <w:p>
            <w:pPr>
              <w:spacing w:after="0"/>
              <w:rPr>
                <w:sz w:val="4"/>
                <w:szCs w:val="4"/>
                <w:color w:val="auto"/>
              </w:rPr>
            </w:pPr>
          </w:p>
        </w:tc>
        <w:tc>
          <w:tcPr>
            <w:tcW w:w="3340" w:type="dxa"/>
            <w:vAlign w:val="bottom"/>
            <w:shd w:val="clear" w:color="auto" w:fill="E6EDF3"/>
          </w:tcPr>
          <w:p>
            <w:pPr>
              <w:spacing w:after="0"/>
              <w:rPr>
                <w:sz w:val="4"/>
                <w:szCs w:val="4"/>
                <w:color w:val="auto"/>
              </w:rPr>
            </w:pPr>
          </w:p>
        </w:tc>
        <w:tc>
          <w:tcPr>
            <w:tcW w:w="3100" w:type="dxa"/>
            <w:vAlign w:val="bottom"/>
            <w:vMerge w:val="continue"/>
            <w:shd w:val="clear" w:color="auto" w:fill="E6EDF3"/>
          </w:tcPr>
          <w:p>
            <w:pPr>
              <w:spacing w:after="0"/>
              <w:rPr>
                <w:sz w:val="4"/>
                <w:szCs w:val="4"/>
                <w:color w:val="auto"/>
              </w:rPr>
            </w:pPr>
          </w:p>
        </w:tc>
        <w:tc>
          <w:tcPr>
            <w:tcW w:w="2940" w:type="dxa"/>
            <w:vAlign w:val="bottom"/>
            <w:tcBorders>
              <w:right w:val="single" w:sz="8" w:color="auto"/>
            </w:tcBorders>
            <w:vMerge w:val="restart"/>
            <w:shd w:val="clear" w:color="auto" w:fill="E6EDF3"/>
          </w:tcPr>
          <w:p>
            <w:pPr>
              <w:ind w:left="220"/>
              <w:spacing w:after="0"/>
              <w:rPr>
                <w:sz w:val="20"/>
                <w:szCs w:val="20"/>
                <w:color w:val="auto"/>
              </w:rPr>
            </w:pPr>
            <w:r>
              <w:rPr>
                <w:rFonts w:ascii="Arial" w:cs="Arial" w:eastAsia="Arial" w:hAnsi="Arial"/>
                <w:sz w:val="14"/>
                <w:szCs w:val="14"/>
                <w:color w:val="auto"/>
              </w:rPr>
              <w:t>above the target levels.</w:t>
            </w:r>
          </w:p>
        </w:tc>
        <w:tc>
          <w:tcPr>
            <w:tcW w:w="0" w:type="dxa"/>
            <w:vAlign w:val="bottom"/>
          </w:tcPr>
          <w:p>
            <w:pPr>
              <w:spacing w:after="0"/>
              <w:rPr>
                <w:sz w:val="1"/>
                <w:szCs w:val="1"/>
                <w:color w:val="auto"/>
              </w:rPr>
            </w:pPr>
          </w:p>
        </w:tc>
      </w:tr>
      <w:tr>
        <w:trPr>
          <w:trHeight w:val="118"/>
        </w:trPr>
        <w:tc>
          <w:tcPr>
            <w:tcW w:w="2060" w:type="dxa"/>
            <w:vAlign w:val="bottom"/>
            <w:tcBorders>
              <w:left w:val="single" w:sz="8" w:color="auto"/>
            </w:tcBorders>
            <w:shd w:val="clear" w:color="auto" w:fill="E6EDF3"/>
          </w:tcPr>
          <w:p>
            <w:pPr>
              <w:spacing w:after="0"/>
              <w:rPr>
                <w:sz w:val="10"/>
                <w:szCs w:val="10"/>
                <w:color w:val="auto"/>
              </w:rPr>
            </w:pPr>
          </w:p>
        </w:tc>
        <w:tc>
          <w:tcPr>
            <w:tcW w:w="3340" w:type="dxa"/>
            <w:vAlign w:val="bottom"/>
            <w:shd w:val="clear" w:color="auto" w:fill="E6EDF3"/>
          </w:tcPr>
          <w:p>
            <w:pPr>
              <w:spacing w:after="0"/>
              <w:rPr>
                <w:sz w:val="10"/>
                <w:szCs w:val="10"/>
                <w:color w:val="auto"/>
              </w:rPr>
            </w:pPr>
          </w:p>
        </w:tc>
        <w:tc>
          <w:tcPr>
            <w:tcW w:w="3100" w:type="dxa"/>
            <w:vAlign w:val="bottom"/>
            <w:vMerge w:val="restart"/>
            <w:shd w:val="clear" w:color="auto" w:fill="E6EDF3"/>
          </w:tcPr>
          <w:p>
            <w:pPr>
              <w:ind w:left="200"/>
              <w:spacing w:after="0"/>
              <w:rPr>
                <w:sz w:val="20"/>
                <w:szCs w:val="20"/>
                <w:color w:val="auto"/>
              </w:rPr>
            </w:pPr>
            <w:r>
              <w:rPr>
                <w:rFonts w:ascii="Arial" w:cs="Arial" w:eastAsia="Arial" w:hAnsi="Arial"/>
                <w:sz w:val="14"/>
                <w:szCs w:val="14"/>
                <w:color w:val="auto"/>
              </w:rPr>
              <w:t>percentage of gross profit (the “Pool”). Each</w:t>
            </w:r>
          </w:p>
        </w:tc>
        <w:tc>
          <w:tcPr>
            <w:tcW w:w="2940" w:type="dxa"/>
            <w:vAlign w:val="bottom"/>
            <w:tcBorders>
              <w:right w:val="single" w:sz="8" w:color="auto"/>
            </w:tcBorders>
            <w:vMerge w:val="continue"/>
            <w:shd w:val="clear" w:color="auto" w:fill="E6EDF3"/>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60" w:type="dxa"/>
            <w:vAlign w:val="bottom"/>
            <w:tcBorders>
              <w:left w:val="single" w:sz="8" w:color="auto"/>
            </w:tcBorders>
            <w:shd w:val="clear" w:color="auto" w:fill="E6EDF3"/>
          </w:tcPr>
          <w:p>
            <w:pPr>
              <w:spacing w:after="0"/>
              <w:rPr>
                <w:sz w:val="3"/>
                <w:szCs w:val="3"/>
                <w:color w:val="auto"/>
              </w:rPr>
            </w:pPr>
          </w:p>
        </w:tc>
        <w:tc>
          <w:tcPr>
            <w:tcW w:w="3340" w:type="dxa"/>
            <w:vAlign w:val="bottom"/>
            <w:shd w:val="clear" w:color="auto" w:fill="E6EDF3"/>
          </w:tcPr>
          <w:p>
            <w:pPr>
              <w:spacing w:after="0"/>
              <w:rPr>
                <w:sz w:val="3"/>
                <w:szCs w:val="3"/>
                <w:color w:val="auto"/>
              </w:rPr>
            </w:pPr>
          </w:p>
        </w:tc>
        <w:tc>
          <w:tcPr>
            <w:tcW w:w="3100" w:type="dxa"/>
            <w:vAlign w:val="bottom"/>
            <w:vMerge w:val="continue"/>
            <w:shd w:val="clear" w:color="auto" w:fill="E6EDF3"/>
          </w:tcPr>
          <w:p>
            <w:pPr>
              <w:spacing w:after="0"/>
              <w:rPr>
                <w:sz w:val="3"/>
                <w:szCs w:val="3"/>
                <w:color w:val="auto"/>
              </w:rPr>
            </w:pPr>
          </w:p>
        </w:tc>
        <w:tc>
          <w:tcPr>
            <w:tcW w:w="2940" w:type="dxa"/>
            <w:vAlign w:val="bottom"/>
            <w:tcBorders>
              <w:right w:val="single" w:sz="8" w:color="auto"/>
            </w:tcBorders>
            <w:shd w:val="clear" w:color="auto" w:fill="E6EDF3"/>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spacing w:after="0"/>
              <w:rPr>
                <w:sz w:val="14"/>
                <w:szCs w:val="14"/>
                <w:color w:val="auto"/>
              </w:rPr>
            </w:pPr>
          </w:p>
        </w:tc>
        <w:tc>
          <w:tcPr>
            <w:tcW w:w="3100" w:type="dxa"/>
            <w:vAlign w:val="bottom"/>
            <w:shd w:val="clear" w:color="auto" w:fill="E6EDF3"/>
          </w:tcPr>
          <w:p>
            <w:pPr>
              <w:ind w:left="200"/>
              <w:spacing w:after="0"/>
              <w:rPr>
                <w:sz w:val="20"/>
                <w:szCs w:val="20"/>
                <w:color w:val="auto"/>
              </w:rPr>
            </w:pPr>
            <w:r>
              <w:rPr>
                <w:rFonts w:ascii="Arial" w:cs="Arial" w:eastAsia="Arial" w:hAnsi="Arial"/>
                <w:sz w:val="14"/>
                <w:szCs w:val="14"/>
                <w:color w:val="auto"/>
              </w:rPr>
              <w:t>NEO in the Pool Plan cannot earn more</w:t>
            </w:r>
          </w:p>
        </w:tc>
        <w:tc>
          <w:tcPr>
            <w:tcW w:w="2940" w:type="dxa"/>
            <w:vAlign w:val="bottom"/>
            <w:tcBorders>
              <w:right w:val="single" w:sz="8" w:color="auto"/>
            </w:tcBorders>
            <w:shd w:val="clear" w:color="auto" w:fill="E6EDF3"/>
          </w:tcPr>
          <w:p>
            <w:pPr>
              <w:ind w:left="8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The AOUP level for Mr. Chandrashekar</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spacing w:after="0"/>
              <w:rPr>
                <w:sz w:val="14"/>
                <w:szCs w:val="14"/>
                <w:color w:val="auto"/>
              </w:rPr>
            </w:pPr>
          </w:p>
        </w:tc>
        <w:tc>
          <w:tcPr>
            <w:tcW w:w="3100" w:type="dxa"/>
            <w:vAlign w:val="bottom"/>
            <w:shd w:val="clear" w:color="auto" w:fill="E6EDF3"/>
          </w:tcPr>
          <w:p>
            <w:pPr>
              <w:ind w:left="200"/>
              <w:spacing w:after="0"/>
              <w:rPr>
                <w:sz w:val="20"/>
                <w:szCs w:val="20"/>
                <w:color w:val="auto"/>
              </w:rPr>
            </w:pPr>
            <w:r>
              <w:rPr>
                <w:rFonts w:ascii="Arial" w:cs="Arial" w:eastAsia="Arial" w:hAnsi="Arial"/>
                <w:sz w:val="14"/>
                <w:szCs w:val="14"/>
                <w:color w:val="auto"/>
              </w:rPr>
              <w:t>than his or her allocated portion of the Pool.</w:t>
            </w:r>
          </w:p>
        </w:tc>
        <w:tc>
          <w:tcPr>
            <w:tcW w:w="2940" w:type="dxa"/>
            <w:vAlign w:val="bottom"/>
            <w:tcBorders>
              <w:right w:val="single" w:sz="8" w:color="auto"/>
            </w:tcBorders>
            <w:shd w:val="clear" w:color="auto" w:fill="E6EDF3"/>
          </w:tcPr>
          <w:p>
            <w:pPr>
              <w:ind w:left="220"/>
              <w:spacing w:after="0"/>
              <w:rPr>
                <w:sz w:val="20"/>
                <w:szCs w:val="20"/>
                <w:color w:val="auto"/>
              </w:rPr>
            </w:pPr>
            <w:r>
              <w:rPr>
                <w:rFonts w:ascii="Arial" w:cs="Arial" w:eastAsia="Arial" w:hAnsi="Arial"/>
                <w:sz w:val="14"/>
                <w:szCs w:val="14"/>
                <w:color w:val="auto"/>
              </w:rPr>
              <w:t>was below the threshold level.</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spacing w:after="0"/>
              <w:rPr>
                <w:sz w:val="14"/>
                <w:szCs w:val="14"/>
                <w:color w:val="auto"/>
              </w:rPr>
            </w:pPr>
          </w:p>
        </w:tc>
        <w:tc>
          <w:tcPr>
            <w:tcW w:w="3100" w:type="dxa"/>
            <w:vAlign w:val="bottom"/>
            <w:shd w:val="clear" w:color="auto" w:fill="E6EDF3"/>
          </w:tcPr>
          <w:p>
            <w:pPr>
              <w:ind w:left="200"/>
              <w:spacing w:after="0"/>
              <w:rPr>
                <w:sz w:val="20"/>
                <w:szCs w:val="20"/>
                <w:color w:val="auto"/>
              </w:rPr>
            </w:pPr>
            <w:r>
              <w:rPr>
                <w:rFonts w:ascii="Arial" w:cs="Arial" w:eastAsia="Arial" w:hAnsi="Arial"/>
                <w:sz w:val="14"/>
                <w:szCs w:val="14"/>
                <w:color w:val="auto"/>
              </w:rPr>
              <w:t>The annual incentive is further limited by</w:t>
            </w:r>
          </w:p>
        </w:tc>
        <w:tc>
          <w:tcPr>
            <w:tcW w:w="2940" w:type="dxa"/>
            <w:vAlign w:val="bottom"/>
            <w:tcBorders>
              <w:right w:val="single" w:sz="8" w:color="auto"/>
            </w:tcBorders>
            <w:vMerge w:val="restart"/>
            <w:shd w:val="clear" w:color="auto" w:fill="E6EDF3"/>
          </w:tcPr>
          <w:p>
            <w:pPr>
              <w:ind w:left="8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Each of the NEOs received a percentage</w:t>
            </w:r>
          </w:p>
        </w:tc>
        <w:tc>
          <w:tcPr>
            <w:tcW w:w="0" w:type="dxa"/>
            <w:vAlign w:val="bottom"/>
          </w:tcPr>
          <w:p>
            <w:pPr>
              <w:spacing w:after="0"/>
              <w:rPr>
                <w:sz w:val="1"/>
                <w:szCs w:val="1"/>
                <w:color w:val="auto"/>
              </w:rPr>
            </w:pPr>
          </w:p>
        </w:tc>
      </w:tr>
      <w:tr>
        <w:trPr>
          <w:trHeight w:val="81"/>
        </w:trPr>
        <w:tc>
          <w:tcPr>
            <w:tcW w:w="2060" w:type="dxa"/>
            <w:vAlign w:val="bottom"/>
            <w:tcBorders>
              <w:left w:val="single" w:sz="8" w:color="auto"/>
            </w:tcBorders>
            <w:shd w:val="clear" w:color="auto" w:fill="E6EDF3"/>
          </w:tcPr>
          <w:p>
            <w:pPr>
              <w:spacing w:after="0"/>
              <w:rPr>
                <w:sz w:val="7"/>
                <w:szCs w:val="7"/>
                <w:color w:val="auto"/>
              </w:rPr>
            </w:pPr>
          </w:p>
        </w:tc>
        <w:tc>
          <w:tcPr>
            <w:tcW w:w="3340" w:type="dxa"/>
            <w:vAlign w:val="bottom"/>
            <w:shd w:val="clear" w:color="auto" w:fill="E6EDF3"/>
          </w:tcPr>
          <w:p>
            <w:pPr>
              <w:spacing w:after="0"/>
              <w:rPr>
                <w:sz w:val="7"/>
                <w:szCs w:val="7"/>
                <w:color w:val="auto"/>
              </w:rPr>
            </w:pPr>
          </w:p>
        </w:tc>
        <w:tc>
          <w:tcPr>
            <w:tcW w:w="3100" w:type="dxa"/>
            <w:vAlign w:val="bottom"/>
            <w:vMerge w:val="restart"/>
            <w:shd w:val="clear" w:color="auto" w:fill="E6EDF3"/>
          </w:tcPr>
          <w:p>
            <w:pPr>
              <w:ind w:left="200"/>
              <w:spacing w:after="0"/>
              <w:rPr>
                <w:sz w:val="20"/>
                <w:szCs w:val="20"/>
                <w:color w:val="auto"/>
              </w:rPr>
            </w:pPr>
            <w:r>
              <w:rPr>
                <w:rFonts w:ascii="Arial" w:cs="Arial" w:eastAsia="Arial" w:hAnsi="Arial"/>
                <w:sz w:val="14"/>
                <w:szCs w:val="14"/>
                <w:color w:val="auto"/>
              </w:rPr>
              <w:t>the Committee’s negative discretion.</w:t>
            </w:r>
          </w:p>
        </w:tc>
        <w:tc>
          <w:tcPr>
            <w:tcW w:w="2940" w:type="dxa"/>
            <w:vAlign w:val="bottom"/>
            <w:tcBorders>
              <w:right w:val="single" w:sz="8" w:color="auto"/>
            </w:tcBorders>
            <w:vMerge w:val="continue"/>
            <w:shd w:val="clear" w:color="auto" w:fill="E6EDF3"/>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60" w:type="dxa"/>
            <w:vAlign w:val="bottom"/>
            <w:tcBorders>
              <w:left w:val="single" w:sz="8" w:color="auto"/>
            </w:tcBorders>
            <w:shd w:val="clear" w:color="auto" w:fill="E6EDF3"/>
          </w:tcPr>
          <w:p>
            <w:pPr>
              <w:spacing w:after="0"/>
              <w:rPr>
                <w:sz w:val="7"/>
                <w:szCs w:val="7"/>
                <w:color w:val="auto"/>
              </w:rPr>
            </w:pPr>
          </w:p>
        </w:tc>
        <w:tc>
          <w:tcPr>
            <w:tcW w:w="3340" w:type="dxa"/>
            <w:vAlign w:val="bottom"/>
            <w:shd w:val="clear" w:color="auto" w:fill="E6EDF3"/>
          </w:tcPr>
          <w:p>
            <w:pPr>
              <w:spacing w:after="0"/>
              <w:rPr>
                <w:sz w:val="7"/>
                <w:szCs w:val="7"/>
                <w:color w:val="auto"/>
              </w:rPr>
            </w:pPr>
          </w:p>
        </w:tc>
        <w:tc>
          <w:tcPr>
            <w:tcW w:w="3100" w:type="dxa"/>
            <w:vAlign w:val="bottom"/>
            <w:vMerge w:val="continue"/>
            <w:shd w:val="clear" w:color="auto" w:fill="E6EDF3"/>
          </w:tcPr>
          <w:p>
            <w:pPr>
              <w:spacing w:after="0"/>
              <w:rPr>
                <w:sz w:val="7"/>
                <w:szCs w:val="7"/>
                <w:color w:val="auto"/>
              </w:rPr>
            </w:pPr>
          </w:p>
        </w:tc>
        <w:tc>
          <w:tcPr>
            <w:tcW w:w="2940" w:type="dxa"/>
            <w:vAlign w:val="bottom"/>
            <w:tcBorders>
              <w:right w:val="single" w:sz="8" w:color="auto"/>
            </w:tcBorders>
            <w:vMerge w:val="restart"/>
            <w:shd w:val="clear" w:color="auto" w:fill="E6EDF3"/>
          </w:tcPr>
          <w:p>
            <w:pPr>
              <w:ind w:left="220"/>
              <w:spacing w:after="0"/>
              <w:rPr>
                <w:sz w:val="20"/>
                <w:szCs w:val="20"/>
                <w:color w:val="auto"/>
              </w:rPr>
            </w:pPr>
            <w:r>
              <w:rPr>
                <w:rFonts w:ascii="Arial" w:cs="Arial" w:eastAsia="Arial" w:hAnsi="Arial"/>
                <w:sz w:val="14"/>
                <w:szCs w:val="14"/>
                <w:color w:val="auto"/>
              </w:rPr>
              <w:t>of their incentive for achieving a specified</w:t>
            </w:r>
          </w:p>
        </w:tc>
        <w:tc>
          <w:tcPr>
            <w:tcW w:w="0" w:type="dxa"/>
            <w:vAlign w:val="bottom"/>
          </w:tcPr>
          <w:p>
            <w:pPr>
              <w:spacing w:after="0"/>
              <w:rPr>
                <w:sz w:val="1"/>
                <w:szCs w:val="1"/>
                <w:color w:val="auto"/>
              </w:rPr>
            </w:pPr>
          </w:p>
        </w:tc>
      </w:tr>
      <w:tr>
        <w:trPr>
          <w:trHeight w:val="71"/>
        </w:trPr>
        <w:tc>
          <w:tcPr>
            <w:tcW w:w="2060" w:type="dxa"/>
            <w:vAlign w:val="bottom"/>
            <w:tcBorders>
              <w:left w:val="single" w:sz="8" w:color="auto"/>
            </w:tcBorders>
            <w:shd w:val="clear" w:color="auto" w:fill="E6EDF3"/>
          </w:tcPr>
          <w:p>
            <w:pPr>
              <w:spacing w:after="0"/>
              <w:rPr>
                <w:sz w:val="6"/>
                <w:szCs w:val="6"/>
                <w:color w:val="auto"/>
              </w:rPr>
            </w:pPr>
          </w:p>
        </w:tc>
        <w:tc>
          <w:tcPr>
            <w:tcW w:w="3340" w:type="dxa"/>
            <w:vAlign w:val="bottom"/>
            <w:shd w:val="clear" w:color="auto" w:fill="E6EDF3"/>
          </w:tcPr>
          <w:p>
            <w:pPr>
              <w:spacing w:after="0"/>
              <w:rPr>
                <w:sz w:val="6"/>
                <w:szCs w:val="6"/>
                <w:color w:val="auto"/>
              </w:rPr>
            </w:pPr>
          </w:p>
        </w:tc>
        <w:tc>
          <w:tcPr>
            <w:tcW w:w="3100" w:type="dxa"/>
            <w:vAlign w:val="bottom"/>
            <w:vMerge w:val="restart"/>
            <w:shd w:val="clear" w:color="auto" w:fill="E6EDF3"/>
          </w:tcPr>
          <w:p>
            <w:pPr>
              <w:ind w:left="6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The Committee uses performance metrics</w:t>
            </w:r>
          </w:p>
        </w:tc>
        <w:tc>
          <w:tcPr>
            <w:tcW w:w="2940" w:type="dxa"/>
            <w:vAlign w:val="bottom"/>
            <w:tcBorders>
              <w:right w:val="single" w:sz="8" w:color="auto"/>
            </w:tcBorders>
            <w:vMerge w:val="continue"/>
            <w:shd w:val="clear" w:color="auto" w:fill="E6EDF3"/>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tcBorders>
            <w:shd w:val="clear" w:color="auto" w:fill="E6EDF3"/>
          </w:tcPr>
          <w:p>
            <w:pPr>
              <w:spacing w:after="0"/>
              <w:rPr>
                <w:sz w:val="12"/>
                <w:szCs w:val="12"/>
                <w:color w:val="auto"/>
              </w:rPr>
            </w:pPr>
          </w:p>
        </w:tc>
        <w:tc>
          <w:tcPr>
            <w:tcW w:w="3340" w:type="dxa"/>
            <w:vAlign w:val="bottom"/>
            <w:shd w:val="clear" w:color="auto" w:fill="E6EDF3"/>
          </w:tcPr>
          <w:p>
            <w:pPr>
              <w:spacing w:after="0"/>
              <w:rPr>
                <w:sz w:val="12"/>
                <w:szCs w:val="12"/>
                <w:color w:val="auto"/>
              </w:rPr>
            </w:pPr>
          </w:p>
        </w:tc>
        <w:tc>
          <w:tcPr>
            <w:tcW w:w="3100" w:type="dxa"/>
            <w:vAlign w:val="bottom"/>
            <w:vMerge w:val="continue"/>
            <w:shd w:val="clear" w:color="auto" w:fill="E6EDF3"/>
          </w:tcPr>
          <w:p>
            <w:pPr>
              <w:spacing w:after="0"/>
              <w:rPr>
                <w:sz w:val="12"/>
                <w:szCs w:val="12"/>
                <w:color w:val="auto"/>
              </w:rPr>
            </w:pPr>
          </w:p>
        </w:tc>
        <w:tc>
          <w:tcPr>
            <w:tcW w:w="2940" w:type="dxa"/>
            <w:vAlign w:val="bottom"/>
            <w:tcBorders>
              <w:right w:val="single" w:sz="8" w:color="auto"/>
            </w:tcBorders>
            <w:shd w:val="clear" w:color="auto" w:fill="E6EDF3"/>
          </w:tcPr>
          <w:p>
            <w:pPr>
              <w:ind w:left="220"/>
              <w:spacing w:after="0" w:line="149" w:lineRule="exact"/>
              <w:rPr>
                <w:sz w:val="20"/>
                <w:szCs w:val="20"/>
                <w:color w:val="auto"/>
              </w:rPr>
            </w:pPr>
            <w:r>
              <w:rPr>
                <w:rFonts w:ascii="Arial" w:cs="Arial" w:eastAsia="Arial" w:hAnsi="Arial"/>
                <w:sz w:val="14"/>
                <w:szCs w:val="14"/>
                <w:color w:val="auto"/>
              </w:rPr>
              <w:t>level of the operating objectives.</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spacing w:after="0"/>
              <w:rPr>
                <w:sz w:val="14"/>
                <w:szCs w:val="14"/>
                <w:color w:val="auto"/>
              </w:rPr>
            </w:pPr>
          </w:p>
        </w:tc>
        <w:tc>
          <w:tcPr>
            <w:tcW w:w="3100" w:type="dxa"/>
            <w:vAlign w:val="bottom"/>
            <w:shd w:val="clear" w:color="auto" w:fill="E6EDF3"/>
          </w:tcPr>
          <w:p>
            <w:pPr>
              <w:ind w:left="200"/>
              <w:spacing w:after="0"/>
              <w:rPr>
                <w:sz w:val="20"/>
                <w:szCs w:val="20"/>
                <w:color w:val="auto"/>
              </w:rPr>
            </w:pPr>
            <w:r>
              <w:rPr>
                <w:rFonts w:ascii="Arial" w:cs="Arial" w:eastAsia="Arial" w:hAnsi="Arial"/>
                <w:sz w:val="14"/>
                <w:szCs w:val="14"/>
                <w:color w:val="auto"/>
              </w:rPr>
              <w:t>and individual operating objectives to</w:t>
            </w:r>
          </w:p>
        </w:tc>
        <w:tc>
          <w:tcPr>
            <w:tcW w:w="2940" w:type="dxa"/>
            <w:vAlign w:val="bottom"/>
            <w:tcBorders>
              <w:right w:val="single" w:sz="8" w:color="auto"/>
            </w:tcBorders>
            <w:vMerge w:val="restart"/>
            <w:shd w:val="clear" w:color="auto" w:fill="E6EDF3"/>
          </w:tcPr>
          <w:p>
            <w:pPr>
              <w:ind w:left="8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See page 40 for more information.</w:t>
            </w:r>
          </w:p>
        </w:tc>
        <w:tc>
          <w:tcPr>
            <w:tcW w:w="0" w:type="dxa"/>
            <w:vAlign w:val="bottom"/>
          </w:tcPr>
          <w:p>
            <w:pPr>
              <w:spacing w:after="0"/>
              <w:rPr>
                <w:sz w:val="1"/>
                <w:szCs w:val="1"/>
                <w:color w:val="auto"/>
              </w:rPr>
            </w:pPr>
          </w:p>
        </w:tc>
      </w:tr>
      <w:tr>
        <w:trPr>
          <w:trHeight w:val="91"/>
        </w:trPr>
        <w:tc>
          <w:tcPr>
            <w:tcW w:w="2060" w:type="dxa"/>
            <w:vAlign w:val="bottom"/>
            <w:tcBorders>
              <w:left w:val="single" w:sz="8" w:color="auto"/>
            </w:tcBorders>
            <w:shd w:val="clear" w:color="auto" w:fill="E6EDF3"/>
          </w:tcPr>
          <w:p>
            <w:pPr>
              <w:spacing w:after="0"/>
              <w:rPr>
                <w:sz w:val="7"/>
                <w:szCs w:val="7"/>
                <w:color w:val="auto"/>
              </w:rPr>
            </w:pPr>
          </w:p>
        </w:tc>
        <w:tc>
          <w:tcPr>
            <w:tcW w:w="3340" w:type="dxa"/>
            <w:vAlign w:val="bottom"/>
            <w:shd w:val="clear" w:color="auto" w:fill="E6EDF3"/>
          </w:tcPr>
          <w:p>
            <w:pPr>
              <w:spacing w:after="0"/>
              <w:rPr>
                <w:sz w:val="7"/>
                <w:szCs w:val="7"/>
                <w:color w:val="auto"/>
              </w:rPr>
            </w:pPr>
          </w:p>
        </w:tc>
        <w:tc>
          <w:tcPr>
            <w:tcW w:w="3100" w:type="dxa"/>
            <w:vAlign w:val="bottom"/>
            <w:vMerge w:val="restart"/>
            <w:shd w:val="clear" w:color="auto" w:fill="E6EDF3"/>
          </w:tcPr>
          <w:p>
            <w:pPr>
              <w:ind w:left="200"/>
              <w:spacing w:after="0"/>
              <w:rPr>
                <w:sz w:val="20"/>
                <w:szCs w:val="20"/>
                <w:color w:val="auto"/>
              </w:rPr>
            </w:pPr>
            <w:r>
              <w:rPr>
                <w:rFonts w:ascii="Arial" w:cs="Arial" w:eastAsia="Arial" w:hAnsi="Arial"/>
                <w:sz w:val="14"/>
                <w:szCs w:val="14"/>
                <w:color w:val="auto"/>
              </w:rPr>
              <w:t>determine the actual payout to the NEOs.</w:t>
            </w:r>
          </w:p>
        </w:tc>
        <w:tc>
          <w:tcPr>
            <w:tcW w:w="2940" w:type="dxa"/>
            <w:vAlign w:val="bottom"/>
            <w:tcBorders>
              <w:right w:val="single" w:sz="8" w:color="auto"/>
            </w:tcBorders>
            <w:vMerge w:val="continue"/>
            <w:shd w:val="clear" w:color="auto" w:fill="E6EDF3"/>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60" w:type="dxa"/>
            <w:vAlign w:val="bottom"/>
            <w:tcBorders>
              <w:left w:val="single" w:sz="8" w:color="auto"/>
            </w:tcBorders>
            <w:shd w:val="clear" w:color="auto" w:fill="E6EDF3"/>
          </w:tcPr>
          <w:p>
            <w:pPr>
              <w:spacing w:after="0"/>
              <w:rPr>
                <w:sz w:val="7"/>
                <w:szCs w:val="7"/>
                <w:color w:val="auto"/>
              </w:rPr>
            </w:pPr>
          </w:p>
        </w:tc>
        <w:tc>
          <w:tcPr>
            <w:tcW w:w="3340" w:type="dxa"/>
            <w:vAlign w:val="bottom"/>
            <w:shd w:val="clear" w:color="auto" w:fill="E6EDF3"/>
          </w:tcPr>
          <w:p>
            <w:pPr>
              <w:spacing w:after="0"/>
              <w:rPr>
                <w:sz w:val="7"/>
                <w:szCs w:val="7"/>
                <w:color w:val="auto"/>
              </w:rPr>
            </w:pPr>
          </w:p>
        </w:tc>
        <w:tc>
          <w:tcPr>
            <w:tcW w:w="3100" w:type="dxa"/>
            <w:vAlign w:val="bottom"/>
            <w:vMerge w:val="continue"/>
            <w:shd w:val="clear" w:color="auto" w:fill="E6EDF3"/>
          </w:tcPr>
          <w:p>
            <w:pPr>
              <w:spacing w:after="0"/>
              <w:rPr>
                <w:sz w:val="7"/>
                <w:szCs w:val="7"/>
                <w:color w:val="auto"/>
              </w:rPr>
            </w:pPr>
          </w:p>
        </w:tc>
        <w:tc>
          <w:tcPr>
            <w:tcW w:w="2940" w:type="dxa"/>
            <w:vAlign w:val="bottom"/>
            <w:tcBorders>
              <w:right w:val="single" w:sz="8" w:color="auto"/>
            </w:tcBorders>
            <w:shd w:val="clear" w:color="auto" w:fill="E6EDF3"/>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60" w:type="dxa"/>
            <w:vAlign w:val="bottom"/>
            <w:tcBorders>
              <w:left w:val="single" w:sz="8" w:color="auto"/>
            </w:tcBorders>
            <w:shd w:val="clear" w:color="auto" w:fill="E6EDF3"/>
          </w:tcPr>
          <w:p>
            <w:pPr>
              <w:spacing w:after="0"/>
              <w:rPr>
                <w:sz w:val="19"/>
                <w:szCs w:val="19"/>
                <w:color w:val="auto"/>
              </w:rPr>
            </w:pPr>
          </w:p>
        </w:tc>
        <w:tc>
          <w:tcPr>
            <w:tcW w:w="3340" w:type="dxa"/>
            <w:vAlign w:val="bottom"/>
            <w:shd w:val="clear" w:color="auto" w:fill="E6EDF3"/>
          </w:tcPr>
          <w:p>
            <w:pPr>
              <w:spacing w:after="0"/>
              <w:rPr>
                <w:sz w:val="19"/>
                <w:szCs w:val="19"/>
                <w:color w:val="auto"/>
              </w:rPr>
            </w:pPr>
          </w:p>
        </w:tc>
        <w:tc>
          <w:tcPr>
            <w:tcW w:w="3100" w:type="dxa"/>
            <w:vAlign w:val="bottom"/>
            <w:shd w:val="clear" w:color="auto" w:fill="E6EDF3"/>
          </w:tcPr>
          <w:p>
            <w:pPr>
              <w:ind w:left="6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The performance metrics used to determine</w:t>
            </w:r>
          </w:p>
        </w:tc>
        <w:tc>
          <w:tcPr>
            <w:tcW w:w="2940" w:type="dxa"/>
            <w:vAlign w:val="bottom"/>
            <w:tcBorders>
              <w:right w:val="single" w:sz="8" w:color="auto"/>
            </w:tcBorders>
            <w:shd w:val="clear" w:color="auto" w:fill="E6EDF3"/>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spacing w:after="0"/>
              <w:rPr>
                <w:sz w:val="14"/>
                <w:szCs w:val="14"/>
                <w:color w:val="auto"/>
              </w:rPr>
            </w:pPr>
          </w:p>
        </w:tc>
        <w:tc>
          <w:tcPr>
            <w:tcW w:w="3100" w:type="dxa"/>
            <w:vAlign w:val="bottom"/>
            <w:shd w:val="clear" w:color="auto" w:fill="E6EDF3"/>
          </w:tcPr>
          <w:p>
            <w:pPr>
              <w:ind w:left="200"/>
              <w:spacing w:after="0"/>
              <w:rPr>
                <w:sz w:val="20"/>
                <w:szCs w:val="20"/>
                <w:color w:val="auto"/>
              </w:rPr>
            </w:pPr>
            <w:r>
              <w:rPr>
                <w:rFonts w:ascii="Arial" w:cs="Arial" w:eastAsia="Arial" w:hAnsi="Arial"/>
                <w:sz w:val="14"/>
                <w:szCs w:val="14"/>
                <w:color w:val="auto"/>
              </w:rPr>
              <w:t>NEOs annual incentive were:</w:t>
            </w:r>
          </w:p>
        </w:tc>
        <w:tc>
          <w:tcPr>
            <w:tcW w:w="2940" w:type="dxa"/>
            <w:vAlign w:val="bottom"/>
            <w:tcBorders>
              <w:right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60" w:type="dxa"/>
            <w:vAlign w:val="bottom"/>
            <w:tcBorders>
              <w:left w:val="single" w:sz="8" w:color="auto"/>
            </w:tcBorders>
            <w:shd w:val="clear" w:color="auto" w:fill="E6EDF3"/>
          </w:tcPr>
          <w:p>
            <w:pPr>
              <w:spacing w:after="0"/>
              <w:rPr>
                <w:sz w:val="19"/>
                <w:szCs w:val="19"/>
                <w:color w:val="auto"/>
              </w:rPr>
            </w:pPr>
          </w:p>
        </w:tc>
        <w:tc>
          <w:tcPr>
            <w:tcW w:w="3340" w:type="dxa"/>
            <w:vAlign w:val="bottom"/>
            <w:shd w:val="clear" w:color="auto" w:fill="E6EDF3"/>
          </w:tcPr>
          <w:p>
            <w:pPr>
              <w:spacing w:after="0"/>
              <w:rPr>
                <w:sz w:val="19"/>
                <w:szCs w:val="19"/>
                <w:color w:val="auto"/>
              </w:rPr>
            </w:pPr>
          </w:p>
        </w:tc>
        <w:tc>
          <w:tcPr>
            <w:tcW w:w="3100" w:type="dxa"/>
            <w:vAlign w:val="bottom"/>
            <w:shd w:val="clear" w:color="auto" w:fill="E6EDF3"/>
          </w:tcPr>
          <w:p>
            <w:pPr>
              <w:ind w:left="20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EPS and ROIC for all NEOs.</w:t>
            </w:r>
          </w:p>
        </w:tc>
        <w:tc>
          <w:tcPr>
            <w:tcW w:w="2940" w:type="dxa"/>
            <w:vAlign w:val="bottom"/>
            <w:tcBorders>
              <w:right w:val="single" w:sz="8" w:color="auto"/>
            </w:tcBorders>
            <w:shd w:val="clear" w:color="auto" w:fill="E6EDF3"/>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60" w:type="dxa"/>
            <w:vAlign w:val="bottom"/>
            <w:tcBorders>
              <w:left w:val="single" w:sz="8" w:color="auto"/>
            </w:tcBorders>
            <w:shd w:val="clear" w:color="auto" w:fill="E6EDF3"/>
          </w:tcPr>
          <w:p>
            <w:pPr>
              <w:spacing w:after="0"/>
              <w:rPr>
                <w:sz w:val="19"/>
                <w:szCs w:val="19"/>
                <w:color w:val="auto"/>
              </w:rPr>
            </w:pPr>
          </w:p>
        </w:tc>
        <w:tc>
          <w:tcPr>
            <w:tcW w:w="3340" w:type="dxa"/>
            <w:vAlign w:val="bottom"/>
            <w:shd w:val="clear" w:color="auto" w:fill="E6EDF3"/>
          </w:tcPr>
          <w:p>
            <w:pPr>
              <w:spacing w:after="0"/>
              <w:rPr>
                <w:sz w:val="19"/>
                <w:szCs w:val="19"/>
                <w:color w:val="auto"/>
              </w:rPr>
            </w:pPr>
          </w:p>
        </w:tc>
        <w:tc>
          <w:tcPr>
            <w:tcW w:w="3100" w:type="dxa"/>
            <w:vAlign w:val="bottom"/>
            <w:shd w:val="clear" w:color="auto" w:fill="E6EDF3"/>
          </w:tcPr>
          <w:p>
            <w:pPr>
              <w:ind w:left="20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Adjusted Operating Unit Profit (AOUP) for</w:t>
            </w:r>
          </w:p>
        </w:tc>
        <w:tc>
          <w:tcPr>
            <w:tcW w:w="2940" w:type="dxa"/>
            <w:vAlign w:val="bottom"/>
            <w:tcBorders>
              <w:right w:val="single" w:sz="8" w:color="auto"/>
            </w:tcBorders>
            <w:shd w:val="clear" w:color="auto" w:fill="E6EDF3"/>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spacing w:after="0"/>
              <w:rPr>
                <w:sz w:val="14"/>
                <w:szCs w:val="14"/>
                <w:color w:val="auto"/>
              </w:rPr>
            </w:pPr>
          </w:p>
        </w:tc>
        <w:tc>
          <w:tcPr>
            <w:tcW w:w="3100" w:type="dxa"/>
            <w:vAlign w:val="bottom"/>
            <w:shd w:val="clear" w:color="auto" w:fill="E6EDF3"/>
          </w:tcPr>
          <w:p>
            <w:pPr>
              <w:ind w:left="360"/>
              <w:spacing w:after="0"/>
              <w:rPr>
                <w:sz w:val="20"/>
                <w:szCs w:val="20"/>
                <w:color w:val="auto"/>
              </w:rPr>
            </w:pPr>
            <w:r>
              <w:rPr>
                <w:rFonts w:ascii="Arial" w:cs="Arial" w:eastAsia="Arial" w:hAnsi="Arial"/>
                <w:sz w:val="14"/>
                <w:szCs w:val="14"/>
                <w:color w:val="auto"/>
              </w:rPr>
              <w:t>Mr. Chandrashekar, who has</w:t>
            </w:r>
          </w:p>
        </w:tc>
        <w:tc>
          <w:tcPr>
            <w:tcW w:w="2940" w:type="dxa"/>
            <w:vAlign w:val="bottom"/>
            <w:tcBorders>
              <w:right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spacing w:after="0"/>
              <w:rPr>
                <w:sz w:val="14"/>
                <w:szCs w:val="14"/>
                <w:color w:val="auto"/>
              </w:rPr>
            </w:pPr>
          </w:p>
        </w:tc>
        <w:tc>
          <w:tcPr>
            <w:tcW w:w="3100" w:type="dxa"/>
            <w:vAlign w:val="bottom"/>
            <w:shd w:val="clear" w:color="auto" w:fill="E6EDF3"/>
          </w:tcPr>
          <w:p>
            <w:pPr>
              <w:ind w:left="360"/>
              <w:spacing w:after="0"/>
              <w:rPr>
                <w:sz w:val="20"/>
                <w:szCs w:val="20"/>
                <w:color w:val="auto"/>
              </w:rPr>
            </w:pPr>
            <w:r>
              <w:rPr>
                <w:rFonts w:ascii="Arial" w:cs="Arial" w:eastAsia="Arial" w:hAnsi="Arial"/>
                <w:sz w:val="14"/>
                <w:szCs w:val="14"/>
                <w:color w:val="auto"/>
              </w:rPr>
              <w:t>responsibility for an operating unit (i.e. for</w:t>
            </w:r>
          </w:p>
        </w:tc>
        <w:tc>
          <w:tcPr>
            <w:tcW w:w="2940" w:type="dxa"/>
            <w:vAlign w:val="bottom"/>
            <w:tcBorders>
              <w:right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spacing w:after="0"/>
              <w:rPr>
                <w:sz w:val="14"/>
                <w:szCs w:val="14"/>
                <w:color w:val="auto"/>
              </w:rPr>
            </w:pPr>
          </w:p>
        </w:tc>
        <w:tc>
          <w:tcPr>
            <w:tcW w:w="3100" w:type="dxa"/>
            <w:vAlign w:val="bottom"/>
            <w:shd w:val="clear" w:color="auto" w:fill="E6EDF3"/>
          </w:tcPr>
          <w:p>
            <w:pPr>
              <w:ind w:left="360"/>
              <w:spacing w:after="0"/>
              <w:rPr>
                <w:sz w:val="20"/>
                <w:szCs w:val="20"/>
                <w:color w:val="auto"/>
              </w:rPr>
            </w:pPr>
            <w:r>
              <w:rPr>
                <w:rFonts w:ascii="Arial" w:cs="Arial" w:eastAsia="Arial" w:hAnsi="Arial"/>
                <w:sz w:val="14"/>
                <w:szCs w:val="14"/>
                <w:color w:val="auto"/>
              </w:rPr>
              <w:t>a geographical region). See page 42 for</w:t>
            </w:r>
          </w:p>
        </w:tc>
        <w:tc>
          <w:tcPr>
            <w:tcW w:w="2940" w:type="dxa"/>
            <w:vAlign w:val="bottom"/>
            <w:tcBorders>
              <w:right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60" w:type="dxa"/>
            <w:vAlign w:val="bottom"/>
            <w:tcBorders>
              <w:left w:val="single" w:sz="8" w:color="auto"/>
              <w:bottom w:val="single" w:sz="8" w:color="auto"/>
            </w:tcBorders>
            <w:shd w:val="clear" w:color="auto" w:fill="E6EDF3"/>
          </w:tcPr>
          <w:p>
            <w:pPr>
              <w:spacing w:after="0"/>
              <w:rPr>
                <w:sz w:val="14"/>
                <w:szCs w:val="14"/>
                <w:color w:val="auto"/>
              </w:rPr>
            </w:pPr>
          </w:p>
        </w:tc>
        <w:tc>
          <w:tcPr>
            <w:tcW w:w="3340" w:type="dxa"/>
            <w:vAlign w:val="bottom"/>
            <w:tcBorders>
              <w:bottom w:val="single" w:sz="8" w:color="auto"/>
            </w:tcBorders>
            <w:shd w:val="clear" w:color="auto" w:fill="E6EDF3"/>
          </w:tcPr>
          <w:p>
            <w:pPr>
              <w:spacing w:after="0"/>
              <w:rPr>
                <w:sz w:val="14"/>
                <w:szCs w:val="14"/>
                <w:color w:val="auto"/>
              </w:rPr>
            </w:pPr>
          </w:p>
        </w:tc>
        <w:tc>
          <w:tcPr>
            <w:tcW w:w="3100" w:type="dxa"/>
            <w:vAlign w:val="bottom"/>
            <w:tcBorders>
              <w:bottom w:val="single" w:sz="8" w:color="auto"/>
            </w:tcBorders>
            <w:shd w:val="clear" w:color="auto" w:fill="E6EDF3"/>
          </w:tcPr>
          <w:p>
            <w:pPr>
              <w:ind w:left="360"/>
              <w:spacing w:after="0"/>
              <w:rPr>
                <w:sz w:val="20"/>
                <w:szCs w:val="20"/>
                <w:color w:val="auto"/>
              </w:rPr>
            </w:pPr>
            <w:r>
              <w:rPr>
                <w:rFonts w:ascii="Arial" w:cs="Arial" w:eastAsia="Arial" w:hAnsi="Arial"/>
                <w:sz w:val="14"/>
                <w:szCs w:val="14"/>
                <w:color w:val="auto"/>
              </w:rPr>
              <w:t>the definition of AOUP.</w:t>
            </w:r>
          </w:p>
        </w:tc>
        <w:tc>
          <w:tcPr>
            <w:tcW w:w="2940" w:type="dxa"/>
            <w:vAlign w:val="bottom"/>
            <w:tcBorders>
              <w:bottom w:val="single" w:sz="8" w:color="auto"/>
              <w:right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32</w:t>
      </w:r>
    </w:p>
    <w:p>
      <w:pPr>
        <w:sectPr>
          <w:pgSz w:w="11900" w:h="16838" w:orient="portrait"/>
          <w:cols w:equalWidth="0" w:num="1">
            <w:col w:w="11440"/>
          </w:cols>
          <w:pgMar w:left="240" w:top="459" w:right="2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8180"/>
        <w:spacing w:after="0"/>
        <w:rPr>
          <w:sz w:val="20"/>
          <w:szCs w:val="20"/>
          <w:color w:val="auto"/>
        </w:rPr>
      </w:pPr>
      <w:r>
        <w:rPr>
          <w:rFonts w:ascii="Arial" w:cs="Arial" w:eastAsia="Arial" w:hAnsi="Arial"/>
          <w:sz w:val="18"/>
          <w:szCs w:val="18"/>
          <w:color w:val="FFFFFF"/>
        </w:rPr>
        <w:t>Compensation Discussion and Analysis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060" w:type="dxa"/>
            <w:vAlign w:val="bottom"/>
            <w:tcBorders>
              <w:top w:val="single" w:sz="8" w:color="auto"/>
              <w:left w:val="single" w:sz="8" w:color="auto"/>
              <w:bottom w:val="single" w:sz="8" w:color="auto"/>
            </w:tcBorders>
            <w:shd w:val="clear" w:color="auto" w:fill="9DB8D2"/>
          </w:tcPr>
          <w:p>
            <w:pPr>
              <w:ind w:left="240"/>
              <w:spacing w:after="0"/>
              <w:rPr>
                <w:sz w:val="20"/>
                <w:szCs w:val="20"/>
                <w:color w:val="auto"/>
              </w:rPr>
            </w:pPr>
            <w:r>
              <w:rPr>
                <w:rFonts w:ascii="Arial" w:cs="Arial" w:eastAsia="Arial" w:hAnsi="Arial"/>
                <w:sz w:val="14"/>
                <w:szCs w:val="14"/>
                <w:b w:val="1"/>
                <w:bCs w:val="1"/>
                <w:color w:val="auto"/>
              </w:rPr>
              <w:t>Compensation Element</w:t>
            </w:r>
          </w:p>
        </w:tc>
        <w:tc>
          <w:tcPr>
            <w:tcW w:w="3340" w:type="dxa"/>
            <w:vAlign w:val="bottom"/>
            <w:tcBorders>
              <w:top w:val="single" w:sz="8" w:color="auto"/>
              <w:bottom w:val="single" w:sz="8" w:color="auto"/>
            </w:tcBorders>
            <w:shd w:val="clear" w:color="auto" w:fill="9DB8D2"/>
          </w:tcPr>
          <w:p>
            <w:pPr>
              <w:ind w:left="100"/>
              <w:spacing w:after="0"/>
              <w:rPr>
                <w:sz w:val="20"/>
                <w:szCs w:val="20"/>
                <w:color w:val="auto"/>
              </w:rPr>
            </w:pPr>
            <w:r>
              <w:rPr>
                <w:rFonts w:ascii="Arial" w:cs="Arial" w:eastAsia="Arial" w:hAnsi="Arial"/>
                <w:sz w:val="14"/>
                <w:szCs w:val="14"/>
                <w:b w:val="1"/>
                <w:bCs w:val="1"/>
                <w:color w:val="auto"/>
              </w:rPr>
              <w:t>Key Characteristics</w:t>
            </w:r>
          </w:p>
        </w:tc>
        <w:tc>
          <w:tcPr>
            <w:tcW w:w="3100" w:type="dxa"/>
            <w:vAlign w:val="bottom"/>
            <w:tcBorders>
              <w:top w:val="single" w:sz="8" w:color="auto"/>
              <w:bottom w:val="single" w:sz="8" w:color="auto"/>
            </w:tcBorders>
            <w:gridSpan w:val="2"/>
            <w:shd w:val="clear" w:color="auto" w:fill="9DB8D2"/>
          </w:tcPr>
          <w:p>
            <w:pPr>
              <w:ind w:left="60"/>
              <w:spacing w:after="0"/>
              <w:rPr>
                <w:sz w:val="20"/>
                <w:szCs w:val="20"/>
                <w:color w:val="auto"/>
              </w:rPr>
            </w:pPr>
            <w:r>
              <w:rPr>
                <w:rFonts w:ascii="Arial" w:cs="Arial" w:eastAsia="Arial" w:hAnsi="Arial"/>
                <w:sz w:val="14"/>
                <w:szCs w:val="14"/>
                <w:b w:val="1"/>
                <w:bCs w:val="1"/>
                <w:color w:val="auto"/>
              </w:rPr>
              <w:t>Objective and Determination</w:t>
            </w:r>
          </w:p>
        </w:tc>
        <w:tc>
          <w:tcPr>
            <w:tcW w:w="2940" w:type="dxa"/>
            <w:vAlign w:val="bottom"/>
            <w:tcBorders>
              <w:top w:val="single" w:sz="8" w:color="auto"/>
              <w:bottom w:val="single" w:sz="8" w:color="auto"/>
              <w:right w:val="single" w:sz="8" w:color="auto"/>
            </w:tcBorders>
            <w:gridSpan w:val="2"/>
            <w:shd w:val="clear" w:color="auto" w:fill="9DB8D2"/>
          </w:tcPr>
          <w:p>
            <w:pPr>
              <w:ind w:left="80"/>
              <w:spacing w:after="0"/>
              <w:rPr>
                <w:sz w:val="20"/>
                <w:szCs w:val="20"/>
                <w:color w:val="auto"/>
              </w:rPr>
            </w:pPr>
            <w:r>
              <w:rPr>
                <w:rFonts w:ascii="Arial" w:cs="Arial" w:eastAsia="Arial" w:hAnsi="Arial"/>
                <w:sz w:val="14"/>
                <w:szCs w:val="14"/>
                <w:b w:val="1"/>
                <w:bCs w:val="1"/>
                <w:color w:val="auto"/>
              </w:rPr>
              <w:t>2016 Decisions</w:t>
            </w:r>
          </w:p>
        </w:tc>
        <w:tc>
          <w:tcPr>
            <w:tcW w:w="0" w:type="dxa"/>
            <w:vAlign w:val="bottom"/>
          </w:tcPr>
          <w:p>
            <w:pPr>
              <w:spacing w:after="0"/>
              <w:rPr>
                <w:sz w:val="1"/>
                <w:szCs w:val="1"/>
                <w:color w:val="auto"/>
              </w:rPr>
            </w:pPr>
          </w:p>
        </w:tc>
      </w:tr>
      <w:tr>
        <w:trPr>
          <w:trHeight w:val="142"/>
        </w:trPr>
        <w:tc>
          <w:tcPr>
            <w:tcW w:w="2060" w:type="dxa"/>
            <w:vAlign w:val="bottom"/>
            <w:tcBorders>
              <w:left w:val="single" w:sz="8" w:color="auto"/>
            </w:tcBorders>
          </w:tcPr>
          <w:p>
            <w:pPr>
              <w:ind w:left="160"/>
              <w:spacing w:after="0" w:line="143" w:lineRule="exact"/>
              <w:rPr>
                <w:sz w:val="20"/>
                <w:szCs w:val="20"/>
                <w:color w:val="auto"/>
              </w:rPr>
            </w:pPr>
            <w:r>
              <w:rPr>
                <w:rFonts w:ascii="Arial" w:cs="Arial" w:eastAsia="Arial" w:hAnsi="Arial"/>
                <w:sz w:val="14"/>
                <w:szCs w:val="14"/>
                <w:b w:val="1"/>
                <w:bCs w:val="1"/>
                <w:color w:val="auto"/>
              </w:rPr>
              <w:t>Performance Share</w:t>
            </w:r>
          </w:p>
        </w:tc>
        <w:tc>
          <w:tcPr>
            <w:tcW w:w="3340" w:type="dxa"/>
            <w:vAlign w:val="bottom"/>
          </w:tcPr>
          <w:p>
            <w:pPr>
              <w:ind w:left="100"/>
              <w:spacing w:after="0" w:line="143" w:lineRule="exact"/>
              <w:rPr>
                <w:sz w:val="20"/>
                <w:szCs w:val="20"/>
                <w:color w:val="auto"/>
              </w:rPr>
            </w:pPr>
            <w:r>
              <w:rPr>
                <w:rFonts w:ascii="Arial" w:cs="Arial" w:eastAsia="Arial" w:hAnsi="Arial"/>
                <w:sz w:val="14"/>
                <w:szCs w:val="14"/>
                <w:color w:val="auto"/>
              </w:rPr>
              <w:t>Variable compensation payable in shares of</w:t>
            </w:r>
          </w:p>
        </w:tc>
        <w:tc>
          <w:tcPr>
            <w:tcW w:w="3100" w:type="dxa"/>
            <w:vAlign w:val="bottom"/>
            <w:gridSpan w:val="2"/>
          </w:tcPr>
          <w:p>
            <w:pPr>
              <w:ind w:left="60"/>
              <w:spacing w:after="0" w:line="143" w:lineRule="exact"/>
              <w:rPr>
                <w:sz w:val="20"/>
                <w:szCs w:val="20"/>
                <w:color w:val="auto"/>
              </w:rPr>
            </w:pPr>
            <w:r>
              <w:rPr>
                <w:rFonts w:ascii="Arial" w:cs="Arial" w:eastAsia="Arial" w:hAnsi="Arial"/>
                <w:sz w:val="14"/>
                <w:szCs w:val="14"/>
                <w:color w:val="auto"/>
              </w:rPr>
              <w:t>Motivate and reward NEOs for performance</w:t>
            </w:r>
          </w:p>
        </w:tc>
        <w:tc>
          <w:tcPr>
            <w:tcW w:w="160" w:type="dxa"/>
            <w:vAlign w:val="bottom"/>
          </w:tcPr>
          <w:p>
            <w:pPr>
              <w:ind w:left="80"/>
              <w:spacing w:after="0" w:line="143" w:lineRule="exact"/>
              <w:rPr>
                <w:sz w:val="20"/>
                <w:szCs w:val="20"/>
                <w:color w:val="auto"/>
              </w:rPr>
            </w:pPr>
            <w:r>
              <w:rPr>
                <w:rFonts w:ascii="Arial" w:cs="Arial" w:eastAsia="Arial" w:hAnsi="Arial"/>
                <w:sz w:val="14"/>
                <w:szCs w:val="14"/>
                <w:color w:val="5D89B4"/>
              </w:rPr>
              <w:t>•</w:t>
            </w:r>
          </w:p>
        </w:tc>
        <w:tc>
          <w:tcPr>
            <w:tcW w:w="2780" w:type="dxa"/>
            <w:vAlign w:val="bottom"/>
            <w:tcBorders>
              <w:right w:val="single" w:sz="8" w:color="auto"/>
            </w:tcBorders>
          </w:tcPr>
          <w:p>
            <w:pPr>
              <w:ind w:left="40"/>
              <w:spacing w:after="0" w:line="143" w:lineRule="exact"/>
              <w:rPr>
                <w:sz w:val="20"/>
                <w:szCs w:val="20"/>
                <w:color w:val="auto"/>
              </w:rPr>
            </w:pPr>
            <w:r>
              <w:rPr>
                <w:rFonts w:ascii="Arial" w:cs="Arial" w:eastAsia="Arial" w:hAnsi="Arial"/>
                <w:sz w:val="14"/>
                <w:szCs w:val="14"/>
                <w:color w:val="auto"/>
              </w:rPr>
              <w:t>In 2016, performance share units</w:t>
            </w:r>
          </w:p>
        </w:tc>
        <w:tc>
          <w:tcPr>
            <w:tcW w:w="0" w:type="dxa"/>
            <w:vAlign w:val="bottom"/>
          </w:tcPr>
          <w:p>
            <w:pPr>
              <w:spacing w:after="0"/>
              <w:rPr>
                <w:sz w:val="1"/>
                <w:szCs w:val="1"/>
                <w:color w:val="auto"/>
              </w:rPr>
            </w:pPr>
          </w:p>
        </w:tc>
      </w:tr>
      <w:tr>
        <w:trPr>
          <w:trHeight w:val="180"/>
        </w:trPr>
        <w:tc>
          <w:tcPr>
            <w:tcW w:w="2060" w:type="dxa"/>
            <w:vAlign w:val="bottom"/>
            <w:tcBorders>
              <w:left w:val="single" w:sz="8" w:color="auto"/>
            </w:tcBorders>
          </w:tcPr>
          <w:p>
            <w:pPr>
              <w:ind w:left="160"/>
              <w:spacing w:after="0"/>
              <w:rPr>
                <w:sz w:val="20"/>
                <w:szCs w:val="20"/>
                <w:color w:val="auto"/>
              </w:rPr>
            </w:pPr>
            <w:r>
              <w:rPr>
                <w:rFonts w:ascii="Arial" w:cs="Arial" w:eastAsia="Arial" w:hAnsi="Arial"/>
                <w:sz w:val="14"/>
                <w:szCs w:val="14"/>
                <w:b w:val="1"/>
                <w:bCs w:val="1"/>
                <w:color w:val="auto"/>
              </w:rPr>
              <w:t>Units</w:t>
            </w:r>
          </w:p>
        </w:tc>
        <w:tc>
          <w:tcPr>
            <w:tcW w:w="3340" w:type="dxa"/>
            <w:vAlign w:val="bottom"/>
          </w:tcPr>
          <w:p>
            <w:pPr>
              <w:ind w:left="100"/>
              <w:spacing w:after="0"/>
              <w:rPr>
                <w:sz w:val="20"/>
                <w:szCs w:val="20"/>
                <w:color w:val="auto"/>
              </w:rPr>
            </w:pPr>
            <w:r>
              <w:rPr>
                <w:rFonts w:ascii="Arial" w:cs="Arial" w:eastAsia="Arial" w:hAnsi="Arial"/>
                <w:sz w:val="14"/>
                <w:szCs w:val="14"/>
                <w:color w:val="auto"/>
              </w:rPr>
              <w:t>stock.</w:t>
            </w:r>
          </w:p>
        </w:tc>
        <w:tc>
          <w:tcPr>
            <w:tcW w:w="3100" w:type="dxa"/>
            <w:vAlign w:val="bottom"/>
            <w:gridSpan w:val="2"/>
          </w:tcPr>
          <w:p>
            <w:pPr>
              <w:ind w:left="60"/>
              <w:spacing w:after="0"/>
              <w:rPr>
                <w:sz w:val="20"/>
                <w:szCs w:val="20"/>
                <w:color w:val="auto"/>
              </w:rPr>
            </w:pPr>
            <w:r>
              <w:rPr>
                <w:rFonts w:ascii="Arial" w:cs="Arial" w:eastAsia="Arial" w:hAnsi="Arial"/>
                <w:sz w:val="14"/>
                <w:szCs w:val="14"/>
                <w:color w:val="auto"/>
              </w:rPr>
              <w:t>against long-term financial objectives to align</w:t>
            </w:r>
          </w:p>
        </w:tc>
        <w:tc>
          <w:tcPr>
            <w:tcW w:w="160" w:type="dxa"/>
            <w:vAlign w:val="bottom"/>
          </w:tcPr>
          <w:p>
            <w:pPr>
              <w:spacing w:after="0"/>
              <w:rPr>
                <w:sz w:val="15"/>
                <w:szCs w:val="15"/>
                <w:color w:val="auto"/>
              </w:rPr>
            </w:pPr>
          </w:p>
        </w:tc>
        <w:tc>
          <w:tcPr>
            <w:tcW w:w="27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represented approximately 60% of the</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tcPr>
          <w:p>
            <w:pPr>
              <w:spacing w:after="0"/>
              <w:rPr>
                <w:sz w:val="14"/>
                <w:szCs w:val="14"/>
                <w:color w:val="auto"/>
              </w:rPr>
            </w:pPr>
          </w:p>
        </w:tc>
        <w:tc>
          <w:tcPr>
            <w:tcW w:w="3340" w:type="dxa"/>
            <w:vAlign w:val="bottom"/>
            <w:vMerge w:val="restart"/>
          </w:tcPr>
          <w:p>
            <w:pPr>
              <w:ind w:left="100"/>
              <w:spacing w:after="0"/>
              <w:rPr>
                <w:sz w:val="20"/>
                <w:szCs w:val="20"/>
                <w:color w:val="auto"/>
              </w:rPr>
            </w:pPr>
            <w:r>
              <w:rPr>
                <w:rFonts w:ascii="Arial" w:cs="Arial" w:eastAsia="Arial" w:hAnsi="Arial"/>
                <w:sz w:val="14"/>
                <w:szCs w:val="14"/>
                <w:color w:val="auto"/>
              </w:rPr>
              <w:t>The performance share units vest based on</w:t>
            </w:r>
          </w:p>
        </w:tc>
        <w:tc>
          <w:tcPr>
            <w:tcW w:w="3100" w:type="dxa"/>
            <w:vAlign w:val="bottom"/>
            <w:gridSpan w:val="2"/>
          </w:tcPr>
          <w:p>
            <w:pPr>
              <w:ind w:left="60"/>
              <w:spacing w:after="0"/>
              <w:rPr>
                <w:sz w:val="20"/>
                <w:szCs w:val="20"/>
                <w:color w:val="auto"/>
              </w:rPr>
            </w:pPr>
            <w:r>
              <w:rPr>
                <w:rFonts w:ascii="Arial" w:cs="Arial" w:eastAsia="Arial" w:hAnsi="Arial"/>
                <w:sz w:val="14"/>
                <w:szCs w:val="14"/>
                <w:color w:val="auto"/>
              </w:rPr>
              <w:t>the interests of the NEOs with long-term</w:t>
            </w:r>
          </w:p>
        </w:tc>
        <w:tc>
          <w:tcPr>
            <w:tcW w:w="160" w:type="dxa"/>
            <w:vAlign w:val="bottom"/>
          </w:tcPr>
          <w:p>
            <w:pPr>
              <w:spacing w:after="0"/>
              <w:rPr>
                <w:sz w:val="14"/>
                <w:szCs w:val="14"/>
                <w:color w:val="auto"/>
              </w:rPr>
            </w:pPr>
          </w:p>
        </w:tc>
        <w:tc>
          <w:tcPr>
            <w:tcW w:w="27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total long-term equity incentive grants</w:t>
            </w:r>
          </w:p>
        </w:tc>
        <w:tc>
          <w:tcPr>
            <w:tcW w:w="0" w:type="dxa"/>
            <w:vAlign w:val="bottom"/>
          </w:tcPr>
          <w:p>
            <w:pPr>
              <w:spacing w:after="0"/>
              <w:rPr>
                <w:sz w:val="1"/>
                <w:szCs w:val="1"/>
                <w:color w:val="auto"/>
              </w:rPr>
            </w:pPr>
          </w:p>
        </w:tc>
      </w:tr>
      <w:tr>
        <w:trPr>
          <w:trHeight w:val="130"/>
        </w:trPr>
        <w:tc>
          <w:tcPr>
            <w:tcW w:w="2060" w:type="dxa"/>
            <w:vAlign w:val="bottom"/>
            <w:tcBorders>
              <w:left w:val="single" w:sz="8" w:color="auto"/>
            </w:tcBorders>
          </w:tcPr>
          <w:p>
            <w:pPr>
              <w:spacing w:after="0"/>
              <w:rPr>
                <w:sz w:val="11"/>
                <w:szCs w:val="11"/>
                <w:color w:val="auto"/>
              </w:rPr>
            </w:pPr>
          </w:p>
        </w:tc>
        <w:tc>
          <w:tcPr>
            <w:tcW w:w="3340" w:type="dxa"/>
            <w:vAlign w:val="bottom"/>
            <w:vMerge w:val="continue"/>
          </w:tcPr>
          <w:p>
            <w:pPr>
              <w:spacing w:after="0"/>
              <w:rPr>
                <w:sz w:val="11"/>
                <w:szCs w:val="11"/>
                <w:color w:val="auto"/>
              </w:rPr>
            </w:pPr>
          </w:p>
        </w:tc>
        <w:tc>
          <w:tcPr>
            <w:tcW w:w="3100" w:type="dxa"/>
            <w:vAlign w:val="bottom"/>
            <w:gridSpan w:val="2"/>
          </w:tcPr>
          <w:p>
            <w:pPr>
              <w:ind w:left="60"/>
              <w:spacing w:after="0" w:line="131" w:lineRule="exact"/>
              <w:rPr>
                <w:sz w:val="20"/>
                <w:szCs w:val="20"/>
                <w:color w:val="auto"/>
              </w:rPr>
            </w:pPr>
            <w:r>
              <w:rPr>
                <w:rFonts w:ascii="Arial" w:cs="Arial" w:eastAsia="Arial" w:hAnsi="Arial"/>
                <w:sz w:val="14"/>
                <w:szCs w:val="14"/>
                <w:color w:val="auto"/>
              </w:rPr>
              <w:t>shareholder value. Target amount awarded is</w:t>
            </w:r>
          </w:p>
        </w:tc>
        <w:tc>
          <w:tcPr>
            <w:tcW w:w="160" w:type="dxa"/>
            <w:vAlign w:val="bottom"/>
          </w:tcPr>
          <w:p>
            <w:pPr>
              <w:spacing w:after="0"/>
              <w:rPr>
                <w:sz w:val="11"/>
                <w:szCs w:val="11"/>
                <w:color w:val="auto"/>
              </w:rPr>
            </w:pPr>
          </w:p>
        </w:tc>
        <w:tc>
          <w:tcPr>
            <w:tcW w:w="2780" w:type="dxa"/>
            <w:vAlign w:val="bottom"/>
            <w:tcBorders>
              <w:right w:val="single" w:sz="8" w:color="auto"/>
            </w:tcBorders>
          </w:tcPr>
          <w:p>
            <w:pPr>
              <w:ind w:left="60"/>
              <w:spacing w:after="0" w:line="131" w:lineRule="exact"/>
              <w:rPr>
                <w:sz w:val="20"/>
                <w:szCs w:val="20"/>
                <w:color w:val="auto"/>
              </w:rPr>
            </w:pPr>
            <w:r>
              <w:rPr>
                <w:rFonts w:ascii="Arial" w:cs="Arial" w:eastAsia="Arial" w:hAnsi="Arial"/>
                <w:sz w:val="14"/>
                <w:szCs w:val="14"/>
                <w:color w:val="auto"/>
              </w:rPr>
              <w:t>awarded to all of the NEOs, except Mr.</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tcPr>
          <w:p>
            <w:pPr>
              <w:spacing w:after="0"/>
              <w:rPr>
                <w:sz w:val="14"/>
                <w:szCs w:val="14"/>
                <w:color w:val="auto"/>
              </w:rPr>
            </w:pPr>
          </w:p>
        </w:tc>
        <w:tc>
          <w:tcPr>
            <w:tcW w:w="3340" w:type="dxa"/>
            <w:vAlign w:val="bottom"/>
          </w:tcPr>
          <w:p>
            <w:pPr>
              <w:ind w:left="100"/>
              <w:spacing w:after="0"/>
              <w:rPr>
                <w:sz w:val="20"/>
                <w:szCs w:val="20"/>
                <w:color w:val="auto"/>
              </w:rPr>
            </w:pPr>
            <w:r>
              <w:rPr>
                <w:rFonts w:ascii="Arial" w:cs="Arial" w:eastAsia="Arial" w:hAnsi="Arial"/>
                <w:sz w:val="14"/>
                <w:szCs w:val="14"/>
                <w:color w:val="auto"/>
              </w:rPr>
              <w:t>achievement of a pre-established performance</w:t>
            </w:r>
          </w:p>
        </w:tc>
        <w:tc>
          <w:tcPr>
            <w:tcW w:w="3100" w:type="dxa"/>
            <w:vAlign w:val="bottom"/>
            <w:gridSpan w:val="2"/>
          </w:tcPr>
          <w:p>
            <w:pPr>
              <w:ind w:left="60"/>
              <w:spacing w:after="0"/>
              <w:rPr>
                <w:sz w:val="20"/>
                <w:szCs w:val="20"/>
                <w:color w:val="auto"/>
              </w:rPr>
            </w:pPr>
            <w:r>
              <w:rPr>
                <w:rFonts w:ascii="Arial" w:cs="Arial" w:eastAsia="Arial" w:hAnsi="Arial"/>
                <w:sz w:val="14"/>
                <w:szCs w:val="14"/>
                <w:color w:val="auto"/>
              </w:rPr>
              <w:t>determined based on job scope, market</w:t>
            </w:r>
          </w:p>
        </w:tc>
        <w:tc>
          <w:tcPr>
            <w:tcW w:w="160" w:type="dxa"/>
            <w:vAlign w:val="bottom"/>
          </w:tcPr>
          <w:p>
            <w:pPr>
              <w:spacing w:after="0"/>
              <w:rPr>
                <w:sz w:val="14"/>
                <w:szCs w:val="14"/>
                <w:color w:val="auto"/>
              </w:rPr>
            </w:pPr>
          </w:p>
        </w:tc>
        <w:tc>
          <w:tcPr>
            <w:tcW w:w="27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Van Handel who did not receive</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tcPr>
          <w:p>
            <w:pPr>
              <w:spacing w:after="0"/>
              <w:rPr>
                <w:sz w:val="14"/>
                <w:szCs w:val="14"/>
                <w:color w:val="auto"/>
              </w:rPr>
            </w:pPr>
          </w:p>
        </w:tc>
        <w:tc>
          <w:tcPr>
            <w:tcW w:w="3340" w:type="dxa"/>
            <w:vAlign w:val="bottom"/>
          </w:tcPr>
          <w:p>
            <w:pPr>
              <w:ind w:left="100"/>
              <w:spacing w:after="0"/>
              <w:rPr>
                <w:sz w:val="20"/>
                <w:szCs w:val="20"/>
                <w:color w:val="auto"/>
              </w:rPr>
            </w:pPr>
            <w:r>
              <w:rPr>
                <w:rFonts w:ascii="Arial" w:cs="Arial" w:eastAsia="Arial" w:hAnsi="Arial"/>
                <w:sz w:val="14"/>
                <w:szCs w:val="14"/>
                <w:color w:val="auto"/>
              </w:rPr>
              <w:t>metric over a period of time. If goals are not met,</w:t>
            </w:r>
          </w:p>
        </w:tc>
        <w:tc>
          <w:tcPr>
            <w:tcW w:w="3100" w:type="dxa"/>
            <w:vAlign w:val="bottom"/>
            <w:gridSpan w:val="2"/>
          </w:tcPr>
          <w:p>
            <w:pPr>
              <w:ind w:left="60"/>
              <w:spacing w:after="0"/>
              <w:rPr>
                <w:sz w:val="20"/>
                <w:szCs w:val="20"/>
                <w:color w:val="auto"/>
              </w:rPr>
            </w:pPr>
            <w:r>
              <w:rPr>
                <w:rFonts w:ascii="Arial" w:cs="Arial" w:eastAsia="Arial" w:hAnsi="Arial"/>
                <w:sz w:val="14"/>
                <w:szCs w:val="14"/>
                <w:color w:val="auto"/>
              </w:rPr>
              <w:t>practice and individual performance.</w:t>
            </w:r>
          </w:p>
        </w:tc>
        <w:tc>
          <w:tcPr>
            <w:tcW w:w="160" w:type="dxa"/>
            <w:vAlign w:val="bottom"/>
          </w:tcPr>
          <w:p>
            <w:pPr>
              <w:spacing w:after="0"/>
              <w:rPr>
                <w:sz w:val="14"/>
                <w:szCs w:val="14"/>
                <w:color w:val="auto"/>
              </w:rPr>
            </w:pPr>
          </w:p>
        </w:tc>
        <w:tc>
          <w:tcPr>
            <w:tcW w:w="27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performance share units in 2016.</w:t>
            </w:r>
          </w:p>
        </w:tc>
        <w:tc>
          <w:tcPr>
            <w:tcW w:w="0" w:type="dxa"/>
            <w:vAlign w:val="bottom"/>
          </w:tcPr>
          <w:p>
            <w:pPr>
              <w:spacing w:after="0"/>
              <w:rPr>
                <w:sz w:val="1"/>
                <w:szCs w:val="1"/>
                <w:color w:val="auto"/>
              </w:rPr>
            </w:pPr>
          </w:p>
        </w:tc>
      </w:tr>
      <w:tr>
        <w:trPr>
          <w:trHeight w:val="172"/>
        </w:trPr>
        <w:tc>
          <w:tcPr>
            <w:tcW w:w="2060" w:type="dxa"/>
            <w:vAlign w:val="bottom"/>
            <w:tcBorders>
              <w:left w:val="single" w:sz="8" w:color="auto"/>
            </w:tcBorders>
          </w:tcPr>
          <w:p>
            <w:pPr>
              <w:spacing w:after="0"/>
              <w:rPr>
                <w:sz w:val="14"/>
                <w:szCs w:val="14"/>
                <w:color w:val="auto"/>
              </w:rPr>
            </w:pPr>
          </w:p>
        </w:tc>
        <w:tc>
          <w:tcPr>
            <w:tcW w:w="3340" w:type="dxa"/>
            <w:vAlign w:val="bottom"/>
          </w:tcPr>
          <w:p>
            <w:pPr>
              <w:ind w:left="100"/>
              <w:spacing w:after="0"/>
              <w:rPr>
                <w:sz w:val="20"/>
                <w:szCs w:val="20"/>
                <w:color w:val="auto"/>
              </w:rPr>
            </w:pPr>
            <w:r>
              <w:rPr>
                <w:rFonts w:ascii="Arial" w:cs="Arial" w:eastAsia="Arial" w:hAnsi="Arial"/>
                <w:sz w:val="14"/>
                <w:szCs w:val="14"/>
                <w:color w:val="auto"/>
              </w:rPr>
              <w:t>shares are not received.</w:t>
            </w:r>
          </w:p>
        </w:tc>
        <w:tc>
          <w:tcPr>
            <w:tcW w:w="3100" w:type="dxa"/>
            <w:vAlign w:val="bottom"/>
            <w:gridSpan w:val="2"/>
            <w:vMerge w:val="restart"/>
          </w:tcPr>
          <w:p>
            <w:pPr>
              <w:ind w:left="60"/>
              <w:spacing w:after="0"/>
              <w:rPr>
                <w:sz w:val="20"/>
                <w:szCs w:val="20"/>
                <w:color w:val="auto"/>
              </w:rPr>
            </w:pPr>
            <w:r>
              <w:rPr>
                <w:rFonts w:ascii="Arial" w:cs="Arial" w:eastAsia="Arial" w:hAnsi="Arial"/>
                <w:sz w:val="14"/>
                <w:szCs w:val="14"/>
                <w:color w:val="auto"/>
              </w:rPr>
              <w:t>Measures used to determine performance</w:t>
            </w:r>
          </w:p>
        </w:tc>
        <w:tc>
          <w:tcPr>
            <w:tcW w:w="294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Also in 2016, for the PSUs granted in</w:t>
            </w:r>
          </w:p>
        </w:tc>
        <w:tc>
          <w:tcPr>
            <w:tcW w:w="0" w:type="dxa"/>
            <w:vAlign w:val="bottom"/>
          </w:tcPr>
          <w:p>
            <w:pPr>
              <w:spacing w:after="0"/>
              <w:rPr>
                <w:sz w:val="1"/>
                <w:szCs w:val="1"/>
                <w:color w:val="auto"/>
              </w:rPr>
            </w:pPr>
          </w:p>
        </w:tc>
      </w:tr>
      <w:tr>
        <w:trPr>
          <w:trHeight w:val="143"/>
        </w:trPr>
        <w:tc>
          <w:tcPr>
            <w:tcW w:w="2060" w:type="dxa"/>
            <w:vAlign w:val="bottom"/>
            <w:tcBorders>
              <w:left w:val="single" w:sz="8" w:color="auto"/>
            </w:tcBorders>
          </w:tcPr>
          <w:p>
            <w:pPr>
              <w:spacing w:after="0"/>
              <w:rPr>
                <w:sz w:val="12"/>
                <w:szCs w:val="12"/>
                <w:color w:val="auto"/>
              </w:rPr>
            </w:pPr>
          </w:p>
        </w:tc>
        <w:tc>
          <w:tcPr>
            <w:tcW w:w="3340" w:type="dxa"/>
            <w:vAlign w:val="bottom"/>
          </w:tcPr>
          <w:p>
            <w:pPr>
              <w:spacing w:after="0"/>
              <w:rPr>
                <w:sz w:val="12"/>
                <w:szCs w:val="12"/>
                <w:color w:val="auto"/>
              </w:rPr>
            </w:pPr>
          </w:p>
        </w:tc>
        <w:tc>
          <w:tcPr>
            <w:tcW w:w="3100" w:type="dxa"/>
            <w:vAlign w:val="bottom"/>
            <w:gridSpan w:val="2"/>
            <w:vMerge w:val="continue"/>
          </w:tcPr>
          <w:p>
            <w:pPr>
              <w:spacing w:after="0"/>
              <w:rPr>
                <w:sz w:val="12"/>
                <w:szCs w:val="12"/>
                <w:color w:val="auto"/>
              </w:rPr>
            </w:pPr>
          </w:p>
        </w:tc>
        <w:tc>
          <w:tcPr>
            <w:tcW w:w="294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tcPr>
          <w:p>
            <w:pPr>
              <w:spacing w:after="0"/>
              <w:rPr>
                <w:sz w:val="14"/>
                <w:szCs w:val="14"/>
                <w:color w:val="auto"/>
              </w:rPr>
            </w:pPr>
          </w:p>
        </w:tc>
        <w:tc>
          <w:tcPr>
            <w:tcW w:w="3340" w:type="dxa"/>
            <w:vAlign w:val="bottom"/>
          </w:tcPr>
          <w:p>
            <w:pPr>
              <w:spacing w:after="0"/>
              <w:rPr>
                <w:sz w:val="14"/>
                <w:szCs w:val="14"/>
                <w:color w:val="auto"/>
              </w:rPr>
            </w:pPr>
          </w:p>
        </w:tc>
        <w:tc>
          <w:tcPr>
            <w:tcW w:w="3100" w:type="dxa"/>
            <w:vAlign w:val="bottom"/>
            <w:gridSpan w:val="2"/>
          </w:tcPr>
          <w:p>
            <w:pPr>
              <w:ind w:left="60"/>
              <w:spacing w:after="0"/>
              <w:rPr>
                <w:sz w:val="20"/>
                <w:szCs w:val="20"/>
                <w:color w:val="auto"/>
              </w:rPr>
            </w:pPr>
            <w:r>
              <w:rPr>
                <w:rFonts w:ascii="Arial" w:cs="Arial" w:eastAsia="Arial" w:hAnsi="Arial"/>
                <w:sz w:val="14"/>
                <w:szCs w:val="14"/>
                <w:color w:val="auto"/>
              </w:rPr>
              <w:t>share units earned:</w:t>
            </w:r>
          </w:p>
        </w:tc>
        <w:tc>
          <w:tcPr>
            <w:tcW w:w="160" w:type="dxa"/>
            <w:vAlign w:val="bottom"/>
          </w:tcPr>
          <w:p>
            <w:pPr>
              <w:spacing w:after="0"/>
              <w:rPr>
                <w:sz w:val="14"/>
                <w:szCs w:val="14"/>
                <w:color w:val="auto"/>
              </w:rPr>
            </w:pPr>
          </w:p>
        </w:tc>
        <w:tc>
          <w:tcPr>
            <w:tcW w:w="27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2014, the NEOS earned 188% of target</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vMerge w:val="restart"/>
          </w:tcPr>
          <w:p>
            <w:pPr>
              <w:ind w:left="60"/>
              <w:spacing w:after="0"/>
              <w:rPr>
                <w:sz w:val="20"/>
                <w:szCs w:val="20"/>
                <w:color w:val="auto"/>
              </w:rPr>
            </w:pPr>
            <w:r>
              <w:rPr>
                <w:rFonts w:ascii="Arial" w:cs="Arial" w:eastAsia="Arial" w:hAnsi="Arial"/>
                <w:sz w:val="14"/>
                <w:szCs w:val="14"/>
                <w:color w:val="5D89B4"/>
              </w:rPr>
              <w:t>•</w:t>
            </w:r>
          </w:p>
        </w:tc>
        <w:tc>
          <w:tcPr>
            <w:tcW w:w="2940" w:type="dxa"/>
            <w:vAlign w:val="bottom"/>
            <w:vMerge w:val="restart"/>
          </w:tcPr>
          <w:p>
            <w:pPr>
              <w:ind w:left="20"/>
              <w:spacing w:after="0"/>
              <w:rPr>
                <w:sz w:val="20"/>
                <w:szCs w:val="20"/>
                <w:color w:val="auto"/>
              </w:rPr>
            </w:pPr>
            <w:r>
              <w:rPr>
                <w:rFonts w:ascii="Arial" w:cs="Arial" w:eastAsia="Arial" w:hAnsi="Arial"/>
                <w:sz w:val="14"/>
                <w:szCs w:val="14"/>
                <w:color w:val="auto"/>
              </w:rPr>
              <w:t>A threshold level of average operating profit</w:t>
            </w:r>
          </w:p>
        </w:tc>
        <w:tc>
          <w:tcPr>
            <w:tcW w:w="160" w:type="dxa"/>
            <w:vAlign w:val="bottom"/>
          </w:tcPr>
          <w:p>
            <w:pPr>
              <w:spacing w:after="0"/>
              <w:rPr>
                <w:sz w:val="14"/>
                <w:szCs w:val="14"/>
                <w:color w:val="auto"/>
              </w:rPr>
            </w:pPr>
          </w:p>
        </w:tc>
        <w:tc>
          <w:tcPr>
            <w:tcW w:w="27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performance share units based on the</w:t>
            </w:r>
          </w:p>
        </w:tc>
        <w:tc>
          <w:tcPr>
            <w:tcW w:w="0" w:type="dxa"/>
            <w:vAlign w:val="bottom"/>
          </w:tcPr>
          <w:p>
            <w:pPr>
              <w:spacing w:after="0"/>
              <w:rPr>
                <w:sz w:val="1"/>
                <w:szCs w:val="1"/>
                <w:color w:val="auto"/>
              </w:rPr>
            </w:pPr>
          </w:p>
        </w:tc>
      </w:tr>
      <w:tr>
        <w:trPr>
          <w:trHeight w:val="68"/>
        </w:trPr>
        <w:tc>
          <w:tcPr>
            <w:tcW w:w="2060" w:type="dxa"/>
            <w:vAlign w:val="bottom"/>
            <w:tcBorders>
              <w:left w:val="single" w:sz="8" w:color="auto"/>
            </w:tcBorders>
          </w:tcPr>
          <w:p>
            <w:pPr>
              <w:spacing w:after="0"/>
              <w:rPr>
                <w:sz w:val="5"/>
                <w:szCs w:val="5"/>
                <w:color w:val="auto"/>
              </w:rPr>
            </w:pPr>
          </w:p>
        </w:tc>
        <w:tc>
          <w:tcPr>
            <w:tcW w:w="33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9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three-year performance period ended</w:t>
            </w:r>
          </w:p>
        </w:tc>
        <w:tc>
          <w:tcPr>
            <w:tcW w:w="0" w:type="dxa"/>
            <w:vAlign w:val="bottom"/>
          </w:tcPr>
          <w:p>
            <w:pPr>
              <w:spacing w:after="0"/>
              <w:rPr>
                <w:sz w:val="1"/>
                <w:szCs w:val="1"/>
                <w:color w:val="auto"/>
              </w:rPr>
            </w:pPr>
          </w:p>
        </w:tc>
      </w:tr>
      <w:tr>
        <w:trPr>
          <w:trHeight w:val="95"/>
        </w:trPr>
        <w:tc>
          <w:tcPr>
            <w:tcW w:w="2060" w:type="dxa"/>
            <w:vAlign w:val="bottom"/>
            <w:tcBorders>
              <w:left w:val="single" w:sz="8" w:color="auto"/>
            </w:tcBorders>
          </w:tcPr>
          <w:p>
            <w:pPr>
              <w:spacing w:after="0"/>
              <w:rPr>
                <w:sz w:val="8"/>
                <w:szCs w:val="8"/>
                <w:color w:val="auto"/>
              </w:rPr>
            </w:pPr>
          </w:p>
        </w:tc>
        <w:tc>
          <w:tcPr>
            <w:tcW w:w="3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940" w:type="dxa"/>
            <w:vAlign w:val="bottom"/>
            <w:vMerge w:val="restart"/>
          </w:tcPr>
          <w:p>
            <w:pPr>
              <w:ind w:left="40"/>
              <w:spacing w:after="0"/>
              <w:rPr>
                <w:sz w:val="20"/>
                <w:szCs w:val="20"/>
                <w:color w:val="auto"/>
              </w:rPr>
            </w:pPr>
            <w:r>
              <w:rPr>
                <w:rFonts w:ascii="Arial" w:cs="Arial" w:eastAsia="Arial" w:hAnsi="Arial"/>
                <w:sz w:val="14"/>
                <w:szCs w:val="14"/>
                <w:color w:val="auto"/>
              </w:rPr>
              <w:t>margin percent must be achieved during the</w:t>
            </w:r>
          </w:p>
        </w:tc>
        <w:tc>
          <w:tcPr>
            <w:tcW w:w="160" w:type="dxa"/>
            <w:vAlign w:val="bottom"/>
          </w:tcPr>
          <w:p>
            <w:pPr>
              <w:spacing w:after="0"/>
              <w:rPr>
                <w:sz w:val="8"/>
                <w:szCs w:val="8"/>
                <w:color w:val="auto"/>
              </w:rPr>
            </w:pPr>
          </w:p>
        </w:tc>
        <w:tc>
          <w:tcPr>
            <w:tcW w:w="27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60" w:type="dxa"/>
            <w:vAlign w:val="bottom"/>
            <w:tcBorders>
              <w:left w:val="single" w:sz="8" w:color="auto"/>
            </w:tcBorders>
          </w:tcPr>
          <w:p>
            <w:pPr>
              <w:spacing w:after="0"/>
              <w:rPr>
                <w:sz w:val="5"/>
                <w:szCs w:val="5"/>
                <w:color w:val="auto"/>
              </w:rPr>
            </w:pPr>
          </w:p>
        </w:tc>
        <w:tc>
          <w:tcPr>
            <w:tcW w:w="3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9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December 31, 2016.</w:t>
            </w:r>
          </w:p>
        </w:tc>
        <w:tc>
          <w:tcPr>
            <w:tcW w:w="0" w:type="dxa"/>
            <w:vAlign w:val="bottom"/>
          </w:tcPr>
          <w:p>
            <w:pPr>
              <w:spacing w:after="0"/>
              <w:rPr>
                <w:sz w:val="1"/>
                <w:szCs w:val="1"/>
                <w:color w:val="auto"/>
              </w:rPr>
            </w:pPr>
          </w:p>
        </w:tc>
      </w:tr>
      <w:tr>
        <w:trPr>
          <w:trHeight w:val="105"/>
        </w:trPr>
        <w:tc>
          <w:tcPr>
            <w:tcW w:w="2060" w:type="dxa"/>
            <w:vAlign w:val="bottom"/>
            <w:tcBorders>
              <w:left w:val="single" w:sz="8" w:color="auto"/>
            </w:tcBorders>
          </w:tcPr>
          <w:p>
            <w:pPr>
              <w:spacing w:after="0"/>
              <w:rPr>
                <w:sz w:val="9"/>
                <w:szCs w:val="9"/>
                <w:color w:val="auto"/>
              </w:rPr>
            </w:pPr>
          </w:p>
        </w:tc>
        <w:tc>
          <w:tcPr>
            <w:tcW w:w="3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vMerge w:val="restart"/>
          </w:tcPr>
          <w:p>
            <w:pPr>
              <w:ind w:left="40"/>
              <w:spacing w:after="0"/>
              <w:rPr>
                <w:sz w:val="20"/>
                <w:szCs w:val="20"/>
                <w:color w:val="auto"/>
              </w:rPr>
            </w:pPr>
            <w:r>
              <w:rPr>
                <w:rFonts w:ascii="Arial" w:cs="Arial" w:eastAsia="Arial" w:hAnsi="Arial"/>
                <w:sz w:val="14"/>
                <w:szCs w:val="14"/>
                <w:color w:val="auto"/>
              </w:rPr>
              <w:t>2016-2018 performance period to receive</w:t>
            </w:r>
          </w:p>
        </w:tc>
        <w:tc>
          <w:tcPr>
            <w:tcW w:w="160" w:type="dxa"/>
            <w:vAlign w:val="bottom"/>
          </w:tcPr>
          <w:p>
            <w:pPr>
              <w:spacing w:after="0"/>
              <w:rPr>
                <w:sz w:val="9"/>
                <w:szCs w:val="9"/>
                <w:color w:val="auto"/>
              </w:rPr>
            </w:pPr>
          </w:p>
        </w:tc>
        <w:tc>
          <w:tcPr>
            <w:tcW w:w="27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60" w:type="dxa"/>
            <w:vAlign w:val="bottom"/>
            <w:tcBorders>
              <w:left w:val="single" w:sz="8" w:color="auto"/>
            </w:tcBorders>
          </w:tcPr>
          <w:p>
            <w:pPr>
              <w:spacing w:after="0"/>
              <w:rPr>
                <w:sz w:val="4"/>
                <w:szCs w:val="4"/>
                <w:color w:val="auto"/>
              </w:rPr>
            </w:pPr>
          </w:p>
        </w:tc>
        <w:tc>
          <w:tcPr>
            <w:tcW w:w="3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9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7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60" w:type="dxa"/>
            <w:vAlign w:val="bottom"/>
            <w:tcBorders>
              <w:left w:val="single" w:sz="8" w:color="auto"/>
            </w:tcBorders>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tcPr>
          <w:p>
            <w:pPr>
              <w:ind w:left="40"/>
              <w:spacing w:after="0"/>
              <w:rPr>
                <w:sz w:val="20"/>
                <w:szCs w:val="20"/>
                <w:color w:val="auto"/>
              </w:rPr>
            </w:pPr>
            <w:r>
              <w:rPr>
                <w:rFonts w:ascii="Arial" w:cs="Arial" w:eastAsia="Arial" w:hAnsi="Arial"/>
                <w:sz w:val="14"/>
                <w:szCs w:val="14"/>
                <w:color w:val="auto"/>
              </w:rPr>
              <w:t>any PSU vesting.</w:t>
            </w:r>
          </w:p>
        </w:tc>
        <w:tc>
          <w:tcPr>
            <w:tcW w:w="160" w:type="dxa"/>
            <w:vAlign w:val="bottom"/>
            <w:vMerge w:val="restart"/>
          </w:tcPr>
          <w:p>
            <w:pPr>
              <w:ind w:left="80"/>
              <w:spacing w:after="0"/>
              <w:rPr>
                <w:sz w:val="20"/>
                <w:szCs w:val="20"/>
                <w:color w:val="auto"/>
              </w:rPr>
            </w:pPr>
            <w:r>
              <w:rPr>
                <w:rFonts w:ascii="Arial" w:cs="Arial" w:eastAsia="Arial" w:hAnsi="Arial"/>
                <w:sz w:val="14"/>
                <w:szCs w:val="14"/>
                <w:color w:val="5D89B4"/>
              </w:rPr>
              <w:t>•</w:t>
            </w:r>
          </w:p>
        </w:tc>
        <w:tc>
          <w:tcPr>
            <w:tcW w:w="27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See page 46 for more information.</w:t>
            </w:r>
          </w:p>
        </w:tc>
        <w:tc>
          <w:tcPr>
            <w:tcW w:w="0" w:type="dxa"/>
            <w:vAlign w:val="bottom"/>
          </w:tcPr>
          <w:p>
            <w:pPr>
              <w:spacing w:after="0"/>
              <w:rPr>
                <w:sz w:val="1"/>
                <w:szCs w:val="1"/>
                <w:color w:val="auto"/>
              </w:rPr>
            </w:pPr>
          </w:p>
        </w:tc>
      </w:tr>
      <w:tr>
        <w:trPr>
          <w:trHeight w:val="54"/>
        </w:trPr>
        <w:tc>
          <w:tcPr>
            <w:tcW w:w="2060" w:type="dxa"/>
            <w:vAlign w:val="bottom"/>
            <w:tcBorders>
              <w:left w:val="single" w:sz="8" w:color="auto"/>
            </w:tcBorders>
          </w:tcPr>
          <w:p>
            <w:pPr>
              <w:spacing w:after="0"/>
              <w:rPr>
                <w:sz w:val="4"/>
                <w:szCs w:val="4"/>
                <w:color w:val="auto"/>
              </w:rPr>
            </w:pPr>
          </w:p>
        </w:tc>
        <w:tc>
          <w:tcPr>
            <w:tcW w:w="3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94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27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60" w:type="dxa"/>
            <w:vAlign w:val="bottom"/>
            <w:tcBorders>
              <w:left w:val="single" w:sz="8" w:color="auto"/>
            </w:tcBorders>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tcPr>
          <w:p>
            <w:pPr>
              <w:ind w:left="4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Payout levels for threshold, target and</w:t>
            </w:r>
          </w:p>
        </w:tc>
        <w:tc>
          <w:tcPr>
            <w:tcW w:w="160" w:type="dxa"/>
            <w:vAlign w:val="bottom"/>
          </w:tcPr>
          <w:p>
            <w:pPr>
              <w:spacing w:after="0"/>
              <w:rPr>
                <w:sz w:val="14"/>
                <w:szCs w:val="14"/>
                <w:color w:val="auto"/>
              </w:rPr>
            </w:pPr>
          </w:p>
        </w:tc>
        <w:tc>
          <w:tcPr>
            <w:tcW w:w="2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tcPr>
          <w:p>
            <w:pPr>
              <w:ind w:left="200"/>
              <w:spacing w:after="0"/>
              <w:rPr>
                <w:sz w:val="20"/>
                <w:szCs w:val="20"/>
                <w:color w:val="auto"/>
              </w:rPr>
            </w:pPr>
            <w:r>
              <w:rPr>
                <w:rFonts w:ascii="Arial" w:cs="Arial" w:eastAsia="Arial" w:hAnsi="Arial"/>
                <w:sz w:val="14"/>
                <w:szCs w:val="14"/>
                <w:color w:val="auto"/>
              </w:rPr>
              <w:t>outstanding results are determined, and</w:t>
            </w:r>
          </w:p>
        </w:tc>
        <w:tc>
          <w:tcPr>
            <w:tcW w:w="160" w:type="dxa"/>
            <w:vAlign w:val="bottom"/>
          </w:tcPr>
          <w:p>
            <w:pPr>
              <w:spacing w:after="0"/>
              <w:rPr>
                <w:sz w:val="14"/>
                <w:szCs w:val="14"/>
                <w:color w:val="auto"/>
              </w:rPr>
            </w:pPr>
          </w:p>
        </w:tc>
        <w:tc>
          <w:tcPr>
            <w:tcW w:w="2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tcPr>
          <w:p>
            <w:pPr>
              <w:ind w:left="200"/>
              <w:spacing w:after="0"/>
              <w:rPr>
                <w:sz w:val="20"/>
                <w:szCs w:val="20"/>
                <w:color w:val="auto"/>
              </w:rPr>
            </w:pPr>
            <w:r>
              <w:rPr>
                <w:rFonts w:ascii="Arial" w:cs="Arial" w:eastAsia="Arial" w:hAnsi="Arial"/>
                <w:sz w:val="14"/>
                <w:szCs w:val="14"/>
                <w:color w:val="auto"/>
              </w:rPr>
              <w:t>the actual payout percentage is</w:t>
            </w:r>
          </w:p>
        </w:tc>
        <w:tc>
          <w:tcPr>
            <w:tcW w:w="160" w:type="dxa"/>
            <w:vAlign w:val="bottom"/>
          </w:tcPr>
          <w:p>
            <w:pPr>
              <w:spacing w:after="0"/>
              <w:rPr>
                <w:sz w:val="14"/>
                <w:szCs w:val="14"/>
                <w:color w:val="auto"/>
              </w:rPr>
            </w:pPr>
          </w:p>
        </w:tc>
        <w:tc>
          <w:tcPr>
            <w:tcW w:w="2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60" w:type="dxa"/>
            <w:vAlign w:val="bottom"/>
            <w:tcBorders>
              <w:left w:val="single" w:sz="8" w:color="auto"/>
            </w:tcBorders>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tcPr>
          <w:p>
            <w:pPr>
              <w:ind w:left="200"/>
              <w:spacing w:after="0"/>
              <w:rPr>
                <w:sz w:val="20"/>
                <w:szCs w:val="20"/>
                <w:color w:val="auto"/>
              </w:rPr>
            </w:pPr>
            <w:r>
              <w:rPr>
                <w:rFonts w:ascii="Arial" w:cs="Arial" w:eastAsia="Arial" w:hAnsi="Arial"/>
                <w:sz w:val="14"/>
                <w:szCs w:val="14"/>
                <w:color w:val="auto"/>
              </w:rPr>
              <w:t>calculated by interpolation.</w:t>
            </w:r>
          </w:p>
        </w:tc>
        <w:tc>
          <w:tcPr>
            <w:tcW w:w="160" w:type="dxa"/>
            <w:vAlign w:val="bottom"/>
          </w:tcPr>
          <w:p>
            <w:pPr>
              <w:spacing w:after="0"/>
              <w:rPr>
                <w:sz w:val="14"/>
                <w:szCs w:val="14"/>
                <w:color w:val="auto"/>
              </w:rPr>
            </w:pPr>
          </w:p>
        </w:tc>
        <w:tc>
          <w:tcPr>
            <w:tcW w:w="2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60" w:type="dxa"/>
            <w:vAlign w:val="bottom"/>
            <w:tcBorders>
              <w:left w:val="single" w:sz="8" w:color="auto"/>
            </w:tcBorders>
          </w:tcPr>
          <w:p>
            <w:pPr>
              <w:spacing w:after="0"/>
              <w:rPr>
                <w:sz w:val="19"/>
                <w:szCs w:val="19"/>
                <w:color w:val="auto"/>
              </w:rPr>
            </w:pPr>
          </w:p>
        </w:tc>
        <w:tc>
          <w:tcPr>
            <w:tcW w:w="3340" w:type="dxa"/>
            <w:vAlign w:val="bottom"/>
          </w:tcPr>
          <w:p>
            <w:pPr>
              <w:spacing w:after="0"/>
              <w:rPr>
                <w:sz w:val="19"/>
                <w:szCs w:val="19"/>
                <w:color w:val="auto"/>
              </w:rPr>
            </w:pPr>
          </w:p>
        </w:tc>
        <w:tc>
          <w:tcPr>
            <w:tcW w:w="160" w:type="dxa"/>
            <w:vAlign w:val="bottom"/>
          </w:tcPr>
          <w:p>
            <w:pPr>
              <w:ind w:left="60"/>
              <w:spacing w:after="0"/>
              <w:rPr>
                <w:sz w:val="20"/>
                <w:szCs w:val="20"/>
                <w:color w:val="auto"/>
              </w:rPr>
            </w:pPr>
            <w:r>
              <w:rPr>
                <w:rFonts w:ascii="Arial" w:cs="Arial" w:eastAsia="Arial" w:hAnsi="Arial"/>
                <w:sz w:val="14"/>
                <w:szCs w:val="14"/>
                <w:color w:val="5D89B4"/>
              </w:rPr>
              <w:t>•</w:t>
            </w:r>
          </w:p>
        </w:tc>
        <w:tc>
          <w:tcPr>
            <w:tcW w:w="2940" w:type="dxa"/>
            <w:vAlign w:val="bottom"/>
          </w:tcPr>
          <w:p>
            <w:pPr>
              <w:ind w:left="40"/>
              <w:spacing w:after="0"/>
              <w:rPr>
                <w:sz w:val="20"/>
                <w:szCs w:val="20"/>
                <w:color w:val="auto"/>
              </w:rPr>
            </w:pPr>
            <w:r>
              <w:rPr>
                <w:rFonts w:ascii="Arial" w:cs="Arial" w:eastAsia="Arial" w:hAnsi="Arial"/>
                <w:sz w:val="14"/>
                <w:szCs w:val="14"/>
                <w:color w:val="auto"/>
              </w:rPr>
              <w:t>However, if average operating profit does</w:t>
            </w:r>
          </w:p>
        </w:tc>
        <w:tc>
          <w:tcPr>
            <w:tcW w:w="160" w:type="dxa"/>
            <w:vAlign w:val="bottom"/>
          </w:tcPr>
          <w:p>
            <w:pPr>
              <w:spacing w:after="0"/>
              <w:rPr>
                <w:sz w:val="19"/>
                <w:szCs w:val="19"/>
                <w:color w:val="auto"/>
              </w:rPr>
            </w:pP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tcPr>
          <w:p>
            <w:pPr>
              <w:ind w:left="40"/>
              <w:spacing w:after="0"/>
              <w:rPr>
                <w:sz w:val="20"/>
                <w:szCs w:val="20"/>
                <w:color w:val="auto"/>
              </w:rPr>
            </w:pPr>
            <w:r>
              <w:rPr>
                <w:rFonts w:ascii="Arial" w:cs="Arial" w:eastAsia="Arial" w:hAnsi="Arial"/>
                <w:sz w:val="14"/>
                <w:szCs w:val="14"/>
                <w:color w:val="auto"/>
              </w:rPr>
              <w:t>not meet a certain pre-determined dollar</w:t>
            </w:r>
          </w:p>
        </w:tc>
        <w:tc>
          <w:tcPr>
            <w:tcW w:w="160" w:type="dxa"/>
            <w:vAlign w:val="bottom"/>
          </w:tcPr>
          <w:p>
            <w:pPr>
              <w:spacing w:after="0"/>
              <w:rPr>
                <w:sz w:val="14"/>
                <w:szCs w:val="14"/>
                <w:color w:val="auto"/>
              </w:rPr>
            </w:pPr>
          </w:p>
        </w:tc>
        <w:tc>
          <w:tcPr>
            <w:tcW w:w="2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tcPr>
          <w:p>
            <w:pPr>
              <w:ind w:left="40"/>
              <w:spacing w:after="0"/>
              <w:rPr>
                <w:sz w:val="20"/>
                <w:szCs w:val="20"/>
                <w:color w:val="auto"/>
              </w:rPr>
            </w:pPr>
            <w:r>
              <w:rPr>
                <w:rFonts w:ascii="Arial" w:cs="Arial" w:eastAsia="Arial" w:hAnsi="Arial"/>
                <w:sz w:val="14"/>
                <w:szCs w:val="14"/>
                <w:color w:val="auto"/>
              </w:rPr>
              <w:t>“gate” over the 2016-2018 performance</w:t>
            </w:r>
          </w:p>
        </w:tc>
        <w:tc>
          <w:tcPr>
            <w:tcW w:w="160" w:type="dxa"/>
            <w:vAlign w:val="bottom"/>
          </w:tcPr>
          <w:p>
            <w:pPr>
              <w:spacing w:after="0"/>
              <w:rPr>
                <w:sz w:val="14"/>
                <w:szCs w:val="14"/>
                <w:color w:val="auto"/>
              </w:rPr>
            </w:pPr>
          </w:p>
        </w:tc>
        <w:tc>
          <w:tcPr>
            <w:tcW w:w="2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tcPr>
          <w:p>
            <w:pPr>
              <w:ind w:left="40"/>
              <w:spacing w:after="0"/>
              <w:rPr>
                <w:sz w:val="20"/>
                <w:szCs w:val="20"/>
                <w:color w:val="auto"/>
              </w:rPr>
            </w:pPr>
            <w:r>
              <w:rPr>
                <w:rFonts w:ascii="Arial" w:cs="Arial" w:eastAsia="Arial" w:hAnsi="Arial"/>
                <w:sz w:val="14"/>
                <w:szCs w:val="14"/>
                <w:color w:val="auto"/>
              </w:rPr>
              <w:t>period, NEOs will not receive more than</w:t>
            </w:r>
          </w:p>
        </w:tc>
        <w:tc>
          <w:tcPr>
            <w:tcW w:w="160" w:type="dxa"/>
            <w:vAlign w:val="bottom"/>
          </w:tcPr>
          <w:p>
            <w:pPr>
              <w:spacing w:after="0"/>
              <w:rPr>
                <w:sz w:val="14"/>
                <w:szCs w:val="14"/>
                <w:color w:val="auto"/>
              </w:rPr>
            </w:pPr>
          </w:p>
        </w:tc>
        <w:tc>
          <w:tcPr>
            <w:tcW w:w="2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60" w:type="dxa"/>
            <w:vAlign w:val="bottom"/>
            <w:tcBorders>
              <w:left w:val="single" w:sz="8" w:color="auto"/>
              <w:bottom w:val="single" w:sz="8" w:color="auto"/>
            </w:tcBorders>
          </w:tcPr>
          <w:p>
            <w:pPr>
              <w:spacing w:after="0"/>
              <w:rPr>
                <w:sz w:val="14"/>
                <w:szCs w:val="14"/>
                <w:color w:val="auto"/>
              </w:rPr>
            </w:pPr>
          </w:p>
        </w:tc>
        <w:tc>
          <w:tcPr>
            <w:tcW w:w="3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100% of the target level payout.</w:t>
            </w:r>
          </w:p>
        </w:tc>
        <w:tc>
          <w:tcPr>
            <w:tcW w:w="160" w:type="dxa"/>
            <w:vAlign w:val="bottom"/>
            <w:tcBorders>
              <w:bottom w:val="single" w:sz="8" w:color="auto"/>
            </w:tcBorders>
          </w:tcPr>
          <w:p>
            <w:pPr>
              <w:spacing w:after="0"/>
              <w:rPr>
                <w:sz w:val="14"/>
                <w:szCs w:val="14"/>
                <w:color w:val="auto"/>
              </w:rPr>
            </w:pPr>
          </w:p>
        </w:tc>
        <w:tc>
          <w:tcPr>
            <w:tcW w:w="2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60" w:type="dxa"/>
            <w:vAlign w:val="bottom"/>
            <w:tcBorders>
              <w:left w:val="single" w:sz="8" w:color="auto"/>
            </w:tcBorders>
            <w:shd w:val="clear" w:color="auto" w:fill="E6EDF3"/>
          </w:tcPr>
          <w:p>
            <w:pPr>
              <w:ind w:left="160"/>
              <w:spacing w:after="0"/>
              <w:rPr>
                <w:sz w:val="20"/>
                <w:szCs w:val="20"/>
                <w:color w:val="auto"/>
              </w:rPr>
            </w:pPr>
            <w:r>
              <w:rPr>
                <w:rFonts w:ascii="Arial" w:cs="Arial" w:eastAsia="Arial" w:hAnsi="Arial"/>
                <w:sz w:val="14"/>
                <w:szCs w:val="14"/>
                <w:b w:val="1"/>
                <w:bCs w:val="1"/>
                <w:color w:val="auto"/>
              </w:rPr>
              <w:t>Restricted Stock Units</w:t>
            </w:r>
          </w:p>
        </w:tc>
        <w:tc>
          <w:tcPr>
            <w:tcW w:w="3340" w:type="dxa"/>
            <w:vAlign w:val="bottom"/>
            <w:shd w:val="clear" w:color="auto" w:fill="E6EDF3"/>
          </w:tcPr>
          <w:p>
            <w:pPr>
              <w:ind w:left="100"/>
              <w:spacing w:after="0"/>
              <w:rPr>
                <w:sz w:val="20"/>
                <w:szCs w:val="20"/>
                <w:color w:val="auto"/>
              </w:rPr>
            </w:pPr>
            <w:r>
              <w:rPr>
                <w:rFonts w:ascii="Arial" w:cs="Arial" w:eastAsia="Arial" w:hAnsi="Arial"/>
                <w:sz w:val="14"/>
                <w:szCs w:val="14"/>
                <w:color w:val="auto"/>
              </w:rPr>
              <w:t>Variable compensation payable in shares of</w:t>
            </w:r>
          </w:p>
        </w:tc>
        <w:tc>
          <w:tcPr>
            <w:tcW w:w="160" w:type="dxa"/>
            <w:vAlign w:val="bottom"/>
            <w:shd w:val="clear" w:color="auto" w:fill="E6EDF3"/>
          </w:tcPr>
          <w:p>
            <w:pPr>
              <w:ind w:left="60"/>
              <w:spacing w:after="0"/>
              <w:rPr>
                <w:sz w:val="20"/>
                <w:szCs w:val="20"/>
                <w:color w:val="auto"/>
              </w:rPr>
            </w:pPr>
            <w:r>
              <w:rPr>
                <w:rFonts w:ascii="Arial" w:cs="Arial" w:eastAsia="Arial" w:hAnsi="Arial"/>
                <w:sz w:val="14"/>
                <w:szCs w:val="14"/>
                <w:color w:val="5D89B4"/>
              </w:rPr>
              <w:t>•</w:t>
            </w:r>
          </w:p>
        </w:tc>
        <w:tc>
          <w:tcPr>
            <w:tcW w:w="2940" w:type="dxa"/>
            <w:vAlign w:val="bottom"/>
            <w:shd w:val="clear" w:color="auto" w:fill="E6EDF3"/>
          </w:tcPr>
          <w:p>
            <w:pPr>
              <w:ind w:left="40"/>
              <w:spacing w:after="0"/>
              <w:rPr>
                <w:sz w:val="20"/>
                <w:szCs w:val="20"/>
                <w:color w:val="auto"/>
              </w:rPr>
            </w:pPr>
            <w:r>
              <w:rPr>
                <w:rFonts w:ascii="Arial" w:cs="Arial" w:eastAsia="Arial" w:hAnsi="Arial"/>
                <w:sz w:val="14"/>
                <w:szCs w:val="14"/>
                <w:color w:val="auto"/>
              </w:rPr>
              <w:t>Restricted stock units cliff vest in full after</w:t>
            </w:r>
          </w:p>
        </w:tc>
        <w:tc>
          <w:tcPr>
            <w:tcW w:w="2940" w:type="dxa"/>
            <w:vAlign w:val="bottom"/>
            <w:tcBorders>
              <w:right w:val="single" w:sz="8" w:color="auto"/>
            </w:tcBorders>
            <w:gridSpan w:val="2"/>
            <w:shd w:val="clear" w:color="auto" w:fill="E6EDF3"/>
          </w:tcPr>
          <w:p>
            <w:pPr>
              <w:ind w:left="8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Approximately 20% of all of the NEOs’</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ind w:left="100"/>
              <w:spacing w:after="0"/>
              <w:rPr>
                <w:sz w:val="20"/>
                <w:szCs w:val="20"/>
                <w:color w:val="auto"/>
              </w:rPr>
            </w:pPr>
            <w:r>
              <w:rPr>
                <w:rFonts w:ascii="Arial" w:cs="Arial" w:eastAsia="Arial" w:hAnsi="Arial"/>
                <w:sz w:val="14"/>
                <w:szCs w:val="14"/>
                <w:color w:val="auto"/>
              </w:rPr>
              <w:t>stock. 100% of the restricted stock units vest on</w:t>
            </w:r>
          </w:p>
        </w:tc>
        <w:tc>
          <w:tcPr>
            <w:tcW w:w="160" w:type="dxa"/>
            <w:vAlign w:val="bottom"/>
            <w:shd w:val="clear" w:color="auto" w:fill="E6EDF3"/>
          </w:tcPr>
          <w:p>
            <w:pPr>
              <w:spacing w:after="0"/>
              <w:rPr>
                <w:sz w:val="14"/>
                <w:szCs w:val="14"/>
                <w:color w:val="auto"/>
              </w:rPr>
            </w:pPr>
          </w:p>
        </w:tc>
        <w:tc>
          <w:tcPr>
            <w:tcW w:w="2940" w:type="dxa"/>
            <w:vAlign w:val="bottom"/>
            <w:shd w:val="clear" w:color="auto" w:fill="E6EDF3"/>
          </w:tcPr>
          <w:p>
            <w:pPr>
              <w:ind w:left="40"/>
              <w:spacing w:after="0"/>
              <w:rPr>
                <w:sz w:val="20"/>
                <w:szCs w:val="20"/>
                <w:color w:val="auto"/>
              </w:rPr>
            </w:pPr>
            <w:r>
              <w:rPr>
                <w:rFonts w:ascii="Arial" w:cs="Arial" w:eastAsia="Arial" w:hAnsi="Arial"/>
                <w:sz w:val="14"/>
                <w:szCs w:val="14"/>
                <w:color w:val="auto"/>
              </w:rPr>
              <w:t>three years and are paid in stock.</w:t>
            </w:r>
          </w:p>
        </w:tc>
        <w:tc>
          <w:tcPr>
            <w:tcW w:w="160" w:type="dxa"/>
            <w:vAlign w:val="bottom"/>
            <w:shd w:val="clear" w:color="auto" w:fill="E6EDF3"/>
          </w:tcPr>
          <w:p>
            <w:pPr>
              <w:spacing w:after="0"/>
              <w:rPr>
                <w:sz w:val="14"/>
                <w:szCs w:val="14"/>
                <w:color w:val="auto"/>
              </w:rPr>
            </w:pPr>
          </w:p>
        </w:tc>
        <w:tc>
          <w:tcPr>
            <w:tcW w:w="2780" w:type="dxa"/>
            <w:vAlign w:val="bottom"/>
            <w:tcBorders>
              <w:right w:val="single" w:sz="8" w:color="auto"/>
            </w:tcBorders>
            <w:shd w:val="clear" w:color="auto" w:fill="E6EDF3"/>
          </w:tcPr>
          <w:p>
            <w:pPr>
              <w:ind w:left="60"/>
              <w:spacing w:after="0"/>
              <w:rPr>
                <w:sz w:val="20"/>
                <w:szCs w:val="20"/>
                <w:color w:val="auto"/>
              </w:rPr>
            </w:pPr>
            <w:r>
              <w:rPr>
                <w:rFonts w:ascii="Arial" w:cs="Arial" w:eastAsia="Arial" w:hAnsi="Arial"/>
                <w:sz w:val="14"/>
                <w:szCs w:val="14"/>
                <w:color w:val="auto"/>
              </w:rPr>
              <w:t>long-term equity incentive grants in 2016</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ind w:left="100"/>
              <w:spacing w:after="0"/>
              <w:rPr>
                <w:sz w:val="20"/>
                <w:szCs w:val="20"/>
                <w:color w:val="auto"/>
              </w:rPr>
            </w:pPr>
            <w:r>
              <w:rPr>
                <w:rFonts w:ascii="Arial" w:cs="Arial" w:eastAsia="Arial" w:hAnsi="Arial"/>
                <w:sz w:val="14"/>
                <w:szCs w:val="14"/>
                <w:color w:val="auto"/>
              </w:rPr>
              <w:t>the third anniversary date.</w:t>
            </w:r>
          </w:p>
        </w:tc>
        <w:tc>
          <w:tcPr>
            <w:tcW w:w="160" w:type="dxa"/>
            <w:vAlign w:val="bottom"/>
            <w:vMerge w:val="restart"/>
            <w:shd w:val="clear" w:color="auto" w:fill="E6EDF3"/>
          </w:tcPr>
          <w:p>
            <w:pPr>
              <w:ind w:left="60"/>
              <w:spacing w:after="0"/>
              <w:rPr>
                <w:sz w:val="20"/>
                <w:szCs w:val="20"/>
                <w:color w:val="auto"/>
              </w:rPr>
            </w:pPr>
            <w:r>
              <w:rPr>
                <w:rFonts w:ascii="Arial" w:cs="Arial" w:eastAsia="Arial" w:hAnsi="Arial"/>
                <w:sz w:val="14"/>
                <w:szCs w:val="14"/>
                <w:color w:val="5D89B4"/>
              </w:rPr>
              <w:t>•</w:t>
            </w:r>
          </w:p>
        </w:tc>
        <w:tc>
          <w:tcPr>
            <w:tcW w:w="2940" w:type="dxa"/>
            <w:vAlign w:val="bottom"/>
            <w:vMerge w:val="restart"/>
            <w:shd w:val="clear" w:color="auto" w:fill="E6EDF3"/>
          </w:tcPr>
          <w:p>
            <w:pPr>
              <w:ind w:left="40"/>
              <w:spacing w:after="0"/>
              <w:rPr>
                <w:sz w:val="20"/>
                <w:szCs w:val="20"/>
                <w:color w:val="auto"/>
              </w:rPr>
            </w:pPr>
            <w:r>
              <w:rPr>
                <w:rFonts w:ascii="Arial" w:cs="Arial" w:eastAsia="Arial" w:hAnsi="Arial"/>
                <w:sz w:val="14"/>
                <w:szCs w:val="14"/>
                <w:color w:val="auto"/>
              </w:rPr>
              <w:t>Through stock price and dividend</w:t>
            </w:r>
          </w:p>
        </w:tc>
        <w:tc>
          <w:tcPr>
            <w:tcW w:w="160" w:type="dxa"/>
            <w:vAlign w:val="bottom"/>
            <w:shd w:val="clear" w:color="auto" w:fill="E6EDF3"/>
          </w:tcPr>
          <w:p>
            <w:pPr>
              <w:spacing w:after="0"/>
              <w:rPr>
                <w:sz w:val="14"/>
                <w:szCs w:val="14"/>
                <w:color w:val="auto"/>
              </w:rPr>
            </w:pPr>
          </w:p>
        </w:tc>
        <w:tc>
          <w:tcPr>
            <w:tcW w:w="2780" w:type="dxa"/>
            <w:vAlign w:val="bottom"/>
            <w:tcBorders>
              <w:right w:val="single" w:sz="8" w:color="auto"/>
            </w:tcBorders>
            <w:shd w:val="clear" w:color="auto" w:fill="E6EDF3"/>
          </w:tcPr>
          <w:p>
            <w:pPr>
              <w:ind w:left="60"/>
              <w:spacing w:after="0"/>
              <w:rPr>
                <w:sz w:val="20"/>
                <w:szCs w:val="20"/>
                <w:color w:val="auto"/>
              </w:rPr>
            </w:pPr>
            <w:r>
              <w:rPr>
                <w:rFonts w:ascii="Arial" w:cs="Arial" w:eastAsia="Arial" w:hAnsi="Arial"/>
                <w:sz w:val="14"/>
                <w:szCs w:val="14"/>
                <w:color w:val="auto"/>
              </w:rPr>
              <w:t>were in the form of restricted stock units.</w:t>
            </w:r>
          </w:p>
        </w:tc>
        <w:tc>
          <w:tcPr>
            <w:tcW w:w="0" w:type="dxa"/>
            <w:vAlign w:val="bottom"/>
          </w:tcPr>
          <w:p>
            <w:pPr>
              <w:spacing w:after="0"/>
              <w:rPr>
                <w:sz w:val="1"/>
                <w:szCs w:val="1"/>
                <w:color w:val="auto"/>
              </w:rPr>
            </w:pPr>
          </w:p>
        </w:tc>
      </w:tr>
      <w:tr>
        <w:trPr>
          <w:trHeight w:val="130"/>
        </w:trPr>
        <w:tc>
          <w:tcPr>
            <w:tcW w:w="2060" w:type="dxa"/>
            <w:vAlign w:val="bottom"/>
            <w:tcBorders>
              <w:left w:val="single" w:sz="8" w:color="auto"/>
            </w:tcBorders>
            <w:shd w:val="clear" w:color="auto" w:fill="E6EDF3"/>
          </w:tcPr>
          <w:p>
            <w:pPr>
              <w:spacing w:after="0"/>
              <w:rPr>
                <w:sz w:val="11"/>
                <w:szCs w:val="11"/>
                <w:color w:val="auto"/>
              </w:rPr>
            </w:pPr>
          </w:p>
        </w:tc>
        <w:tc>
          <w:tcPr>
            <w:tcW w:w="3340" w:type="dxa"/>
            <w:vAlign w:val="bottom"/>
            <w:shd w:val="clear" w:color="auto" w:fill="E6EDF3"/>
          </w:tcPr>
          <w:p>
            <w:pPr>
              <w:spacing w:after="0"/>
              <w:rPr>
                <w:sz w:val="11"/>
                <w:szCs w:val="11"/>
                <w:color w:val="auto"/>
              </w:rPr>
            </w:pPr>
          </w:p>
        </w:tc>
        <w:tc>
          <w:tcPr>
            <w:tcW w:w="160" w:type="dxa"/>
            <w:vAlign w:val="bottom"/>
            <w:vMerge w:val="continue"/>
            <w:shd w:val="clear" w:color="auto" w:fill="E6EDF3"/>
          </w:tcPr>
          <w:p>
            <w:pPr>
              <w:spacing w:after="0"/>
              <w:rPr>
                <w:sz w:val="11"/>
                <w:szCs w:val="11"/>
                <w:color w:val="auto"/>
              </w:rPr>
            </w:pPr>
          </w:p>
        </w:tc>
        <w:tc>
          <w:tcPr>
            <w:tcW w:w="2940" w:type="dxa"/>
            <w:vAlign w:val="bottom"/>
            <w:vMerge w:val="continue"/>
            <w:shd w:val="clear" w:color="auto" w:fill="E6EDF3"/>
          </w:tcPr>
          <w:p>
            <w:pPr>
              <w:spacing w:after="0"/>
              <w:rPr>
                <w:sz w:val="11"/>
                <w:szCs w:val="11"/>
                <w:color w:val="auto"/>
              </w:rPr>
            </w:pPr>
          </w:p>
        </w:tc>
        <w:tc>
          <w:tcPr>
            <w:tcW w:w="160" w:type="dxa"/>
            <w:vAlign w:val="bottom"/>
            <w:shd w:val="clear" w:color="auto" w:fill="E6EDF3"/>
          </w:tcPr>
          <w:p>
            <w:pPr>
              <w:spacing w:after="0"/>
              <w:rPr>
                <w:sz w:val="11"/>
                <w:szCs w:val="11"/>
                <w:color w:val="auto"/>
              </w:rPr>
            </w:pPr>
          </w:p>
        </w:tc>
        <w:tc>
          <w:tcPr>
            <w:tcW w:w="2780" w:type="dxa"/>
            <w:vAlign w:val="bottom"/>
            <w:tcBorders>
              <w:right w:val="single" w:sz="8" w:color="auto"/>
            </w:tcBorders>
            <w:shd w:val="clear" w:color="auto" w:fill="E6EDF3"/>
          </w:tcPr>
          <w:p>
            <w:pPr>
              <w:ind w:left="60"/>
              <w:spacing w:after="0" w:line="131" w:lineRule="exact"/>
              <w:rPr>
                <w:sz w:val="20"/>
                <w:szCs w:val="20"/>
                <w:color w:val="auto"/>
              </w:rPr>
            </w:pPr>
            <w:r>
              <w:rPr>
                <w:rFonts w:ascii="Arial" w:cs="Arial" w:eastAsia="Arial" w:hAnsi="Arial"/>
                <w:sz w:val="14"/>
                <w:szCs w:val="14"/>
                <w:color w:val="auto"/>
              </w:rPr>
              <w:t>In the case of Mr. Van Handel, this figure</w:t>
            </w:r>
          </w:p>
        </w:tc>
        <w:tc>
          <w:tcPr>
            <w:tcW w:w="0" w:type="dxa"/>
            <w:vAlign w:val="bottom"/>
          </w:tcPr>
          <w:p>
            <w:pPr>
              <w:spacing w:after="0"/>
              <w:rPr>
                <w:sz w:val="1"/>
                <w:szCs w:val="1"/>
                <w:color w:val="auto"/>
              </w:rPr>
            </w:pPr>
          </w:p>
        </w:tc>
      </w:tr>
      <w:tr>
        <w:trPr>
          <w:trHeight w:val="153"/>
        </w:trPr>
        <w:tc>
          <w:tcPr>
            <w:tcW w:w="2060" w:type="dxa"/>
            <w:vAlign w:val="bottom"/>
            <w:tcBorders>
              <w:left w:val="single" w:sz="8" w:color="auto"/>
            </w:tcBorders>
            <w:shd w:val="clear" w:color="auto" w:fill="E6EDF3"/>
          </w:tcPr>
          <w:p>
            <w:pPr>
              <w:spacing w:after="0"/>
              <w:rPr>
                <w:sz w:val="13"/>
                <w:szCs w:val="13"/>
                <w:color w:val="auto"/>
              </w:rPr>
            </w:pPr>
          </w:p>
        </w:tc>
        <w:tc>
          <w:tcPr>
            <w:tcW w:w="3340" w:type="dxa"/>
            <w:vAlign w:val="bottom"/>
            <w:shd w:val="clear" w:color="auto" w:fill="E6EDF3"/>
          </w:tcPr>
          <w:p>
            <w:pPr>
              <w:spacing w:after="0"/>
              <w:rPr>
                <w:sz w:val="13"/>
                <w:szCs w:val="13"/>
                <w:color w:val="auto"/>
              </w:rPr>
            </w:pPr>
          </w:p>
        </w:tc>
        <w:tc>
          <w:tcPr>
            <w:tcW w:w="160" w:type="dxa"/>
            <w:vAlign w:val="bottom"/>
            <w:shd w:val="clear" w:color="auto" w:fill="E6EDF3"/>
          </w:tcPr>
          <w:p>
            <w:pPr>
              <w:spacing w:after="0"/>
              <w:rPr>
                <w:sz w:val="13"/>
                <w:szCs w:val="13"/>
                <w:color w:val="auto"/>
              </w:rPr>
            </w:pPr>
          </w:p>
        </w:tc>
        <w:tc>
          <w:tcPr>
            <w:tcW w:w="2940" w:type="dxa"/>
            <w:vAlign w:val="bottom"/>
            <w:shd w:val="clear" w:color="auto" w:fill="E6EDF3"/>
          </w:tcPr>
          <w:p>
            <w:pPr>
              <w:ind w:left="40"/>
              <w:spacing w:after="0" w:line="153" w:lineRule="exact"/>
              <w:rPr>
                <w:sz w:val="20"/>
                <w:szCs w:val="20"/>
                <w:color w:val="auto"/>
              </w:rPr>
            </w:pPr>
            <w:r>
              <w:rPr>
                <w:rFonts w:ascii="Arial" w:cs="Arial" w:eastAsia="Arial" w:hAnsi="Arial"/>
                <w:sz w:val="14"/>
                <w:szCs w:val="14"/>
                <w:color w:val="auto"/>
              </w:rPr>
              <w:t>equivalents, restricted stock units directly</w:t>
            </w:r>
          </w:p>
        </w:tc>
        <w:tc>
          <w:tcPr>
            <w:tcW w:w="160" w:type="dxa"/>
            <w:vAlign w:val="bottom"/>
            <w:shd w:val="clear" w:color="auto" w:fill="E6EDF3"/>
          </w:tcPr>
          <w:p>
            <w:pPr>
              <w:spacing w:after="0"/>
              <w:rPr>
                <w:sz w:val="13"/>
                <w:szCs w:val="13"/>
                <w:color w:val="auto"/>
              </w:rPr>
            </w:pPr>
          </w:p>
        </w:tc>
        <w:tc>
          <w:tcPr>
            <w:tcW w:w="2780" w:type="dxa"/>
            <w:vAlign w:val="bottom"/>
            <w:tcBorders>
              <w:right w:val="single" w:sz="8" w:color="auto"/>
            </w:tcBorders>
            <w:shd w:val="clear" w:color="auto" w:fill="E6EDF3"/>
          </w:tcPr>
          <w:p>
            <w:pPr>
              <w:ind w:left="60"/>
              <w:spacing w:after="0" w:line="153" w:lineRule="exact"/>
              <w:rPr>
                <w:sz w:val="20"/>
                <w:szCs w:val="20"/>
                <w:color w:val="auto"/>
              </w:rPr>
            </w:pPr>
            <w:r>
              <w:rPr>
                <w:rFonts w:ascii="Arial" w:cs="Arial" w:eastAsia="Arial" w:hAnsi="Arial"/>
                <w:sz w:val="14"/>
                <w:szCs w:val="14"/>
                <w:color w:val="auto"/>
              </w:rPr>
              <w:t>was 100%.</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spacing w:after="0"/>
              <w:rPr>
                <w:sz w:val="14"/>
                <w:szCs w:val="14"/>
                <w:color w:val="auto"/>
              </w:rPr>
            </w:pPr>
          </w:p>
        </w:tc>
        <w:tc>
          <w:tcPr>
            <w:tcW w:w="160" w:type="dxa"/>
            <w:vAlign w:val="bottom"/>
            <w:shd w:val="clear" w:color="auto" w:fill="E6EDF3"/>
          </w:tcPr>
          <w:p>
            <w:pPr>
              <w:spacing w:after="0"/>
              <w:rPr>
                <w:sz w:val="14"/>
                <w:szCs w:val="14"/>
                <w:color w:val="auto"/>
              </w:rPr>
            </w:pPr>
          </w:p>
        </w:tc>
        <w:tc>
          <w:tcPr>
            <w:tcW w:w="2940" w:type="dxa"/>
            <w:vAlign w:val="bottom"/>
            <w:shd w:val="clear" w:color="auto" w:fill="E6EDF3"/>
          </w:tcPr>
          <w:p>
            <w:pPr>
              <w:ind w:left="40"/>
              <w:spacing w:after="0"/>
              <w:rPr>
                <w:sz w:val="20"/>
                <w:szCs w:val="20"/>
                <w:color w:val="auto"/>
              </w:rPr>
            </w:pPr>
            <w:r>
              <w:rPr>
                <w:rFonts w:ascii="Arial" w:cs="Arial" w:eastAsia="Arial" w:hAnsi="Arial"/>
                <w:sz w:val="14"/>
                <w:szCs w:val="14"/>
                <w:color w:val="auto"/>
              </w:rPr>
              <w:t>align NEOs with the shareholders and add</w:t>
            </w:r>
          </w:p>
        </w:tc>
        <w:tc>
          <w:tcPr>
            <w:tcW w:w="160" w:type="dxa"/>
            <w:vAlign w:val="bottom"/>
            <w:shd w:val="clear" w:color="auto" w:fill="E6EDF3"/>
          </w:tcPr>
          <w:p>
            <w:pPr>
              <w:spacing w:after="0"/>
              <w:rPr>
                <w:sz w:val="14"/>
                <w:szCs w:val="14"/>
                <w:color w:val="auto"/>
              </w:rPr>
            </w:pPr>
          </w:p>
        </w:tc>
        <w:tc>
          <w:tcPr>
            <w:tcW w:w="2780" w:type="dxa"/>
            <w:vAlign w:val="bottom"/>
            <w:tcBorders>
              <w:right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spacing w:after="0"/>
              <w:rPr>
                <w:sz w:val="14"/>
                <w:szCs w:val="14"/>
                <w:color w:val="auto"/>
              </w:rPr>
            </w:pPr>
          </w:p>
        </w:tc>
        <w:tc>
          <w:tcPr>
            <w:tcW w:w="160" w:type="dxa"/>
            <w:vAlign w:val="bottom"/>
            <w:shd w:val="clear" w:color="auto" w:fill="E6EDF3"/>
          </w:tcPr>
          <w:p>
            <w:pPr>
              <w:spacing w:after="0"/>
              <w:rPr>
                <w:sz w:val="14"/>
                <w:szCs w:val="14"/>
                <w:color w:val="auto"/>
              </w:rPr>
            </w:pPr>
          </w:p>
        </w:tc>
        <w:tc>
          <w:tcPr>
            <w:tcW w:w="2940" w:type="dxa"/>
            <w:vAlign w:val="bottom"/>
            <w:shd w:val="clear" w:color="auto" w:fill="E6EDF3"/>
          </w:tcPr>
          <w:p>
            <w:pPr>
              <w:ind w:left="40"/>
              <w:spacing w:after="0"/>
              <w:rPr>
                <w:sz w:val="20"/>
                <w:szCs w:val="20"/>
                <w:color w:val="auto"/>
              </w:rPr>
            </w:pPr>
            <w:r>
              <w:rPr>
                <w:rFonts w:ascii="Arial" w:cs="Arial" w:eastAsia="Arial" w:hAnsi="Arial"/>
                <w:sz w:val="14"/>
                <w:szCs w:val="14"/>
                <w:color w:val="auto"/>
              </w:rPr>
              <w:t>balance to the compensation program as</w:t>
            </w:r>
          </w:p>
        </w:tc>
        <w:tc>
          <w:tcPr>
            <w:tcW w:w="160" w:type="dxa"/>
            <w:vAlign w:val="bottom"/>
            <w:shd w:val="clear" w:color="auto" w:fill="E6EDF3"/>
          </w:tcPr>
          <w:p>
            <w:pPr>
              <w:spacing w:after="0"/>
              <w:rPr>
                <w:sz w:val="14"/>
                <w:szCs w:val="14"/>
                <w:color w:val="auto"/>
              </w:rPr>
            </w:pPr>
          </w:p>
        </w:tc>
        <w:tc>
          <w:tcPr>
            <w:tcW w:w="2780" w:type="dxa"/>
            <w:vAlign w:val="bottom"/>
            <w:tcBorders>
              <w:right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spacing w:after="0"/>
              <w:rPr>
                <w:sz w:val="14"/>
                <w:szCs w:val="14"/>
                <w:color w:val="auto"/>
              </w:rPr>
            </w:pPr>
          </w:p>
        </w:tc>
        <w:tc>
          <w:tcPr>
            <w:tcW w:w="160" w:type="dxa"/>
            <w:vAlign w:val="bottom"/>
            <w:shd w:val="clear" w:color="auto" w:fill="E6EDF3"/>
          </w:tcPr>
          <w:p>
            <w:pPr>
              <w:spacing w:after="0"/>
              <w:rPr>
                <w:sz w:val="14"/>
                <w:szCs w:val="14"/>
                <w:color w:val="auto"/>
              </w:rPr>
            </w:pPr>
          </w:p>
        </w:tc>
        <w:tc>
          <w:tcPr>
            <w:tcW w:w="2940" w:type="dxa"/>
            <w:vAlign w:val="bottom"/>
            <w:shd w:val="clear" w:color="auto" w:fill="E6EDF3"/>
          </w:tcPr>
          <w:p>
            <w:pPr>
              <w:ind w:left="40"/>
              <w:spacing w:after="0"/>
              <w:rPr>
                <w:sz w:val="20"/>
                <w:szCs w:val="20"/>
                <w:color w:val="auto"/>
              </w:rPr>
            </w:pPr>
            <w:r>
              <w:rPr>
                <w:rFonts w:ascii="Arial" w:cs="Arial" w:eastAsia="Arial" w:hAnsi="Arial"/>
                <w:sz w:val="14"/>
                <w:szCs w:val="14"/>
                <w:color w:val="auto"/>
              </w:rPr>
              <w:t>they provide both upside potential and</w:t>
            </w:r>
          </w:p>
        </w:tc>
        <w:tc>
          <w:tcPr>
            <w:tcW w:w="160" w:type="dxa"/>
            <w:vAlign w:val="bottom"/>
            <w:shd w:val="clear" w:color="auto" w:fill="E6EDF3"/>
          </w:tcPr>
          <w:p>
            <w:pPr>
              <w:spacing w:after="0"/>
              <w:rPr>
                <w:sz w:val="14"/>
                <w:szCs w:val="14"/>
                <w:color w:val="auto"/>
              </w:rPr>
            </w:pPr>
          </w:p>
        </w:tc>
        <w:tc>
          <w:tcPr>
            <w:tcW w:w="2780" w:type="dxa"/>
            <w:vAlign w:val="bottom"/>
            <w:tcBorders>
              <w:right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spacing w:after="0"/>
              <w:rPr>
                <w:sz w:val="14"/>
                <w:szCs w:val="14"/>
                <w:color w:val="auto"/>
              </w:rPr>
            </w:pPr>
          </w:p>
        </w:tc>
        <w:tc>
          <w:tcPr>
            <w:tcW w:w="160" w:type="dxa"/>
            <w:vAlign w:val="bottom"/>
            <w:shd w:val="clear" w:color="auto" w:fill="E6EDF3"/>
          </w:tcPr>
          <w:p>
            <w:pPr>
              <w:spacing w:after="0"/>
              <w:rPr>
                <w:sz w:val="14"/>
                <w:szCs w:val="14"/>
                <w:color w:val="auto"/>
              </w:rPr>
            </w:pPr>
          </w:p>
        </w:tc>
        <w:tc>
          <w:tcPr>
            <w:tcW w:w="2940" w:type="dxa"/>
            <w:vAlign w:val="bottom"/>
            <w:shd w:val="clear" w:color="auto" w:fill="E6EDF3"/>
          </w:tcPr>
          <w:p>
            <w:pPr>
              <w:ind w:left="40"/>
              <w:spacing w:after="0"/>
              <w:rPr>
                <w:sz w:val="20"/>
                <w:szCs w:val="20"/>
                <w:color w:val="auto"/>
              </w:rPr>
            </w:pPr>
            <w:r>
              <w:rPr>
                <w:rFonts w:ascii="Arial" w:cs="Arial" w:eastAsia="Arial" w:hAnsi="Arial"/>
                <w:sz w:val="14"/>
                <w:szCs w:val="14"/>
                <w:color w:val="auto"/>
              </w:rPr>
              <w:t>downside risk and add an additional</w:t>
            </w:r>
          </w:p>
        </w:tc>
        <w:tc>
          <w:tcPr>
            <w:tcW w:w="160" w:type="dxa"/>
            <w:vAlign w:val="bottom"/>
            <w:shd w:val="clear" w:color="auto" w:fill="E6EDF3"/>
          </w:tcPr>
          <w:p>
            <w:pPr>
              <w:spacing w:after="0"/>
              <w:rPr>
                <w:sz w:val="14"/>
                <w:szCs w:val="14"/>
                <w:color w:val="auto"/>
              </w:rPr>
            </w:pPr>
          </w:p>
        </w:tc>
        <w:tc>
          <w:tcPr>
            <w:tcW w:w="2780" w:type="dxa"/>
            <w:vAlign w:val="bottom"/>
            <w:tcBorders>
              <w:right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spacing w:after="0"/>
              <w:rPr>
                <w:sz w:val="14"/>
                <w:szCs w:val="14"/>
                <w:color w:val="auto"/>
              </w:rPr>
            </w:pPr>
          </w:p>
        </w:tc>
        <w:tc>
          <w:tcPr>
            <w:tcW w:w="160" w:type="dxa"/>
            <w:vAlign w:val="bottom"/>
            <w:shd w:val="clear" w:color="auto" w:fill="E6EDF3"/>
          </w:tcPr>
          <w:p>
            <w:pPr>
              <w:spacing w:after="0"/>
              <w:rPr>
                <w:sz w:val="14"/>
                <w:szCs w:val="14"/>
                <w:color w:val="auto"/>
              </w:rPr>
            </w:pPr>
          </w:p>
        </w:tc>
        <w:tc>
          <w:tcPr>
            <w:tcW w:w="2940" w:type="dxa"/>
            <w:vAlign w:val="bottom"/>
            <w:shd w:val="clear" w:color="auto" w:fill="E6EDF3"/>
          </w:tcPr>
          <w:p>
            <w:pPr>
              <w:ind w:left="40"/>
              <w:spacing w:after="0"/>
              <w:rPr>
                <w:sz w:val="20"/>
                <w:szCs w:val="20"/>
                <w:color w:val="auto"/>
              </w:rPr>
            </w:pPr>
            <w:r>
              <w:rPr>
                <w:rFonts w:ascii="Arial" w:cs="Arial" w:eastAsia="Arial" w:hAnsi="Arial"/>
                <w:sz w:val="14"/>
                <w:szCs w:val="14"/>
                <w:color w:val="auto"/>
              </w:rPr>
              <w:t>retention incentive. Amount awarded is</w:t>
            </w:r>
          </w:p>
        </w:tc>
        <w:tc>
          <w:tcPr>
            <w:tcW w:w="160" w:type="dxa"/>
            <w:vAlign w:val="bottom"/>
            <w:shd w:val="clear" w:color="auto" w:fill="E6EDF3"/>
          </w:tcPr>
          <w:p>
            <w:pPr>
              <w:spacing w:after="0"/>
              <w:rPr>
                <w:sz w:val="14"/>
                <w:szCs w:val="14"/>
                <w:color w:val="auto"/>
              </w:rPr>
            </w:pPr>
          </w:p>
        </w:tc>
        <w:tc>
          <w:tcPr>
            <w:tcW w:w="2780" w:type="dxa"/>
            <w:vAlign w:val="bottom"/>
            <w:tcBorders>
              <w:right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spacing w:after="0"/>
              <w:rPr>
                <w:sz w:val="14"/>
                <w:szCs w:val="14"/>
                <w:color w:val="auto"/>
              </w:rPr>
            </w:pPr>
          </w:p>
        </w:tc>
        <w:tc>
          <w:tcPr>
            <w:tcW w:w="160" w:type="dxa"/>
            <w:vAlign w:val="bottom"/>
            <w:shd w:val="clear" w:color="auto" w:fill="E6EDF3"/>
          </w:tcPr>
          <w:p>
            <w:pPr>
              <w:spacing w:after="0"/>
              <w:rPr>
                <w:sz w:val="14"/>
                <w:szCs w:val="14"/>
                <w:color w:val="auto"/>
              </w:rPr>
            </w:pPr>
          </w:p>
        </w:tc>
        <w:tc>
          <w:tcPr>
            <w:tcW w:w="2940" w:type="dxa"/>
            <w:vAlign w:val="bottom"/>
            <w:shd w:val="clear" w:color="auto" w:fill="E6EDF3"/>
          </w:tcPr>
          <w:p>
            <w:pPr>
              <w:ind w:left="40"/>
              <w:spacing w:after="0"/>
              <w:rPr>
                <w:sz w:val="20"/>
                <w:szCs w:val="20"/>
                <w:color w:val="auto"/>
              </w:rPr>
            </w:pPr>
            <w:r>
              <w:rPr>
                <w:rFonts w:ascii="Arial" w:cs="Arial" w:eastAsia="Arial" w:hAnsi="Arial"/>
                <w:sz w:val="14"/>
                <w:szCs w:val="14"/>
                <w:color w:val="auto"/>
              </w:rPr>
              <w:t>determined based on job scope, market</w:t>
            </w:r>
          </w:p>
        </w:tc>
        <w:tc>
          <w:tcPr>
            <w:tcW w:w="160" w:type="dxa"/>
            <w:vAlign w:val="bottom"/>
            <w:shd w:val="clear" w:color="auto" w:fill="E6EDF3"/>
          </w:tcPr>
          <w:p>
            <w:pPr>
              <w:spacing w:after="0"/>
              <w:rPr>
                <w:sz w:val="14"/>
                <w:szCs w:val="14"/>
                <w:color w:val="auto"/>
              </w:rPr>
            </w:pPr>
          </w:p>
        </w:tc>
        <w:tc>
          <w:tcPr>
            <w:tcW w:w="2780" w:type="dxa"/>
            <w:vAlign w:val="bottom"/>
            <w:tcBorders>
              <w:right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60" w:type="dxa"/>
            <w:vAlign w:val="bottom"/>
            <w:tcBorders>
              <w:left w:val="single" w:sz="8" w:color="auto"/>
              <w:bottom w:val="single" w:sz="8" w:color="auto"/>
            </w:tcBorders>
            <w:shd w:val="clear" w:color="auto" w:fill="E6EDF3"/>
          </w:tcPr>
          <w:p>
            <w:pPr>
              <w:spacing w:after="0"/>
              <w:rPr>
                <w:sz w:val="14"/>
                <w:szCs w:val="14"/>
                <w:color w:val="auto"/>
              </w:rPr>
            </w:pPr>
          </w:p>
        </w:tc>
        <w:tc>
          <w:tcPr>
            <w:tcW w:w="3340" w:type="dxa"/>
            <w:vAlign w:val="bottom"/>
            <w:tcBorders>
              <w:bottom w:val="single" w:sz="8" w:color="auto"/>
            </w:tcBorders>
            <w:shd w:val="clear" w:color="auto" w:fill="E6EDF3"/>
          </w:tcPr>
          <w:p>
            <w:pPr>
              <w:spacing w:after="0"/>
              <w:rPr>
                <w:sz w:val="14"/>
                <w:szCs w:val="14"/>
                <w:color w:val="auto"/>
              </w:rPr>
            </w:pPr>
          </w:p>
        </w:tc>
        <w:tc>
          <w:tcPr>
            <w:tcW w:w="160" w:type="dxa"/>
            <w:vAlign w:val="bottom"/>
            <w:tcBorders>
              <w:bottom w:val="single" w:sz="8" w:color="auto"/>
            </w:tcBorders>
            <w:shd w:val="clear" w:color="auto" w:fill="E6EDF3"/>
          </w:tcPr>
          <w:p>
            <w:pPr>
              <w:spacing w:after="0"/>
              <w:rPr>
                <w:sz w:val="14"/>
                <w:szCs w:val="14"/>
                <w:color w:val="auto"/>
              </w:rPr>
            </w:pPr>
          </w:p>
        </w:tc>
        <w:tc>
          <w:tcPr>
            <w:tcW w:w="2940" w:type="dxa"/>
            <w:vAlign w:val="bottom"/>
            <w:tcBorders>
              <w:bottom w:val="single" w:sz="8" w:color="auto"/>
            </w:tcBorders>
            <w:shd w:val="clear" w:color="auto" w:fill="E6EDF3"/>
          </w:tcPr>
          <w:p>
            <w:pPr>
              <w:ind w:left="40"/>
              <w:spacing w:after="0"/>
              <w:rPr>
                <w:sz w:val="20"/>
                <w:szCs w:val="20"/>
                <w:color w:val="auto"/>
              </w:rPr>
            </w:pPr>
            <w:r>
              <w:rPr>
                <w:rFonts w:ascii="Arial" w:cs="Arial" w:eastAsia="Arial" w:hAnsi="Arial"/>
                <w:sz w:val="14"/>
                <w:szCs w:val="14"/>
                <w:color w:val="auto"/>
              </w:rPr>
              <w:t>practice and individual performance.</w:t>
            </w:r>
          </w:p>
        </w:tc>
        <w:tc>
          <w:tcPr>
            <w:tcW w:w="160" w:type="dxa"/>
            <w:vAlign w:val="bottom"/>
            <w:tcBorders>
              <w:bottom w:val="single" w:sz="8" w:color="auto"/>
            </w:tcBorders>
            <w:shd w:val="clear" w:color="auto" w:fill="E6EDF3"/>
          </w:tcPr>
          <w:p>
            <w:pPr>
              <w:spacing w:after="0"/>
              <w:rPr>
                <w:sz w:val="14"/>
                <w:szCs w:val="14"/>
                <w:color w:val="auto"/>
              </w:rPr>
            </w:pPr>
          </w:p>
        </w:tc>
        <w:tc>
          <w:tcPr>
            <w:tcW w:w="2780" w:type="dxa"/>
            <w:vAlign w:val="bottom"/>
            <w:tcBorders>
              <w:bottom w:val="single" w:sz="8" w:color="auto"/>
              <w:right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60" w:type="dxa"/>
            <w:vAlign w:val="bottom"/>
            <w:tcBorders>
              <w:left w:val="single" w:sz="8" w:color="auto"/>
            </w:tcBorders>
          </w:tcPr>
          <w:p>
            <w:pPr>
              <w:ind w:left="160"/>
              <w:spacing w:after="0"/>
              <w:rPr>
                <w:sz w:val="20"/>
                <w:szCs w:val="20"/>
                <w:color w:val="auto"/>
              </w:rPr>
            </w:pPr>
            <w:r>
              <w:rPr>
                <w:rFonts w:ascii="Arial" w:cs="Arial" w:eastAsia="Arial" w:hAnsi="Arial"/>
                <w:sz w:val="14"/>
                <w:szCs w:val="14"/>
                <w:b w:val="1"/>
                <w:bCs w:val="1"/>
                <w:color w:val="auto"/>
              </w:rPr>
              <w:t>Stock Options</w:t>
            </w:r>
          </w:p>
        </w:tc>
        <w:tc>
          <w:tcPr>
            <w:tcW w:w="3340" w:type="dxa"/>
            <w:vAlign w:val="bottom"/>
          </w:tcPr>
          <w:p>
            <w:pPr>
              <w:ind w:left="100"/>
              <w:spacing w:after="0"/>
              <w:rPr>
                <w:sz w:val="20"/>
                <w:szCs w:val="20"/>
                <w:color w:val="auto"/>
              </w:rPr>
            </w:pPr>
            <w:r>
              <w:rPr>
                <w:rFonts w:ascii="Arial" w:cs="Arial" w:eastAsia="Arial" w:hAnsi="Arial"/>
                <w:sz w:val="14"/>
                <w:szCs w:val="14"/>
                <w:color w:val="auto"/>
              </w:rPr>
              <w:t>Nonqualified stock options that expire in ten years</w:t>
            </w:r>
          </w:p>
        </w:tc>
        <w:tc>
          <w:tcPr>
            <w:tcW w:w="3100" w:type="dxa"/>
            <w:vAlign w:val="bottom"/>
            <w:gridSpan w:val="2"/>
          </w:tcPr>
          <w:p>
            <w:pPr>
              <w:ind w:left="6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Align the interests of the NEOs with long-</w:t>
            </w:r>
          </w:p>
        </w:tc>
        <w:tc>
          <w:tcPr>
            <w:tcW w:w="2940" w:type="dxa"/>
            <w:vAlign w:val="bottom"/>
            <w:tcBorders>
              <w:right w:val="single" w:sz="8" w:color="auto"/>
            </w:tcBorders>
            <w:gridSpan w:val="2"/>
          </w:tcPr>
          <w:p>
            <w:pPr>
              <w:ind w:left="8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Approximately 20% of all of the NEOs</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tcPr>
          <w:p>
            <w:pPr>
              <w:spacing w:after="0"/>
              <w:rPr>
                <w:sz w:val="14"/>
                <w:szCs w:val="14"/>
                <w:color w:val="auto"/>
              </w:rPr>
            </w:pPr>
          </w:p>
        </w:tc>
        <w:tc>
          <w:tcPr>
            <w:tcW w:w="3340" w:type="dxa"/>
            <w:vAlign w:val="bottom"/>
          </w:tcPr>
          <w:p>
            <w:pPr>
              <w:ind w:left="100"/>
              <w:spacing w:after="0"/>
              <w:rPr>
                <w:sz w:val="20"/>
                <w:szCs w:val="20"/>
                <w:color w:val="auto"/>
              </w:rPr>
            </w:pPr>
            <w:r>
              <w:rPr>
                <w:rFonts w:ascii="Arial" w:cs="Arial" w:eastAsia="Arial" w:hAnsi="Arial"/>
                <w:sz w:val="14"/>
                <w:szCs w:val="14"/>
                <w:color w:val="auto"/>
              </w:rPr>
              <w:t>and become exercisable ratably over four years.</w:t>
            </w:r>
          </w:p>
        </w:tc>
        <w:tc>
          <w:tcPr>
            <w:tcW w:w="160" w:type="dxa"/>
            <w:vAlign w:val="bottom"/>
          </w:tcPr>
          <w:p>
            <w:pPr>
              <w:spacing w:after="0"/>
              <w:rPr>
                <w:sz w:val="14"/>
                <w:szCs w:val="14"/>
                <w:color w:val="auto"/>
              </w:rPr>
            </w:pPr>
          </w:p>
        </w:tc>
        <w:tc>
          <w:tcPr>
            <w:tcW w:w="2940" w:type="dxa"/>
            <w:vAlign w:val="bottom"/>
          </w:tcPr>
          <w:p>
            <w:pPr>
              <w:ind w:left="40"/>
              <w:spacing w:after="0"/>
              <w:rPr>
                <w:sz w:val="20"/>
                <w:szCs w:val="20"/>
                <w:color w:val="auto"/>
              </w:rPr>
            </w:pPr>
            <w:r>
              <w:rPr>
                <w:rFonts w:ascii="Arial" w:cs="Arial" w:eastAsia="Arial" w:hAnsi="Arial"/>
                <w:sz w:val="14"/>
                <w:szCs w:val="14"/>
                <w:color w:val="auto"/>
              </w:rPr>
              <w:t>term shareholder value as well as retain</w:t>
            </w:r>
          </w:p>
        </w:tc>
        <w:tc>
          <w:tcPr>
            <w:tcW w:w="160" w:type="dxa"/>
            <w:vAlign w:val="bottom"/>
          </w:tcPr>
          <w:p>
            <w:pPr>
              <w:spacing w:after="0"/>
              <w:rPr>
                <w:sz w:val="14"/>
                <w:szCs w:val="14"/>
                <w:color w:val="auto"/>
              </w:rPr>
            </w:pPr>
          </w:p>
        </w:tc>
        <w:tc>
          <w:tcPr>
            <w:tcW w:w="27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long-term equity incentive grants in 2016</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tcPr>
          <w:p>
            <w:pPr>
              <w:ind w:left="40"/>
              <w:spacing w:after="0"/>
              <w:rPr>
                <w:sz w:val="20"/>
                <w:szCs w:val="20"/>
                <w:color w:val="auto"/>
              </w:rPr>
            </w:pPr>
            <w:r>
              <w:rPr>
                <w:rFonts w:ascii="Arial" w:cs="Arial" w:eastAsia="Arial" w:hAnsi="Arial"/>
                <w:sz w:val="14"/>
                <w:szCs w:val="14"/>
                <w:color w:val="auto"/>
              </w:rPr>
              <w:t>executive talent. Amount awarded is</w:t>
            </w:r>
          </w:p>
        </w:tc>
        <w:tc>
          <w:tcPr>
            <w:tcW w:w="160" w:type="dxa"/>
            <w:vAlign w:val="bottom"/>
          </w:tcPr>
          <w:p>
            <w:pPr>
              <w:spacing w:after="0"/>
              <w:rPr>
                <w:sz w:val="14"/>
                <w:szCs w:val="14"/>
                <w:color w:val="auto"/>
              </w:rPr>
            </w:pPr>
          </w:p>
        </w:tc>
        <w:tc>
          <w:tcPr>
            <w:tcW w:w="27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were in the form of stock options, except</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tcPr>
          <w:p>
            <w:pPr>
              <w:ind w:left="40"/>
              <w:spacing w:after="0"/>
              <w:rPr>
                <w:sz w:val="20"/>
                <w:szCs w:val="20"/>
                <w:color w:val="auto"/>
              </w:rPr>
            </w:pPr>
            <w:r>
              <w:rPr>
                <w:rFonts w:ascii="Arial" w:cs="Arial" w:eastAsia="Arial" w:hAnsi="Arial"/>
                <w:sz w:val="14"/>
                <w:szCs w:val="14"/>
                <w:color w:val="auto"/>
              </w:rPr>
              <w:t>determined based on job scope, market</w:t>
            </w:r>
          </w:p>
        </w:tc>
        <w:tc>
          <w:tcPr>
            <w:tcW w:w="160" w:type="dxa"/>
            <w:vAlign w:val="bottom"/>
          </w:tcPr>
          <w:p>
            <w:pPr>
              <w:spacing w:after="0"/>
              <w:rPr>
                <w:sz w:val="14"/>
                <w:szCs w:val="14"/>
                <w:color w:val="auto"/>
              </w:rPr>
            </w:pPr>
          </w:p>
        </w:tc>
        <w:tc>
          <w:tcPr>
            <w:tcW w:w="27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for Mr. Van Handel who did not receive</w:t>
            </w:r>
          </w:p>
        </w:tc>
        <w:tc>
          <w:tcPr>
            <w:tcW w:w="0" w:type="dxa"/>
            <w:vAlign w:val="bottom"/>
          </w:tcPr>
          <w:p>
            <w:pPr>
              <w:spacing w:after="0"/>
              <w:rPr>
                <w:sz w:val="1"/>
                <w:szCs w:val="1"/>
                <w:color w:val="auto"/>
              </w:rPr>
            </w:pPr>
          </w:p>
        </w:tc>
      </w:tr>
      <w:tr>
        <w:trPr>
          <w:trHeight w:val="157"/>
        </w:trPr>
        <w:tc>
          <w:tcPr>
            <w:tcW w:w="2060" w:type="dxa"/>
            <w:vAlign w:val="bottom"/>
            <w:tcBorders>
              <w:left w:val="single" w:sz="8" w:color="auto"/>
              <w:bottom w:val="single" w:sz="8" w:color="auto"/>
            </w:tcBorders>
          </w:tcPr>
          <w:p>
            <w:pPr>
              <w:spacing w:after="0"/>
              <w:rPr>
                <w:sz w:val="13"/>
                <w:szCs w:val="13"/>
                <w:color w:val="auto"/>
              </w:rPr>
            </w:pPr>
          </w:p>
        </w:tc>
        <w:tc>
          <w:tcPr>
            <w:tcW w:w="33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tcPr>
          <w:p>
            <w:pPr>
              <w:ind w:left="40"/>
              <w:spacing w:after="0" w:line="157" w:lineRule="exact"/>
              <w:rPr>
                <w:sz w:val="20"/>
                <w:szCs w:val="20"/>
                <w:color w:val="auto"/>
              </w:rPr>
            </w:pPr>
            <w:r>
              <w:rPr>
                <w:rFonts w:ascii="Arial" w:cs="Arial" w:eastAsia="Arial" w:hAnsi="Arial"/>
                <w:sz w:val="14"/>
                <w:szCs w:val="14"/>
                <w:color w:val="auto"/>
              </w:rPr>
              <w:t>practice and individual performance.</w:t>
            </w:r>
          </w:p>
        </w:tc>
        <w:tc>
          <w:tcPr>
            <w:tcW w:w="160" w:type="dxa"/>
            <w:vAlign w:val="bottom"/>
            <w:tcBorders>
              <w:bottom w:val="single" w:sz="8" w:color="auto"/>
            </w:tcBorders>
          </w:tcPr>
          <w:p>
            <w:pPr>
              <w:spacing w:after="0"/>
              <w:rPr>
                <w:sz w:val="13"/>
                <w:szCs w:val="13"/>
                <w:color w:val="auto"/>
              </w:rPr>
            </w:pPr>
          </w:p>
        </w:tc>
        <w:tc>
          <w:tcPr>
            <w:tcW w:w="2780" w:type="dxa"/>
            <w:vAlign w:val="bottom"/>
            <w:tcBorders>
              <w:bottom w:val="single" w:sz="8" w:color="auto"/>
              <w:right w:val="single" w:sz="8" w:color="auto"/>
            </w:tcBorders>
          </w:tcPr>
          <w:p>
            <w:pPr>
              <w:ind w:left="60"/>
              <w:spacing w:after="0" w:line="157" w:lineRule="exact"/>
              <w:rPr>
                <w:sz w:val="20"/>
                <w:szCs w:val="20"/>
                <w:color w:val="auto"/>
              </w:rPr>
            </w:pPr>
            <w:r>
              <w:rPr>
                <w:rFonts w:ascii="Arial" w:cs="Arial" w:eastAsia="Arial" w:hAnsi="Arial"/>
                <w:sz w:val="14"/>
                <w:szCs w:val="14"/>
                <w:color w:val="auto"/>
              </w:rPr>
              <w:t>stock options in 2016.</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9880"/>
        <w:spacing w:after="0"/>
        <w:rPr>
          <w:sz w:val="20"/>
          <w:szCs w:val="20"/>
          <w:color w:val="auto"/>
        </w:rPr>
      </w:pPr>
      <w:r>
        <w:rPr>
          <w:rFonts w:ascii="Arial" w:cs="Arial" w:eastAsia="Arial" w:hAnsi="Arial"/>
          <w:sz w:val="16"/>
          <w:szCs w:val="16"/>
          <w:b w:val="1"/>
          <w:bCs w:val="1"/>
          <w:color w:val="5D89B4"/>
        </w:rPr>
        <w:t xml:space="preserve">33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40"/>
          </w:cols>
          <w:pgMar w:left="240" w:top="459" w:right="2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Compensation Discussion and Analysis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060" w:type="dxa"/>
            <w:vAlign w:val="bottom"/>
            <w:tcBorders>
              <w:top w:val="single" w:sz="8" w:color="auto"/>
              <w:left w:val="single" w:sz="8" w:color="auto"/>
              <w:bottom w:val="single" w:sz="8" w:color="auto"/>
            </w:tcBorders>
            <w:shd w:val="clear" w:color="auto" w:fill="9DB8D2"/>
          </w:tcPr>
          <w:p>
            <w:pPr>
              <w:ind w:left="240"/>
              <w:spacing w:after="0"/>
              <w:rPr>
                <w:sz w:val="20"/>
                <w:szCs w:val="20"/>
                <w:color w:val="auto"/>
              </w:rPr>
            </w:pPr>
            <w:r>
              <w:rPr>
                <w:rFonts w:ascii="Arial" w:cs="Arial" w:eastAsia="Arial" w:hAnsi="Arial"/>
                <w:sz w:val="14"/>
                <w:szCs w:val="14"/>
                <w:b w:val="1"/>
                <w:bCs w:val="1"/>
                <w:color w:val="auto"/>
              </w:rPr>
              <w:t>Compensation Element</w:t>
            </w:r>
          </w:p>
        </w:tc>
        <w:tc>
          <w:tcPr>
            <w:tcW w:w="3340" w:type="dxa"/>
            <w:vAlign w:val="bottom"/>
            <w:tcBorders>
              <w:top w:val="single" w:sz="8" w:color="auto"/>
              <w:bottom w:val="single" w:sz="8" w:color="auto"/>
            </w:tcBorders>
            <w:shd w:val="clear" w:color="auto" w:fill="9DB8D2"/>
          </w:tcPr>
          <w:p>
            <w:pPr>
              <w:ind w:left="100"/>
              <w:spacing w:after="0"/>
              <w:rPr>
                <w:sz w:val="20"/>
                <w:szCs w:val="20"/>
                <w:color w:val="auto"/>
              </w:rPr>
            </w:pPr>
            <w:r>
              <w:rPr>
                <w:rFonts w:ascii="Arial" w:cs="Arial" w:eastAsia="Arial" w:hAnsi="Arial"/>
                <w:sz w:val="14"/>
                <w:szCs w:val="14"/>
                <w:b w:val="1"/>
                <w:bCs w:val="1"/>
                <w:color w:val="auto"/>
              </w:rPr>
              <w:t>Key Characteristics</w:t>
            </w:r>
          </w:p>
        </w:tc>
        <w:tc>
          <w:tcPr>
            <w:tcW w:w="3100" w:type="dxa"/>
            <w:vAlign w:val="bottom"/>
            <w:tcBorders>
              <w:top w:val="single" w:sz="8" w:color="auto"/>
              <w:bottom w:val="single" w:sz="8" w:color="auto"/>
            </w:tcBorders>
            <w:gridSpan w:val="2"/>
            <w:shd w:val="clear" w:color="auto" w:fill="9DB8D2"/>
          </w:tcPr>
          <w:p>
            <w:pPr>
              <w:ind w:left="60"/>
              <w:spacing w:after="0"/>
              <w:rPr>
                <w:sz w:val="20"/>
                <w:szCs w:val="20"/>
                <w:color w:val="auto"/>
              </w:rPr>
            </w:pPr>
            <w:r>
              <w:rPr>
                <w:rFonts w:ascii="Arial" w:cs="Arial" w:eastAsia="Arial" w:hAnsi="Arial"/>
                <w:sz w:val="14"/>
                <w:szCs w:val="14"/>
                <w:b w:val="1"/>
                <w:bCs w:val="1"/>
                <w:color w:val="auto"/>
              </w:rPr>
              <w:t>Objective and Determination</w:t>
            </w:r>
          </w:p>
        </w:tc>
        <w:tc>
          <w:tcPr>
            <w:tcW w:w="2940" w:type="dxa"/>
            <w:vAlign w:val="bottom"/>
            <w:tcBorders>
              <w:top w:val="single" w:sz="8" w:color="auto"/>
              <w:bottom w:val="single" w:sz="8" w:color="auto"/>
              <w:right w:val="single" w:sz="8" w:color="auto"/>
            </w:tcBorders>
            <w:gridSpan w:val="2"/>
            <w:shd w:val="clear" w:color="auto" w:fill="9DB8D2"/>
          </w:tcPr>
          <w:p>
            <w:pPr>
              <w:ind w:left="80"/>
              <w:spacing w:after="0"/>
              <w:rPr>
                <w:sz w:val="20"/>
                <w:szCs w:val="20"/>
                <w:color w:val="auto"/>
              </w:rPr>
            </w:pPr>
            <w:r>
              <w:rPr>
                <w:rFonts w:ascii="Arial" w:cs="Arial" w:eastAsia="Arial" w:hAnsi="Arial"/>
                <w:sz w:val="14"/>
                <w:szCs w:val="14"/>
                <w:b w:val="1"/>
                <w:bCs w:val="1"/>
                <w:color w:val="auto"/>
              </w:rPr>
              <w:t>2016 Decisions</w:t>
            </w:r>
          </w:p>
        </w:tc>
        <w:tc>
          <w:tcPr>
            <w:tcW w:w="0" w:type="dxa"/>
            <w:vAlign w:val="bottom"/>
          </w:tcPr>
          <w:p>
            <w:pPr>
              <w:spacing w:after="0"/>
              <w:rPr>
                <w:sz w:val="1"/>
                <w:szCs w:val="1"/>
                <w:color w:val="auto"/>
              </w:rPr>
            </w:pPr>
          </w:p>
        </w:tc>
      </w:tr>
      <w:tr>
        <w:trPr>
          <w:trHeight w:val="160"/>
        </w:trPr>
        <w:tc>
          <w:tcPr>
            <w:tcW w:w="2060" w:type="dxa"/>
            <w:vAlign w:val="bottom"/>
            <w:tcBorders>
              <w:left w:val="single" w:sz="8" w:color="auto"/>
            </w:tcBorders>
            <w:shd w:val="clear" w:color="auto" w:fill="E6EDF3"/>
          </w:tcPr>
          <w:p>
            <w:pPr>
              <w:ind w:left="160"/>
              <w:spacing w:after="0"/>
              <w:rPr>
                <w:sz w:val="20"/>
                <w:szCs w:val="20"/>
                <w:color w:val="auto"/>
              </w:rPr>
            </w:pPr>
            <w:r>
              <w:rPr>
                <w:rFonts w:ascii="Arial" w:cs="Arial" w:eastAsia="Arial" w:hAnsi="Arial"/>
                <w:sz w:val="14"/>
                <w:szCs w:val="14"/>
                <w:b w:val="1"/>
                <w:bCs w:val="1"/>
                <w:color w:val="auto"/>
              </w:rPr>
              <w:t>Qualified Retirement Plans</w:t>
            </w:r>
          </w:p>
        </w:tc>
        <w:tc>
          <w:tcPr>
            <w:tcW w:w="3340" w:type="dxa"/>
            <w:vAlign w:val="bottom"/>
            <w:shd w:val="clear" w:color="auto" w:fill="E6EDF3"/>
          </w:tcPr>
          <w:p>
            <w:pPr>
              <w:ind w:left="100"/>
              <w:spacing w:after="0"/>
              <w:rPr>
                <w:sz w:val="20"/>
                <w:szCs w:val="20"/>
                <w:color w:val="auto"/>
              </w:rPr>
            </w:pPr>
            <w:r>
              <w:rPr>
                <w:rFonts w:ascii="Arial" w:cs="Arial" w:eastAsia="Arial" w:hAnsi="Arial"/>
                <w:sz w:val="14"/>
                <w:szCs w:val="14"/>
                <w:color w:val="auto"/>
              </w:rPr>
              <w:t>None.</w:t>
            </w:r>
          </w:p>
        </w:tc>
        <w:tc>
          <w:tcPr>
            <w:tcW w:w="160" w:type="dxa"/>
            <w:vAlign w:val="bottom"/>
            <w:shd w:val="clear" w:color="auto" w:fill="E6EDF3"/>
          </w:tcPr>
          <w:p>
            <w:pPr>
              <w:ind w:left="60"/>
              <w:spacing w:after="0"/>
              <w:rPr>
                <w:sz w:val="20"/>
                <w:szCs w:val="20"/>
                <w:color w:val="auto"/>
              </w:rPr>
            </w:pPr>
            <w:r>
              <w:rPr>
                <w:rFonts w:ascii="Arial" w:cs="Arial" w:eastAsia="Arial" w:hAnsi="Arial"/>
                <w:sz w:val="14"/>
                <w:szCs w:val="14"/>
                <w:color w:val="5D89B4"/>
              </w:rPr>
              <w:t>•</w:t>
            </w:r>
          </w:p>
        </w:tc>
        <w:tc>
          <w:tcPr>
            <w:tcW w:w="2940" w:type="dxa"/>
            <w:vAlign w:val="bottom"/>
            <w:shd w:val="clear" w:color="auto" w:fill="E6EDF3"/>
          </w:tcPr>
          <w:p>
            <w:pPr>
              <w:ind w:left="40"/>
              <w:spacing w:after="0"/>
              <w:rPr>
                <w:sz w:val="20"/>
                <w:szCs w:val="20"/>
                <w:color w:val="auto"/>
              </w:rPr>
            </w:pPr>
            <w:r>
              <w:rPr>
                <w:rFonts w:ascii="Arial" w:cs="Arial" w:eastAsia="Arial" w:hAnsi="Arial"/>
                <w:sz w:val="14"/>
                <w:szCs w:val="14"/>
                <w:color w:val="auto"/>
              </w:rPr>
              <w:t>No pension plan benefit in the United</w:t>
            </w:r>
          </w:p>
        </w:tc>
        <w:tc>
          <w:tcPr>
            <w:tcW w:w="2940" w:type="dxa"/>
            <w:vAlign w:val="bottom"/>
            <w:tcBorders>
              <w:right w:val="single" w:sz="8" w:color="auto"/>
            </w:tcBorders>
            <w:gridSpan w:val="2"/>
            <w:shd w:val="clear" w:color="auto" w:fill="E6EDF3"/>
          </w:tcPr>
          <w:p>
            <w:pPr>
              <w:ind w:left="8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Although Mr. McGinnis was eligible to</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spacing w:after="0"/>
              <w:rPr>
                <w:sz w:val="14"/>
                <w:szCs w:val="14"/>
                <w:color w:val="auto"/>
              </w:rPr>
            </w:pPr>
          </w:p>
        </w:tc>
        <w:tc>
          <w:tcPr>
            <w:tcW w:w="160" w:type="dxa"/>
            <w:vAlign w:val="bottom"/>
            <w:shd w:val="clear" w:color="auto" w:fill="E6EDF3"/>
          </w:tcPr>
          <w:p>
            <w:pPr>
              <w:spacing w:after="0"/>
              <w:rPr>
                <w:sz w:val="14"/>
                <w:szCs w:val="14"/>
                <w:color w:val="auto"/>
              </w:rPr>
            </w:pPr>
          </w:p>
        </w:tc>
        <w:tc>
          <w:tcPr>
            <w:tcW w:w="2940" w:type="dxa"/>
            <w:vAlign w:val="bottom"/>
            <w:shd w:val="clear" w:color="auto" w:fill="E6EDF3"/>
          </w:tcPr>
          <w:p>
            <w:pPr>
              <w:ind w:left="40"/>
              <w:spacing w:after="0"/>
              <w:rPr>
                <w:sz w:val="20"/>
                <w:szCs w:val="20"/>
                <w:color w:val="auto"/>
              </w:rPr>
            </w:pPr>
            <w:r>
              <w:rPr>
                <w:rFonts w:ascii="Arial" w:cs="Arial" w:eastAsia="Arial" w:hAnsi="Arial"/>
                <w:sz w:val="14"/>
                <w:szCs w:val="14"/>
                <w:color w:val="auto"/>
              </w:rPr>
              <w:t>States, as we froze the qualified,</w:t>
            </w:r>
          </w:p>
        </w:tc>
        <w:tc>
          <w:tcPr>
            <w:tcW w:w="160" w:type="dxa"/>
            <w:vAlign w:val="bottom"/>
            <w:shd w:val="clear" w:color="auto" w:fill="E6EDF3"/>
          </w:tcPr>
          <w:p>
            <w:pPr>
              <w:spacing w:after="0"/>
              <w:rPr>
                <w:sz w:val="14"/>
                <w:szCs w:val="14"/>
                <w:color w:val="auto"/>
              </w:rPr>
            </w:pPr>
          </w:p>
        </w:tc>
        <w:tc>
          <w:tcPr>
            <w:tcW w:w="2780" w:type="dxa"/>
            <w:vAlign w:val="bottom"/>
            <w:tcBorders>
              <w:right w:val="single" w:sz="8" w:color="auto"/>
            </w:tcBorders>
            <w:shd w:val="clear" w:color="auto" w:fill="E6EDF3"/>
          </w:tcPr>
          <w:p>
            <w:pPr>
              <w:ind w:left="60"/>
              <w:spacing w:after="0"/>
              <w:rPr>
                <w:sz w:val="20"/>
                <w:szCs w:val="20"/>
                <w:color w:val="auto"/>
              </w:rPr>
            </w:pPr>
            <w:r>
              <w:rPr>
                <w:rFonts w:ascii="Arial" w:cs="Arial" w:eastAsia="Arial" w:hAnsi="Arial"/>
                <w:sz w:val="14"/>
                <w:szCs w:val="14"/>
                <w:color w:val="auto"/>
              </w:rPr>
              <w:t>participate in the 401(k) plan since he</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spacing w:after="0"/>
              <w:rPr>
                <w:sz w:val="14"/>
                <w:szCs w:val="14"/>
                <w:color w:val="auto"/>
              </w:rPr>
            </w:pPr>
          </w:p>
        </w:tc>
        <w:tc>
          <w:tcPr>
            <w:tcW w:w="160" w:type="dxa"/>
            <w:vAlign w:val="bottom"/>
            <w:shd w:val="clear" w:color="auto" w:fill="E6EDF3"/>
          </w:tcPr>
          <w:p>
            <w:pPr>
              <w:spacing w:after="0"/>
              <w:rPr>
                <w:sz w:val="14"/>
                <w:szCs w:val="14"/>
                <w:color w:val="auto"/>
              </w:rPr>
            </w:pPr>
          </w:p>
        </w:tc>
        <w:tc>
          <w:tcPr>
            <w:tcW w:w="2940" w:type="dxa"/>
            <w:vAlign w:val="bottom"/>
            <w:shd w:val="clear" w:color="auto" w:fill="E6EDF3"/>
          </w:tcPr>
          <w:p>
            <w:pPr>
              <w:ind w:left="40"/>
              <w:spacing w:after="0"/>
              <w:rPr>
                <w:sz w:val="20"/>
                <w:szCs w:val="20"/>
                <w:color w:val="auto"/>
              </w:rPr>
            </w:pPr>
            <w:r>
              <w:rPr>
                <w:rFonts w:ascii="Arial" w:cs="Arial" w:eastAsia="Arial" w:hAnsi="Arial"/>
                <w:sz w:val="14"/>
                <w:szCs w:val="14"/>
                <w:color w:val="auto"/>
              </w:rPr>
              <w:t>noncontributory defined benefit pension</w:t>
            </w:r>
          </w:p>
        </w:tc>
        <w:tc>
          <w:tcPr>
            <w:tcW w:w="160" w:type="dxa"/>
            <w:vAlign w:val="bottom"/>
            <w:shd w:val="clear" w:color="auto" w:fill="E6EDF3"/>
          </w:tcPr>
          <w:p>
            <w:pPr>
              <w:spacing w:after="0"/>
              <w:rPr>
                <w:sz w:val="14"/>
                <w:szCs w:val="14"/>
                <w:color w:val="auto"/>
              </w:rPr>
            </w:pPr>
          </w:p>
        </w:tc>
        <w:tc>
          <w:tcPr>
            <w:tcW w:w="2780" w:type="dxa"/>
            <w:vAlign w:val="bottom"/>
            <w:tcBorders>
              <w:right w:val="single" w:sz="8" w:color="auto"/>
            </w:tcBorders>
            <w:shd w:val="clear" w:color="auto" w:fill="E6EDF3"/>
          </w:tcPr>
          <w:p>
            <w:pPr>
              <w:ind w:left="60"/>
              <w:spacing w:after="0"/>
              <w:rPr>
                <w:sz w:val="20"/>
                <w:szCs w:val="20"/>
                <w:color w:val="auto"/>
              </w:rPr>
            </w:pPr>
            <w:r>
              <w:rPr>
                <w:rFonts w:ascii="Arial" w:cs="Arial" w:eastAsia="Arial" w:hAnsi="Arial"/>
                <w:sz w:val="14"/>
                <w:szCs w:val="14"/>
                <w:color w:val="auto"/>
              </w:rPr>
              <w:t>was in his first year of employment, he</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spacing w:after="0"/>
              <w:rPr>
                <w:sz w:val="14"/>
                <w:szCs w:val="14"/>
                <w:color w:val="auto"/>
              </w:rPr>
            </w:pPr>
          </w:p>
        </w:tc>
        <w:tc>
          <w:tcPr>
            <w:tcW w:w="160" w:type="dxa"/>
            <w:vAlign w:val="bottom"/>
            <w:shd w:val="clear" w:color="auto" w:fill="E6EDF3"/>
          </w:tcPr>
          <w:p>
            <w:pPr>
              <w:spacing w:after="0"/>
              <w:rPr>
                <w:sz w:val="14"/>
                <w:szCs w:val="14"/>
                <w:color w:val="auto"/>
              </w:rPr>
            </w:pPr>
          </w:p>
        </w:tc>
        <w:tc>
          <w:tcPr>
            <w:tcW w:w="2940" w:type="dxa"/>
            <w:vAlign w:val="bottom"/>
            <w:shd w:val="clear" w:color="auto" w:fill="E6EDF3"/>
          </w:tcPr>
          <w:p>
            <w:pPr>
              <w:ind w:left="40"/>
              <w:spacing w:after="0"/>
              <w:rPr>
                <w:sz w:val="20"/>
                <w:szCs w:val="20"/>
                <w:color w:val="auto"/>
              </w:rPr>
            </w:pPr>
            <w:r>
              <w:rPr>
                <w:rFonts w:ascii="Arial" w:cs="Arial" w:eastAsia="Arial" w:hAnsi="Arial"/>
                <w:sz w:val="14"/>
                <w:szCs w:val="14"/>
                <w:color w:val="auto"/>
              </w:rPr>
              <w:t>plan, as well as the nonqualified,</w:t>
            </w:r>
          </w:p>
        </w:tc>
        <w:tc>
          <w:tcPr>
            <w:tcW w:w="160" w:type="dxa"/>
            <w:vAlign w:val="bottom"/>
            <w:shd w:val="clear" w:color="auto" w:fill="E6EDF3"/>
          </w:tcPr>
          <w:p>
            <w:pPr>
              <w:spacing w:after="0"/>
              <w:rPr>
                <w:sz w:val="14"/>
                <w:szCs w:val="14"/>
                <w:color w:val="auto"/>
              </w:rPr>
            </w:pPr>
          </w:p>
        </w:tc>
        <w:tc>
          <w:tcPr>
            <w:tcW w:w="2780" w:type="dxa"/>
            <w:vAlign w:val="bottom"/>
            <w:tcBorders>
              <w:right w:val="single" w:sz="8" w:color="auto"/>
            </w:tcBorders>
            <w:shd w:val="clear" w:color="auto" w:fill="E6EDF3"/>
          </w:tcPr>
          <w:p>
            <w:pPr>
              <w:ind w:left="60"/>
              <w:spacing w:after="0"/>
              <w:rPr>
                <w:sz w:val="20"/>
                <w:szCs w:val="20"/>
                <w:color w:val="auto"/>
              </w:rPr>
            </w:pPr>
            <w:r>
              <w:rPr>
                <w:rFonts w:ascii="Arial" w:cs="Arial" w:eastAsia="Arial" w:hAnsi="Arial"/>
                <w:sz w:val="14"/>
                <w:szCs w:val="14"/>
                <w:color w:val="auto"/>
              </w:rPr>
              <w:t>did not participate.</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spacing w:after="0"/>
              <w:rPr>
                <w:sz w:val="14"/>
                <w:szCs w:val="14"/>
                <w:color w:val="auto"/>
              </w:rPr>
            </w:pPr>
          </w:p>
        </w:tc>
        <w:tc>
          <w:tcPr>
            <w:tcW w:w="160" w:type="dxa"/>
            <w:vAlign w:val="bottom"/>
            <w:shd w:val="clear" w:color="auto" w:fill="E6EDF3"/>
          </w:tcPr>
          <w:p>
            <w:pPr>
              <w:spacing w:after="0"/>
              <w:rPr>
                <w:sz w:val="14"/>
                <w:szCs w:val="14"/>
                <w:color w:val="auto"/>
              </w:rPr>
            </w:pPr>
          </w:p>
        </w:tc>
        <w:tc>
          <w:tcPr>
            <w:tcW w:w="2940" w:type="dxa"/>
            <w:vAlign w:val="bottom"/>
            <w:shd w:val="clear" w:color="auto" w:fill="E6EDF3"/>
          </w:tcPr>
          <w:p>
            <w:pPr>
              <w:ind w:left="40"/>
              <w:spacing w:after="0"/>
              <w:rPr>
                <w:sz w:val="20"/>
                <w:szCs w:val="20"/>
                <w:color w:val="auto"/>
              </w:rPr>
            </w:pPr>
            <w:r>
              <w:rPr>
                <w:rFonts w:ascii="Arial" w:cs="Arial" w:eastAsia="Arial" w:hAnsi="Arial"/>
                <w:sz w:val="14"/>
                <w:szCs w:val="14"/>
                <w:color w:val="auto"/>
              </w:rPr>
              <w:t>noncontributory defined benefit deferred</w:t>
            </w:r>
          </w:p>
        </w:tc>
        <w:tc>
          <w:tcPr>
            <w:tcW w:w="160" w:type="dxa"/>
            <w:vAlign w:val="bottom"/>
            <w:vMerge w:val="restart"/>
            <w:shd w:val="clear" w:color="auto" w:fill="E6EDF3"/>
          </w:tcPr>
          <w:p>
            <w:pPr>
              <w:ind w:left="80"/>
              <w:spacing w:after="0"/>
              <w:rPr>
                <w:sz w:val="20"/>
                <w:szCs w:val="20"/>
                <w:color w:val="auto"/>
              </w:rPr>
            </w:pPr>
            <w:r>
              <w:rPr>
                <w:rFonts w:ascii="Arial" w:cs="Arial" w:eastAsia="Arial" w:hAnsi="Arial"/>
                <w:sz w:val="14"/>
                <w:szCs w:val="14"/>
                <w:color w:val="5D89B4"/>
              </w:rPr>
              <w:t>•</w:t>
            </w:r>
          </w:p>
        </w:tc>
        <w:tc>
          <w:tcPr>
            <w:tcW w:w="2780" w:type="dxa"/>
            <w:vAlign w:val="bottom"/>
            <w:tcBorders>
              <w:right w:val="single" w:sz="8" w:color="auto"/>
            </w:tcBorders>
            <w:vMerge w:val="restart"/>
            <w:shd w:val="clear" w:color="auto" w:fill="E6EDF3"/>
          </w:tcPr>
          <w:p>
            <w:pPr>
              <w:ind w:left="40"/>
              <w:spacing w:after="0"/>
              <w:rPr>
                <w:sz w:val="20"/>
                <w:szCs w:val="20"/>
                <w:color w:val="auto"/>
              </w:rPr>
            </w:pPr>
            <w:r>
              <w:rPr>
                <w:rFonts w:ascii="Arial" w:cs="Arial" w:eastAsia="Arial" w:hAnsi="Arial"/>
                <w:sz w:val="14"/>
                <w:szCs w:val="14"/>
                <w:color w:val="auto"/>
              </w:rPr>
              <w:t>None of the NEOs participated in the</w:t>
            </w:r>
          </w:p>
        </w:tc>
        <w:tc>
          <w:tcPr>
            <w:tcW w:w="0" w:type="dxa"/>
            <w:vAlign w:val="bottom"/>
          </w:tcPr>
          <w:p>
            <w:pPr>
              <w:spacing w:after="0"/>
              <w:rPr>
                <w:sz w:val="1"/>
                <w:szCs w:val="1"/>
                <w:color w:val="auto"/>
              </w:rPr>
            </w:pPr>
          </w:p>
        </w:tc>
      </w:tr>
      <w:tr>
        <w:trPr>
          <w:trHeight w:val="130"/>
        </w:trPr>
        <w:tc>
          <w:tcPr>
            <w:tcW w:w="2060" w:type="dxa"/>
            <w:vAlign w:val="bottom"/>
            <w:tcBorders>
              <w:left w:val="single" w:sz="8" w:color="auto"/>
            </w:tcBorders>
            <w:shd w:val="clear" w:color="auto" w:fill="E6EDF3"/>
          </w:tcPr>
          <w:p>
            <w:pPr>
              <w:spacing w:after="0"/>
              <w:rPr>
                <w:sz w:val="11"/>
                <w:szCs w:val="11"/>
                <w:color w:val="auto"/>
              </w:rPr>
            </w:pPr>
          </w:p>
        </w:tc>
        <w:tc>
          <w:tcPr>
            <w:tcW w:w="3340" w:type="dxa"/>
            <w:vAlign w:val="bottom"/>
            <w:shd w:val="clear" w:color="auto" w:fill="E6EDF3"/>
          </w:tcPr>
          <w:p>
            <w:pPr>
              <w:spacing w:after="0"/>
              <w:rPr>
                <w:sz w:val="11"/>
                <w:szCs w:val="11"/>
                <w:color w:val="auto"/>
              </w:rPr>
            </w:pPr>
          </w:p>
        </w:tc>
        <w:tc>
          <w:tcPr>
            <w:tcW w:w="160" w:type="dxa"/>
            <w:vAlign w:val="bottom"/>
            <w:shd w:val="clear" w:color="auto" w:fill="E6EDF3"/>
          </w:tcPr>
          <w:p>
            <w:pPr>
              <w:spacing w:after="0"/>
              <w:rPr>
                <w:sz w:val="11"/>
                <w:szCs w:val="11"/>
                <w:color w:val="auto"/>
              </w:rPr>
            </w:pPr>
          </w:p>
        </w:tc>
        <w:tc>
          <w:tcPr>
            <w:tcW w:w="2940" w:type="dxa"/>
            <w:vAlign w:val="bottom"/>
            <w:shd w:val="clear" w:color="auto" w:fill="E6EDF3"/>
          </w:tcPr>
          <w:p>
            <w:pPr>
              <w:ind w:left="40"/>
              <w:spacing w:after="0" w:line="131" w:lineRule="exact"/>
              <w:rPr>
                <w:sz w:val="20"/>
                <w:szCs w:val="20"/>
                <w:color w:val="auto"/>
              </w:rPr>
            </w:pPr>
            <w:r>
              <w:rPr>
                <w:rFonts w:ascii="Arial" w:cs="Arial" w:eastAsia="Arial" w:hAnsi="Arial"/>
                <w:sz w:val="14"/>
                <w:szCs w:val="14"/>
                <w:color w:val="auto"/>
              </w:rPr>
              <w:t>compensation plans as of February 29,</w:t>
            </w:r>
          </w:p>
        </w:tc>
        <w:tc>
          <w:tcPr>
            <w:tcW w:w="160" w:type="dxa"/>
            <w:vAlign w:val="bottom"/>
            <w:vMerge w:val="continue"/>
            <w:shd w:val="clear" w:color="auto" w:fill="E6EDF3"/>
          </w:tcPr>
          <w:p>
            <w:pPr>
              <w:spacing w:after="0"/>
              <w:rPr>
                <w:sz w:val="11"/>
                <w:szCs w:val="11"/>
                <w:color w:val="auto"/>
              </w:rPr>
            </w:pPr>
          </w:p>
        </w:tc>
        <w:tc>
          <w:tcPr>
            <w:tcW w:w="2780" w:type="dxa"/>
            <w:vAlign w:val="bottom"/>
            <w:tcBorders>
              <w:right w:val="single" w:sz="8" w:color="auto"/>
            </w:tcBorders>
            <w:vMerge w:val="continue"/>
            <w:shd w:val="clear" w:color="auto" w:fill="E6EDF3"/>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060" w:type="dxa"/>
            <w:vAlign w:val="bottom"/>
            <w:tcBorders>
              <w:left w:val="single" w:sz="8" w:color="auto"/>
            </w:tcBorders>
            <w:shd w:val="clear" w:color="auto" w:fill="E6EDF3"/>
          </w:tcPr>
          <w:p>
            <w:pPr>
              <w:spacing w:after="0"/>
              <w:rPr>
                <w:sz w:val="17"/>
                <w:szCs w:val="17"/>
                <w:color w:val="auto"/>
              </w:rPr>
            </w:pPr>
          </w:p>
        </w:tc>
        <w:tc>
          <w:tcPr>
            <w:tcW w:w="3340" w:type="dxa"/>
            <w:vAlign w:val="bottom"/>
            <w:shd w:val="clear" w:color="auto" w:fill="E6EDF3"/>
          </w:tcPr>
          <w:p>
            <w:pPr>
              <w:spacing w:after="0"/>
              <w:rPr>
                <w:sz w:val="17"/>
                <w:szCs w:val="17"/>
                <w:color w:val="auto"/>
              </w:rPr>
            </w:pPr>
          </w:p>
        </w:tc>
        <w:tc>
          <w:tcPr>
            <w:tcW w:w="160" w:type="dxa"/>
            <w:vAlign w:val="bottom"/>
            <w:shd w:val="clear" w:color="auto" w:fill="E6EDF3"/>
          </w:tcPr>
          <w:p>
            <w:pPr>
              <w:spacing w:after="0"/>
              <w:rPr>
                <w:sz w:val="17"/>
                <w:szCs w:val="17"/>
                <w:color w:val="auto"/>
              </w:rPr>
            </w:pPr>
          </w:p>
        </w:tc>
        <w:tc>
          <w:tcPr>
            <w:tcW w:w="2940" w:type="dxa"/>
            <w:vAlign w:val="bottom"/>
            <w:shd w:val="clear" w:color="auto" w:fill="E6EDF3"/>
          </w:tcPr>
          <w:p>
            <w:pPr>
              <w:ind w:left="40"/>
              <w:spacing w:after="0"/>
              <w:rPr>
                <w:sz w:val="20"/>
                <w:szCs w:val="20"/>
                <w:color w:val="auto"/>
              </w:rPr>
            </w:pPr>
            <w:r>
              <w:rPr>
                <w:rFonts w:ascii="Arial" w:cs="Arial" w:eastAsia="Arial" w:hAnsi="Arial"/>
                <w:sz w:val="14"/>
                <w:szCs w:val="14"/>
                <w:color w:val="auto"/>
              </w:rPr>
              <w:t>2000.</w:t>
            </w:r>
          </w:p>
        </w:tc>
        <w:tc>
          <w:tcPr>
            <w:tcW w:w="160" w:type="dxa"/>
            <w:vAlign w:val="bottom"/>
            <w:shd w:val="clear" w:color="auto" w:fill="E6EDF3"/>
          </w:tcPr>
          <w:p>
            <w:pPr>
              <w:spacing w:after="0"/>
              <w:rPr>
                <w:sz w:val="17"/>
                <w:szCs w:val="17"/>
                <w:color w:val="auto"/>
              </w:rPr>
            </w:pPr>
          </w:p>
        </w:tc>
        <w:tc>
          <w:tcPr>
            <w:tcW w:w="2780" w:type="dxa"/>
            <w:vAlign w:val="bottom"/>
            <w:tcBorders>
              <w:right w:val="single" w:sz="8" w:color="auto"/>
            </w:tcBorders>
            <w:shd w:val="clear" w:color="auto" w:fill="E6EDF3"/>
          </w:tcPr>
          <w:p>
            <w:pPr>
              <w:ind w:left="60"/>
              <w:spacing w:after="0"/>
              <w:rPr>
                <w:sz w:val="20"/>
                <w:szCs w:val="20"/>
                <w:color w:val="auto"/>
              </w:rPr>
            </w:pPr>
            <w:r>
              <w:rPr>
                <w:rFonts w:ascii="Arial" w:cs="Arial" w:eastAsia="Arial" w:hAnsi="Arial"/>
                <w:sz w:val="14"/>
                <w:szCs w:val="14"/>
                <w:color w:val="auto"/>
              </w:rPr>
              <w:t>catch-up contributions during 2016.</w:t>
            </w:r>
          </w:p>
        </w:tc>
        <w:tc>
          <w:tcPr>
            <w:tcW w:w="0" w:type="dxa"/>
            <w:vAlign w:val="bottom"/>
          </w:tcPr>
          <w:p>
            <w:pPr>
              <w:spacing w:after="0"/>
              <w:rPr>
                <w:sz w:val="1"/>
                <w:szCs w:val="1"/>
                <w:color w:val="auto"/>
              </w:rPr>
            </w:pPr>
          </w:p>
        </w:tc>
      </w:tr>
      <w:tr>
        <w:trPr>
          <w:trHeight w:val="273"/>
        </w:trPr>
        <w:tc>
          <w:tcPr>
            <w:tcW w:w="2060" w:type="dxa"/>
            <w:vAlign w:val="bottom"/>
            <w:tcBorders>
              <w:left w:val="single" w:sz="8" w:color="auto"/>
            </w:tcBorders>
            <w:shd w:val="clear" w:color="auto" w:fill="E6EDF3"/>
          </w:tcPr>
          <w:p>
            <w:pPr>
              <w:spacing w:after="0"/>
              <w:rPr>
                <w:sz w:val="23"/>
                <w:szCs w:val="23"/>
                <w:color w:val="auto"/>
              </w:rPr>
            </w:pPr>
          </w:p>
        </w:tc>
        <w:tc>
          <w:tcPr>
            <w:tcW w:w="3340" w:type="dxa"/>
            <w:vAlign w:val="bottom"/>
            <w:shd w:val="clear" w:color="auto" w:fill="E6EDF3"/>
          </w:tcPr>
          <w:p>
            <w:pPr>
              <w:spacing w:after="0"/>
              <w:rPr>
                <w:sz w:val="23"/>
                <w:szCs w:val="23"/>
                <w:color w:val="auto"/>
              </w:rPr>
            </w:pPr>
          </w:p>
        </w:tc>
        <w:tc>
          <w:tcPr>
            <w:tcW w:w="160" w:type="dxa"/>
            <w:vAlign w:val="bottom"/>
            <w:shd w:val="clear" w:color="auto" w:fill="E6EDF3"/>
          </w:tcPr>
          <w:p>
            <w:pPr>
              <w:ind w:left="60"/>
              <w:spacing w:after="0"/>
              <w:rPr>
                <w:sz w:val="20"/>
                <w:szCs w:val="20"/>
                <w:color w:val="auto"/>
              </w:rPr>
            </w:pPr>
            <w:r>
              <w:rPr>
                <w:rFonts w:ascii="Arial" w:cs="Arial" w:eastAsia="Arial" w:hAnsi="Arial"/>
                <w:sz w:val="14"/>
                <w:szCs w:val="14"/>
                <w:color w:val="5D89B4"/>
              </w:rPr>
              <w:t>•</w:t>
            </w:r>
          </w:p>
        </w:tc>
        <w:tc>
          <w:tcPr>
            <w:tcW w:w="2940" w:type="dxa"/>
            <w:vAlign w:val="bottom"/>
            <w:shd w:val="clear" w:color="auto" w:fill="E6EDF3"/>
          </w:tcPr>
          <w:p>
            <w:pPr>
              <w:ind w:left="40"/>
              <w:spacing w:after="0"/>
              <w:rPr>
                <w:sz w:val="20"/>
                <w:szCs w:val="20"/>
                <w:color w:val="auto"/>
              </w:rPr>
            </w:pPr>
            <w:r>
              <w:rPr>
                <w:rFonts w:ascii="Arial" w:cs="Arial" w:eastAsia="Arial" w:hAnsi="Arial"/>
                <w:sz w:val="14"/>
                <w:szCs w:val="14"/>
                <w:color w:val="auto"/>
              </w:rPr>
              <w:t>No 401(k) plan because of limitation on</w:t>
            </w:r>
          </w:p>
        </w:tc>
        <w:tc>
          <w:tcPr>
            <w:tcW w:w="160" w:type="dxa"/>
            <w:vAlign w:val="bottom"/>
            <w:shd w:val="clear" w:color="auto" w:fill="E6EDF3"/>
          </w:tcPr>
          <w:p>
            <w:pPr>
              <w:spacing w:after="0"/>
              <w:rPr>
                <w:sz w:val="23"/>
                <w:szCs w:val="23"/>
                <w:color w:val="auto"/>
              </w:rPr>
            </w:pPr>
          </w:p>
        </w:tc>
        <w:tc>
          <w:tcPr>
            <w:tcW w:w="2780" w:type="dxa"/>
            <w:vAlign w:val="bottom"/>
            <w:tcBorders>
              <w:right w:val="single" w:sz="8" w:color="auto"/>
            </w:tcBorders>
            <w:shd w:val="clear" w:color="auto" w:fill="E6EDF3"/>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spacing w:after="0"/>
              <w:rPr>
                <w:sz w:val="14"/>
                <w:szCs w:val="14"/>
                <w:color w:val="auto"/>
              </w:rPr>
            </w:pPr>
          </w:p>
        </w:tc>
        <w:tc>
          <w:tcPr>
            <w:tcW w:w="160" w:type="dxa"/>
            <w:vAlign w:val="bottom"/>
            <w:shd w:val="clear" w:color="auto" w:fill="E6EDF3"/>
          </w:tcPr>
          <w:p>
            <w:pPr>
              <w:spacing w:after="0"/>
              <w:rPr>
                <w:sz w:val="14"/>
                <w:szCs w:val="14"/>
                <w:color w:val="auto"/>
              </w:rPr>
            </w:pPr>
          </w:p>
        </w:tc>
        <w:tc>
          <w:tcPr>
            <w:tcW w:w="2940" w:type="dxa"/>
            <w:vAlign w:val="bottom"/>
            <w:shd w:val="clear" w:color="auto" w:fill="E6EDF3"/>
          </w:tcPr>
          <w:p>
            <w:pPr>
              <w:ind w:left="40"/>
              <w:spacing w:after="0"/>
              <w:rPr>
                <w:sz w:val="20"/>
                <w:szCs w:val="20"/>
                <w:color w:val="auto"/>
              </w:rPr>
            </w:pPr>
            <w:r>
              <w:rPr>
                <w:rFonts w:ascii="Arial" w:cs="Arial" w:eastAsia="Arial" w:hAnsi="Arial"/>
                <w:sz w:val="14"/>
                <w:szCs w:val="14"/>
                <w:color w:val="auto"/>
              </w:rPr>
              <w:t>participation by highly compensated</w:t>
            </w:r>
          </w:p>
        </w:tc>
        <w:tc>
          <w:tcPr>
            <w:tcW w:w="160" w:type="dxa"/>
            <w:vAlign w:val="bottom"/>
            <w:shd w:val="clear" w:color="auto" w:fill="E6EDF3"/>
          </w:tcPr>
          <w:p>
            <w:pPr>
              <w:spacing w:after="0"/>
              <w:rPr>
                <w:sz w:val="14"/>
                <w:szCs w:val="14"/>
                <w:color w:val="auto"/>
              </w:rPr>
            </w:pPr>
          </w:p>
        </w:tc>
        <w:tc>
          <w:tcPr>
            <w:tcW w:w="2780" w:type="dxa"/>
            <w:vAlign w:val="bottom"/>
            <w:tcBorders>
              <w:right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spacing w:after="0"/>
              <w:rPr>
                <w:sz w:val="14"/>
                <w:szCs w:val="14"/>
                <w:color w:val="auto"/>
              </w:rPr>
            </w:pPr>
          </w:p>
        </w:tc>
        <w:tc>
          <w:tcPr>
            <w:tcW w:w="160" w:type="dxa"/>
            <w:vAlign w:val="bottom"/>
            <w:shd w:val="clear" w:color="auto" w:fill="E6EDF3"/>
          </w:tcPr>
          <w:p>
            <w:pPr>
              <w:spacing w:after="0"/>
              <w:rPr>
                <w:sz w:val="14"/>
                <w:szCs w:val="14"/>
                <w:color w:val="auto"/>
              </w:rPr>
            </w:pPr>
          </w:p>
        </w:tc>
        <w:tc>
          <w:tcPr>
            <w:tcW w:w="2940" w:type="dxa"/>
            <w:vAlign w:val="bottom"/>
            <w:shd w:val="clear" w:color="auto" w:fill="E6EDF3"/>
          </w:tcPr>
          <w:p>
            <w:pPr>
              <w:ind w:left="40"/>
              <w:spacing w:after="0"/>
              <w:rPr>
                <w:sz w:val="20"/>
                <w:szCs w:val="20"/>
                <w:color w:val="auto"/>
              </w:rPr>
            </w:pPr>
            <w:r>
              <w:rPr>
                <w:rFonts w:ascii="Arial" w:cs="Arial" w:eastAsia="Arial" w:hAnsi="Arial"/>
                <w:sz w:val="14"/>
                <w:szCs w:val="14"/>
                <w:color w:val="auto"/>
              </w:rPr>
              <w:t>employees under the rules governing such</w:t>
            </w:r>
          </w:p>
        </w:tc>
        <w:tc>
          <w:tcPr>
            <w:tcW w:w="160" w:type="dxa"/>
            <w:vAlign w:val="bottom"/>
            <w:shd w:val="clear" w:color="auto" w:fill="E6EDF3"/>
          </w:tcPr>
          <w:p>
            <w:pPr>
              <w:spacing w:after="0"/>
              <w:rPr>
                <w:sz w:val="14"/>
                <w:szCs w:val="14"/>
                <w:color w:val="auto"/>
              </w:rPr>
            </w:pPr>
          </w:p>
        </w:tc>
        <w:tc>
          <w:tcPr>
            <w:tcW w:w="2780" w:type="dxa"/>
            <w:vAlign w:val="bottom"/>
            <w:tcBorders>
              <w:right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spacing w:after="0"/>
              <w:rPr>
                <w:sz w:val="14"/>
                <w:szCs w:val="14"/>
                <w:color w:val="auto"/>
              </w:rPr>
            </w:pPr>
          </w:p>
        </w:tc>
        <w:tc>
          <w:tcPr>
            <w:tcW w:w="160" w:type="dxa"/>
            <w:vAlign w:val="bottom"/>
            <w:shd w:val="clear" w:color="auto" w:fill="E6EDF3"/>
          </w:tcPr>
          <w:p>
            <w:pPr>
              <w:spacing w:after="0"/>
              <w:rPr>
                <w:sz w:val="14"/>
                <w:szCs w:val="14"/>
                <w:color w:val="auto"/>
              </w:rPr>
            </w:pPr>
          </w:p>
        </w:tc>
        <w:tc>
          <w:tcPr>
            <w:tcW w:w="2940" w:type="dxa"/>
            <w:vAlign w:val="bottom"/>
            <w:shd w:val="clear" w:color="auto" w:fill="E6EDF3"/>
          </w:tcPr>
          <w:p>
            <w:pPr>
              <w:ind w:left="40"/>
              <w:spacing w:after="0"/>
              <w:rPr>
                <w:sz w:val="20"/>
                <w:szCs w:val="20"/>
                <w:color w:val="auto"/>
              </w:rPr>
            </w:pPr>
            <w:r>
              <w:rPr>
                <w:rFonts w:ascii="Arial" w:cs="Arial" w:eastAsia="Arial" w:hAnsi="Arial"/>
                <w:sz w:val="14"/>
                <w:szCs w:val="14"/>
                <w:color w:val="auto"/>
              </w:rPr>
              <w:t>plans, except that NEOs are eligible to</w:t>
            </w:r>
          </w:p>
        </w:tc>
        <w:tc>
          <w:tcPr>
            <w:tcW w:w="160" w:type="dxa"/>
            <w:vAlign w:val="bottom"/>
            <w:shd w:val="clear" w:color="auto" w:fill="E6EDF3"/>
          </w:tcPr>
          <w:p>
            <w:pPr>
              <w:spacing w:after="0"/>
              <w:rPr>
                <w:sz w:val="14"/>
                <w:szCs w:val="14"/>
                <w:color w:val="auto"/>
              </w:rPr>
            </w:pPr>
          </w:p>
        </w:tc>
        <w:tc>
          <w:tcPr>
            <w:tcW w:w="2780" w:type="dxa"/>
            <w:vAlign w:val="bottom"/>
            <w:tcBorders>
              <w:right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spacing w:after="0"/>
              <w:rPr>
                <w:sz w:val="14"/>
                <w:szCs w:val="14"/>
                <w:color w:val="auto"/>
              </w:rPr>
            </w:pPr>
          </w:p>
        </w:tc>
        <w:tc>
          <w:tcPr>
            <w:tcW w:w="160" w:type="dxa"/>
            <w:vAlign w:val="bottom"/>
            <w:shd w:val="clear" w:color="auto" w:fill="E6EDF3"/>
          </w:tcPr>
          <w:p>
            <w:pPr>
              <w:spacing w:after="0"/>
              <w:rPr>
                <w:sz w:val="14"/>
                <w:szCs w:val="14"/>
                <w:color w:val="auto"/>
              </w:rPr>
            </w:pPr>
          </w:p>
        </w:tc>
        <w:tc>
          <w:tcPr>
            <w:tcW w:w="2940" w:type="dxa"/>
            <w:vAlign w:val="bottom"/>
            <w:shd w:val="clear" w:color="auto" w:fill="E6EDF3"/>
          </w:tcPr>
          <w:p>
            <w:pPr>
              <w:ind w:left="40"/>
              <w:spacing w:after="0"/>
              <w:rPr>
                <w:sz w:val="20"/>
                <w:szCs w:val="20"/>
                <w:color w:val="auto"/>
              </w:rPr>
            </w:pPr>
            <w:r>
              <w:rPr>
                <w:rFonts w:ascii="Arial" w:cs="Arial" w:eastAsia="Arial" w:hAnsi="Arial"/>
                <w:sz w:val="14"/>
                <w:szCs w:val="14"/>
                <w:color w:val="auto"/>
              </w:rPr>
              <w:t>participate in the first year of employment</w:t>
            </w:r>
          </w:p>
        </w:tc>
        <w:tc>
          <w:tcPr>
            <w:tcW w:w="160" w:type="dxa"/>
            <w:vAlign w:val="bottom"/>
            <w:shd w:val="clear" w:color="auto" w:fill="E6EDF3"/>
          </w:tcPr>
          <w:p>
            <w:pPr>
              <w:spacing w:after="0"/>
              <w:rPr>
                <w:sz w:val="14"/>
                <w:szCs w:val="14"/>
                <w:color w:val="auto"/>
              </w:rPr>
            </w:pPr>
          </w:p>
        </w:tc>
        <w:tc>
          <w:tcPr>
            <w:tcW w:w="2780" w:type="dxa"/>
            <w:vAlign w:val="bottom"/>
            <w:tcBorders>
              <w:right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spacing w:after="0"/>
              <w:rPr>
                <w:sz w:val="14"/>
                <w:szCs w:val="14"/>
                <w:color w:val="auto"/>
              </w:rPr>
            </w:pPr>
          </w:p>
        </w:tc>
        <w:tc>
          <w:tcPr>
            <w:tcW w:w="160" w:type="dxa"/>
            <w:vAlign w:val="bottom"/>
            <w:shd w:val="clear" w:color="auto" w:fill="E6EDF3"/>
          </w:tcPr>
          <w:p>
            <w:pPr>
              <w:spacing w:after="0"/>
              <w:rPr>
                <w:sz w:val="14"/>
                <w:szCs w:val="14"/>
                <w:color w:val="auto"/>
              </w:rPr>
            </w:pPr>
          </w:p>
        </w:tc>
        <w:tc>
          <w:tcPr>
            <w:tcW w:w="2940" w:type="dxa"/>
            <w:vAlign w:val="bottom"/>
            <w:shd w:val="clear" w:color="auto" w:fill="E6EDF3"/>
          </w:tcPr>
          <w:p>
            <w:pPr>
              <w:ind w:left="40"/>
              <w:spacing w:after="0"/>
              <w:rPr>
                <w:sz w:val="20"/>
                <w:szCs w:val="20"/>
                <w:color w:val="auto"/>
              </w:rPr>
            </w:pPr>
            <w:r>
              <w:rPr>
                <w:rFonts w:ascii="Arial" w:cs="Arial" w:eastAsia="Arial" w:hAnsi="Arial"/>
                <w:sz w:val="14"/>
                <w:szCs w:val="14"/>
                <w:color w:val="auto"/>
              </w:rPr>
              <w:t>and in catch-up contributions for individuals</w:t>
            </w:r>
          </w:p>
        </w:tc>
        <w:tc>
          <w:tcPr>
            <w:tcW w:w="160" w:type="dxa"/>
            <w:vAlign w:val="bottom"/>
            <w:shd w:val="clear" w:color="auto" w:fill="E6EDF3"/>
          </w:tcPr>
          <w:p>
            <w:pPr>
              <w:spacing w:after="0"/>
              <w:rPr>
                <w:sz w:val="14"/>
                <w:szCs w:val="14"/>
                <w:color w:val="auto"/>
              </w:rPr>
            </w:pPr>
          </w:p>
        </w:tc>
        <w:tc>
          <w:tcPr>
            <w:tcW w:w="2780" w:type="dxa"/>
            <w:vAlign w:val="bottom"/>
            <w:tcBorders>
              <w:right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60" w:type="dxa"/>
            <w:vAlign w:val="bottom"/>
            <w:tcBorders>
              <w:left w:val="single" w:sz="8" w:color="auto"/>
              <w:bottom w:val="single" w:sz="8" w:color="auto"/>
            </w:tcBorders>
            <w:shd w:val="clear" w:color="auto" w:fill="E6EDF3"/>
          </w:tcPr>
          <w:p>
            <w:pPr>
              <w:spacing w:after="0"/>
              <w:rPr>
                <w:sz w:val="14"/>
                <w:szCs w:val="14"/>
                <w:color w:val="auto"/>
              </w:rPr>
            </w:pPr>
          </w:p>
        </w:tc>
        <w:tc>
          <w:tcPr>
            <w:tcW w:w="3340" w:type="dxa"/>
            <w:vAlign w:val="bottom"/>
            <w:tcBorders>
              <w:bottom w:val="single" w:sz="8" w:color="auto"/>
            </w:tcBorders>
            <w:shd w:val="clear" w:color="auto" w:fill="E6EDF3"/>
          </w:tcPr>
          <w:p>
            <w:pPr>
              <w:spacing w:after="0"/>
              <w:rPr>
                <w:sz w:val="14"/>
                <w:szCs w:val="14"/>
                <w:color w:val="auto"/>
              </w:rPr>
            </w:pPr>
          </w:p>
        </w:tc>
        <w:tc>
          <w:tcPr>
            <w:tcW w:w="160" w:type="dxa"/>
            <w:vAlign w:val="bottom"/>
            <w:tcBorders>
              <w:bottom w:val="single" w:sz="8" w:color="auto"/>
            </w:tcBorders>
            <w:shd w:val="clear" w:color="auto" w:fill="E6EDF3"/>
          </w:tcPr>
          <w:p>
            <w:pPr>
              <w:spacing w:after="0"/>
              <w:rPr>
                <w:sz w:val="14"/>
                <w:szCs w:val="14"/>
                <w:color w:val="auto"/>
              </w:rPr>
            </w:pPr>
          </w:p>
        </w:tc>
        <w:tc>
          <w:tcPr>
            <w:tcW w:w="2940" w:type="dxa"/>
            <w:vAlign w:val="bottom"/>
            <w:tcBorders>
              <w:bottom w:val="single" w:sz="8" w:color="auto"/>
            </w:tcBorders>
            <w:shd w:val="clear" w:color="auto" w:fill="E6EDF3"/>
          </w:tcPr>
          <w:p>
            <w:pPr>
              <w:ind w:left="40"/>
              <w:spacing w:after="0"/>
              <w:rPr>
                <w:sz w:val="20"/>
                <w:szCs w:val="20"/>
                <w:color w:val="auto"/>
              </w:rPr>
            </w:pPr>
            <w:r>
              <w:rPr>
                <w:rFonts w:ascii="Arial" w:cs="Arial" w:eastAsia="Arial" w:hAnsi="Arial"/>
                <w:sz w:val="14"/>
                <w:szCs w:val="14"/>
                <w:color w:val="auto"/>
              </w:rPr>
              <w:t>over the age of 50.</w:t>
            </w:r>
          </w:p>
        </w:tc>
        <w:tc>
          <w:tcPr>
            <w:tcW w:w="160" w:type="dxa"/>
            <w:vAlign w:val="bottom"/>
            <w:tcBorders>
              <w:bottom w:val="single" w:sz="8" w:color="auto"/>
            </w:tcBorders>
            <w:shd w:val="clear" w:color="auto" w:fill="E6EDF3"/>
          </w:tcPr>
          <w:p>
            <w:pPr>
              <w:spacing w:after="0"/>
              <w:rPr>
                <w:sz w:val="14"/>
                <w:szCs w:val="14"/>
                <w:color w:val="auto"/>
              </w:rPr>
            </w:pPr>
          </w:p>
        </w:tc>
        <w:tc>
          <w:tcPr>
            <w:tcW w:w="2780" w:type="dxa"/>
            <w:vAlign w:val="bottom"/>
            <w:tcBorders>
              <w:bottom w:val="single" w:sz="8" w:color="auto"/>
              <w:right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60" w:type="dxa"/>
            <w:vAlign w:val="bottom"/>
            <w:tcBorders>
              <w:left w:val="single" w:sz="8" w:color="auto"/>
            </w:tcBorders>
          </w:tcPr>
          <w:p>
            <w:pPr>
              <w:ind w:left="160"/>
              <w:spacing w:after="0"/>
              <w:rPr>
                <w:sz w:val="20"/>
                <w:szCs w:val="20"/>
                <w:color w:val="auto"/>
              </w:rPr>
            </w:pPr>
            <w:r>
              <w:rPr>
                <w:rFonts w:ascii="Arial" w:cs="Arial" w:eastAsia="Arial" w:hAnsi="Arial"/>
                <w:sz w:val="14"/>
                <w:szCs w:val="14"/>
                <w:b w:val="1"/>
                <w:bCs w:val="1"/>
                <w:color w:val="auto"/>
              </w:rPr>
              <w:t>Nonqualified Savings Plan</w:t>
            </w:r>
          </w:p>
        </w:tc>
        <w:tc>
          <w:tcPr>
            <w:tcW w:w="3340" w:type="dxa"/>
            <w:vAlign w:val="bottom"/>
          </w:tcPr>
          <w:p>
            <w:pPr>
              <w:ind w:left="100"/>
              <w:spacing w:after="0"/>
              <w:rPr>
                <w:sz w:val="20"/>
                <w:szCs w:val="20"/>
                <w:color w:val="auto"/>
              </w:rPr>
            </w:pPr>
            <w:r>
              <w:rPr>
                <w:rFonts w:ascii="Arial" w:cs="Arial" w:eastAsia="Arial" w:hAnsi="Arial"/>
                <w:sz w:val="14"/>
                <w:szCs w:val="14"/>
                <w:color w:val="auto"/>
              </w:rPr>
              <w:t>Similar to a 401(k) plan, however not as flexible in</w:t>
            </w:r>
          </w:p>
        </w:tc>
        <w:tc>
          <w:tcPr>
            <w:tcW w:w="160" w:type="dxa"/>
            <w:vAlign w:val="bottom"/>
          </w:tcPr>
          <w:p>
            <w:pPr>
              <w:ind w:left="60"/>
              <w:spacing w:after="0"/>
              <w:rPr>
                <w:sz w:val="20"/>
                <w:szCs w:val="20"/>
                <w:color w:val="auto"/>
              </w:rPr>
            </w:pPr>
            <w:r>
              <w:rPr>
                <w:rFonts w:ascii="Arial" w:cs="Arial" w:eastAsia="Arial" w:hAnsi="Arial"/>
                <w:sz w:val="14"/>
                <w:szCs w:val="14"/>
                <w:color w:val="5D89B4"/>
              </w:rPr>
              <w:t>•</w:t>
            </w:r>
          </w:p>
        </w:tc>
        <w:tc>
          <w:tcPr>
            <w:tcW w:w="2940" w:type="dxa"/>
            <w:vAlign w:val="bottom"/>
          </w:tcPr>
          <w:p>
            <w:pPr>
              <w:ind w:left="40"/>
              <w:spacing w:after="0"/>
              <w:rPr>
                <w:sz w:val="20"/>
                <w:szCs w:val="20"/>
                <w:color w:val="auto"/>
              </w:rPr>
            </w:pPr>
            <w:r>
              <w:rPr>
                <w:rFonts w:ascii="Arial" w:cs="Arial" w:eastAsia="Arial" w:hAnsi="Arial"/>
                <w:sz w:val="14"/>
                <w:szCs w:val="14"/>
                <w:color w:val="auto"/>
              </w:rPr>
              <w:t>Used to provide NEOs with reasonably</w:t>
            </w:r>
          </w:p>
        </w:tc>
        <w:tc>
          <w:tcPr>
            <w:tcW w:w="160" w:type="dxa"/>
            <w:vAlign w:val="bottom"/>
          </w:tcPr>
          <w:p>
            <w:pPr>
              <w:ind w:left="80"/>
              <w:spacing w:after="0"/>
              <w:rPr>
                <w:sz w:val="20"/>
                <w:szCs w:val="20"/>
                <w:color w:val="auto"/>
              </w:rPr>
            </w:pPr>
            <w:r>
              <w:rPr>
                <w:rFonts w:ascii="Arial" w:cs="Arial" w:eastAsia="Arial" w:hAnsi="Arial"/>
                <w:sz w:val="14"/>
                <w:szCs w:val="14"/>
                <w:color w:val="5D89B4"/>
              </w:rPr>
              <w:t>•</w:t>
            </w:r>
          </w:p>
        </w:tc>
        <w:tc>
          <w:tcPr>
            <w:tcW w:w="27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Mr. Prising</w:t>
            </w:r>
            <w:r>
              <w:rPr>
                <w:rFonts w:ascii="Arial" w:cs="Arial" w:eastAsia="Arial" w:hAnsi="Arial"/>
                <w:sz w:val="14"/>
                <w:szCs w:val="14"/>
                <w:b w:val="1"/>
                <w:bCs w:val="1"/>
                <w:color w:val="auto"/>
              </w:rPr>
              <w:t>,</w:t>
            </w:r>
            <w:r>
              <w:rPr>
                <w:rFonts w:ascii="Arial" w:cs="Arial" w:eastAsia="Arial" w:hAnsi="Arial"/>
                <w:sz w:val="14"/>
                <w:szCs w:val="14"/>
                <w:color w:val="auto"/>
              </w:rPr>
              <w:t xml:space="preserve"> Ms. Swan and Mr. Van</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tcPr>
          <w:p>
            <w:pPr>
              <w:spacing w:after="0"/>
              <w:rPr>
                <w:sz w:val="14"/>
                <w:szCs w:val="14"/>
                <w:color w:val="auto"/>
              </w:rPr>
            </w:pPr>
          </w:p>
        </w:tc>
        <w:tc>
          <w:tcPr>
            <w:tcW w:w="3340" w:type="dxa"/>
            <w:vAlign w:val="bottom"/>
          </w:tcPr>
          <w:p>
            <w:pPr>
              <w:ind w:left="100"/>
              <w:spacing w:after="0"/>
              <w:rPr>
                <w:sz w:val="20"/>
                <w:szCs w:val="20"/>
                <w:color w:val="auto"/>
              </w:rPr>
            </w:pPr>
            <w:r>
              <w:rPr>
                <w:rFonts w:ascii="Arial" w:cs="Arial" w:eastAsia="Arial" w:hAnsi="Arial"/>
                <w:sz w:val="14"/>
                <w:szCs w:val="14"/>
                <w:color w:val="auto"/>
              </w:rPr>
              <w:t>regards to timing of the payouts of the retirement</w:t>
            </w:r>
          </w:p>
        </w:tc>
        <w:tc>
          <w:tcPr>
            <w:tcW w:w="160" w:type="dxa"/>
            <w:vAlign w:val="bottom"/>
          </w:tcPr>
          <w:p>
            <w:pPr>
              <w:spacing w:after="0"/>
              <w:rPr>
                <w:sz w:val="14"/>
                <w:szCs w:val="14"/>
                <w:color w:val="auto"/>
              </w:rPr>
            </w:pPr>
          </w:p>
        </w:tc>
        <w:tc>
          <w:tcPr>
            <w:tcW w:w="2940" w:type="dxa"/>
            <w:vAlign w:val="bottom"/>
          </w:tcPr>
          <w:p>
            <w:pPr>
              <w:ind w:left="40"/>
              <w:spacing w:after="0"/>
              <w:rPr>
                <w:sz w:val="20"/>
                <w:szCs w:val="20"/>
                <w:color w:val="auto"/>
              </w:rPr>
            </w:pPr>
            <w:r>
              <w:rPr>
                <w:rFonts w:ascii="Arial" w:cs="Arial" w:eastAsia="Arial" w:hAnsi="Arial"/>
                <w:sz w:val="14"/>
                <w:szCs w:val="14"/>
                <w:color w:val="auto"/>
              </w:rPr>
              <w:t>competitive benefits to those in the</w:t>
            </w:r>
          </w:p>
        </w:tc>
        <w:tc>
          <w:tcPr>
            <w:tcW w:w="160" w:type="dxa"/>
            <w:vAlign w:val="bottom"/>
          </w:tcPr>
          <w:p>
            <w:pPr>
              <w:spacing w:after="0"/>
              <w:rPr>
                <w:sz w:val="14"/>
                <w:szCs w:val="14"/>
                <w:color w:val="auto"/>
              </w:rPr>
            </w:pPr>
          </w:p>
        </w:tc>
        <w:tc>
          <w:tcPr>
            <w:tcW w:w="27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Handel participated in the NQSP in 2016.</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tcPr>
          <w:p>
            <w:pPr>
              <w:spacing w:after="0"/>
              <w:rPr>
                <w:sz w:val="14"/>
                <w:szCs w:val="14"/>
                <w:color w:val="auto"/>
              </w:rPr>
            </w:pPr>
          </w:p>
        </w:tc>
        <w:tc>
          <w:tcPr>
            <w:tcW w:w="3340" w:type="dxa"/>
            <w:vAlign w:val="bottom"/>
          </w:tcPr>
          <w:p>
            <w:pPr>
              <w:ind w:left="100"/>
              <w:spacing w:after="0"/>
              <w:rPr>
                <w:sz w:val="20"/>
                <w:szCs w:val="20"/>
                <w:color w:val="auto"/>
              </w:rPr>
            </w:pPr>
            <w:r>
              <w:rPr>
                <w:rFonts w:ascii="Arial" w:cs="Arial" w:eastAsia="Arial" w:hAnsi="Arial"/>
                <w:sz w:val="14"/>
                <w:szCs w:val="14"/>
                <w:color w:val="auto"/>
              </w:rPr>
              <w:t>benefits for nonqualified plans. These benefits are</w:t>
            </w:r>
          </w:p>
        </w:tc>
        <w:tc>
          <w:tcPr>
            <w:tcW w:w="160" w:type="dxa"/>
            <w:vAlign w:val="bottom"/>
          </w:tcPr>
          <w:p>
            <w:pPr>
              <w:spacing w:after="0"/>
              <w:rPr>
                <w:sz w:val="14"/>
                <w:szCs w:val="14"/>
                <w:color w:val="auto"/>
              </w:rPr>
            </w:pPr>
          </w:p>
        </w:tc>
        <w:tc>
          <w:tcPr>
            <w:tcW w:w="2940" w:type="dxa"/>
            <w:vAlign w:val="bottom"/>
          </w:tcPr>
          <w:p>
            <w:pPr>
              <w:ind w:left="40"/>
              <w:spacing w:after="0"/>
              <w:rPr>
                <w:sz w:val="20"/>
                <w:szCs w:val="20"/>
                <w:color w:val="auto"/>
              </w:rPr>
            </w:pPr>
            <w:r>
              <w:rPr>
                <w:rFonts w:ascii="Arial" w:cs="Arial" w:eastAsia="Arial" w:hAnsi="Arial"/>
                <w:sz w:val="14"/>
                <w:szCs w:val="14"/>
                <w:color w:val="auto"/>
              </w:rPr>
              <w:t>competitive market. NEOs are eligible to</w:t>
            </w:r>
          </w:p>
        </w:tc>
        <w:tc>
          <w:tcPr>
            <w:tcW w:w="160" w:type="dxa"/>
            <w:vAlign w:val="bottom"/>
          </w:tcPr>
          <w:p>
            <w:pPr>
              <w:spacing w:after="0"/>
              <w:rPr>
                <w:sz w:val="14"/>
                <w:szCs w:val="14"/>
                <w:color w:val="auto"/>
              </w:rPr>
            </w:pPr>
          </w:p>
        </w:tc>
        <w:tc>
          <w:tcPr>
            <w:tcW w:w="2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tcPr>
          <w:p>
            <w:pPr>
              <w:spacing w:after="0"/>
              <w:rPr>
                <w:sz w:val="14"/>
                <w:szCs w:val="14"/>
                <w:color w:val="auto"/>
              </w:rPr>
            </w:pPr>
          </w:p>
        </w:tc>
        <w:tc>
          <w:tcPr>
            <w:tcW w:w="3340" w:type="dxa"/>
            <w:vAlign w:val="bottom"/>
          </w:tcPr>
          <w:p>
            <w:pPr>
              <w:ind w:left="100"/>
              <w:spacing w:after="0"/>
              <w:rPr>
                <w:sz w:val="20"/>
                <w:szCs w:val="20"/>
                <w:color w:val="auto"/>
              </w:rPr>
            </w:pPr>
            <w:r>
              <w:rPr>
                <w:rFonts w:ascii="Arial" w:cs="Arial" w:eastAsia="Arial" w:hAnsi="Arial"/>
                <w:sz w:val="14"/>
                <w:szCs w:val="14"/>
                <w:color w:val="auto"/>
              </w:rPr>
              <w:t>unsecured and subject to risk of forfeiture in</w:t>
            </w:r>
          </w:p>
        </w:tc>
        <w:tc>
          <w:tcPr>
            <w:tcW w:w="160" w:type="dxa"/>
            <w:vAlign w:val="bottom"/>
          </w:tcPr>
          <w:p>
            <w:pPr>
              <w:spacing w:after="0"/>
              <w:rPr>
                <w:sz w:val="14"/>
                <w:szCs w:val="14"/>
                <w:color w:val="auto"/>
              </w:rPr>
            </w:pPr>
          </w:p>
        </w:tc>
        <w:tc>
          <w:tcPr>
            <w:tcW w:w="2940" w:type="dxa"/>
            <w:vAlign w:val="bottom"/>
          </w:tcPr>
          <w:p>
            <w:pPr>
              <w:ind w:left="40"/>
              <w:spacing w:after="0"/>
              <w:rPr>
                <w:sz w:val="20"/>
                <w:szCs w:val="20"/>
                <w:color w:val="auto"/>
              </w:rPr>
            </w:pPr>
            <w:r>
              <w:rPr>
                <w:rFonts w:ascii="Arial" w:cs="Arial" w:eastAsia="Arial" w:hAnsi="Arial"/>
                <w:sz w:val="14"/>
                <w:szCs w:val="14"/>
                <w:color w:val="auto"/>
              </w:rPr>
              <w:t>participate after the first year of</w:t>
            </w:r>
          </w:p>
        </w:tc>
        <w:tc>
          <w:tcPr>
            <w:tcW w:w="160" w:type="dxa"/>
            <w:vAlign w:val="bottom"/>
          </w:tcPr>
          <w:p>
            <w:pPr>
              <w:spacing w:after="0"/>
              <w:rPr>
                <w:sz w:val="14"/>
                <w:szCs w:val="14"/>
                <w:color w:val="auto"/>
              </w:rPr>
            </w:pPr>
          </w:p>
        </w:tc>
        <w:tc>
          <w:tcPr>
            <w:tcW w:w="2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60" w:type="dxa"/>
            <w:vAlign w:val="bottom"/>
            <w:tcBorders>
              <w:left w:val="single" w:sz="8" w:color="auto"/>
              <w:bottom w:val="single" w:sz="8" w:color="auto"/>
            </w:tcBorders>
          </w:tcPr>
          <w:p>
            <w:pPr>
              <w:spacing w:after="0"/>
              <w:rPr>
                <w:sz w:val="13"/>
                <w:szCs w:val="13"/>
                <w:color w:val="auto"/>
              </w:rPr>
            </w:pPr>
          </w:p>
        </w:tc>
        <w:tc>
          <w:tcPr>
            <w:tcW w:w="3340" w:type="dxa"/>
            <w:vAlign w:val="bottom"/>
            <w:tcBorders>
              <w:bottom w:val="single" w:sz="8" w:color="auto"/>
            </w:tcBorders>
          </w:tcPr>
          <w:p>
            <w:pPr>
              <w:ind w:left="100"/>
              <w:spacing w:after="0" w:line="157" w:lineRule="exact"/>
              <w:rPr>
                <w:sz w:val="20"/>
                <w:szCs w:val="20"/>
                <w:color w:val="auto"/>
              </w:rPr>
            </w:pPr>
            <w:r>
              <w:rPr>
                <w:rFonts w:ascii="Arial" w:cs="Arial" w:eastAsia="Arial" w:hAnsi="Arial"/>
                <w:sz w:val="14"/>
                <w:szCs w:val="14"/>
                <w:color w:val="auto"/>
              </w:rPr>
              <w:t>bankruptcy.</w:t>
            </w:r>
          </w:p>
        </w:tc>
        <w:tc>
          <w:tcPr>
            <w:tcW w:w="16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tcPr>
          <w:p>
            <w:pPr>
              <w:ind w:left="40"/>
              <w:spacing w:after="0" w:line="157" w:lineRule="exact"/>
              <w:rPr>
                <w:sz w:val="20"/>
                <w:szCs w:val="20"/>
                <w:color w:val="auto"/>
              </w:rPr>
            </w:pPr>
            <w:r>
              <w:rPr>
                <w:rFonts w:ascii="Arial" w:cs="Arial" w:eastAsia="Arial" w:hAnsi="Arial"/>
                <w:sz w:val="14"/>
                <w:szCs w:val="14"/>
                <w:color w:val="auto"/>
              </w:rPr>
              <w:t>employment.</w:t>
            </w:r>
          </w:p>
        </w:tc>
        <w:tc>
          <w:tcPr>
            <w:tcW w:w="160" w:type="dxa"/>
            <w:vAlign w:val="bottom"/>
            <w:tcBorders>
              <w:bottom w:val="single" w:sz="8" w:color="auto"/>
            </w:tcBorders>
          </w:tcPr>
          <w:p>
            <w:pPr>
              <w:spacing w:after="0"/>
              <w:rPr>
                <w:sz w:val="13"/>
                <w:szCs w:val="13"/>
                <w:color w:val="auto"/>
              </w:rPr>
            </w:pPr>
          </w:p>
        </w:tc>
        <w:tc>
          <w:tcPr>
            <w:tcW w:w="27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60" w:type="dxa"/>
            <w:vAlign w:val="bottom"/>
            <w:tcBorders>
              <w:left w:val="single" w:sz="8" w:color="auto"/>
            </w:tcBorders>
            <w:shd w:val="clear" w:color="auto" w:fill="E6EDF3"/>
          </w:tcPr>
          <w:p>
            <w:pPr>
              <w:ind w:left="160"/>
              <w:spacing w:after="0"/>
              <w:rPr>
                <w:sz w:val="20"/>
                <w:szCs w:val="20"/>
                <w:color w:val="auto"/>
              </w:rPr>
            </w:pPr>
            <w:r>
              <w:rPr>
                <w:rFonts w:ascii="Arial" w:cs="Arial" w:eastAsia="Arial" w:hAnsi="Arial"/>
                <w:sz w:val="14"/>
                <w:szCs w:val="14"/>
                <w:b w:val="1"/>
                <w:bCs w:val="1"/>
                <w:color w:val="auto"/>
              </w:rPr>
              <w:t>Career Shares</w:t>
            </w:r>
          </w:p>
        </w:tc>
        <w:tc>
          <w:tcPr>
            <w:tcW w:w="3340" w:type="dxa"/>
            <w:vAlign w:val="bottom"/>
            <w:shd w:val="clear" w:color="auto" w:fill="E6EDF3"/>
          </w:tcPr>
          <w:p>
            <w:pPr>
              <w:ind w:left="100"/>
              <w:spacing w:after="0"/>
              <w:rPr>
                <w:sz w:val="20"/>
                <w:szCs w:val="20"/>
                <w:color w:val="auto"/>
              </w:rPr>
            </w:pPr>
            <w:r>
              <w:rPr>
                <w:rFonts w:ascii="Arial" w:cs="Arial" w:eastAsia="Arial" w:hAnsi="Arial"/>
                <w:sz w:val="14"/>
                <w:szCs w:val="14"/>
                <w:color w:val="auto"/>
              </w:rPr>
              <w:t>Used selectively by the Committee, taking into</w:t>
            </w:r>
          </w:p>
        </w:tc>
        <w:tc>
          <w:tcPr>
            <w:tcW w:w="160" w:type="dxa"/>
            <w:vAlign w:val="bottom"/>
            <w:shd w:val="clear" w:color="auto" w:fill="E6EDF3"/>
          </w:tcPr>
          <w:p>
            <w:pPr>
              <w:ind w:left="60"/>
              <w:spacing w:after="0"/>
              <w:rPr>
                <w:sz w:val="20"/>
                <w:szCs w:val="20"/>
                <w:color w:val="auto"/>
              </w:rPr>
            </w:pPr>
            <w:r>
              <w:rPr>
                <w:rFonts w:ascii="Arial" w:cs="Arial" w:eastAsia="Arial" w:hAnsi="Arial"/>
                <w:sz w:val="14"/>
                <w:szCs w:val="14"/>
                <w:color w:val="5D89B4"/>
              </w:rPr>
              <w:t>•</w:t>
            </w:r>
          </w:p>
        </w:tc>
        <w:tc>
          <w:tcPr>
            <w:tcW w:w="2940" w:type="dxa"/>
            <w:vAlign w:val="bottom"/>
            <w:shd w:val="clear" w:color="auto" w:fill="E6EDF3"/>
          </w:tcPr>
          <w:p>
            <w:pPr>
              <w:ind w:left="40"/>
              <w:spacing w:after="0"/>
              <w:rPr>
                <w:sz w:val="20"/>
                <w:szCs w:val="20"/>
                <w:color w:val="auto"/>
              </w:rPr>
            </w:pPr>
            <w:r>
              <w:rPr>
                <w:rFonts w:ascii="Arial" w:cs="Arial" w:eastAsia="Arial" w:hAnsi="Arial"/>
                <w:sz w:val="14"/>
                <w:szCs w:val="14"/>
                <w:color w:val="auto"/>
              </w:rPr>
              <w:t>Used as an incentive in the form of</w:t>
            </w:r>
          </w:p>
        </w:tc>
        <w:tc>
          <w:tcPr>
            <w:tcW w:w="160" w:type="dxa"/>
            <w:vAlign w:val="bottom"/>
            <w:shd w:val="clear" w:color="auto" w:fill="E6EDF3"/>
          </w:tcPr>
          <w:p>
            <w:pPr>
              <w:ind w:left="80"/>
              <w:spacing w:after="0"/>
              <w:rPr>
                <w:sz w:val="20"/>
                <w:szCs w:val="20"/>
                <w:color w:val="auto"/>
              </w:rPr>
            </w:pPr>
            <w:r>
              <w:rPr>
                <w:rFonts w:ascii="Arial" w:cs="Arial" w:eastAsia="Arial" w:hAnsi="Arial"/>
                <w:sz w:val="14"/>
                <w:szCs w:val="14"/>
                <w:color w:val="5D89B4"/>
              </w:rPr>
              <w:t>•</w:t>
            </w:r>
          </w:p>
        </w:tc>
        <w:tc>
          <w:tcPr>
            <w:tcW w:w="2780" w:type="dxa"/>
            <w:vAlign w:val="bottom"/>
            <w:tcBorders>
              <w:right w:val="single" w:sz="8" w:color="auto"/>
            </w:tcBorders>
            <w:shd w:val="clear" w:color="auto" w:fill="E6EDF3"/>
          </w:tcPr>
          <w:p>
            <w:pPr>
              <w:ind w:left="40"/>
              <w:spacing w:after="0"/>
              <w:rPr>
                <w:sz w:val="20"/>
                <w:szCs w:val="20"/>
                <w:color w:val="auto"/>
              </w:rPr>
            </w:pPr>
            <w:r>
              <w:rPr>
                <w:rFonts w:ascii="Arial" w:cs="Arial" w:eastAsia="Arial" w:hAnsi="Arial"/>
                <w:sz w:val="14"/>
                <w:szCs w:val="14"/>
                <w:color w:val="auto"/>
              </w:rPr>
              <w:t>Mr. McGinnis and Mr. Chandrashekar</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ind w:left="100"/>
              <w:spacing w:after="0"/>
              <w:rPr>
                <w:sz w:val="20"/>
                <w:szCs w:val="20"/>
                <w:color w:val="auto"/>
              </w:rPr>
            </w:pPr>
            <w:r>
              <w:rPr>
                <w:rFonts w:ascii="Arial" w:cs="Arial" w:eastAsia="Arial" w:hAnsi="Arial"/>
                <w:sz w:val="14"/>
                <w:szCs w:val="14"/>
                <w:color w:val="auto"/>
              </w:rPr>
              <w:t>account what is most appropriate for an NEO in</w:t>
            </w:r>
          </w:p>
        </w:tc>
        <w:tc>
          <w:tcPr>
            <w:tcW w:w="160" w:type="dxa"/>
            <w:vAlign w:val="bottom"/>
            <w:shd w:val="clear" w:color="auto" w:fill="E6EDF3"/>
          </w:tcPr>
          <w:p>
            <w:pPr>
              <w:spacing w:after="0"/>
              <w:rPr>
                <w:sz w:val="14"/>
                <w:szCs w:val="14"/>
                <w:color w:val="auto"/>
              </w:rPr>
            </w:pPr>
          </w:p>
        </w:tc>
        <w:tc>
          <w:tcPr>
            <w:tcW w:w="2940" w:type="dxa"/>
            <w:vAlign w:val="bottom"/>
            <w:shd w:val="clear" w:color="auto" w:fill="E6EDF3"/>
          </w:tcPr>
          <w:p>
            <w:pPr>
              <w:ind w:left="40"/>
              <w:spacing w:after="0"/>
              <w:rPr>
                <w:sz w:val="20"/>
                <w:szCs w:val="20"/>
                <w:color w:val="auto"/>
              </w:rPr>
            </w:pPr>
            <w:r>
              <w:rPr>
                <w:rFonts w:ascii="Arial" w:cs="Arial" w:eastAsia="Arial" w:hAnsi="Arial"/>
                <w:sz w:val="14"/>
                <w:szCs w:val="14"/>
                <w:color w:val="auto"/>
              </w:rPr>
              <w:t>restricted stock units to attract and retain</w:t>
            </w:r>
          </w:p>
        </w:tc>
        <w:tc>
          <w:tcPr>
            <w:tcW w:w="160" w:type="dxa"/>
            <w:vAlign w:val="bottom"/>
            <w:shd w:val="clear" w:color="auto" w:fill="E6EDF3"/>
          </w:tcPr>
          <w:p>
            <w:pPr>
              <w:spacing w:after="0"/>
              <w:rPr>
                <w:sz w:val="14"/>
                <w:szCs w:val="14"/>
                <w:color w:val="auto"/>
              </w:rPr>
            </w:pPr>
          </w:p>
        </w:tc>
        <w:tc>
          <w:tcPr>
            <w:tcW w:w="2780" w:type="dxa"/>
            <w:vAlign w:val="bottom"/>
            <w:tcBorders>
              <w:right w:val="single" w:sz="8" w:color="auto"/>
            </w:tcBorders>
            <w:shd w:val="clear" w:color="auto" w:fill="E6EDF3"/>
          </w:tcPr>
          <w:p>
            <w:pPr>
              <w:ind w:left="60"/>
              <w:spacing w:after="0"/>
              <w:rPr>
                <w:sz w:val="20"/>
                <w:szCs w:val="20"/>
                <w:color w:val="auto"/>
              </w:rPr>
            </w:pPr>
            <w:r>
              <w:rPr>
                <w:rFonts w:ascii="Arial" w:cs="Arial" w:eastAsia="Arial" w:hAnsi="Arial"/>
                <w:sz w:val="14"/>
                <w:szCs w:val="14"/>
                <w:color w:val="auto"/>
              </w:rPr>
              <w:t>each received a career share grant in</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ind w:left="100"/>
              <w:spacing w:after="0"/>
              <w:rPr>
                <w:sz w:val="20"/>
                <w:szCs w:val="20"/>
                <w:color w:val="auto"/>
              </w:rPr>
            </w:pPr>
            <w:r>
              <w:rPr>
                <w:rFonts w:ascii="Arial" w:cs="Arial" w:eastAsia="Arial" w:hAnsi="Arial"/>
                <w:sz w:val="14"/>
                <w:szCs w:val="14"/>
                <w:color w:val="auto"/>
              </w:rPr>
              <w:t>view of the retention incentive provided by the</w:t>
            </w:r>
          </w:p>
        </w:tc>
        <w:tc>
          <w:tcPr>
            <w:tcW w:w="160" w:type="dxa"/>
            <w:vAlign w:val="bottom"/>
            <w:shd w:val="clear" w:color="auto" w:fill="E6EDF3"/>
          </w:tcPr>
          <w:p>
            <w:pPr>
              <w:spacing w:after="0"/>
              <w:rPr>
                <w:sz w:val="14"/>
                <w:szCs w:val="14"/>
                <w:color w:val="auto"/>
              </w:rPr>
            </w:pPr>
          </w:p>
        </w:tc>
        <w:tc>
          <w:tcPr>
            <w:tcW w:w="2940" w:type="dxa"/>
            <w:vAlign w:val="bottom"/>
            <w:shd w:val="clear" w:color="auto" w:fill="E6EDF3"/>
          </w:tcPr>
          <w:p>
            <w:pPr>
              <w:ind w:left="40"/>
              <w:spacing w:after="0"/>
              <w:rPr>
                <w:sz w:val="20"/>
                <w:szCs w:val="20"/>
                <w:color w:val="auto"/>
              </w:rPr>
            </w:pPr>
            <w:r>
              <w:rPr>
                <w:rFonts w:ascii="Arial" w:cs="Arial" w:eastAsia="Arial" w:hAnsi="Arial"/>
                <w:sz w:val="14"/>
                <w:szCs w:val="14"/>
                <w:color w:val="auto"/>
              </w:rPr>
              <w:t>executives. The Committee considers each</w:t>
            </w:r>
          </w:p>
        </w:tc>
        <w:tc>
          <w:tcPr>
            <w:tcW w:w="160" w:type="dxa"/>
            <w:vAlign w:val="bottom"/>
            <w:shd w:val="clear" w:color="auto" w:fill="E6EDF3"/>
          </w:tcPr>
          <w:p>
            <w:pPr>
              <w:spacing w:after="0"/>
              <w:rPr>
                <w:sz w:val="14"/>
                <w:szCs w:val="14"/>
                <w:color w:val="auto"/>
              </w:rPr>
            </w:pPr>
          </w:p>
        </w:tc>
        <w:tc>
          <w:tcPr>
            <w:tcW w:w="2780" w:type="dxa"/>
            <w:vAlign w:val="bottom"/>
            <w:tcBorders>
              <w:right w:val="single" w:sz="8" w:color="auto"/>
            </w:tcBorders>
            <w:shd w:val="clear" w:color="auto" w:fill="E6EDF3"/>
          </w:tcPr>
          <w:p>
            <w:pPr>
              <w:ind w:left="60"/>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shd w:val="clear" w:color="auto" w:fill="E6EDF3"/>
          </w:tcPr>
          <w:p>
            <w:pPr>
              <w:spacing w:after="0"/>
              <w:rPr>
                <w:sz w:val="14"/>
                <w:szCs w:val="14"/>
                <w:color w:val="auto"/>
              </w:rPr>
            </w:pPr>
          </w:p>
        </w:tc>
        <w:tc>
          <w:tcPr>
            <w:tcW w:w="3340" w:type="dxa"/>
            <w:vAlign w:val="bottom"/>
            <w:shd w:val="clear" w:color="auto" w:fill="E6EDF3"/>
          </w:tcPr>
          <w:p>
            <w:pPr>
              <w:ind w:left="100"/>
              <w:spacing w:after="0"/>
              <w:rPr>
                <w:sz w:val="20"/>
                <w:szCs w:val="20"/>
                <w:color w:val="auto"/>
              </w:rPr>
            </w:pPr>
            <w:r>
              <w:rPr>
                <w:rFonts w:ascii="Arial" w:cs="Arial" w:eastAsia="Arial" w:hAnsi="Arial"/>
                <w:sz w:val="14"/>
                <w:szCs w:val="14"/>
                <w:color w:val="auto"/>
              </w:rPr>
              <w:t>award. Restricted stock units vest completely on</w:t>
            </w:r>
          </w:p>
        </w:tc>
        <w:tc>
          <w:tcPr>
            <w:tcW w:w="160" w:type="dxa"/>
            <w:vAlign w:val="bottom"/>
            <w:shd w:val="clear" w:color="auto" w:fill="E6EDF3"/>
          </w:tcPr>
          <w:p>
            <w:pPr>
              <w:spacing w:after="0"/>
              <w:rPr>
                <w:sz w:val="14"/>
                <w:szCs w:val="14"/>
                <w:color w:val="auto"/>
              </w:rPr>
            </w:pPr>
          </w:p>
        </w:tc>
        <w:tc>
          <w:tcPr>
            <w:tcW w:w="2940" w:type="dxa"/>
            <w:vAlign w:val="bottom"/>
            <w:shd w:val="clear" w:color="auto" w:fill="E6EDF3"/>
          </w:tcPr>
          <w:p>
            <w:pPr>
              <w:ind w:left="40"/>
              <w:spacing w:after="0"/>
              <w:rPr>
                <w:sz w:val="20"/>
                <w:szCs w:val="20"/>
                <w:color w:val="auto"/>
              </w:rPr>
            </w:pPr>
            <w:r>
              <w:rPr>
                <w:rFonts w:ascii="Arial" w:cs="Arial" w:eastAsia="Arial" w:hAnsi="Arial"/>
                <w:sz w:val="14"/>
                <w:szCs w:val="14"/>
                <w:color w:val="auto"/>
              </w:rPr>
              <w:t>year whether to make any such grants and</w:t>
            </w:r>
          </w:p>
        </w:tc>
        <w:tc>
          <w:tcPr>
            <w:tcW w:w="160" w:type="dxa"/>
            <w:vAlign w:val="bottom"/>
            <w:shd w:val="clear" w:color="auto" w:fill="E6EDF3"/>
          </w:tcPr>
          <w:p>
            <w:pPr>
              <w:spacing w:after="0"/>
              <w:rPr>
                <w:sz w:val="14"/>
                <w:szCs w:val="14"/>
                <w:color w:val="auto"/>
              </w:rPr>
            </w:pPr>
          </w:p>
        </w:tc>
        <w:tc>
          <w:tcPr>
            <w:tcW w:w="2780" w:type="dxa"/>
            <w:vAlign w:val="bottom"/>
            <w:tcBorders>
              <w:right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60" w:type="dxa"/>
            <w:vAlign w:val="bottom"/>
            <w:tcBorders>
              <w:left w:val="single" w:sz="8" w:color="auto"/>
              <w:bottom w:val="single" w:sz="8" w:color="auto"/>
            </w:tcBorders>
            <w:shd w:val="clear" w:color="auto" w:fill="E6EDF3"/>
          </w:tcPr>
          <w:p>
            <w:pPr>
              <w:spacing w:after="0"/>
              <w:rPr>
                <w:sz w:val="13"/>
                <w:szCs w:val="13"/>
                <w:color w:val="auto"/>
              </w:rPr>
            </w:pPr>
          </w:p>
        </w:tc>
        <w:tc>
          <w:tcPr>
            <w:tcW w:w="3340" w:type="dxa"/>
            <w:vAlign w:val="bottom"/>
            <w:tcBorders>
              <w:bottom w:val="single" w:sz="8" w:color="auto"/>
            </w:tcBorders>
            <w:shd w:val="clear" w:color="auto" w:fill="E6EDF3"/>
          </w:tcPr>
          <w:p>
            <w:pPr>
              <w:ind w:left="100"/>
              <w:spacing w:after="0" w:line="157" w:lineRule="exact"/>
              <w:rPr>
                <w:sz w:val="20"/>
                <w:szCs w:val="20"/>
                <w:color w:val="auto"/>
              </w:rPr>
            </w:pPr>
            <w:r>
              <w:rPr>
                <w:rFonts w:ascii="Arial" w:cs="Arial" w:eastAsia="Arial" w:hAnsi="Arial"/>
                <w:sz w:val="14"/>
                <w:szCs w:val="14"/>
                <w:color w:val="auto"/>
              </w:rPr>
              <w:t>a single date several years into the future.</w:t>
            </w:r>
          </w:p>
        </w:tc>
        <w:tc>
          <w:tcPr>
            <w:tcW w:w="160" w:type="dxa"/>
            <w:vAlign w:val="bottom"/>
            <w:tcBorders>
              <w:bottom w:val="single" w:sz="8" w:color="auto"/>
            </w:tcBorders>
            <w:shd w:val="clear" w:color="auto" w:fill="E6EDF3"/>
          </w:tcPr>
          <w:p>
            <w:pPr>
              <w:spacing w:after="0"/>
              <w:rPr>
                <w:sz w:val="13"/>
                <w:szCs w:val="13"/>
                <w:color w:val="auto"/>
              </w:rPr>
            </w:pPr>
          </w:p>
        </w:tc>
        <w:tc>
          <w:tcPr>
            <w:tcW w:w="2940" w:type="dxa"/>
            <w:vAlign w:val="bottom"/>
            <w:tcBorders>
              <w:bottom w:val="single" w:sz="8" w:color="auto"/>
            </w:tcBorders>
            <w:shd w:val="clear" w:color="auto" w:fill="E6EDF3"/>
          </w:tcPr>
          <w:p>
            <w:pPr>
              <w:ind w:left="40"/>
              <w:spacing w:after="0" w:line="157" w:lineRule="exact"/>
              <w:rPr>
                <w:sz w:val="20"/>
                <w:szCs w:val="20"/>
                <w:color w:val="auto"/>
              </w:rPr>
            </w:pPr>
            <w:r>
              <w:rPr>
                <w:rFonts w:ascii="Arial" w:cs="Arial" w:eastAsia="Arial" w:hAnsi="Arial"/>
                <w:sz w:val="14"/>
                <w:szCs w:val="14"/>
                <w:color w:val="auto"/>
              </w:rPr>
              <w:t>to whom.</w:t>
            </w:r>
          </w:p>
        </w:tc>
        <w:tc>
          <w:tcPr>
            <w:tcW w:w="160" w:type="dxa"/>
            <w:vAlign w:val="bottom"/>
            <w:tcBorders>
              <w:bottom w:val="single" w:sz="8" w:color="auto"/>
            </w:tcBorders>
            <w:shd w:val="clear" w:color="auto" w:fill="E6EDF3"/>
          </w:tcPr>
          <w:p>
            <w:pPr>
              <w:spacing w:after="0"/>
              <w:rPr>
                <w:sz w:val="13"/>
                <w:szCs w:val="13"/>
                <w:color w:val="auto"/>
              </w:rPr>
            </w:pPr>
          </w:p>
        </w:tc>
        <w:tc>
          <w:tcPr>
            <w:tcW w:w="2780" w:type="dxa"/>
            <w:vAlign w:val="bottom"/>
            <w:tcBorders>
              <w:bottom w:val="single" w:sz="8" w:color="auto"/>
              <w:right w:val="single" w:sz="8" w:color="auto"/>
            </w:tcBorders>
            <w:shd w:val="clear" w:color="auto" w:fill="E6EDF3"/>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60" w:type="dxa"/>
            <w:vAlign w:val="bottom"/>
            <w:tcBorders>
              <w:left w:val="single" w:sz="8" w:color="auto"/>
            </w:tcBorders>
          </w:tcPr>
          <w:p>
            <w:pPr>
              <w:ind w:left="160"/>
              <w:spacing w:after="0"/>
              <w:rPr>
                <w:sz w:val="20"/>
                <w:szCs w:val="20"/>
                <w:color w:val="auto"/>
              </w:rPr>
            </w:pPr>
            <w:r>
              <w:rPr>
                <w:rFonts w:ascii="Arial" w:cs="Arial" w:eastAsia="Arial" w:hAnsi="Arial"/>
                <w:sz w:val="14"/>
                <w:szCs w:val="14"/>
                <w:b w:val="1"/>
                <w:bCs w:val="1"/>
                <w:color w:val="auto"/>
              </w:rPr>
              <w:t>Other Benefits</w:t>
            </w:r>
          </w:p>
        </w:tc>
        <w:tc>
          <w:tcPr>
            <w:tcW w:w="3340" w:type="dxa"/>
            <w:vAlign w:val="bottom"/>
          </w:tcPr>
          <w:p>
            <w:pPr>
              <w:ind w:left="100"/>
              <w:spacing w:after="0"/>
              <w:rPr>
                <w:sz w:val="20"/>
                <w:szCs w:val="20"/>
                <w:color w:val="auto"/>
              </w:rPr>
            </w:pPr>
            <w:r>
              <w:rPr>
                <w:rFonts w:ascii="Arial" w:cs="Arial" w:eastAsia="Arial" w:hAnsi="Arial"/>
                <w:sz w:val="14"/>
                <w:szCs w:val="14"/>
                <w:color w:val="auto"/>
              </w:rPr>
              <w:t>Used to attract and retain talent needed in the</w:t>
            </w:r>
          </w:p>
        </w:tc>
        <w:tc>
          <w:tcPr>
            <w:tcW w:w="3100" w:type="dxa"/>
            <w:vAlign w:val="bottom"/>
            <w:gridSpan w:val="2"/>
          </w:tcPr>
          <w:p>
            <w:pPr>
              <w:ind w:left="6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Additional benefits include financial planning</w:t>
            </w:r>
          </w:p>
        </w:tc>
        <w:tc>
          <w:tcPr>
            <w:tcW w:w="160" w:type="dxa"/>
            <w:vAlign w:val="bottom"/>
          </w:tcPr>
          <w:p>
            <w:pPr>
              <w:ind w:left="80"/>
              <w:spacing w:after="0"/>
              <w:rPr>
                <w:sz w:val="20"/>
                <w:szCs w:val="20"/>
                <w:color w:val="auto"/>
              </w:rPr>
            </w:pPr>
            <w:r>
              <w:rPr>
                <w:rFonts w:ascii="Arial" w:cs="Arial" w:eastAsia="Arial" w:hAnsi="Arial"/>
                <w:sz w:val="14"/>
                <w:szCs w:val="14"/>
                <w:color w:val="5D89B4"/>
              </w:rPr>
              <w:t>•</w:t>
            </w:r>
          </w:p>
        </w:tc>
        <w:tc>
          <w:tcPr>
            <w:tcW w:w="27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Limited participation by the NEOs in these</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tcPr>
          <w:p>
            <w:pPr>
              <w:spacing w:after="0"/>
              <w:rPr>
                <w:sz w:val="14"/>
                <w:szCs w:val="14"/>
                <w:color w:val="auto"/>
              </w:rPr>
            </w:pPr>
          </w:p>
        </w:tc>
        <w:tc>
          <w:tcPr>
            <w:tcW w:w="3340" w:type="dxa"/>
            <w:vAlign w:val="bottom"/>
          </w:tcPr>
          <w:p>
            <w:pPr>
              <w:ind w:left="100"/>
              <w:spacing w:after="0"/>
              <w:rPr>
                <w:sz w:val="20"/>
                <w:szCs w:val="20"/>
                <w:color w:val="auto"/>
              </w:rPr>
            </w:pPr>
            <w:r>
              <w:rPr>
                <w:rFonts w:ascii="Arial" w:cs="Arial" w:eastAsia="Arial" w:hAnsi="Arial"/>
                <w:sz w:val="14"/>
                <w:szCs w:val="14"/>
                <w:color w:val="auto"/>
              </w:rPr>
              <w:t>business.</w:t>
            </w:r>
          </w:p>
        </w:tc>
        <w:tc>
          <w:tcPr>
            <w:tcW w:w="160" w:type="dxa"/>
            <w:vAlign w:val="bottom"/>
          </w:tcPr>
          <w:p>
            <w:pPr>
              <w:spacing w:after="0"/>
              <w:rPr>
                <w:sz w:val="14"/>
                <w:szCs w:val="14"/>
                <w:color w:val="auto"/>
              </w:rPr>
            </w:pPr>
          </w:p>
        </w:tc>
        <w:tc>
          <w:tcPr>
            <w:tcW w:w="2940" w:type="dxa"/>
            <w:vAlign w:val="bottom"/>
          </w:tcPr>
          <w:p>
            <w:pPr>
              <w:ind w:left="40"/>
              <w:spacing w:after="0"/>
              <w:rPr>
                <w:sz w:val="20"/>
                <w:szCs w:val="20"/>
                <w:color w:val="auto"/>
              </w:rPr>
            </w:pPr>
            <w:r>
              <w:rPr>
                <w:rFonts w:ascii="Arial" w:cs="Arial" w:eastAsia="Arial" w:hAnsi="Arial"/>
                <w:sz w:val="14"/>
                <w:szCs w:val="14"/>
                <w:color w:val="auto"/>
              </w:rPr>
              <w:t>reimbursement and broad-based</w:t>
            </w:r>
          </w:p>
        </w:tc>
        <w:tc>
          <w:tcPr>
            <w:tcW w:w="160" w:type="dxa"/>
            <w:vAlign w:val="bottom"/>
          </w:tcPr>
          <w:p>
            <w:pPr>
              <w:spacing w:after="0"/>
              <w:rPr>
                <w:sz w:val="14"/>
                <w:szCs w:val="14"/>
                <w:color w:val="auto"/>
              </w:rPr>
            </w:pPr>
          </w:p>
        </w:tc>
        <w:tc>
          <w:tcPr>
            <w:tcW w:w="27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programs.</w:t>
            </w: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tcPr>
          <w:p>
            <w:pPr>
              <w:ind w:left="40"/>
              <w:spacing w:after="0"/>
              <w:rPr>
                <w:sz w:val="20"/>
                <w:szCs w:val="20"/>
                <w:color w:val="auto"/>
              </w:rPr>
            </w:pPr>
            <w:r>
              <w:rPr>
                <w:rFonts w:ascii="Arial" w:cs="Arial" w:eastAsia="Arial" w:hAnsi="Arial"/>
                <w:sz w:val="14"/>
                <w:szCs w:val="14"/>
                <w:color w:val="auto"/>
              </w:rPr>
              <w:t>automobile benefits, selected benefits for</w:t>
            </w:r>
          </w:p>
        </w:tc>
        <w:tc>
          <w:tcPr>
            <w:tcW w:w="160" w:type="dxa"/>
            <w:vAlign w:val="bottom"/>
          </w:tcPr>
          <w:p>
            <w:pPr>
              <w:spacing w:after="0"/>
              <w:rPr>
                <w:sz w:val="14"/>
                <w:szCs w:val="14"/>
                <w:color w:val="auto"/>
              </w:rPr>
            </w:pPr>
          </w:p>
        </w:tc>
        <w:tc>
          <w:tcPr>
            <w:tcW w:w="2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tcPr>
          <w:p>
            <w:pPr>
              <w:ind w:left="40"/>
              <w:spacing w:after="0"/>
              <w:rPr>
                <w:sz w:val="20"/>
                <w:szCs w:val="20"/>
                <w:color w:val="auto"/>
              </w:rPr>
            </w:pPr>
            <w:r>
              <w:rPr>
                <w:rFonts w:ascii="Arial" w:cs="Arial" w:eastAsia="Arial" w:hAnsi="Arial"/>
                <w:sz w:val="14"/>
                <w:szCs w:val="14"/>
                <w:color w:val="auto"/>
              </w:rPr>
              <w:t>expatriate executives, participation in</w:t>
            </w:r>
          </w:p>
        </w:tc>
        <w:tc>
          <w:tcPr>
            <w:tcW w:w="160" w:type="dxa"/>
            <w:vAlign w:val="bottom"/>
          </w:tcPr>
          <w:p>
            <w:pPr>
              <w:spacing w:after="0"/>
              <w:rPr>
                <w:sz w:val="14"/>
                <w:szCs w:val="14"/>
                <w:color w:val="auto"/>
              </w:rPr>
            </w:pPr>
          </w:p>
        </w:tc>
        <w:tc>
          <w:tcPr>
            <w:tcW w:w="2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tcPr>
          <w:p>
            <w:pPr>
              <w:ind w:left="40"/>
              <w:spacing w:after="0"/>
              <w:rPr>
                <w:sz w:val="20"/>
                <w:szCs w:val="20"/>
                <w:color w:val="auto"/>
              </w:rPr>
            </w:pPr>
            <w:r>
              <w:rPr>
                <w:rFonts w:ascii="Arial" w:cs="Arial" w:eastAsia="Arial" w:hAnsi="Arial"/>
                <w:sz w:val="14"/>
                <w:szCs w:val="14"/>
                <w:color w:val="auto"/>
              </w:rPr>
              <w:t>broad-based employee benefit plans, and</w:t>
            </w:r>
          </w:p>
        </w:tc>
        <w:tc>
          <w:tcPr>
            <w:tcW w:w="160" w:type="dxa"/>
            <w:vAlign w:val="bottom"/>
          </w:tcPr>
          <w:p>
            <w:pPr>
              <w:spacing w:after="0"/>
              <w:rPr>
                <w:sz w:val="14"/>
                <w:szCs w:val="14"/>
                <w:color w:val="auto"/>
              </w:rPr>
            </w:pPr>
          </w:p>
        </w:tc>
        <w:tc>
          <w:tcPr>
            <w:tcW w:w="2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tcBorders>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tcPr>
          <w:p>
            <w:pPr>
              <w:ind w:left="40"/>
              <w:spacing w:after="0"/>
              <w:rPr>
                <w:sz w:val="20"/>
                <w:szCs w:val="20"/>
                <w:color w:val="auto"/>
              </w:rPr>
            </w:pPr>
            <w:r>
              <w:rPr>
                <w:rFonts w:ascii="Arial" w:cs="Arial" w:eastAsia="Arial" w:hAnsi="Arial"/>
                <w:sz w:val="14"/>
                <w:szCs w:val="14"/>
                <w:color w:val="auto"/>
              </w:rPr>
              <w:t>certain other benefits required by local law</w:t>
            </w:r>
          </w:p>
        </w:tc>
        <w:tc>
          <w:tcPr>
            <w:tcW w:w="160" w:type="dxa"/>
            <w:vAlign w:val="bottom"/>
          </w:tcPr>
          <w:p>
            <w:pPr>
              <w:spacing w:after="0"/>
              <w:rPr>
                <w:sz w:val="14"/>
                <w:szCs w:val="14"/>
                <w:color w:val="auto"/>
              </w:rPr>
            </w:pPr>
          </w:p>
        </w:tc>
        <w:tc>
          <w:tcPr>
            <w:tcW w:w="2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60" w:type="dxa"/>
            <w:vAlign w:val="bottom"/>
            <w:tcBorders>
              <w:left w:val="single" w:sz="8" w:color="auto"/>
              <w:bottom w:val="single" w:sz="8" w:color="auto"/>
            </w:tcBorders>
          </w:tcPr>
          <w:p>
            <w:pPr>
              <w:spacing w:after="0"/>
              <w:rPr>
                <w:sz w:val="13"/>
                <w:szCs w:val="13"/>
                <w:color w:val="auto"/>
              </w:rPr>
            </w:pPr>
          </w:p>
        </w:tc>
        <w:tc>
          <w:tcPr>
            <w:tcW w:w="33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tcPr>
          <w:p>
            <w:pPr>
              <w:ind w:left="40"/>
              <w:spacing w:after="0" w:line="157" w:lineRule="exact"/>
              <w:rPr>
                <w:sz w:val="20"/>
                <w:szCs w:val="20"/>
                <w:color w:val="auto"/>
              </w:rPr>
            </w:pPr>
            <w:r>
              <w:rPr>
                <w:rFonts w:ascii="Arial" w:cs="Arial" w:eastAsia="Arial" w:hAnsi="Arial"/>
                <w:sz w:val="14"/>
                <w:szCs w:val="14"/>
                <w:color w:val="auto"/>
              </w:rPr>
              <w:t>or driven by local market practice.</w:t>
            </w:r>
          </w:p>
        </w:tc>
        <w:tc>
          <w:tcPr>
            <w:tcW w:w="160" w:type="dxa"/>
            <w:vAlign w:val="bottom"/>
            <w:tcBorders>
              <w:bottom w:val="single" w:sz="8" w:color="auto"/>
            </w:tcBorders>
          </w:tcPr>
          <w:p>
            <w:pPr>
              <w:spacing w:after="0"/>
              <w:rPr>
                <w:sz w:val="13"/>
                <w:szCs w:val="13"/>
                <w:color w:val="auto"/>
              </w:rPr>
            </w:pPr>
          </w:p>
        </w:tc>
        <w:tc>
          <w:tcPr>
            <w:tcW w:w="27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Pay for Results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 is designed to motivate our NEOs to contribute to the Company’s long-term performance and success.</w:t>
      </w:r>
    </w:p>
    <w:p>
      <w:pPr>
        <w:spacing w:after="0"/>
        <w:rPr>
          <w:sz w:val="20"/>
          <w:szCs w:val="20"/>
          <w:color w:val="auto"/>
        </w:rPr>
      </w:pPr>
      <w:r>
        <w:rPr>
          <w:rFonts w:ascii="Arial" w:cs="Arial" w:eastAsia="Arial" w:hAnsi="Arial"/>
          <w:sz w:val="18"/>
          <w:szCs w:val="18"/>
          <w:color w:val="auto"/>
        </w:rPr>
        <w:t>As such, the following pay components include pay for results features:</w:t>
      </w:r>
    </w:p>
    <w:p>
      <w:pPr>
        <w:spacing w:after="0" w:line="95" w:lineRule="exact"/>
        <w:rPr>
          <w:sz w:val="20"/>
          <w:szCs w:val="20"/>
          <w:color w:val="auto"/>
        </w:rPr>
      </w:pPr>
    </w:p>
    <w:p>
      <w:pPr>
        <w:ind w:left="440" w:right="60" w:hanging="324"/>
        <w:spacing w:after="0"/>
        <w:tabs>
          <w:tab w:leader="none" w:pos="440" w:val="left"/>
        </w:tabs>
        <w:numPr>
          <w:ilvl w:val="0"/>
          <w:numId w:val="41"/>
        </w:numPr>
        <w:rPr>
          <w:rFonts w:ascii="Arial" w:cs="Arial" w:eastAsia="Arial" w:hAnsi="Arial"/>
          <w:sz w:val="18"/>
          <w:szCs w:val="18"/>
          <w:color w:val="5D89B4"/>
        </w:rPr>
      </w:pPr>
      <w:r>
        <w:rPr>
          <w:rFonts w:ascii="Arial" w:cs="Arial" w:eastAsia="Arial" w:hAnsi="Arial"/>
          <w:sz w:val="18"/>
          <w:szCs w:val="18"/>
          <w:b w:val="1"/>
          <w:bCs w:val="1"/>
          <w:color w:val="auto"/>
        </w:rPr>
        <w:t xml:space="preserve">Annual Incentive Award: </w:t>
      </w:r>
      <w:r>
        <w:rPr>
          <w:rFonts w:ascii="Arial" w:cs="Arial" w:eastAsia="Arial" w:hAnsi="Arial"/>
          <w:sz w:val="18"/>
          <w:szCs w:val="18"/>
          <w:color w:val="auto"/>
        </w:rPr>
        <w:t>Performance goal ranges for our cash-based annual incentive award were established for Mr. Prising,</w:t>
      </w:r>
      <w:r>
        <w:rPr>
          <w:rFonts w:ascii="Arial" w:cs="Arial" w:eastAsia="Arial" w:hAnsi="Arial"/>
          <w:sz w:val="18"/>
          <w:szCs w:val="18"/>
          <w:b w:val="1"/>
          <w:bCs w:val="1"/>
          <w:color w:val="auto"/>
        </w:rPr>
        <w:t xml:space="preserve"> </w:t>
      </w:r>
      <w:r>
        <w:rPr>
          <w:rFonts w:ascii="Arial" w:cs="Arial" w:eastAsia="Arial" w:hAnsi="Arial"/>
          <w:sz w:val="18"/>
          <w:szCs w:val="18"/>
          <w:color w:val="auto"/>
        </w:rPr>
        <w:t>Mr. McGinnis, Mr. Green, Ms. Swan and Mr. Van Handel for the performance metrics EPS and ROIC. For Mr. Chandrashekar, performance ranges were established for EPS, ROIC and AOUP, since his responsibilities included an operating unit. Award opportunities are established for achievement at threshold, target and outstanding levels. Payouts are generally based on actual performance on these metrics as well as the individual operating objectives for each NEO. However, under the Pool Plan, the NEOs cannot receive more than their allocable share of the Pool established under the Pool Plan. The maximum aggregate annual incentives that can be earned by the NEOs under the Pool Plan is determined using a percentage of gross profit. The higher the gross profit, the larger the Pool. See page 40 for further discussion regarding the use of the Pool Plan.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34</w:t>
      </w:r>
    </w:p>
    <w:p>
      <w:pPr>
        <w:sectPr>
          <w:pgSz w:w="11900" w:h="16838" w:orient="portrait"/>
          <w:cols w:equalWidth="0" w:num="1">
            <w:col w:w="11440"/>
          </w:cols>
          <w:pgMar w:left="240" w:top="459" w:right="2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8180"/>
        <w:spacing w:after="0"/>
        <w:rPr>
          <w:sz w:val="20"/>
          <w:szCs w:val="20"/>
          <w:color w:val="auto"/>
        </w:rPr>
      </w:pPr>
      <w:r>
        <w:rPr>
          <w:rFonts w:ascii="Arial" w:cs="Arial" w:eastAsia="Arial" w:hAnsi="Arial"/>
          <w:sz w:val="18"/>
          <w:szCs w:val="18"/>
          <w:color w:val="FFFFFF"/>
        </w:rPr>
        <w:t>Compensation Discussion and Analysis</w:t>
      </w:r>
    </w:p>
    <w:p>
      <w:pPr>
        <w:spacing w:after="0" w:line="217" w:lineRule="exact"/>
        <w:rPr>
          <w:sz w:val="20"/>
          <w:szCs w:val="20"/>
          <w:color w:val="auto"/>
        </w:rPr>
      </w:pPr>
    </w:p>
    <w:p>
      <w:pPr>
        <w:ind w:left="440" w:right="60" w:hanging="324"/>
        <w:spacing w:after="0" w:line="242" w:lineRule="auto"/>
        <w:tabs>
          <w:tab w:leader="none" w:pos="440" w:val="left"/>
        </w:tabs>
        <w:numPr>
          <w:ilvl w:val="0"/>
          <w:numId w:val="42"/>
        </w:numPr>
        <w:rPr>
          <w:rFonts w:ascii="Arial" w:cs="Arial" w:eastAsia="Arial" w:hAnsi="Arial"/>
          <w:sz w:val="18"/>
          <w:szCs w:val="18"/>
          <w:color w:val="5D89B4"/>
        </w:rPr>
      </w:pPr>
      <w:r>
        <w:rPr>
          <w:rFonts w:ascii="Arial" w:cs="Arial" w:eastAsia="Arial" w:hAnsi="Arial"/>
          <w:sz w:val="18"/>
          <w:szCs w:val="18"/>
          <w:b w:val="1"/>
          <w:bCs w:val="1"/>
          <w:color w:val="auto"/>
        </w:rPr>
        <w:t xml:space="preserve">Performance Share Units: </w:t>
      </w:r>
      <w:r>
        <w:rPr>
          <w:rFonts w:ascii="Arial" w:cs="Arial" w:eastAsia="Arial" w:hAnsi="Arial"/>
          <w:sz w:val="18"/>
          <w:szCs w:val="18"/>
          <w:color w:val="auto"/>
        </w:rPr>
        <w:t>Approximately 60% of the NEOs’ long-term awards for 2016 were made in the form of performance share</w:t>
      </w:r>
      <w:r>
        <w:rPr>
          <w:rFonts w:ascii="Arial" w:cs="Arial" w:eastAsia="Arial" w:hAnsi="Arial"/>
          <w:sz w:val="18"/>
          <w:szCs w:val="18"/>
          <w:b w:val="1"/>
          <w:bCs w:val="1"/>
          <w:color w:val="auto"/>
        </w:rPr>
        <w:t xml:space="preserve"> </w:t>
      </w:r>
      <w:r>
        <w:rPr>
          <w:rFonts w:ascii="Arial" w:cs="Arial" w:eastAsia="Arial" w:hAnsi="Arial"/>
          <w:sz w:val="18"/>
          <w:szCs w:val="18"/>
          <w:color w:val="auto"/>
        </w:rPr>
        <w:t>units, except for Mr. Van Handel who did not receive a PSU grant in 2016. As stated earlier, the NEOs receive a certain number of shares of stock at the end of a specified period based on achievement measured against pre-established performance goals for that period, typically operating profit margin percent. Similar to 2015, the Committee used a three-year performance period (2016-2018) for performance share unit awards. Award opportunities are established for achievement at threshold, target and outstanding levels. The Committee believes using operating profit margin percent is appropriate because it is a driver of shareholder value.</w:t>
      </w:r>
    </w:p>
    <w:p>
      <w:pPr>
        <w:spacing w:after="0" w:line="84" w:lineRule="exact"/>
        <w:rPr>
          <w:rFonts w:ascii="Arial" w:cs="Arial" w:eastAsia="Arial" w:hAnsi="Arial"/>
          <w:sz w:val="18"/>
          <w:szCs w:val="18"/>
          <w:color w:val="5D89B4"/>
        </w:rPr>
      </w:pPr>
    </w:p>
    <w:p>
      <w:pPr>
        <w:ind w:left="440" w:right="20" w:hanging="324"/>
        <w:spacing w:after="0" w:line="247" w:lineRule="auto"/>
        <w:tabs>
          <w:tab w:leader="none" w:pos="440" w:val="left"/>
        </w:tabs>
        <w:numPr>
          <w:ilvl w:val="0"/>
          <w:numId w:val="42"/>
        </w:numPr>
        <w:rPr>
          <w:rFonts w:ascii="Arial" w:cs="Arial" w:eastAsia="Arial" w:hAnsi="Arial"/>
          <w:sz w:val="18"/>
          <w:szCs w:val="18"/>
          <w:color w:val="5D89B4"/>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Approximately 20% of the NEOs’ long-term awards are made in the form of stock options, except for Mr. Van Handel who</w:t>
      </w:r>
      <w:r>
        <w:rPr>
          <w:rFonts w:ascii="Arial" w:cs="Arial" w:eastAsia="Arial" w:hAnsi="Arial"/>
          <w:sz w:val="18"/>
          <w:szCs w:val="18"/>
          <w:b w:val="1"/>
          <w:bCs w:val="1"/>
          <w:color w:val="auto"/>
        </w:rPr>
        <w:t xml:space="preserve"> </w:t>
      </w:r>
      <w:r>
        <w:rPr>
          <w:rFonts w:ascii="Arial" w:cs="Arial" w:eastAsia="Arial" w:hAnsi="Arial"/>
          <w:sz w:val="18"/>
          <w:szCs w:val="18"/>
          <w:color w:val="auto"/>
        </w:rPr>
        <w:t>did not receive a stock option grant in 2016. The Committee believes stock options provide an important overall longer term incentive for the NEOs to try to maximize value of ManpowerGroup’s stock. Because stock options are granted at a specific value on the date of grant, the ultimate compensation realized will depend on the stock price at the time of exercise.</w:t>
      </w:r>
    </w:p>
    <w:p>
      <w:pPr>
        <w:spacing w:after="0" w:line="275"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Target Total Compensation</w:t>
      </w:r>
    </w:p>
    <w:p>
      <w:pPr>
        <w:spacing w:after="0" w:line="147"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Target total compensation is the value of the compensation package that is intended to be delivered based on performance against pre-established goals. The following chart illustrates for each of the NEOs the composition of his or her target total compensation for 2016 among the various compensation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146685</wp:posOffset>
            </wp:positionV>
            <wp:extent cx="5222875" cy="32670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222875" cy="326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Committee’s compensation consultant, Mercer, provides the Committee with market data that is used in setting target levels for compensation for the NEOs. Actual compensation paid out to the NEOs in a given year may vary significantly from the target levels depending on the actual performance achieved under the pre-established financial and operating goals set by the Committee. The target compensation is detailed for each NEO in the following table.</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35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This table outlines the values of the various elements and the percentage of each NEO’s total target compensation package that is variable (both short- and long-term) and performance-based (both short- and long-term).</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NEO Target Compensation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940" w:type="dxa"/>
            <w:vAlign w:val="bottom"/>
            <w:tcBorders>
              <w:top w:val="single" w:sz="8" w:color="auto"/>
            </w:tcBorders>
            <w:shd w:val="clear" w:color="auto" w:fill="9DB8D2"/>
          </w:tcPr>
          <w:p>
            <w:pPr>
              <w:spacing w:after="0"/>
              <w:rPr>
                <w:sz w:val="22"/>
                <w:szCs w:val="22"/>
                <w:color w:val="auto"/>
              </w:rPr>
            </w:pPr>
          </w:p>
        </w:tc>
        <w:tc>
          <w:tcPr>
            <w:tcW w:w="1100" w:type="dxa"/>
            <w:vAlign w:val="bottom"/>
            <w:tcBorders>
              <w:top w:val="single" w:sz="8" w:color="auto"/>
            </w:tcBorders>
            <w:shd w:val="clear" w:color="auto" w:fill="9DB8D2"/>
          </w:tcPr>
          <w:p>
            <w:pPr>
              <w:spacing w:after="0"/>
              <w:rPr>
                <w:sz w:val="22"/>
                <w:szCs w:val="22"/>
                <w:color w:val="auto"/>
              </w:rPr>
            </w:pPr>
          </w:p>
        </w:tc>
        <w:tc>
          <w:tcPr>
            <w:tcW w:w="1000" w:type="dxa"/>
            <w:vAlign w:val="bottom"/>
            <w:tcBorders>
              <w:top w:val="single" w:sz="8" w:color="auto"/>
            </w:tcBorders>
            <w:shd w:val="clear" w:color="auto" w:fill="9DB8D2"/>
          </w:tcPr>
          <w:p>
            <w:pPr>
              <w:spacing w:after="0"/>
              <w:rPr>
                <w:sz w:val="22"/>
                <w:szCs w:val="22"/>
                <w:color w:val="auto"/>
              </w:rPr>
            </w:pPr>
          </w:p>
        </w:tc>
        <w:tc>
          <w:tcPr>
            <w:tcW w:w="1000" w:type="dxa"/>
            <w:vAlign w:val="bottom"/>
            <w:tcBorders>
              <w:top w:val="single" w:sz="8" w:color="auto"/>
            </w:tcBorders>
            <w:shd w:val="clear" w:color="auto" w:fill="9DB8D2"/>
          </w:tcPr>
          <w:p>
            <w:pPr>
              <w:spacing w:after="0"/>
              <w:rPr>
                <w:sz w:val="22"/>
                <w:szCs w:val="22"/>
                <w:color w:val="auto"/>
              </w:rPr>
            </w:pPr>
          </w:p>
        </w:tc>
        <w:tc>
          <w:tcPr>
            <w:tcW w:w="1140" w:type="dxa"/>
            <w:vAlign w:val="bottom"/>
            <w:tcBorders>
              <w:top w:val="single" w:sz="8" w:color="auto"/>
            </w:tcBorders>
            <w:shd w:val="clear" w:color="auto" w:fill="9DB8D2"/>
          </w:tcPr>
          <w:p>
            <w:pPr>
              <w:spacing w:after="0"/>
              <w:rPr>
                <w:sz w:val="22"/>
                <w:szCs w:val="22"/>
                <w:color w:val="auto"/>
              </w:rPr>
            </w:pPr>
          </w:p>
        </w:tc>
        <w:tc>
          <w:tcPr>
            <w:tcW w:w="1020" w:type="dxa"/>
            <w:vAlign w:val="bottom"/>
            <w:tcBorders>
              <w:top w:val="single" w:sz="8" w:color="auto"/>
            </w:tcBorders>
            <w:shd w:val="clear" w:color="auto" w:fill="9DB8D2"/>
          </w:tcPr>
          <w:p>
            <w:pPr>
              <w:spacing w:after="0"/>
              <w:rPr>
                <w:sz w:val="22"/>
                <w:szCs w:val="22"/>
                <w:color w:val="auto"/>
              </w:rPr>
            </w:pPr>
          </w:p>
        </w:tc>
        <w:tc>
          <w:tcPr>
            <w:tcW w:w="1080" w:type="dxa"/>
            <w:vAlign w:val="bottom"/>
            <w:tcBorders>
              <w:top w:val="single" w:sz="8" w:color="auto"/>
            </w:tcBorders>
            <w:shd w:val="clear" w:color="auto" w:fill="9DB8D2"/>
          </w:tcPr>
          <w:p>
            <w:pPr>
              <w:spacing w:after="0"/>
              <w:rPr>
                <w:sz w:val="22"/>
                <w:szCs w:val="22"/>
                <w:color w:val="auto"/>
              </w:rPr>
            </w:pPr>
          </w:p>
        </w:tc>
        <w:tc>
          <w:tcPr>
            <w:tcW w:w="940" w:type="dxa"/>
            <w:vAlign w:val="bottom"/>
            <w:tcBorders>
              <w:top w:val="single" w:sz="8" w:color="auto"/>
            </w:tcBorders>
            <w:shd w:val="clear" w:color="auto" w:fill="9DB8D2"/>
          </w:tcPr>
          <w:p>
            <w:pPr>
              <w:jc w:val="center"/>
              <w:ind w:right="43"/>
              <w:spacing w:after="0"/>
              <w:rPr>
                <w:sz w:val="20"/>
                <w:szCs w:val="20"/>
                <w:color w:val="auto"/>
              </w:rPr>
            </w:pPr>
            <w:r>
              <w:rPr>
                <w:rFonts w:ascii="Arial" w:cs="Arial" w:eastAsia="Arial" w:hAnsi="Arial"/>
                <w:sz w:val="14"/>
                <w:szCs w:val="14"/>
                <w:b w:val="1"/>
                <w:bCs w:val="1"/>
                <w:color w:val="auto"/>
              </w:rPr>
              <w:t>% Total</w:t>
            </w:r>
          </w:p>
        </w:tc>
        <w:tc>
          <w:tcPr>
            <w:tcW w:w="1200" w:type="dxa"/>
            <w:vAlign w:val="bottom"/>
            <w:tcBorders>
              <w:top w:val="single" w:sz="8" w:color="auto"/>
            </w:tcBorders>
            <w:shd w:val="clear" w:color="auto" w:fill="9DB8D2"/>
          </w:tcPr>
          <w:p>
            <w:pPr>
              <w:jc w:val="center"/>
              <w:ind w:right="63"/>
              <w:spacing w:after="0"/>
              <w:rPr>
                <w:sz w:val="20"/>
                <w:szCs w:val="20"/>
                <w:color w:val="auto"/>
              </w:rPr>
            </w:pPr>
            <w:r>
              <w:rPr>
                <w:rFonts w:ascii="Arial" w:cs="Arial" w:eastAsia="Arial" w:hAnsi="Arial"/>
                <w:sz w:val="14"/>
                <w:szCs w:val="14"/>
                <w:b w:val="1"/>
                <w:bCs w:val="1"/>
                <w:color w:val="auto"/>
              </w:rPr>
              <w:t>% Total 2016</w:t>
            </w:r>
          </w:p>
        </w:tc>
      </w:tr>
      <w:tr>
        <w:trPr>
          <w:trHeight w:val="162"/>
        </w:trPr>
        <w:tc>
          <w:tcPr>
            <w:tcW w:w="2940" w:type="dxa"/>
            <w:vAlign w:val="bottom"/>
            <w:shd w:val="clear" w:color="auto" w:fill="9DB8D2"/>
          </w:tcPr>
          <w:p>
            <w:pPr>
              <w:spacing w:after="0"/>
              <w:rPr>
                <w:sz w:val="14"/>
                <w:szCs w:val="14"/>
                <w:color w:val="auto"/>
              </w:rPr>
            </w:pPr>
          </w:p>
        </w:tc>
        <w:tc>
          <w:tcPr>
            <w:tcW w:w="1100" w:type="dxa"/>
            <w:vAlign w:val="bottom"/>
            <w:shd w:val="clear" w:color="auto" w:fill="9DB8D2"/>
          </w:tcPr>
          <w:p>
            <w:pPr>
              <w:spacing w:after="0"/>
              <w:rPr>
                <w:sz w:val="14"/>
                <w:szCs w:val="14"/>
                <w:color w:val="auto"/>
              </w:rPr>
            </w:pPr>
          </w:p>
        </w:tc>
        <w:tc>
          <w:tcPr>
            <w:tcW w:w="1000" w:type="dxa"/>
            <w:vAlign w:val="bottom"/>
            <w:shd w:val="clear" w:color="auto" w:fill="9DB8D2"/>
          </w:tcPr>
          <w:p>
            <w:pPr>
              <w:spacing w:after="0"/>
              <w:rPr>
                <w:sz w:val="14"/>
                <w:szCs w:val="14"/>
                <w:color w:val="auto"/>
              </w:rPr>
            </w:pPr>
          </w:p>
        </w:tc>
        <w:tc>
          <w:tcPr>
            <w:tcW w:w="1000" w:type="dxa"/>
            <w:vAlign w:val="bottom"/>
            <w:shd w:val="clear" w:color="auto" w:fill="9DB8D2"/>
          </w:tcPr>
          <w:p>
            <w:pPr>
              <w:spacing w:after="0"/>
              <w:rPr>
                <w:sz w:val="14"/>
                <w:szCs w:val="14"/>
                <w:color w:val="auto"/>
              </w:rPr>
            </w:pPr>
          </w:p>
        </w:tc>
        <w:tc>
          <w:tcPr>
            <w:tcW w:w="1140" w:type="dxa"/>
            <w:vAlign w:val="bottom"/>
            <w:shd w:val="clear" w:color="auto" w:fill="9DB8D2"/>
          </w:tcPr>
          <w:p>
            <w:pPr>
              <w:spacing w:after="0"/>
              <w:rPr>
                <w:sz w:val="14"/>
                <w:szCs w:val="14"/>
                <w:color w:val="auto"/>
              </w:rPr>
            </w:pPr>
          </w:p>
        </w:tc>
        <w:tc>
          <w:tcPr>
            <w:tcW w:w="1020" w:type="dxa"/>
            <w:vAlign w:val="bottom"/>
            <w:shd w:val="clear" w:color="auto" w:fill="9DB8D2"/>
          </w:tcPr>
          <w:p>
            <w:pPr>
              <w:spacing w:after="0"/>
              <w:rPr>
                <w:sz w:val="14"/>
                <w:szCs w:val="14"/>
                <w:color w:val="auto"/>
              </w:rPr>
            </w:pPr>
          </w:p>
        </w:tc>
        <w:tc>
          <w:tcPr>
            <w:tcW w:w="1080" w:type="dxa"/>
            <w:vAlign w:val="bottom"/>
            <w:shd w:val="clear" w:color="auto" w:fill="9DB8D2"/>
          </w:tcPr>
          <w:p>
            <w:pPr>
              <w:spacing w:after="0"/>
              <w:rPr>
                <w:sz w:val="14"/>
                <w:szCs w:val="14"/>
                <w:color w:val="auto"/>
              </w:rPr>
            </w:pPr>
          </w:p>
        </w:tc>
        <w:tc>
          <w:tcPr>
            <w:tcW w:w="940" w:type="dxa"/>
            <w:vAlign w:val="bottom"/>
            <w:shd w:val="clear" w:color="auto" w:fill="9DB8D2"/>
          </w:tcPr>
          <w:p>
            <w:pPr>
              <w:jc w:val="center"/>
              <w:ind w:right="43"/>
              <w:spacing w:after="0"/>
              <w:rPr>
                <w:sz w:val="20"/>
                <w:szCs w:val="20"/>
                <w:color w:val="auto"/>
              </w:rPr>
            </w:pPr>
            <w:r>
              <w:rPr>
                <w:rFonts w:ascii="Arial" w:cs="Arial" w:eastAsia="Arial" w:hAnsi="Arial"/>
                <w:sz w:val="14"/>
                <w:szCs w:val="14"/>
                <w:b w:val="1"/>
                <w:bCs w:val="1"/>
                <w:color w:val="auto"/>
                <w:w w:val="99"/>
              </w:rPr>
              <w:t>Variable</w:t>
            </w:r>
          </w:p>
        </w:tc>
        <w:tc>
          <w:tcPr>
            <w:tcW w:w="1200" w:type="dxa"/>
            <w:vAlign w:val="bottom"/>
            <w:shd w:val="clear" w:color="auto" w:fill="9DB8D2"/>
          </w:tcPr>
          <w:p>
            <w:pPr>
              <w:jc w:val="center"/>
              <w:ind w:right="63"/>
              <w:spacing w:after="0"/>
              <w:rPr>
                <w:sz w:val="20"/>
                <w:szCs w:val="20"/>
                <w:color w:val="auto"/>
              </w:rPr>
            </w:pPr>
            <w:r>
              <w:rPr>
                <w:rFonts w:ascii="Arial" w:cs="Arial" w:eastAsia="Arial" w:hAnsi="Arial"/>
                <w:sz w:val="14"/>
                <w:szCs w:val="14"/>
                <w:b w:val="1"/>
                <w:bCs w:val="1"/>
                <w:color w:val="auto"/>
                <w:w w:val="98"/>
              </w:rPr>
              <w:t>Target</w:t>
            </w:r>
          </w:p>
        </w:tc>
      </w:tr>
      <w:tr>
        <w:trPr>
          <w:trHeight w:val="162"/>
        </w:trPr>
        <w:tc>
          <w:tcPr>
            <w:tcW w:w="2940" w:type="dxa"/>
            <w:vAlign w:val="bottom"/>
            <w:shd w:val="clear" w:color="auto" w:fill="9DB8D2"/>
          </w:tcPr>
          <w:p>
            <w:pPr>
              <w:spacing w:after="0"/>
              <w:rPr>
                <w:sz w:val="14"/>
                <w:szCs w:val="14"/>
                <w:color w:val="auto"/>
              </w:rPr>
            </w:pPr>
          </w:p>
        </w:tc>
        <w:tc>
          <w:tcPr>
            <w:tcW w:w="1100" w:type="dxa"/>
            <w:vAlign w:val="bottom"/>
            <w:shd w:val="clear" w:color="auto" w:fill="9DB8D2"/>
          </w:tcPr>
          <w:p>
            <w:pPr>
              <w:spacing w:after="0"/>
              <w:rPr>
                <w:sz w:val="14"/>
                <w:szCs w:val="14"/>
                <w:color w:val="auto"/>
              </w:rPr>
            </w:pPr>
          </w:p>
        </w:tc>
        <w:tc>
          <w:tcPr>
            <w:tcW w:w="1000" w:type="dxa"/>
            <w:vAlign w:val="bottom"/>
            <w:shd w:val="clear" w:color="auto" w:fill="9DB8D2"/>
          </w:tcPr>
          <w:p>
            <w:pPr>
              <w:spacing w:after="0"/>
              <w:rPr>
                <w:sz w:val="14"/>
                <w:szCs w:val="14"/>
                <w:color w:val="auto"/>
              </w:rPr>
            </w:pPr>
          </w:p>
        </w:tc>
        <w:tc>
          <w:tcPr>
            <w:tcW w:w="1000" w:type="dxa"/>
            <w:vAlign w:val="bottom"/>
            <w:shd w:val="clear" w:color="auto" w:fill="9DB8D2"/>
          </w:tcPr>
          <w:p>
            <w:pPr>
              <w:spacing w:after="0"/>
              <w:rPr>
                <w:sz w:val="14"/>
                <w:szCs w:val="14"/>
                <w:color w:val="auto"/>
              </w:rPr>
            </w:pPr>
          </w:p>
        </w:tc>
        <w:tc>
          <w:tcPr>
            <w:tcW w:w="1140" w:type="dxa"/>
            <w:vAlign w:val="bottom"/>
            <w:shd w:val="clear" w:color="auto" w:fill="9DB8D2"/>
          </w:tcPr>
          <w:p>
            <w:pPr>
              <w:jc w:val="right"/>
              <w:ind w:right="63"/>
              <w:spacing w:after="0"/>
              <w:rPr>
                <w:sz w:val="20"/>
                <w:szCs w:val="20"/>
                <w:color w:val="auto"/>
              </w:rPr>
            </w:pPr>
            <w:r>
              <w:rPr>
                <w:rFonts w:ascii="Arial" w:cs="Arial" w:eastAsia="Arial" w:hAnsi="Arial"/>
                <w:sz w:val="14"/>
                <w:szCs w:val="14"/>
                <w:b w:val="1"/>
                <w:bCs w:val="1"/>
                <w:color w:val="auto"/>
              </w:rPr>
              <w:t>Performance</w:t>
            </w:r>
          </w:p>
        </w:tc>
        <w:tc>
          <w:tcPr>
            <w:tcW w:w="1020" w:type="dxa"/>
            <w:vAlign w:val="bottom"/>
            <w:shd w:val="clear" w:color="auto" w:fill="9DB8D2"/>
          </w:tcPr>
          <w:p>
            <w:pPr>
              <w:jc w:val="right"/>
              <w:ind w:right="103"/>
              <w:spacing w:after="0"/>
              <w:rPr>
                <w:sz w:val="20"/>
                <w:szCs w:val="20"/>
                <w:color w:val="auto"/>
              </w:rPr>
            </w:pPr>
            <w:r>
              <w:rPr>
                <w:rFonts w:ascii="Arial" w:cs="Arial" w:eastAsia="Arial" w:hAnsi="Arial"/>
                <w:sz w:val="14"/>
                <w:szCs w:val="14"/>
                <w:b w:val="1"/>
                <w:bCs w:val="1"/>
                <w:color w:val="auto"/>
              </w:rPr>
              <w:t>Restricted</w:t>
            </w:r>
          </w:p>
        </w:tc>
        <w:tc>
          <w:tcPr>
            <w:tcW w:w="10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Total 2016</w:t>
            </w:r>
          </w:p>
        </w:tc>
        <w:tc>
          <w:tcPr>
            <w:tcW w:w="940" w:type="dxa"/>
            <w:vAlign w:val="bottom"/>
            <w:shd w:val="clear" w:color="auto" w:fill="9DB8D2"/>
          </w:tcPr>
          <w:p>
            <w:pPr>
              <w:jc w:val="center"/>
              <w:ind w:right="23"/>
              <w:spacing w:after="0"/>
              <w:rPr>
                <w:sz w:val="20"/>
                <w:szCs w:val="20"/>
                <w:color w:val="auto"/>
              </w:rPr>
            </w:pPr>
            <w:r>
              <w:rPr>
                <w:rFonts w:ascii="Arial" w:cs="Arial" w:eastAsia="Arial" w:hAnsi="Arial"/>
                <w:sz w:val="14"/>
                <w:szCs w:val="14"/>
                <w:b w:val="1"/>
                <w:bCs w:val="1"/>
                <w:color w:val="auto"/>
              </w:rPr>
              <w:t>2016</w:t>
            </w:r>
          </w:p>
        </w:tc>
        <w:tc>
          <w:tcPr>
            <w:tcW w:w="1200" w:type="dxa"/>
            <w:vAlign w:val="bottom"/>
            <w:shd w:val="clear" w:color="auto" w:fill="9DB8D2"/>
          </w:tcPr>
          <w:p>
            <w:pPr>
              <w:jc w:val="center"/>
              <w:ind w:right="63"/>
              <w:spacing w:after="0"/>
              <w:rPr>
                <w:sz w:val="20"/>
                <w:szCs w:val="20"/>
                <w:color w:val="auto"/>
              </w:rPr>
            </w:pPr>
            <w:r>
              <w:rPr>
                <w:rFonts w:ascii="Arial" w:cs="Arial" w:eastAsia="Arial" w:hAnsi="Arial"/>
                <w:sz w:val="14"/>
                <w:szCs w:val="14"/>
                <w:b w:val="1"/>
                <w:bCs w:val="1"/>
                <w:color w:val="auto"/>
              </w:rPr>
              <w:t>Comp</w:t>
            </w:r>
          </w:p>
        </w:tc>
      </w:tr>
      <w:tr>
        <w:trPr>
          <w:trHeight w:val="162"/>
        </w:trPr>
        <w:tc>
          <w:tcPr>
            <w:tcW w:w="2940" w:type="dxa"/>
            <w:vAlign w:val="bottom"/>
            <w:shd w:val="clear" w:color="auto" w:fill="9DB8D2"/>
          </w:tcPr>
          <w:p>
            <w:pPr>
              <w:spacing w:after="0"/>
              <w:rPr>
                <w:sz w:val="14"/>
                <w:szCs w:val="14"/>
                <w:color w:val="auto"/>
              </w:rPr>
            </w:pPr>
          </w:p>
        </w:tc>
        <w:tc>
          <w:tcPr>
            <w:tcW w:w="11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Base</w:t>
            </w:r>
          </w:p>
        </w:tc>
        <w:tc>
          <w:tcPr>
            <w:tcW w:w="10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Annual</w:t>
            </w:r>
          </w:p>
        </w:tc>
        <w:tc>
          <w:tcPr>
            <w:tcW w:w="1000" w:type="dxa"/>
            <w:vAlign w:val="bottom"/>
            <w:shd w:val="clear" w:color="auto" w:fill="9DB8D2"/>
          </w:tcPr>
          <w:p>
            <w:pPr>
              <w:jc w:val="right"/>
              <w:ind w:right="242"/>
              <w:spacing w:after="0"/>
              <w:rPr>
                <w:sz w:val="20"/>
                <w:szCs w:val="20"/>
                <w:color w:val="auto"/>
              </w:rPr>
            </w:pPr>
            <w:r>
              <w:rPr>
                <w:rFonts w:ascii="Arial" w:cs="Arial" w:eastAsia="Arial" w:hAnsi="Arial"/>
                <w:sz w:val="14"/>
                <w:szCs w:val="14"/>
                <w:b w:val="1"/>
                <w:bCs w:val="1"/>
                <w:color w:val="auto"/>
              </w:rPr>
              <w:t>Stock</w:t>
            </w:r>
          </w:p>
        </w:tc>
        <w:tc>
          <w:tcPr>
            <w:tcW w:w="1140" w:type="dxa"/>
            <w:vAlign w:val="bottom"/>
            <w:shd w:val="clear" w:color="auto" w:fill="9DB8D2"/>
          </w:tcPr>
          <w:p>
            <w:pPr>
              <w:jc w:val="right"/>
              <w:ind w:right="303"/>
              <w:spacing w:after="0"/>
              <w:rPr>
                <w:sz w:val="20"/>
                <w:szCs w:val="20"/>
                <w:color w:val="auto"/>
              </w:rPr>
            </w:pPr>
            <w:r>
              <w:rPr>
                <w:rFonts w:ascii="Arial" w:cs="Arial" w:eastAsia="Arial" w:hAnsi="Arial"/>
                <w:sz w:val="14"/>
                <w:szCs w:val="14"/>
                <w:b w:val="1"/>
                <w:bCs w:val="1"/>
                <w:color w:val="auto"/>
              </w:rPr>
              <w:t>Share</w:t>
            </w:r>
          </w:p>
        </w:tc>
        <w:tc>
          <w:tcPr>
            <w:tcW w:w="1020" w:type="dxa"/>
            <w:vAlign w:val="bottom"/>
            <w:shd w:val="clear" w:color="auto" w:fill="9DB8D2"/>
          </w:tcPr>
          <w:p>
            <w:pPr>
              <w:jc w:val="right"/>
              <w:ind w:right="263"/>
              <w:spacing w:after="0"/>
              <w:rPr>
                <w:sz w:val="20"/>
                <w:szCs w:val="20"/>
                <w:color w:val="auto"/>
              </w:rPr>
            </w:pPr>
            <w:r>
              <w:rPr>
                <w:rFonts w:ascii="Arial" w:cs="Arial" w:eastAsia="Arial" w:hAnsi="Arial"/>
                <w:sz w:val="14"/>
                <w:szCs w:val="14"/>
                <w:b w:val="1"/>
                <w:bCs w:val="1"/>
                <w:color w:val="auto"/>
              </w:rPr>
              <w:t>Stock</w:t>
            </w:r>
          </w:p>
        </w:tc>
        <w:tc>
          <w:tcPr>
            <w:tcW w:w="10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8"/>
              </w:rPr>
              <w:t>Target</w:t>
            </w:r>
          </w:p>
        </w:tc>
        <w:tc>
          <w:tcPr>
            <w:tcW w:w="940" w:type="dxa"/>
            <w:vAlign w:val="bottom"/>
            <w:shd w:val="clear" w:color="auto" w:fill="9DB8D2"/>
          </w:tcPr>
          <w:p>
            <w:pPr>
              <w:jc w:val="center"/>
              <w:ind w:right="43"/>
              <w:spacing w:after="0"/>
              <w:rPr>
                <w:sz w:val="20"/>
                <w:szCs w:val="20"/>
                <w:color w:val="auto"/>
              </w:rPr>
            </w:pPr>
            <w:r>
              <w:rPr>
                <w:rFonts w:ascii="Arial" w:cs="Arial" w:eastAsia="Arial" w:hAnsi="Arial"/>
                <w:sz w:val="14"/>
                <w:szCs w:val="14"/>
                <w:b w:val="1"/>
                <w:bCs w:val="1"/>
                <w:color w:val="auto"/>
                <w:w w:val="98"/>
              </w:rPr>
              <w:t>Target</w:t>
            </w:r>
          </w:p>
        </w:tc>
        <w:tc>
          <w:tcPr>
            <w:tcW w:w="1200" w:type="dxa"/>
            <w:vAlign w:val="bottom"/>
            <w:shd w:val="clear" w:color="auto" w:fill="9DB8D2"/>
          </w:tcPr>
          <w:p>
            <w:pPr>
              <w:jc w:val="center"/>
              <w:ind w:right="63"/>
              <w:spacing w:after="0"/>
              <w:rPr>
                <w:sz w:val="20"/>
                <w:szCs w:val="20"/>
                <w:color w:val="auto"/>
              </w:rPr>
            </w:pPr>
            <w:r>
              <w:rPr>
                <w:rFonts w:ascii="Arial" w:cs="Arial" w:eastAsia="Arial" w:hAnsi="Arial"/>
                <w:sz w:val="14"/>
                <w:szCs w:val="14"/>
                <w:b w:val="1"/>
                <w:bCs w:val="1"/>
                <w:color w:val="auto"/>
              </w:rPr>
              <w:t>Performance-</w:t>
            </w:r>
          </w:p>
        </w:tc>
      </w:tr>
      <w:tr>
        <w:trPr>
          <w:trHeight w:val="189"/>
        </w:trPr>
        <w:tc>
          <w:tcPr>
            <w:tcW w:w="2940" w:type="dxa"/>
            <w:vAlign w:val="bottom"/>
            <w:shd w:val="clear" w:color="auto" w:fill="9DB8D2"/>
          </w:tcPr>
          <w:p>
            <w:pPr>
              <w:ind w:left="80"/>
              <w:spacing w:after="0"/>
              <w:rPr>
                <w:sz w:val="20"/>
                <w:szCs w:val="20"/>
                <w:color w:val="auto"/>
              </w:rPr>
            </w:pPr>
            <w:r>
              <w:rPr>
                <w:rFonts w:ascii="Arial" w:cs="Arial" w:eastAsia="Arial" w:hAnsi="Arial"/>
                <w:sz w:val="14"/>
                <w:szCs w:val="14"/>
                <w:b w:val="1"/>
                <w:bCs w:val="1"/>
                <w:color w:val="auto"/>
              </w:rPr>
              <w:t>NEO</w:t>
            </w:r>
          </w:p>
        </w:tc>
        <w:tc>
          <w:tcPr>
            <w:tcW w:w="11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Salary</w:t>
            </w:r>
          </w:p>
        </w:tc>
        <w:tc>
          <w:tcPr>
            <w:tcW w:w="10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Incentive</w:t>
            </w:r>
          </w:p>
        </w:tc>
        <w:tc>
          <w:tcPr>
            <w:tcW w:w="10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Options(1)</w:t>
            </w:r>
          </w:p>
        </w:tc>
        <w:tc>
          <w:tcPr>
            <w:tcW w:w="114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Units(1)</w:t>
            </w:r>
          </w:p>
        </w:tc>
        <w:tc>
          <w:tcPr>
            <w:tcW w:w="10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Units(1)</w:t>
            </w:r>
          </w:p>
        </w:tc>
        <w:tc>
          <w:tcPr>
            <w:tcW w:w="10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Comp</w:t>
            </w:r>
          </w:p>
        </w:tc>
        <w:tc>
          <w:tcPr>
            <w:tcW w:w="940" w:type="dxa"/>
            <w:vAlign w:val="bottom"/>
            <w:shd w:val="clear" w:color="auto" w:fill="9DB8D2"/>
          </w:tcPr>
          <w:p>
            <w:pPr>
              <w:jc w:val="right"/>
              <w:ind w:right="163"/>
              <w:spacing w:after="0"/>
              <w:rPr>
                <w:sz w:val="20"/>
                <w:szCs w:val="20"/>
                <w:color w:val="auto"/>
              </w:rPr>
            </w:pPr>
            <w:r>
              <w:rPr>
                <w:rFonts w:ascii="Arial" w:cs="Arial" w:eastAsia="Arial" w:hAnsi="Arial"/>
                <w:sz w:val="14"/>
                <w:szCs w:val="14"/>
                <w:b w:val="1"/>
                <w:bCs w:val="1"/>
                <w:color w:val="auto"/>
              </w:rPr>
              <w:t>Comp(2)</w:t>
            </w:r>
          </w:p>
        </w:tc>
        <w:tc>
          <w:tcPr>
            <w:tcW w:w="1200" w:type="dxa"/>
            <w:vAlign w:val="bottom"/>
            <w:shd w:val="clear" w:color="auto" w:fill="9DB8D2"/>
          </w:tcPr>
          <w:p>
            <w:pPr>
              <w:jc w:val="center"/>
              <w:ind w:right="63"/>
              <w:spacing w:after="0"/>
              <w:rPr>
                <w:sz w:val="20"/>
                <w:szCs w:val="20"/>
                <w:color w:val="auto"/>
              </w:rPr>
            </w:pPr>
            <w:r>
              <w:rPr>
                <w:rFonts w:ascii="Arial" w:cs="Arial" w:eastAsia="Arial" w:hAnsi="Arial"/>
                <w:sz w:val="14"/>
                <w:szCs w:val="14"/>
                <w:b w:val="1"/>
                <w:bCs w:val="1"/>
                <w:color w:val="auto"/>
              </w:rPr>
              <w:t>Based(3)</w:t>
            </w:r>
          </w:p>
        </w:tc>
      </w:tr>
      <w:tr>
        <w:trPr>
          <w:trHeight w:val="162"/>
        </w:trPr>
        <w:tc>
          <w:tcPr>
            <w:tcW w:w="2940" w:type="dxa"/>
            <w:vAlign w:val="bottom"/>
            <w:tcBorders>
              <w:bottom w:val="single" w:sz="8" w:color="auto"/>
            </w:tcBorders>
            <w:shd w:val="clear" w:color="auto" w:fill="9DB8D2"/>
          </w:tcPr>
          <w:p>
            <w:pPr>
              <w:spacing w:after="0"/>
              <w:rPr>
                <w:sz w:val="14"/>
                <w:szCs w:val="14"/>
                <w:color w:val="auto"/>
              </w:rPr>
            </w:pPr>
          </w:p>
        </w:tc>
        <w:tc>
          <w:tcPr>
            <w:tcW w:w="11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9DB8D2"/>
          </w:tcPr>
          <w:p>
            <w:pPr>
              <w:jc w:val="right"/>
              <w:ind w:right="382"/>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9DB8D2"/>
          </w:tcPr>
          <w:p>
            <w:pPr>
              <w:jc w:val="right"/>
              <w:ind w:right="463"/>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9DB8D2"/>
          </w:tcPr>
          <w:p>
            <w:pPr>
              <w:jc w:val="right"/>
              <w:ind w:right="423"/>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9DB8D2"/>
          </w:tcPr>
          <w:p>
            <w:pPr>
              <w:spacing w:after="0"/>
              <w:rPr>
                <w:sz w:val="14"/>
                <w:szCs w:val="14"/>
                <w:color w:val="auto"/>
              </w:rPr>
            </w:pPr>
          </w:p>
        </w:tc>
        <w:tc>
          <w:tcPr>
            <w:tcW w:w="1200" w:type="dxa"/>
            <w:vAlign w:val="bottom"/>
            <w:tcBorders>
              <w:bottom w:val="single" w:sz="8" w:color="auto"/>
            </w:tcBorders>
            <w:shd w:val="clear" w:color="auto" w:fill="9DB8D2"/>
          </w:tcPr>
          <w:p>
            <w:pPr>
              <w:spacing w:after="0"/>
              <w:rPr>
                <w:sz w:val="14"/>
                <w:szCs w:val="14"/>
                <w:color w:val="auto"/>
              </w:rPr>
            </w:pPr>
          </w:p>
        </w:tc>
      </w:tr>
      <w:tr>
        <w:trPr>
          <w:trHeight w:val="183"/>
        </w:trPr>
        <w:tc>
          <w:tcPr>
            <w:tcW w:w="294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Jonas Prising</w:t>
            </w:r>
          </w:p>
        </w:tc>
        <w:tc>
          <w:tcPr>
            <w:tcW w:w="1100" w:type="dxa"/>
            <w:vAlign w:val="bottom"/>
            <w:shd w:val="clear" w:color="auto" w:fill="E6EDF3"/>
          </w:tcPr>
          <w:p>
            <w:pPr>
              <w:jc w:val="right"/>
              <w:ind w:right="62"/>
              <w:spacing w:after="0" w:line="183" w:lineRule="exact"/>
              <w:rPr>
                <w:sz w:val="20"/>
                <w:szCs w:val="20"/>
                <w:color w:val="auto"/>
              </w:rPr>
            </w:pPr>
            <w:r>
              <w:rPr>
                <w:rFonts w:ascii="Arial" w:cs="Arial" w:eastAsia="Arial" w:hAnsi="Arial"/>
                <w:sz w:val="16"/>
                <w:szCs w:val="16"/>
                <w:color w:val="auto"/>
              </w:rPr>
              <w:t>1,200,000</w:t>
            </w:r>
          </w:p>
        </w:tc>
        <w:tc>
          <w:tcPr>
            <w:tcW w:w="1000" w:type="dxa"/>
            <w:vAlign w:val="bottom"/>
            <w:shd w:val="clear" w:color="auto" w:fill="E6EDF3"/>
          </w:tcPr>
          <w:p>
            <w:pPr>
              <w:jc w:val="right"/>
              <w:ind w:right="42"/>
              <w:spacing w:after="0" w:line="183" w:lineRule="exact"/>
              <w:rPr>
                <w:sz w:val="20"/>
                <w:szCs w:val="20"/>
                <w:color w:val="auto"/>
              </w:rPr>
            </w:pPr>
            <w:r>
              <w:rPr>
                <w:rFonts w:ascii="Arial" w:cs="Arial" w:eastAsia="Arial" w:hAnsi="Arial"/>
                <w:sz w:val="16"/>
                <w:szCs w:val="16"/>
                <w:color w:val="auto"/>
              </w:rPr>
              <w:t>1,800,000</w:t>
            </w:r>
          </w:p>
        </w:tc>
        <w:tc>
          <w:tcPr>
            <w:tcW w:w="1000" w:type="dxa"/>
            <w:vAlign w:val="bottom"/>
            <w:shd w:val="clear" w:color="auto" w:fill="E6EDF3"/>
          </w:tcPr>
          <w:p>
            <w:pPr>
              <w:jc w:val="right"/>
              <w:ind w:right="42"/>
              <w:spacing w:after="0" w:line="183" w:lineRule="exact"/>
              <w:rPr>
                <w:sz w:val="20"/>
                <w:szCs w:val="20"/>
                <w:color w:val="auto"/>
              </w:rPr>
            </w:pPr>
            <w:r>
              <w:rPr>
                <w:rFonts w:ascii="Arial" w:cs="Arial" w:eastAsia="Arial" w:hAnsi="Arial"/>
                <w:sz w:val="16"/>
                <w:szCs w:val="16"/>
                <w:color w:val="auto"/>
              </w:rPr>
              <w:t>1,500,010</w:t>
            </w:r>
          </w:p>
        </w:tc>
        <w:tc>
          <w:tcPr>
            <w:tcW w:w="1140" w:type="dxa"/>
            <w:vAlign w:val="bottom"/>
            <w:shd w:val="clear" w:color="auto" w:fill="E6EDF3"/>
          </w:tcPr>
          <w:p>
            <w:pPr>
              <w:jc w:val="right"/>
              <w:ind w:right="63"/>
              <w:spacing w:after="0" w:line="183" w:lineRule="exact"/>
              <w:rPr>
                <w:sz w:val="20"/>
                <w:szCs w:val="20"/>
                <w:color w:val="auto"/>
              </w:rPr>
            </w:pPr>
            <w:r>
              <w:rPr>
                <w:rFonts w:ascii="Arial" w:cs="Arial" w:eastAsia="Arial" w:hAnsi="Arial"/>
                <w:sz w:val="16"/>
                <w:szCs w:val="16"/>
                <w:color w:val="auto"/>
              </w:rPr>
              <w:t>4,500,071</w:t>
            </w:r>
          </w:p>
        </w:tc>
        <w:tc>
          <w:tcPr>
            <w:tcW w:w="1020" w:type="dxa"/>
            <w:vAlign w:val="bottom"/>
            <w:shd w:val="clear" w:color="auto" w:fill="E6EDF3"/>
          </w:tcPr>
          <w:p>
            <w:pPr>
              <w:jc w:val="right"/>
              <w:ind w:right="63"/>
              <w:spacing w:after="0" w:line="183" w:lineRule="exact"/>
              <w:rPr>
                <w:sz w:val="20"/>
                <w:szCs w:val="20"/>
                <w:color w:val="auto"/>
              </w:rPr>
            </w:pPr>
            <w:r>
              <w:rPr>
                <w:rFonts w:ascii="Arial" w:cs="Arial" w:eastAsia="Arial" w:hAnsi="Arial"/>
                <w:sz w:val="16"/>
                <w:szCs w:val="16"/>
                <w:color w:val="auto"/>
              </w:rPr>
              <w:t>1,500,049</w:t>
            </w:r>
          </w:p>
        </w:tc>
        <w:tc>
          <w:tcPr>
            <w:tcW w:w="1080" w:type="dxa"/>
            <w:vAlign w:val="bottom"/>
            <w:shd w:val="clear" w:color="auto" w:fill="E6EDF3"/>
          </w:tcPr>
          <w:p>
            <w:pPr>
              <w:jc w:val="right"/>
              <w:ind w:right="43"/>
              <w:spacing w:after="0" w:line="183" w:lineRule="exact"/>
              <w:rPr>
                <w:sz w:val="20"/>
                <w:szCs w:val="20"/>
                <w:color w:val="auto"/>
              </w:rPr>
            </w:pPr>
            <w:r>
              <w:rPr>
                <w:rFonts w:ascii="Arial" w:cs="Arial" w:eastAsia="Arial" w:hAnsi="Arial"/>
                <w:sz w:val="16"/>
                <w:szCs w:val="16"/>
                <w:color w:val="auto"/>
              </w:rPr>
              <w:t>10,500,130</w:t>
            </w:r>
          </w:p>
        </w:tc>
        <w:tc>
          <w:tcPr>
            <w:tcW w:w="940" w:type="dxa"/>
            <w:vAlign w:val="bottom"/>
            <w:shd w:val="clear" w:color="auto" w:fill="E6EDF3"/>
          </w:tcPr>
          <w:p>
            <w:pPr>
              <w:jc w:val="right"/>
              <w:ind w:right="3"/>
              <w:spacing w:after="0" w:line="183" w:lineRule="exact"/>
              <w:rPr>
                <w:sz w:val="20"/>
                <w:szCs w:val="20"/>
                <w:color w:val="auto"/>
              </w:rPr>
            </w:pPr>
            <w:r>
              <w:rPr>
                <w:rFonts w:ascii="Arial" w:cs="Arial" w:eastAsia="Arial" w:hAnsi="Arial"/>
                <w:sz w:val="16"/>
                <w:szCs w:val="16"/>
                <w:color w:val="auto"/>
              </w:rPr>
              <w:t>90%</w:t>
            </w:r>
          </w:p>
        </w:tc>
        <w:tc>
          <w:tcPr>
            <w:tcW w:w="1200" w:type="dxa"/>
            <w:vAlign w:val="bottom"/>
            <w:shd w:val="clear" w:color="auto" w:fill="E6EDF3"/>
          </w:tcPr>
          <w:p>
            <w:pPr>
              <w:jc w:val="right"/>
              <w:spacing w:after="0" w:line="183" w:lineRule="exact"/>
              <w:rPr>
                <w:sz w:val="20"/>
                <w:szCs w:val="20"/>
                <w:color w:val="auto"/>
              </w:rPr>
            </w:pPr>
            <w:r>
              <w:rPr>
                <w:rFonts w:ascii="Arial" w:cs="Arial" w:eastAsia="Arial" w:hAnsi="Arial"/>
                <w:sz w:val="16"/>
                <w:szCs w:val="16"/>
                <w:color w:val="auto"/>
              </w:rPr>
              <w:t>74%</w:t>
            </w:r>
          </w:p>
        </w:tc>
      </w:tr>
      <w:tr>
        <w:trPr>
          <w:trHeight w:val="189"/>
        </w:trPr>
        <w:tc>
          <w:tcPr>
            <w:tcW w:w="2940" w:type="dxa"/>
            <w:vAlign w:val="bottom"/>
          </w:tcPr>
          <w:p>
            <w:pPr>
              <w:ind w:left="80"/>
              <w:spacing w:after="0"/>
              <w:rPr>
                <w:sz w:val="20"/>
                <w:szCs w:val="20"/>
                <w:color w:val="auto"/>
              </w:rPr>
            </w:pPr>
            <w:r>
              <w:rPr>
                <w:rFonts w:ascii="Arial" w:cs="Arial" w:eastAsia="Arial" w:hAnsi="Arial"/>
                <w:sz w:val="16"/>
                <w:szCs w:val="16"/>
                <w:color w:val="auto"/>
              </w:rPr>
              <w:t>John T. McGinnis</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600,000</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600,000</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400,016</w:t>
            </w: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1,200,069</w:t>
            </w:r>
          </w:p>
        </w:tc>
        <w:tc>
          <w:tcPr>
            <w:tcW w:w="1020" w:type="dxa"/>
            <w:vAlign w:val="bottom"/>
          </w:tcPr>
          <w:p>
            <w:pPr>
              <w:jc w:val="right"/>
              <w:ind w:right="63"/>
              <w:spacing w:after="0"/>
              <w:rPr>
                <w:sz w:val="20"/>
                <w:szCs w:val="20"/>
                <w:color w:val="auto"/>
              </w:rPr>
            </w:pPr>
            <w:r>
              <w:rPr>
                <w:rFonts w:ascii="Arial" w:cs="Arial" w:eastAsia="Arial" w:hAnsi="Arial"/>
                <w:sz w:val="16"/>
                <w:szCs w:val="16"/>
                <w:color w:val="auto"/>
              </w:rPr>
              <w:t>400,048</w:t>
            </w: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3,200,133</w:t>
            </w: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81%</w:t>
            </w:r>
          </w:p>
        </w:tc>
        <w:tc>
          <w:tcPr>
            <w:tcW w:w="120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189"/>
        </w:trPr>
        <w:tc>
          <w:tcPr>
            <w:tcW w:w="2940" w:type="dxa"/>
            <w:vAlign w:val="bottom"/>
            <w:shd w:val="clear" w:color="auto" w:fill="E6EDF3"/>
          </w:tcPr>
          <w:p>
            <w:pPr>
              <w:ind w:left="80"/>
              <w:spacing w:after="0"/>
              <w:rPr>
                <w:sz w:val="20"/>
                <w:szCs w:val="20"/>
                <w:color w:val="auto"/>
              </w:rPr>
            </w:pPr>
            <w:r>
              <w:rPr>
                <w:rFonts w:ascii="Arial" w:cs="Arial" w:eastAsia="Arial" w:hAnsi="Arial"/>
                <w:sz w:val="16"/>
                <w:szCs w:val="16"/>
                <w:color w:val="auto"/>
              </w:rPr>
              <w:t>Darryl Green</w:t>
            </w:r>
          </w:p>
        </w:tc>
        <w:tc>
          <w:tcPr>
            <w:tcW w:w="1100" w:type="dxa"/>
            <w:vAlign w:val="bottom"/>
            <w:shd w:val="clear" w:color="auto" w:fill="E6EDF3"/>
          </w:tcPr>
          <w:p>
            <w:pPr>
              <w:jc w:val="right"/>
              <w:ind w:right="62"/>
              <w:spacing w:after="0"/>
              <w:rPr>
                <w:sz w:val="20"/>
                <w:szCs w:val="20"/>
                <w:color w:val="auto"/>
              </w:rPr>
            </w:pPr>
            <w:r>
              <w:rPr>
                <w:rFonts w:ascii="Arial" w:cs="Arial" w:eastAsia="Arial" w:hAnsi="Arial"/>
                <w:sz w:val="16"/>
                <w:szCs w:val="16"/>
                <w:color w:val="auto"/>
              </w:rPr>
              <w:t>800,000</w:t>
            </w:r>
          </w:p>
        </w:tc>
        <w:tc>
          <w:tcPr>
            <w:tcW w:w="1000" w:type="dxa"/>
            <w:vAlign w:val="bottom"/>
            <w:shd w:val="clear" w:color="auto" w:fill="E6EDF3"/>
          </w:tcPr>
          <w:p>
            <w:pPr>
              <w:jc w:val="right"/>
              <w:ind w:right="42"/>
              <w:spacing w:after="0"/>
              <w:rPr>
                <w:sz w:val="20"/>
                <w:szCs w:val="20"/>
                <w:color w:val="auto"/>
              </w:rPr>
            </w:pPr>
            <w:r>
              <w:rPr>
                <w:rFonts w:ascii="Arial" w:cs="Arial" w:eastAsia="Arial" w:hAnsi="Arial"/>
                <w:sz w:val="16"/>
                <w:szCs w:val="16"/>
                <w:color w:val="auto"/>
              </w:rPr>
              <w:t>800,000</w:t>
            </w:r>
          </w:p>
        </w:tc>
        <w:tc>
          <w:tcPr>
            <w:tcW w:w="1000" w:type="dxa"/>
            <w:vAlign w:val="bottom"/>
            <w:shd w:val="clear" w:color="auto" w:fill="E6EDF3"/>
          </w:tcPr>
          <w:p>
            <w:pPr>
              <w:jc w:val="right"/>
              <w:ind w:right="42"/>
              <w:spacing w:after="0"/>
              <w:rPr>
                <w:sz w:val="20"/>
                <w:szCs w:val="20"/>
                <w:color w:val="auto"/>
              </w:rPr>
            </w:pPr>
            <w:r>
              <w:rPr>
                <w:rFonts w:ascii="Arial" w:cs="Arial" w:eastAsia="Arial" w:hAnsi="Arial"/>
                <w:sz w:val="16"/>
                <w:szCs w:val="16"/>
                <w:color w:val="auto"/>
              </w:rPr>
              <w:t>700,018</w:t>
            </w:r>
          </w:p>
        </w:tc>
        <w:tc>
          <w:tcPr>
            <w:tcW w:w="1140" w:type="dxa"/>
            <w:vAlign w:val="bottom"/>
            <w:shd w:val="clear" w:color="auto" w:fill="E6EDF3"/>
          </w:tcPr>
          <w:p>
            <w:pPr>
              <w:jc w:val="right"/>
              <w:ind w:right="63"/>
              <w:spacing w:after="0"/>
              <w:rPr>
                <w:sz w:val="20"/>
                <w:szCs w:val="20"/>
                <w:color w:val="auto"/>
              </w:rPr>
            </w:pPr>
            <w:r>
              <w:rPr>
                <w:rFonts w:ascii="Arial" w:cs="Arial" w:eastAsia="Arial" w:hAnsi="Arial"/>
                <w:sz w:val="16"/>
                <w:szCs w:val="16"/>
                <w:color w:val="auto"/>
              </w:rPr>
              <w:t>2,100,008</w:t>
            </w:r>
          </w:p>
        </w:tc>
        <w:tc>
          <w:tcPr>
            <w:tcW w:w="1020" w:type="dxa"/>
            <w:vAlign w:val="bottom"/>
            <w:shd w:val="clear" w:color="auto" w:fill="E6EDF3"/>
          </w:tcPr>
          <w:p>
            <w:pPr>
              <w:jc w:val="right"/>
              <w:ind w:right="63"/>
              <w:spacing w:after="0"/>
              <w:rPr>
                <w:sz w:val="20"/>
                <w:szCs w:val="20"/>
                <w:color w:val="auto"/>
              </w:rPr>
            </w:pPr>
            <w:r>
              <w:rPr>
                <w:rFonts w:ascii="Arial" w:cs="Arial" w:eastAsia="Arial" w:hAnsi="Arial"/>
                <w:sz w:val="16"/>
                <w:szCs w:val="16"/>
                <w:color w:val="auto"/>
              </w:rPr>
              <w:t>700,028</w:t>
            </w:r>
          </w:p>
        </w:tc>
        <w:tc>
          <w:tcPr>
            <w:tcW w:w="1080" w:type="dxa"/>
            <w:vAlign w:val="bottom"/>
            <w:shd w:val="clear" w:color="auto" w:fill="E6EDF3"/>
          </w:tcPr>
          <w:p>
            <w:pPr>
              <w:jc w:val="right"/>
              <w:ind w:right="43"/>
              <w:spacing w:after="0"/>
              <w:rPr>
                <w:sz w:val="20"/>
                <w:szCs w:val="20"/>
                <w:color w:val="auto"/>
              </w:rPr>
            </w:pPr>
            <w:r>
              <w:rPr>
                <w:rFonts w:ascii="Arial" w:cs="Arial" w:eastAsia="Arial" w:hAnsi="Arial"/>
                <w:sz w:val="16"/>
                <w:szCs w:val="16"/>
                <w:color w:val="auto"/>
              </w:rPr>
              <w:t>5,100,054</w:t>
            </w:r>
          </w:p>
        </w:tc>
        <w:tc>
          <w:tcPr>
            <w:tcW w:w="940" w:type="dxa"/>
            <w:vAlign w:val="bottom"/>
            <w:shd w:val="clear" w:color="auto" w:fill="E6EDF3"/>
          </w:tcPr>
          <w:p>
            <w:pPr>
              <w:jc w:val="right"/>
              <w:ind w:right="3"/>
              <w:spacing w:after="0"/>
              <w:rPr>
                <w:sz w:val="20"/>
                <w:szCs w:val="20"/>
                <w:color w:val="auto"/>
              </w:rPr>
            </w:pPr>
            <w:r>
              <w:rPr>
                <w:rFonts w:ascii="Arial" w:cs="Arial" w:eastAsia="Arial" w:hAnsi="Arial"/>
                <w:sz w:val="16"/>
                <w:szCs w:val="16"/>
                <w:color w:val="auto"/>
              </w:rPr>
              <w:t>83%</w:t>
            </w:r>
          </w:p>
        </w:tc>
        <w:tc>
          <w:tcPr>
            <w:tcW w:w="1200" w:type="dxa"/>
            <w:vAlign w:val="bottom"/>
            <w:shd w:val="clear" w:color="auto" w:fill="E6EDF3"/>
          </w:tcPr>
          <w:p>
            <w:pPr>
              <w:jc w:val="right"/>
              <w:spacing w:after="0"/>
              <w:rPr>
                <w:sz w:val="20"/>
                <w:szCs w:val="20"/>
                <w:color w:val="auto"/>
              </w:rPr>
            </w:pPr>
            <w:r>
              <w:rPr>
                <w:rFonts w:ascii="Arial" w:cs="Arial" w:eastAsia="Arial" w:hAnsi="Arial"/>
                <w:sz w:val="16"/>
                <w:szCs w:val="16"/>
                <w:color w:val="auto"/>
              </w:rPr>
              <w:t>71%</w:t>
            </w:r>
          </w:p>
        </w:tc>
      </w:tr>
      <w:tr>
        <w:trPr>
          <w:trHeight w:val="189"/>
        </w:trPr>
        <w:tc>
          <w:tcPr>
            <w:tcW w:w="2940" w:type="dxa"/>
            <w:vAlign w:val="bottom"/>
          </w:tcPr>
          <w:p>
            <w:pPr>
              <w:ind w:left="80"/>
              <w:spacing w:after="0"/>
              <w:rPr>
                <w:sz w:val="20"/>
                <w:szCs w:val="20"/>
                <w:color w:val="auto"/>
              </w:rPr>
            </w:pPr>
            <w:r>
              <w:rPr>
                <w:rFonts w:ascii="Arial" w:cs="Arial" w:eastAsia="Arial" w:hAnsi="Arial"/>
                <w:sz w:val="16"/>
                <w:szCs w:val="16"/>
                <w:color w:val="auto"/>
              </w:rPr>
              <w:t>Ram Chandrashekar</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568,035</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426,025</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280,007</w:t>
            </w: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840,033</w:t>
            </w:r>
          </w:p>
        </w:tc>
        <w:tc>
          <w:tcPr>
            <w:tcW w:w="1020" w:type="dxa"/>
            <w:vAlign w:val="bottom"/>
          </w:tcPr>
          <w:p>
            <w:pPr>
              <w:jc w:val="right"/>
              <w:ind w:right="63"/>
              <w:spacing w:after="0"/>
              <w:rPr>
                <w:sz w:val="20"/>
                <w:szCs w:val="20"/>
                <w:color w:val="auto"/>
              </w:rPr>
            </w:pPr>
            <w:r>
              <w:rPr>
                <w:rFonts w:ascii="Arial" w:cs="Arial" w:eastAsia="Arial" w:hAnsi="Arial"/>
                <w:sz w:val="16"/>
                <w:szCs w:val="16"/>
                <w:color w:val="auto"/>
              </w:rPr>
              <w:t>280,011</w:t>
            </w: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2,394,111</w:t>
            </w: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76%</w:t>
            </w:r>
          </w:p>
        </w:tc>
        <w:tc>
          <w:tcPr>
            <w:tcW w:w="120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189"/>
        </w:trPr>
        <w:tc>
          <w:tcPr>
            <w:tcW w:w="2940" w:type="dxa"/>
            <w:vAlign w:val="bottom"/>
            <w:shd w:val="clear" w:color="auto" w:fill="E6EDF3"/>
          </w:tcPr>
          <w:p>
            <w:pPr>
              <w:ind w:left="80"/>
              <w:spacing w:after="0"/>
              <w:rPr>
                <w:sz w:val="20"/>
                <w:szCs w:val="20"/>
                <w:color w:val="auto"/>
              </w:rPr>
            </w:pPr>
            <w:r>
              <w:rPr>
                <w:rFonts w:ascii="Arial" w:cs="Arial" w:eastAsia="Arial" w:hAnsi="Arial"/>
                <w:sz w:val="16"/>
                <w:szCs w:val="16"/>
                <w:color w:val="auto"/>
              </w:rPr>
              <w:t>Mara E. Swan</w:t>
            </w:r>
          </w:p>
        </w:tc>
        <w:tc>
          <w:tcPr>
            <w:tcW w:w="1100" w:type="dxa"/>
            <w:vAlign w:val="bottom"/>
            <w:shd w:val="clear" w:color="auto" w:fill="E6EDF3"/>
          </w:tcPr>
          <w:p>
            <w:pPr>
              <w:jc w:val="right"/>
              <w:ind w:right="62"/>
              <w:spacing w:after="0"/>
              <w:rPr>
                <w:sz w:val="20"/>
                <w:szCs w:val="20"/>
                <w:color w:val="auto"/>
              </w:rPr>
            </w:pPr>
            <w:r>
              <w:rPr>
                <w:rFonts w:ascii="Arial" w:cs="Arial" w:eastAsia="Arial" w:hAnsi="Arial"/>
                <w:sz w:val="16"/>
                <w:szCs w:val="16"/>
                <w:color w:val="auto"/>
              </w:rPr>
              <w:t>560,000</w:t>
            </w:r>
          </w:p>
        </w:tc>
        <w:tc>
          <w:tcPr>
            <w:tcW w:w="1000" w:type="dxa"/>
            <w:vAlign w:val="bottom"/>
            <w:shd w:val="clear" w:color="auto" w:fill="E6EDF3"/>
          </w:tcPr>
          <w:p>
            <w:pPr>
              <w:jc w:val="right"/>
              <w:ind w:right="42"/>
              <w:spacing w:after="0"/>
              <w:rPr>
                <w:sz w:val="20"/>
                <w:szCs w:val="20"/>
                <w:color w:val="auto"/>
              </w:rPr>
            </w:pPr>
            <w:r>
              <w:rPr>
                <w:rFonts w:ascii="Arial" w:cs="Arial" w:eastAsia="Arial" w:hAnsi="Arial"/>
                <w:sz w:val="16"/>
                <w:szCs w:val="16"/>
                <w:color w:val="auto"/>
              </w:rPr>
              <w:t>420,000</w:t>
            </w:r>
          </w:p>
        </w:tc>
        <w:tc>
          <w:tcPr>
            <w:tcW w:w="1000" w:type="dxa"/>
            <w:vAlign w:val="bottom"/>
            <w:shd w:val="clear" w:color="auto" w:fill="E6EDF3"/>
          </w:tcPr>
          <w:p>
            <w:pPr>
              <w:jc w:val="right"/>
              <w:ind w:right="42"/>
              <w:spacing w:after="0"/>
              <w:rPr>
                <w:sz w:val="20"/>
                <w:szCs w:val="20"/>
                <w:color w:val="auto"/>
              </w:rPr>
            </w:pPr>
            <w:r>
              <w:rPr>
                <w:rFonts w:ascii="Arial" w:cs="Arial" w:eastAsia="Arial" w:hAnsi="Arial"/>
                <w:sz w:val="16"/>
                <w:szCs w:val="16"/>
                <w:color w:val="auto"/>
              </w:rPr>
              <w:t>240,017</w:t>
            </w:r>
          </w:p>
        </w:tc>
        <w:tc>
          <w:tcPr>
            <w:tcW w:w="1140" w:type="dxa"/>
            <w:vAlign w:val="bottom"/>
            <w:shd w:val="clear" w:color="auto" w:fill="E6EDF3"/>
          </w:tcPr>
          <w:p>
            <w:pPr>
              <w:jc w:val="right"/>
              <w:ind w:right="63"/>
              <w:spacing w:after="0"/>
              <w:rPr>
                <w:sz w:val="20"/>
                <w:szCs w:val="20"/>
                <w:color w:val="auto"/>
              </w:rPr>
            </w:pPr>
            <w:r>
              <w:rPr>
                <w:rFonts w:ascii="Arial" w:cs="Arial" w:eastAsia="Arial" w:hAnsi="Arial"/>
                <w:sz w:val="16"/>
                <w:szCs w:val="16"/>
                <w:color w:val="auto"/>
              </w:rPr>
              <w:t>720,071</w:t>
            </w:r>
          </w:p>
        </w:tc>
        <w:tc>
          <w:tcPr>
            <w:tcW w:w="1020" w:type="dxa"/>
            <w:vAlign w:val="bottom"/>
            <w:shd w:val="clear" w:color="auto" w:fill="E6EDF3"/>
          </w:tcPr>
          <w:p>
            <w:pPr>
              <w:jc w:val="right"/>
              <w:ind w:right="63"/>
              <w:spacing w:after="0"/>
              <w:rPr>
                <w:sz w:val="20"/>
                <w:szCs w:val="20"/>
                <w:color w:val="auto"/>
              </w:rPr>
            </w:pPr>
            <w:r>
              <w:rPr>
                <w:rFonts w:ascii="Arial" w:cs="Arial" w:eastAsia="Arial" w:hAnsi="Arial"/>
                <w:sz w:val="16"/>
                <w:szCs w:val="16"/>
                <w:color w:val="auto"/>
              </w:rPr>
              <w:t>240,074</w:t>
            </w:r>
          </w:p>
        </w:tc>
        <w:tc>
          <w:tcPr>
            <w:tcW w:w="1080" w:type="dxa"/>
            <w:vAlign w:val="bottom"/>
            <w:shd w:val="clear" w:color="auto" w:fill="E6EDF3"/>
          </w:tcPr>
          <w:p>
            <w:pPr>
              <w:jc w:val="right"/>
              <w:ind w:right="43"/>
              <w:spacing w:after="0"/>
              <w:rPr>
                <w:sz w:val="20"/>
                <w:szCs w:val="20"/>
                <w:color w:val="auto"/>
              </w:rPr>
            </w:pPr>
            <w:r>
              <w:rPr>
                <w:rFonts w:ascii="Arial" w:cs="Arial" w:eastAsia="Arial" w:hAnsi="Arial"/>
                <w:sz w:val="16"/>
                <w:szCs w:val="16"/>
                <w:color w:val="auto"/>
              </w:rPr>
              <w:t>2,180,162</w:t>
            </w:r>
          </w:p>
        </w:tc>
        <w:tc>
          <w:tcPr>
            <w:tcW w:w="940" w:type="dxa"/>
            <w:vAlign w:val="bottom"/>
            <w:shd w:val="clear" w:color="auto" w:fill="E6EDF3"/>
          </w:tcPr>
          <w:p>
            <w:pPr>
              <w:jc w:val="right"/>
              <w:ind w:right="3"/>
              <w:spacing w:after="0"/>
              <w:rPr>
                <w:sz w:val="20"/>
                <w:szCs w:val="20"/>
                <w:color w:val="auto"/>
              </w:rPr>
            </w:pPr>
            <w:r>
              <w:rPr>
                <w:rFonts w:ascii="Arial" w:cs="Arial" w:eastAsia="Arial" w:hAnsi="Arial"/>
                <w:sz w:val="16"/>
                <w:szCs w:val="16"/>
                <w:color w:val="auto"/>
              </w:rPr>
              <w:t>74%</w:t>
            </w:r>
          </w:p>
        </w:tc>
        <w:tc>
          <w:tcPr>
            <w:tcW w:w="1200" w:type="dxa"/>
            <w:vAlign w:val="bottom"/>
            <w:shd w:val="clear" w:color="auto" w:fill="E6EDF3"/>
          </w:tcPr>
          <w:p>
            <w:pPr>
              <w:jc w:val="right"/>
              <w:spacing w:after="0"/>
              <w:rPr>
                <w:sz w:val="20"/>
                <w:szCs w:val="20"/>
                <w:color w:val="auto"/>
              </w:rPr>
            </w:pPr>
            <w:r>
              <w:rPr>
                <w:rFonts w:ascii="Arial" w:cs="Arial" w:eastAsia="Arial" w:hAnsi="Arial"/>
                <w:sz w:val="16"/>
                <w:szCs w:val="16"/>
                <w:color w:val="auto"/>
              </w:rPr>
              <w:t>63%</w:t>
            </w:r>
          </w:p>
        </w:tc>
      </w:tr>
      <w:tr>
        <w:trPr>
          <w:trHeight w:val="189"/>
        </w:trPr>
        <w:tc>
          <w:tcPr>
            <w:tcW w:w="29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Michael J. Van Handel</w:t>
            </w: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660,000</w:t>
            </w: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660,000</w:t>
            </w: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2,600,049</w:t>
            </w: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3,920,049</w:t>
            </w: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bl>
    <w:p>
      <w:pPr>
        <w:spacing w:after="0" w:line="72" w:lineRule="exact"/>
        <w:rPr>
          <w:sz w:val="20"/>
          <w:szCs w:val="20"/>
          <w:color w:val="auto"/>
        </w:rPr>
      </w:pPr>
    </w:p>
    <w:p>
      <w:pPr>
        <w:ind w:left="340" w:right="180" w:hanging="332"/>
        <w:spacing w:after="0" w:line="258"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value of equity awards in this table represents the grant date fair value of the equity awards at the target levels granted in 2016, as computed in accordance with FASB ASC Topic 718.</w:t>
      </w:r>
    </w:p>
    <w:p>
      <w:pPr>
        <w:spacing w:after="0" w:line="45" w:lineRule="exact"/>
        <w:rPr>
          <w:rFonts w:ascii="Arial" w:cs="Arial" w:eastAsia="Arial" w:hAnsi="Arial"/>
          <w:sz w:val="14"/>
          <w:szCs w:val="14"/>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annual incentive, stock options, performance share units and restricted stock units.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annual incentive, stock options and performance share units.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Balancing Short- and Long-Term Compensation</w:t>
      </w:r>
    </w:p>
    <w:p>
      <w:pPr>
        <w:spacing w:after="0" w:line="12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Committee also considers how much incentive compensation is short-term in nature, and how much is long-term, with the intention that a significant portion of incentive compensation be based on the long-term performance of the Company. This reduces the risk that executives will place too much focus on short-term achievements to the detriment of the long-term success of the Company.</w:t>
      </w:r>
    </w:p>
    <w:p>
      <w:pPr>
        <w:spacing w:after="0" w:line="203"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The following chart details how incentive compensation is allocated between short-term (annual cash incentive) and long-term incentive compensation (stock options, performance share units and restricted stock units) for each of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108585</wp:posOffset>
            </wp:positionV>
            <wp:extent cx="5222875" cy="32670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22875" cy="326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8180"/>
        <w:spacing w:after="0"/>
        <w:rPr>
          <w:sz w:val="20"/>
          <w:szCs w:val="20"/>
          <w:color w:val="auto"/>
        </w:rPr>
      </w:pPr>
      <w:r>
        <w:rPr>
          <w:rFonts w:ascii="Arial" w:cs="Arial" w:eastAsia="Arial" w:hAnsi="Arial"/>
          <w:sz w:val="18"/>
          <w:szCs w:val="18"/>
          <w:color w:val="FFFFFF"/>
        </w:rPr>
        <w:t>Compensation Discussion and Analysis</w:t>
      </w:r>
    </w:p>
    <w:p>
      <w:pPr>
        <w:spacing w:after="0" w:line="209" w:lineRule="exact"/>
        <w:rPr>
          <w:sz w:val="20"/>
          <w:szCs w:val="20"/>
          <w:color w:val="auto"/>
        </w:rPr>
      </w:pPr>
    </w:p>
    <w:p>
      <w:pPr>
        <w:ind w:right="720"/>
        <w:spacing w:after="0" w:line="288" w:lineRule="auto"/>
        <w:rPr>
          <w:sz w:val="20"/>
          <w:szCs w:val="20"/>
          <w:color w:val="auto"/>
        </w:rPr>
      </w:pPr>
      <w:r>
        <w:rPr>
          <w:rFonts w:ascii="Arial" w:cs="Arial" w:eastAsia="Arial" w:hAnsi="Arial"/>
          <w:sz w:val="25"/>
          <w:szCs w:val="25"/>
          <w:b w:val="1"/>
          <w:bCs w:val="1"/>
          <w:color w:val="5D89B4"/>
        </w:rPr>
        <w:t>Market Positioning: We Target Compensation Outcomes to the Median of the Competitive Market</w:t>
      </w:r>
    </w:p>
    <w:p>
      <w:pPr>
        <w:spacing w:after="0" w:line="4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 xml:space="preserve">The Company’s practice is to target compensation outcomes generally to the 50th percentile of compensation paid in the competitive market for </w:t>
      </w:r>
      <w:r>
        <w:rPr>
          <w:rFonts w:ascii="Arial" w:cs="Arial" w:eastAsia="Arial" w:hAnsi="Arial"/>
          <w:sz w:val="18"/>
          <w:szCs w:val="18"/>
          <w:i w:val="1"/>
          <w:iCs w:val="1"/>
          <w:color w:val="auto"/>
        </w:rPr>
        <w:t>target</w:t>
      </w:r>
      <w:r>
        <w:rPr>
          <w:rFonts w:ascii="Arial" w:cs="Arial" w:eastAsia="Arial" w:hAnsi="Arial"/>
          <w:sz w:val="18"/>
          <w:szCs w:val="18"/>
          <w:color w:val="auto"/>
        </w:rPr>
        <w:t xml:space="preserve"> results. Our maximum award opportunities for </w:t>
      </w:r>
      <w:r>
        <w:rPr>
          <w:rFonts w:ascii="Arial" w:cs="Arial" w:eastAsia="Arial" w:hAnsi="Arial"/>
          <w:sz w:val="18"/>
          <w:szCs w:val="18"/>
          <w:i w:val="1"/>
          <w:iCs w:val="1"/>
          <w:color w:val="auto"/>
        </w:rPr>
        <w:t>outstanding</w:t>
      </w:r>
      <w:r>
        <w:rPr>
          <w:rFonts w:ascii="Arial" w:cs="Arial" w:eastAsia="Arial" w:hAnsi="Arial"/>
          <w:sz w:val="18"/>
          <w:szCs w:val="18"/>
          <w:color w:val="auto"/>
        </w:rPr>
        <w:t xml:space="preserve"> results are generally set to approximate the 75th percentile of the competitive market. This is not strictly formulaic and some compensation levels or award opportunities may fall above or below the reference points. When setting each component of compensation, the Company takes into consideration the allocation of awards in the competitive market between current cash compensation and non-cash compensation including stock options, performance share units and restricted stock units.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How We Determine the Competitive Market: Challenges in Identifying a Relevant Peer Group</w:t>
      </w:r>
    </w:p>
    <w:p>
      <w:pPr>
        <w:spacing w:after="0" w:line="16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Our Committee has devoted considerable effort to identifying an appropriate competitive market for benchmarking our executive compensation, given that we are significantly larger and more global in scope than other U.S.-listed companies in our industry. The following outlines the analysis by the Committee, and its independent compensation consultant, Mercer, to develop meaningful peer groups.</w:t>
      </w:r>
    </w:p>
    <w:p>
      <w:pPr>
        <w:spacing w:after="0" w:line="77"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color w:val="auto"/>
        </w:rPr>
        <w:t xml:space="preserve">The Committee </w:t>
      </w:r>
      <w:r>
        <w:rPr>
          <w:rFonts w:ascii="Arial" w:cs="Arial" w:eastAsia="Arial" w:hAnsi="Arial"/>
          <w:sz w:val="18"/>
          <w:szCs w:val="18"/>
          <w:i w:val="1"/>
          <w:iCs w:val="1"/>
          <w:color w:val="auto"/>
        </w:rPr>
        <w:t>primarily</w:t>
      </w:r>
      <w:r>
        <w:rPr>
          <w:rFonts w:ascii="Arial" w:cs="Arial" w:eastAsia="Arial" w:hAnsi="Arial"/>
          <w:sz w:val="18"/>
          <w:szCs w:val="18"/>
          <w:color w:val="auto"/>
        </w:rPr>
        <w:t xml:space="preserve"> utilizes a customized peer group developed by Mercer consisting of companies within the S&amp;P 500. For ManpowerGroup, Mercer has removed companies that are not comparable to us, to arrive at a research subset of 82 companies within the S&amp;P 500 with minimum revenues of approximately $15 billion, maximum revenues of approximately $40 billion, and median revenues of $21 billion. The Committee believes that using this group provides a robust basis for assessing the competitive range of compensation for senior executives of companies of ManpowerGroup’s scale and that it also represents the universe of top-tier companies we consider when looking for executive talent. A list of the companies included in the peer group used by ManpowerGroup is attached as </w:t>
      </w:r>
      <w:r>
        <w:rPr>
          <w:rFonts w:ascii="Arial" w:cs="Arial" w:eastAsia="Arial" w:hAnsi="Arial"/>
          <w:sz w:val="18"/>
          <w:szCs w:val="18"/>
          <w:i w:val="1"/>
          <w:iCs w:val="1"/>
          <w:color w:val="auto"/>
        </w:rPr>
        <w:t>Appendix A-1</w:t>
      </w:r>
      <w:r>
        <w:rPr>
          <w:rFonts w:ascii="Arial" w:cs="Arial" w:eastAsia="Arial" w:hAnsi="Arial"/>
          <w:sz w:val="18"/>
          <w:szCs w:val="18"/>
          <w:color w:val="auto"/>
        </w:rPr>
        <w:t>.</w:t>
      </w:r>
    </w:p>
    <w:p>
      <w:pPr>
        <w:spacing w:after="0" w:line="9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One reason we utilize the customized set of comparison companies is that it is difficult to find an industry-specific group of peer companies. Our two largest competitors, Adecco and Randstad, are based in Europe, and although we review available compensation data for these two companies, their pay practices are different and full compensation data is not disclosed. Our nearest U.S. public competitor had revenue of approximately $5.3 billion in 2016 compared to our revenue of $19.7 billion and the other U.S. public competitors are even smaller. Mercer has confirmed to the Committee that attempting to use such competitors would not produce meaningful data.</w:t>
      </w:r>
    </w:p>
    <w:p>
      <w:pPr>
        <w:spacing w:after="0" w:line="7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The Committee </w:t>
      </w:r>
      <w:r>
        <w:rPr>
          <w:rFonts w:ascii="Arial" w:cs="Arial" w:eastAsia="Arial" w:hAnsi="Arial"/>
          <w:sz w:val="18"/>
          <w:szCs w:val="18"/>
          <w:i w:val="1"/>
          <w:iCs w:val="1"/>
          <w:color w:val="auto"/>
        </w:rPr>
        <w:t>secondarily</w:t>
      </w:r>
      <w:r>
        <w:rPr>
          <w:rFonts w:ascii="Arial" w:cs="Arial" w:eastAsia="Arial" w:hAnsi="Arial"/>
          <w:sz w:val="18"/>
          <w:szCs w:val="18"/>
          <w:color w:val="auto"/>
        </w:rPr>
        <w:t xml:space="preserve"> utilizes data from U.S. compensation surveys published by Mercer and other third-party data providers that are recommended by Mercer as a means to evaluate compensation for each NEO’s position. For the CEO, CFO and COO, their positions were typically compared to companies within the subset group of the S&amp;P 500. For NEOs with responsibility for leading a business unit, their positions were compared with U.S. compensation survey data of similar sized groups and divisions. Compensation for global functional leaders was compared against U.S. compensation survey data recommended by Mercer for executives with similar roles and responsibilities, but not against the subset of S&amp;P 500 companies. For executives whose positions were located outside of the U.S, ManpowerGroup also took into account international (regional and local) compensation survey data in an effort to set compensation that is not only equitable among the members of a global team, but also competitive within the global markets where ManpowerGroup competes for talent.</w:t>
      </w:r>
    </w:p>
    <w:p>
      <w:pPr>
        <w:spacing w:after="0" w:line="133" w:lineRule="exact"/>
        <w:rPr>
          <w:sz w:val="20"/>
          <w:szCs w:val="20"/>
          <w:color w:val="auto"/>
        </w:rPr>
      </w:pPr>
    </w:p>
    <w:p>
      <w:pPr>
        <w:ind w:left="9880"/>
        <w:spacing w:after="0"/>
        <w:rPr>
          <w:sz w:val="20"/>
          <w:szCs w:val="20"/>
          <w:color w:val="auto"/>
        </w:rPr>
      </w:pPr>
      <w:r>
        <w:rPr>
          <w:rFonts w:ascii="Arial" w:cs="Arial" w:eastAsia="Arial" w:hAnsi="Arial"/>
          <w:sz w:val="16"/>
          <w:szCs w:val="16"/>
          <w:b w:val="1"/>
          <w:bCs w:val="1"/>
          <w:color w:val="5D89B4"/>
        </w:rPr>
        <w:t xml:space="preserve">37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Compensation Discussion and Analysis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Market data utilized by the Committee for benchmarking included the following survey data recommended by Mercer:</w:t>
      </w:r>
    </w:p>
    <w:p>
      <w:pPr>
        <w:spacing w:after="0" w:line="98" w:lineRule="exact"/>
        <w:rPr>
          <w:sz w:val="20"/>
          <w:szCs w:val="20"/>
          <w:color w:val="auto"/>
        </w:rPr>
      </w:pPr>
    </w:p>
    <w:tbl>
      <w:tblPr>
        <w:tblLayout w:type="fixed"/>
        <w:tblInd w:w="920" w:type="dxa"/>
        <w:tblCellMar>
          <w:top w:w="0" w:type="dxa"/>
          <w:left w:w="0" w:type="dxa"/>
          <w:bottom w:w="0" w:type="dxa"/>
          <w:right w:w="0" w:type="dxa"/>
        </w:tblCellMar>
      </w:tblPr>
      <w:tr>
        <w:trPr>
          <w:trHeight w:val="270"/>
        </w:trPr>
        <w:tc>
          <w:tcPr>
            <w:tcW w:w="3080" w:type="dxa"/>
            <w:vAlign w:val="bottom"/>
            <w:tcBorders>
              <w:top w:val="single" w:sz="8" w:color="auto"/>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NEO</w:t>
            </w:r>
          </w:p>
        </w:tc>
        <w:tc>
          <w:tcPr>
            <w:tcW w:w="6500" w:type="dxa"/>
            <w:vAlign w:val="bottom"/>
            <w:tcBorders>
              <w:top w:val="single" w:sz="8" w:color="auto"/>
              <w:bottom w:val="single" w:sz="8" w:color="auto"/>
            </w:tcBorders>
            <w:gridSpan w:val="2"/>
            <w:shd w:val="clear" w:color="auto" w:fill="9DB8D2"/>
          </w:tcPr>
          <w:p>
            <w:pPr>
              <w:ind w:left="200"/>
              <w:spacing w:after="0"/>
              <w:rPr>
                <w:sz w:val="20"/>
                <w:szCs w:val="20"/>
                <w:color w:val="auto"/>
              </w:rPr>
            </w:pPr>
            <w:r>
              <w:rPr>
                <w:rFonts w:ascii="Arial" w:cs="Arial" w:eastAsia="Arial" w:hAnsi="Arial"/>
                <w:sz w:val="14"/>
                <w:szCs w:val="14"/>
                <w:b w:val="1"/>
                <w:bCs w:val="1"/>
                <w:color w:val="auto"/>
              </w:rPr>
              <w:t>Market Data Utilized</w:t>
            </w:r>
          </w:p>
        </w:tc>
      </w:tr>
      <w:tr>
        <w:trPr>
          <w:trHeight w:val="183"/>
        </w:trPr>
        <w:tc>
          <w:tcPr>
            <w:tcW w:w="308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Mr. Prising</w:t>
            </w:r>
          </w:p>
        </w:tc>
        <w:tc>
          <w:tcPr>
            <w:tcW w:w="860" w:type="dxa"/>
            <w:vAlign w:val="bottom"/>
            <w:shd w:val="clear" w:color="auto" w:fill="E6EDF3"/>
          </w:tcPr>
          <w:p>
            <w:pPr>
              <w:ind w:left="200"/>
              <w:spacing w:after="0" w:line="183" w:lineRule="exact"/>
              <w:rPr>
                <w:sz w:val="20"/>
                <w:szCs w:val="20"/>
                <w:color w:val="auto"/>
              </w:rPr>
            </w:pPr>
            <w:r>
              <w:rPr>
                <w:rFonts w:ascii="Arial" w:cs="Arial" w:eastAsia="Arial" w:hAnsi="Arial"/>
                <w:sz w:val="16"/>
                <w:szCs w:val="16"/>
                <w:color w:val="auto"/>
              </w:rPr>
              <w:t>S&amp;P 500</w:t>
            </w:r>
          </w:p>
        </w:tc>
        <w:tc>
          <w:tcPr>
            <w:tcW w:w="5640" w:type="dxa"/>
            <w:vAlign w:val="bottom"/>
            <w:shd w:val="clear" w:color="auto" w:fill="E6EDF3"/>
          </w:tcPr>
          <w:p>
            <w:pPr>
              <w:ind w:left="20"/>
              <w:spacing w:after="0" w:line="183" w:lineRule="exact"/>
              <w:rPr>
                <w:sz w:val="20"/>
                <w:szCs w:val="20"/>
                <w:color w:val="auto"/>
              </w:rPr>
            </w:pPr>
            <w:r>
              <w:rPr>
                <w:rFonts w:ascii="Arial" w:cs="Arial" w:eastAsia="Arial" w:hAnsi="Arial"/>
                <w:sz w:val="16"/>
                <w:szCs w:val="16"/>
                <w:color w:val="auto"/>
              </w:rPr>
              <w:t>Data for CEOs</w:t>
            </w:r>
          </w:p>
        </w:tc>
      </w:tr>
      <w:tr>
        <w:trPr>
          <w:trHeight w:val="189"/>
        </w:trPr>
        <w:tc>
          <w:tcPr>
            <w:tcW w:w="3080" w:type="dxa"/>
            <w:vAlign w:val="bottom"/>
            <w:shd w:val="clear" w:color="auto" w:fill="E6EDF3"/>
          </w:tcPr>
          <w:p>
            <w:pPr>
              <w:spacing w:after="0"/>
              <w:rPr>
                <w:sz w:val="16"/>
                <w:szCs w:val="16"/>
                <w:color w:val="auto"/>
              </w:rPr>
            </w:pPr>
          </w:p>
        </w:tc>
        <w:tc>
          <w:tcPr>
            <w:tcW w:w="6500" w:type="dxa"/>
            <w:vAlign w:val="bottom"/>
            <w:gridSpan w:val="2"/>
            <w:shd w:val="clear" w:color="auto" w:fill="E6EDF3"/>
          </w:tcPr>
          <w:p>
            <w:pPr>
              <w:ind w:left="200"/>
              <w:spacing w:after="0"/>
              <w:rPr>
                <w:sz w:val="20"/>
                <w:szCs w:val="20"/>
                <w:color w:val="auto"/>
              </w:rPr>
            </w:pPr>
            <w:r>
              <w:rPr>
                <w:rFonts w:ascii="Arial" w:cs="Arial" w:eastAsia="Arial" w:hAnsi="Arial"/>
                <w:sz w:val="16"/>
                <w:szCs w:val="16"/>
                <w:color w:val="auto"/>
              </w:rPr>
              <w:t>U.S. Published Surveys for CEOs</w:t>
            </w:r>
          </w:p>
        </w:tc>
      </w:tr>
      <w:tr>
        <w:trPr>
          <w:trHeight w:val="191"/>
        </w:trPr>
        <w:tc>
          <w:tcPr>
            <w:tcW w:w="3080" w:type="dxa"/>
            <w:vAlign w:val="bottom"/>
          </w:tcPr>
          <w:p>
            <w:pPr>
              <w:ind w:left="80"/>
              <w:spacing w:after="0"/>
              <w:rPr>
                <w:sz w:val="20"/>
                <w:szCs w:val="20"/>
                <w:color w:val="auto"/>
              </w:rPr>
            </w:pPr>
            <w:r>
              <w:rPr>
                <w:rFonts w:ascii="Arial" w:cs="Arial" w:eastAsia="Arial" w:hAnsi="Arial"/>
                <w:sz w:val="16"/>
                <w:szCs w:val="16"/>
                <w:color w:val="auto"/>
              </w:rPr>
              <w:t>Mr. McGinnis</w:t>
            </w:r>
          </w:p>
        </w:tc>
        <w:tc>
          <w:tcPr>
            <w:tcW w:w="860" w:type="dxa"/>
            <w:vAlign w:val="bottom"/>
          </w:tcPr>
          <w:p>
            <w:pPr>
              <w:ind w:left="200"/>
              <w:spacing w:after="0"/>
              <w:rPr>
                <w:sz w:val="20"/>
                <w:szCs w:val="20"/>
                <w:color w:val="auto"/>
              </w:rPr>
            </w:pPr>
            <w:r>
              <w:rPr>
                <w:rFonts w:ascii="Arial" w:cs="Arial" w:eastAsia="Arial" w:hAnsi="Arial"/>
                <w:sz w:val="16"/>
                <w:szCs w:val="16"/>
                <w:color w:val="auto"/>
              </w:rPr>
              <w:t>S&amp;P 500</w:t>
            </w:r>
          </w:p>
        </w:tc>
        <w:tc>
          <w:tcPr>
            <w:tcW w:w="5640" w:type="dxa"/>
            <w:vAlign w:val="bottom"/>
          </w:tcPr>
          <w:p>
            <w:pPr>
              <w:ind w:left="20"/>
              <w:spacing w:after="0"/>
              <w:rPr>
                <w:sz w:val="20"/>
                <w:szCs w:val="20"/>
                <w:color w:val="auto"/>
              </w:rPr>
            </w:pPr>
            <w:r>
              <w:rPr>
                <w:rFonts w:ascii="Arial" w:cs="Arial" w:eastAsia="Arial" w:hAnsi="Arial"/>
                <w:sz w:val="16"/>
                <w:szCs w:val="16"/>
                <w:color w:val="auto"/>
              </w:rPr>
              <w:t>Data for CFOs</w:t>
            </w:r>
          </w:p>
        </w:tc>
      </w:tr>
      <w:tr>
        <w:trPr>
          <w:trHeight w:val="187"/>
        </w:trPr>
        <w:tc>
          <w:tcPr>
            <w:tcW w:w="3080" w:type="dxa"/>
            <w:vAlign w:val="bottom"/>
          </w:tcPr>
          <w:p>
            <w:pPr>
              <w:spacing w:after="0"/>
              <w:rPr>
                <w:sz w:val="16"/>
                <w:szCs w:val="16"/>
                <w:color w:val="auto"/>
              </w:rPr>
            </w:pPr>
          </w:p>
        </w:tc>
        <w:tc>
          <w:tcPr>
            <w:tcW w:w="6500" w:type="dxa"/>
            <w:vAlign w:val="bottom"/>
            <w:gridSpan w:val="2"/>
          </w:tcPr>
          <w:p>
            <w:pPr>
              <w:ind w:left="200"/>
              <w:spacing w:after="0"/>
              <w:rPr>
                <w:sz w:val="20"/>
                <w:szCs w:val="20"/>
                <w:color w:val="auto"/>
              </w:rPr>
            </w:pPr>
            <w:r>
              <w:rPr>
                <w:rFonts w:ascii="Arial" w:cs="Arial" w:eastAsia="Arial" w:hAnsi="Arial"/>
                <w:sz w:val="16"/>
                <w:szCs w:val="16"/>
                <w:color w:val="auto"/>
              </w:rPr>
              <w:t>U.S. Published Surveys of CFOs</w:t>
            </w:r>
          </w:p>
        </w:tc>
      </w:tr>
      <w:tr>
        <w:trPr>
          <w:trHeight w:val="189"/>
        </w:trPr>
        <w:tc>
          <w:tcPr>
            <w:tcW w:w="3080" w:type="dxa"/>
            <w:vAlign w:val="bottom"/>
            <w:shd w:val="clear" w:color="auto" w:fill="E6EDF3"/>
          </w:tcPr>
          <w:p>
            <w:pPr>
              <w:ind w:left="80"/>
              <w:spacing w:after="0"/>
              <w:rPr>
                <w:sz w:val="20"/>
                <w:szCs w:val="20"/>
                <w:color w:val="auto"/>
              </w:rPr>
            </w:pPr>
            <w:r>
              <w:rPr>
                <w:rFonts w:ascii="Arial" w:cs="Arial" w:eastAsia="Arial" w:hAnsi="Arial"/>
                <w:sz w:val="16"/>
                <w:szCs w:val="16"/>
                <w:color w:val="auto"/>
              </w:rPr>
              <w:t>Mr. Green</w:t>
            </w:r>
          </w:p>
        </w:tc>
        <w:tc>
          <w:tcPr>
            <w:tcW w:w="6500" w:type="dxa"/>
            <w:vAlign w:val="bottom"/>
            <w:gridSpan w:val="2"/>
            <w:shd w:val="clear" w:color="auto" w:fill="E6EDF3"/>
          </w:tcPr>
          <w:p>
            <w:pPr>
              <w:ind w:left="200"/>
              <w:spacing w:after="0"/>
              <w:rPr>
                <w:sz w:val="20"/>
                <w:szCs w:val="20"/>
                <w:color w:val="auto"/>
              </w:rPr>
            </w:pPr>
            <w:r>
              <w:rPr>
                <w:rFonts w:ascii="Arial" w:cs="Arial" w:eastAsia="Arial" w:hAnsi="Arial"/>
                <w:sz w:val="16"/>
                <w:szCs w:val="16"/>
                <w:color w:val="auto"/>
              </w:rPr>
              <w:t>S&amp;P 500 Data of COOs</w:t>
            </w:r>
          </w:p>
        </w:tc>
      </w:tr>
      <w:tr>
        <w:trPr>
          <w:trHeight w:val="189"/>
        </w:trPr>
        <w:tc>
          <w:tcPr>
            <w:tcW w:w="3080" w:type="dxa"/>
            <w:vAlign w:val="bottom"/>
            <w:shd w:val="clear" w:color="auto" w:fill="E6EDF3"/>
          </w:tcPr>
          <w:p>
            <w:pPr>
              <w:spacing w:after="0"/>
              <w:rPr>
                <w:sz w:val="16"/>
                <w:szCs w:val="16"/>
                <w:color w:val="auto"/>
              </w:rPr>
            </w:pPr>
          </w:p>
        </w:tc>
        <w:tc>
          <w:tcPr>
            <w:tcW w:w="6500" w:type="dxa"/>
            <w:vAlign w:val="bottom"/>
            <w:gridSpan w:val="2"/>
            <w:shd w:val="clear" w:color="auto" w:fill="E6EDF3"/>
          </w:tcPr>
          <w:p>
            <w:pPr>
              <w:ind w:left="200"/>
              <w:spacing w:after="0"/>
              <w:rPr>
                <w:sz w:val="20"/>
                <w:szCs w:val="20"/>
                <w:color w:val="auto"/>
              </w:rPr>
            </w:pPr>
            <w:r>
              <w:rPr>
                <w:rFonts w:ascii="Arial" w:cs="Arial" w:eastAsia="Arial" w:hAnsi="Arial"/>
                <w:sz w:val="16"/>
                <w:szCs w:val="16"/>
                <w:color w:val="auto"/>
              </w:rPr>
              <w:t>U.S. Published Surveys of COOs</w:t>
            </w:r>
          </w:p>
        </w:tc>
      </w:tr>
      <w:tr>
        <w:trPr>
          <w:trHeight w:val="191"/>
        </w:trPr>
        <w:tc>
          <w:tcPr>
            <w:tcW w:w="3080" w:type="dxa"/>
            <w:vAlign w:val="bottom"/>
          </w:tcPr>
          <w:p>
            <w:pPr>
              <w:ind w:left="80"/>
              <w:spacing w:after="0"/>
              <w:rPr>
                <w:sz w:val="20"/>
                <w:szCs w:val="20"/>
                <w:color w:val="auto"/>
              </w:rPr>
            </w:pPr>
            <w:r>
              <w:rPr>
                <w:rFonts w:ascii="Arial" w:cs="Arial" w:eastAsia="Arial" w:hAnsi="Arial"/>
                <w:sz w:val="16"/>
                <w:szCs w:val="16"/>
                <w:color w:val="auto"/>
              </w:rPr>
              <w:t>Mr. Chandrashekar</w:t>
            </w:r>
          </w:p>
        </w:tc>
        <w:tc>
          <w:tcPr>
            <w:tcW w:w="860" w:type="dxa"/>
            <w:vAlign w:val="bottom"/>
          </w:tcPr>
          <w:p>
            <w:pPr>
              <w:ind w:left="200"/>
              <w:spacing w:after="0"/>
              <w:rPr>
                <w:sz w:val="20"/>
                <w:szCs w:val="20"/>
                <w:color w:val="auto"/>
              </w:rPr>
            </w:pPr>
            <w:r>
              <w:rPr>
                <w:rFonts w:ascii="Arial" w:cs="Arial" w:eastAsia="Arial" w:hAnsi="Arial"/>
                <w:sz w:val="16"/>
                <w:szCs w:val="16"/>
                <w:color w:val="auto"/>
              </w:rPr>
              <w:t>S&amp;P 500</w:t>
            </w:r>
          </w:p>
        </w:tc>
        <w:tc>
          <w:tcPr>
            <w:tcW w:w="5640" w:type="dxa"/>
            <w:vAlign w:val="bottom"/>
          </w:tcPr>
          <w:p>
            <w:pPr>
              <w:ind w:left="20"/>
              <w:spacing w:after="0"/>
              <w:rPr>
                <w:sz w:val="20"/>
                <w:szCs w:val="20"/>
                <w:color w:val="auto"/>
              </w:rPr>
            </w:pPr>
            <w:r>
              <w:rPr>
                <w:rFonts w:ascii="Arial" w:cs="Arial" w:eastAsia="Arial" w:hAnsi="Arial"/>
                <w:sz w:val="16"/>
                <w:szCs w:val="16"/>
                <w:color w:val="auto"/>
              </w:rPr>
              <w:t>Data of Top Division Executives</w:t>
            </w:r>
          </w:p>
        </w:tc>
      </w:tr>
      <w:tr>
        <w:trPr>
          <w:trHeight w:val="189"/>
        </w:trPr>
        <w:tc>
          <w:tcPr>
            <w:tcW w:w="3080" w:type="dxa"/>
            <w:vAlign w:val="bottom"/>
          </w:tcPr>
          <w:p>
            <w:pPr>
              <w:spacing w:after="0"/>
              <w:rPr>
                <w:sz w:val="16"/>
                <w:szCs w:val="16"/>
                <w:color w:val="auto"/>
              </w:rPr>
            </w:pPr>
          </w:p>
        </w:tc>
        <w:tc>
          <w:tcPr>
            <w:tcW w:w="6500" w:type="dxa"/>
            <w:vAlign w:val="bottom"/>
            <w:gridSpan w:val="2"/>
          </w:tcPr>
          <w:p>
            <w:pPr>
              <w:ind w:left="200"/>
              <w:spacing w:after="0"/>
              <w:rPr>
                <w:sz w:val="20"/>
                <w:szCs w:val="20"/>
                <w:color w:val="auto"/>
              </w:rPr>
            </w:pPr>
            <w:r>
              <w:rPr>
                <w:rFonts w:ascii="Arial" w:cs="Arial" w:eastAsia="Arial" w:hAnsi="Arial"/>
                <w:sz w:val="16"/>
                <w:szCs w:val="16"/>
                <w:color w:val="auto"/>
              </w:rPr>
              <w:t>U.S. Published Survey of Top Division Executives</w:t>
            </w:r>
          </w:p>
        </w:tc>
      </w:tr>
      <w:tr>
        <w:trPr>
          <w:trHeight w:val="187"/>
        </w:trPr>
        <w:tc>
          <w:tcPr>
            <w:tcW w:w="3080" w:type="dxa"/>
            <w:vAlign w:val="bottom"/>
          </w:tcPr>
          <w:p>
            <w:pPr>
              <w:spacing w:after="0"/>
              <w:rPr>
                <w:sz w:val="16"/>
                <w:szCs w:val="16"/>
                <w:color w:val="auto"/>
              </w:rPr>
            </w:pPr>
          </w:p>
        </w:tc>
        <w:tc>
          <w:tcPr>
            <w:tcW w:w="6500" w:type="dxa"/>
            <w:vAlign w:val="bottom"/>
            <w:gridSpan w:val="2"/>
          </w:tcPr>
          <w:p>
            <w:pPr>
              <w:ind w:left="200"/>
              <w:spacing w:after="0"/>
              <w:rPr>
                <w:sz w:val="20"/>
                <w:szCs w:val="20"/>
                <w:color w:val="auto"/>
              </w:rPr>
            </w:pPr>
            <w:r>
              <w:rPr>
                <w:rFonts w:ascii="Arial" w:cs="Arial" w:eastAsia="Arial" w:hAnsi="Arial"/>
                <w:sz w:val="16"/>
                <w:szCs w:val="16"/>
                <w:color w:val="auto"/>
              </w:rPr>
              <w:t>Asia Published Survey of Top Divisional Executives</w:t>
            </w:r>
          </w:p>
        </w:tc>
      </w:tr>
      <w:tr>
        <w:trPr>
          <w:trHeight w:val="189"/>
        </w:trPr>
        <w:tc>
          <w:tcPr>
            <w:tcW w:w="3080" w:type="dxa"/>
            <w:vAlign w:val="bottom"/>
            <w:shd w:val="clear" w:color="auto" w:fill="E6EDF3"/>
          </w:tcPr>
          <w:p>
            <w:pPr>
              <w:ind w:left="80"/>
              <w:spacing w:after="0"/>
              <w:rPr>
                <w:sz w:val="20"/>
                <w:szCs w:val="20"/>
                <w:color w:val="auto"/>
              </w:rPr>
            </w:pPr>
            <w:r>
              <w:rPr>
                <w:rFonts w:ascii="Arial" w:cs="Arial" w:eastAsia="Arial" w:hAnsi="Arial"/>
                <w:sz w:val="16"/>
                <w:szCs w:val="16"/>
                <w:color w:val="auto"/>
              </w:rPr>
              <w:t>Ms. Swan(1)</w:t>
            </w:r>
          </w:p>
        </w:tc>
        <w:tc>
          <w:tcPr>
            <w:tcW w:w="6500" w:type="dxa"/>
            <w:vAlign w:val="bottom"/>
            <w:gridSpan w:val="2"/>
            <w:shd w:val="clear" w:color="auto" w:fill="E6EDF3"/>
          </w:tcPr>
          <w:p>
            <w:pPr>
              <w:ind w:left="200"/>
              <w:spacing w:after="0"/>
              <w:rPr>
                <w:sz w:val="20"/>
                <w:szCs w:val="20"/>
                <w:color w:val="auto"/>
              </w:rPr>
            </w:pPr>
            <w:r>
              <w:rPr>
                <w:rFonts w:ascii="Arial" w:cs="Arial" w:eastAsia="Arial" w:hAnsi="Arial"/>
                <w:sz w:val="16"/>
                <w:szCs w:val="16"/>
                <w:color w:val="auto"/>
              </w:rPr>
              <w:t>U.S. Published Survey of Top HR Executives</w:t>
            </w:r>
          </w:p>
        </w:tc>
      </w:tr>
      <w:tr>
        <w:trPr>
          <w:trHeight w:val="189"/>
        </w:trPr>
        <w:tc>
          <w:tcPr>
            <w:tcW w:w="3080" w:type="dxa"/>
            <w:vAlign w:val="bottom"/>
          </w:tcPr>
          <w:p>
            <w:pPr>
              <w:ind w:left="80"/>
              <w:spacing w:after="0"/>
              <w:rPr>
                <w:sz w:val="20"/>
                <w:szCs w:val="20"/>
                <w:color w:val="auto"/>
              </w:rPr>
            </w:pPr>
            <w:r>
              <w:rPr>
                <w:rFonts w:ascii="Arial" w:cs="Arial" w:eastAsia="Arial" w:hAnsi="Arial"/>
                <w:sz w:val="16"/>
                <w:szCs w:val="16"/>
                <w:color w:val="auto"/>
              </w:rPr>
              <w:t>Mr. Van Handel(2)</w:t>
            </w:r>
          </w:p>
        </w:tc>
        <w:tc>
          <w:tcPr>
            <w:tcW w:w="860" w:type="dxa"/>
            <w:vAlign w:val="bottom"/>
          </w:tcPr>
          <w:p>
            <w:pPr>
              <w:ind w:left="200"/>
              <w:spacing w:after="0"/>
              <w:rPr>
                <w:sz w:val="20"/>
                <w:szCs w:val="20"/>
                <w:color w:val="auto"/>
              </w:rPr>
            </w:pPr>
            <w:r>
              <w:rPr>
                <w:rFonts w:ascii="Arial" w:cs="Arial" w:eastAsia="Arial" w:hAnsi="Arial"/>
                <w:sz w:val="16"/>
                <w:szCs w:val="16"/>
                <w:color w:val="auto"/>
              </w:rPr>
              <w:t>S&amp;P 500</w:t>
            </w:r>
          </w:p>
        </w:tc>
        <w:tc>
          <w:tcPr>
            <w:tcW w:w="5640" w:type="dxa"/>
            <w:vAlign w:val="bottom"/>
          </w:tcPr>
          <w:p>
            <w:pPr>
              <w:ind w:left="20"/>
              <w:spacing w:after="0"/>
              <w:rPr>
                <w:sz w:val="20"/>
                <w:szCs w:val="20"/>
                <w:color w:val="auto"/>
              </w:rPr>
            </w:pPr>
            <w:r>
              <w:rPr>
                <w:rFonts w:ascii="Arial" w:cs="Arial" w:eastAsia="Arial" w:hAnsi="Arial"/>
                <w:sz w:val="16"/>
                <w:szCs w:val="16"/>
                <w:color w:val="auto"/>
              </w:rPr>
              <w:t>Data for CFOs</w:t>
            </w:r>
          </w:p>
        </w:tc>
      </w:tr>
      <w:tr>
        <w:trPr>
          <w:trHeight w:val="189"/>
        </w:trPr>
        <w:tc>
          <w:tcPr>
            <w:tcW w:w="3080" w:type="dxa"/>
            <w:vAlign w:val="bottom"/>
            <w:tcBorders>
              <w:bottom w:val="single" w:sz="8" w:color="auto"/>
            </w:tcBorders>
            <w:shd w:val="clear" w:color="auto" w:fill="E6EDF3"/>
          </w:tcPr>
          <w:p>
            <w:pPr>
              <w:spacing w:after="0"/>
              <w:rPr>
                <w:sz w:val="16"/>
                <w:szCs w:val="16"/>
                <w:color w:val="auto"/>
              </w:rPr>
            </w:pPr>
          </w:p>
        </w:tc>
        <w:tc>
          <w:tcPr>
            <w:tcW w:w="6500" w:type="dxa"/>
            <w:vAlign w:val="bottom"/>
            <w:tcBorders>
              <w:bottom w:val="single" w:sz="8" w:color="auto"/>
            </w:tcBorders>
            <w:gridSpan w:val="2"/>
            <w:shd w:val="clear" w:color="auto" w:fill="E6EDF3"/>
          </w:tcPr>
          <w:p>
            <w:pPr>
              <w:ind w:left="200"/>
              <w:spacing w:after="0"/>
              <w:rPr>
                <w:sz w:val="20"/>
                <w:szCs w:val="20"/>
                <w:color w:val="auto"/>
              </w:rPr>
            </w:pPr>
            <w:r>
              <w:rPr>
                <w:rFonts w:ascii="Arial" w:cs="Arial" w:eastAsia="Arial" w:hAnsi="Arial"/>
                <w:sz w:val="16"/>
                <w:szCs w:val="16"/>
                <w:color w:val="auto"/>
              </w:rPr>
              <w:t>U.S. Published Surveys of CFOs</w:t>
            </w:r>
          </w:p>
        </w:tc>
      </w:tr>
    </w:tbl>
    <w:p>
      <w:pPr>
        <w:spacing w:after="0" w:line="126" w:lineRule="exact"/>
        <w:rPr>
          <w:sz w:val="20"/>
          <w:szCs w:val="20"/>
          <w:color w:val="auto"/>
        </w:rPr>
      </w:pPr>
    </w:p>
    <w:p>
      <w:pPr>
        <w:ind w:left="1360" w:hanging="447"/>
        <w:spacing w:after="0"/>
        <w:tabs>
          <w:tab w:leader="none" w:pos="1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market data used for Ms. Swan includes a 20% premium to reflect additional global strategy responsibilities.</w:t>
      </w:r>
    </w:p>
    <w:p>
      <w:pPr>
        <w:spacing w:after="0" w:line="122" w:lineRule="exact"/>
        <w:rPr>
          <w:rFonts w:ascii="Arial" w:cs="Arial" w:eastAsia="Arial" w:hAnsi="Arial"/>
          <w:sz w:val="14"/>
          <w:szCs w:val="14"/>
          <w:color w:val="auto"/>
        </w:rPr>
      </w:pPr>
    </w:p>
    <w:p>
      <w:pPr>
        <w:ind w:left="1360" w:hanging="447"/>
        <w:spacing w:after="0"/>
        <w:tabs>
          <w:tab w:leader="none" w:pos="1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As both Mr. Van Handel and Mr. McGinnis were CFO for part of the year, the same survey data was utilized.</w:t>
      </w:r>
    </w:p>
    <w:p>
      <w:pPr>
        <w:spacing w:after="0" w:line="103"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 xml:space="preserve">Finally, the Committee does make use of the comparison data from staffing industry competitors, but only to consider the executive compensation </w:t>
      </w:r>
      <w:r>
        <w:rPr>
          <w:rFonts w:ascii="Arial" w:cs="Arial" w:eastAsia="Arial" w:hAnsi="Arial"/>
          <w:sz w:val="18"/>
          <w:szCs w:val="18"/>
          <w:i w:val="1"/>
          <w:iCs w:val="1"/>
          <w:color w:val="auto"/>
        </w:rPr>
        <w:t>practices</w:t>
      </w:r>
      <w:r>
        <w:rPr>
          <w:rFonts w:ascii="Arial" w:cs="Arial" w:eastAsia="Arial" w:hAnsi="Arial"/>
          <w:sz w:val="18"/>
          <w:szCs w:val="18"/>
          <w:color w:val="auto"/>
        </w:rPr>
        <w:t xml:space="preserve"> of these firms. As noted above, the Committee believes the executive positions at these companies are not comparable in scope and complexity to the NEO positions at ManpowerGroup. Therefore, the Committee does not believe that the compensation </w:t>
      </w:r>
      <w:r>
        <w:rPr>
          <w:rFonts w:ascii="Arial" w:cs="Arial" w:eastAsia="Arial" w:hAnsi="Arial"/>
          <w:sz w:val="18"/>
          <w:szCs w:val="18"/>
          <w:i w:val="1"/>
          <w:iCs w:val="1"/>
          <w:color w:val="auto"/>
        </w:rPr>
        <w:t>levels</w:t>
      </w:r>
      <w:r>
        <w:rPr>
          <w:rFonts w:ascii="Arial" w:cs="Arial" w:eastAsia="Arial" w:hAnsi="Arial"/>
          <w:sz w:val="18"/>
          <w:szCs w:val="18"/>
          <w:color w:val="auto"/>
        </w:rPr>
        <w:t xml:space="preserve"> paid to executives at these companies provide an appropriate indicator of the competitive market for ManpowerGroup NEOs. A list of the companies in the industry-specific comparator group is attached as </w:t>
      </w:r>
      <w:r>
        <w:rPr>
          <w:rFonts w:ascii="Arial" w:cs="Arial" w:eastAsia="Arial" w:hAnsi="Arial"/>
          <w:sz w:val="18"/>
          <w:szCs w:val="18"/>
          <w:i w:val="1"/>
          <w:iCs w:val="1"/>
          <w:color w:val="auto"/>
        </w:rPr>
        <w:t>Appendix B-1.</w:t>
      </w:r>
    </w:p>
    <w:p>
      <w:pPr>
        <w:spacing w:after="0" w:line="95"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Prior to setting compensation for 2016 for our NEOs, the Committee reviewed the following table which illustrates how the total opportunity at target performance for total direct compensation for 2015 compared to the median compensation of executives in similar positions taken from the composite of the peer group and U.S. survey data considered.</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39"/>
        </w:trPr>
        <w:tc>
          <w:tcPr>
            <w:tcW w:w="2780" w:type="dxa"/>
            <w:vAlign w:val="bottom"/>
          </w:tcPr>
          <w:p>
            <w:pPr>
              <w:spacing w:after="0"/>
              <w:rPr>
                <w:sz w:val="20"/>
                <w:szCs w:val="20"/>
                <w:color w:val="auto"/>
              </w:rPr>
            </w:pPr>
          </w:p>
        </w:tc>
        <w:tc>
          <w:tcPr>
            <w:tcW w:w="6800" w:type="dxa"/>
            <w:vAlign w:val="bottom"/>
            <w:gridSpan w:val="3"/>
          </w:tcPr>
          <w:p>
            <w:pPr>
              <w:jc w:val="right"/>
              <w:ind w:right="3640"/>
              <w:spacing w:after="0"/>
              <w:rPr>
                <w:sz w:val="20"/>
                <w:szCs w:val="20"/>
                <w:color w:val="auto"/>
              </w:rPr>
            </w:pPr>
            <w:r>
              <w:rPr>
                <w:rFonts w:ascii="Arial" w:cs="Arial" w:eastAsia="Arial" w:hAnsi="Arial"/>
                <w:sz w:val="18"/>
                <w:szCs w:val="18"/>
                <w:b w:val="1"/>
                <w:bCs w:val="1"/>
                <w:color w:val="auto"/>
              </w:rPr>
              <w:t>Total Direct Compensation</w:t>
            </w:r>
          </w:p>
        </w:tc>
      </w:tr>
      <w:tr>
        <w:trPr>
          <w:trHeight w:val="108"/>
        </w:trPr>
        <w:tc>
          <w:tcPr>
            <w:tcW w:w="2780" w:type="dxa"/>
            <w:vAlign w:val="bottom"/>
            <w:tcBorders>
              <w:bottom w:val="single" w:sz="8" w:color="auto"/>
            </w:tcBorders>
          </w:tcPr>
          <w:p>
            <w:pPr>
              <w:spacing w:after="0"/>
              <w:rPr>
                <w:sz w:val="9"/>
                <w:szCs w:val="9"/>
                <w:color w:val="auto"/>
              </w:rPr>
            </w:pPr>
          </w:p>
        </w:tc>
        <w:tc>
          <w:tcPr>
            <w:tcW w:w="422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r>
      <w:tr>
        <w:trPr>
          <w:trHeight w:val="237"/>
        </w:trPr>
        <w:tc>
          <w:tcPr>
            <w:tcW w:w="2780" w:type="dxa"/>
            <w:vAlign w:val="bottom"/>
            <w:shd w:val="clear" w:color="auto" w:fill="9DB8D2"/>
          </w:tcPr>
          <w:p>
            <w:pPr>
              <w:spacing w:after="0"/>
              <w:rPr>
                <w:sz w:val="20"/>
                <w:szCs w:val="20"/>
                <w:color w:val="auto"/>
              </w:rPr>
            </w:pPr>
          </w:p>
        </w:tc>
        <w:tc>
          <w:tcPr>
            <w:tcW w:w="4220" w:type="dxa"/>
            <w:vAlign w:val="bottom"/>
            <w:shd w:val="clear" w:color="auto" w:fill="9DB8D2"/>
          </w:tcPr>
          <w:p>
            <w:pPr>
              <w:spacing w:after="0"/>
              <w:rPr>
                <w:sz w:val="20"/>
                <w:szCs w:val="20"/>
                <w:color w:val="auto"/>
              </w:rPr>
            </w:pPr>
          </w:p>
        </w:tc>
        <w:tc>
          <w:tcPr>
            <w:tcW w:w="2580" w:type="dxa"/>
            <w:vAlign w:val="bottom"/>
            <w:gridSpan w:val="2"/>
            <w:shd w:val="clear" w:color="auto" w:fill="9DB8D2"/>
          </w:tcPr>
          <w:p>
            <w:pPr>
              <w:jc w:val="center"/>
              <w:ind w:right="620"/>
              <w:spacing w:after="0"/>
              <w:rPr>
                <w:sz w:val="20"/>
                <w:szCs w:val="20"/>
                <w:color w:val="auto"/>
              </w:rPr>
            </w:pPr>
            <w:r>
              <w:rPr>
                <w:rFonts w:ascii="Arial" w:cs="Arial" w:eastAsia="Arial" w:hAnsi="Arial"/>
                <w:sz w:val="14"/>
                <w:szCs w:val="14"/>
                <w:b w:val="1"/>
                <w:bCs w:val="1"/>
                <w:color w:val="auto"/>
              </w:rPr>
              <w:t>% Variance to Median of</w:t>
            </w:r>
          </w:p>
        </w:tc>
      </w:tr>
      <w:tr>
        <w:trPr>
          <w:trHeight w:val="175"/>
        </w:trPr>
        <w:tc>
          <w:tcPr>
            <w:tcW w:w="2780" w:type="dxa"/>
            <w:vAlign w:val="bottom"/>
            <w:tcBorders>
              <w:bottom w:val="single" w:sz="8" w:color="9DB8D2"/>
            </w:tcBorders>
            <w:shd w:val="clear" w:color="auto" w:fill="9DB8D2"/>
          </w:tcPr>
          <w:p>
            <w:pPr>
              <w:spacing w:after="0"/>
              <w:rPr>
                <w:sz w:val="15"/>
                <w:szCs w:val="15"/>
                <w:color w:val="auto"/>
              </w:rPr>
            </w:pPr>
          </w:p>
        </w:tc>
        <w:tc>
          <w:tcPr>
            <w:tcW w:w="4220" w:type="dxa"/>
            <w:vAlign w:val="bottom"/>
            <w:tcBorders>
              <w:bottom w:val="single" w:sz="8" w:color="9DB8D2"/>
            </w:tcBorders>
            <w:shd w:val="clear" w:color="auto" w:fill="9DB8D2"/>
          </w:tcPr>
          <w:p>
            <w:pPr>
              <w:spacing w:after="0"/>
              <w:rPr>
                <w:sz w:val="15"/>
                <w:szCs w:val="15"/>
                <w:color w:val="auto"/>
              </w:rPr>
            </w:pPr>
          </w:p>
        </w:tc>
        <w:tc>
          <w:tcPr>
            <w:tcW w:w="194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Competitive Market</w:t>
            </w:r>
          </w:p>
        </w:tc>
        <w:tc>
          <w:tcPr>
            <w:tcW w:w="640" w:type="dxa"/>
            <w:vAlign w:val="bottom"/>
            <w:tcBorders>
              <w:bottom w:val="single" w:sz="8" w:color="9DB8D2"/>
            </w:tcBorders>
            <w:shd w:val="clear" w:color="auto" w:fill="9DB8D2"/>
          </w:tcPr>
          <w:p>
            <w:pPr>
              <w:spacing w:after="0"/>
              <w:rPr>
                <w:sz w:val="15"/>
                <w:szCs w:val="15"/>
                <w:color w:val="auto"/>
              </w:rPr>
            </w:pPr>
          </w:p>
        </w:tc>
      </w:tr>
      <w:tr>
        <w:trPr>
          <w:trHeight w:val="237"/>
        </w:trPr>
        <w:tc>
          <w:tcPr>
            <w:tcW w:w="2780" w:type="dxa"/>
            <w:vAlign w:val="bottom"/>
            <w:shd w:val="clear" w:color="auto" w:fill="9DB8D2"/>
          </w:tcPr>
          <w:p>
            <w:pPr>
              <w:spacing w:after="0"/>
              <w:rPr>
                <w:sz w:val="20"/>
                <w:szCs w:val="20"/>
                <w:color w:val="auto"/>
              </w:rPr>
            </w:pPr>
          </w:p>
        </w:tc>
        <w:tc>
          <w:tcPr>
            <w:tcW w:w="4220" w:type="dxa"/>
            <w:vAlign w:val="bottom"/>
            <w:shd w:val="clear" w:color="auto" w:fill="9DB8D2"/>
          </w:tcPr>
          <w:p>
            <w:pPr>
              <w:spacing w:after="0"/>
              <w:rPr>
                <w:sz w:val="20"/>
                <w:szCs w:val="20"/>
                <w:color w:val="auto"/>
              </w:rPr>
            </w:pPr>
          </w:p>
        </w:tc>
        <w:tc>
          <w:tcPr>
            <w:tcW w:w="2580" w:type="dxa"/>
            <w:vAlign w:val="bottom"/>
            <w:gridSpan w:val="2"/>
            <w:shd w:val="clear" w:color="auto" w:fill="9DB8D2"/>
          </w:tcPr>
          <w:p>
            <w:pPr>
              <w:jc w:val="center"/>
              <w:ind w:right="620"/>
              <w:spacing w:after="0"/>
              <w:rPr>
                <w:sz w:val="20"/>
                <w:szCs w:val="20"/>
                <w:color w:val="auto"/>
              </w:rPr>
            </w:pPr>
            <w:r>
              <w:rPr>
                <w:rFonts w:ascii="Arial" w:cs="Arial" w:eastAsia="Arial" w:hAnsi="Arial"/>
                <w:sz w:val="14"/>
                <w:szCs w:val="14"/>
                <w:b w:val="1"/>
                <w:bCs w:val="1"/>
                <w:color w:val="auto"/>
              </w:rPr>
              <w:t>Subset of S&amp;P 500/</w:t>
            </w:r>
          </w:p>
        </w:tc>
      </w:tr>
      <w:tr>
        <w:trPr>
          <w:trHeight w:val="189"/>
        </w:trPr>
        <w:tc>
          <w:tcPr>
            <w:tcW w:w="278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NEO</w:t>
            </w:r>
          </w:p>
        </w:tc>
        <w:tc>
          <w:tcPr>
            <w:tcW w:w="4220" w:type="dxa"/>
            <w:vAlign w:val="bottom"/>
            <w:tcBorders>
              <w:bottom w:val="single" w:sz="8" w:color="auto"/>
            </w:tcBorders>
            <w:shd w:val="clear" w:color="auto" w:fill="9DB8D2"/>
          </w:tcPr>
          <w:p>
            <w:pPr>
              <w:spacing w:after="0"/>
              <w:rPr>
                <w:sz w:val="16"/>
                <w:szCs w:val="16"/>
                <w:color w:val="auto"/>
              </w:rPr>
            </w:pPr>
          </w:p>
        </w:tc>
        <w:tc>
          <w:tcPr>
            <w:tcW w:w="2580" w:type="dxa"/>
            <w:vAlign w:val="bottom"/>
            <w:tcBorders>
              <w:bottom w:val="single" w:sz="8" w:color="auto"/>
            </w:tcBorders>
            <w:gridSpan w:val="2"/>
            <w:shd w:val="clear" w:color="auto" w:fill="9DB8D2"/>
          </w:tcPr>
          <w:p>
            <w:pPr>
              <w:jc w:val="center"/>
              <w:ind w:right="640"/>
              <w:spacing w:after="0"/>
              <w:rPr>
                <w:sz w:val="20"/>
                <w:szCs w:val="20"/>
                <w:color w:val="auto"/>
              </w:rPr>
            </w:pPr>
            <w:r>
              <w:rPr>
                <w:rFonts w:ascii="Arial" w:cs="Arial" w:eastAsia="Arial" w:hAnsi="Arial"/>
                <w:sz w:val="14"/>
                <w:szCs w:val="14"/>
                <w:b w:val="1"/>
                <w:bCs w:val="1"/>
                <w:color w:val="auto"/>
              </w:rPr>
              <w:t>U.S. Survey Data Composite</w:t>
            </w:r>
          </w:p>
        </w:tc>
      </w:tr>
      <w:tr>
        <w:trPr>
          <w:trHeight w:val="183"/>
        </w:trPr>
        <w:tc>
          <w:tcPr>
            <w:tcW w:w="278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Jonas Prising</w:t>
            </w:r>
          </w:p>
        </w:tc>
        <w:tc>
          <w:tcPr>
            <w:tcW w:w="6800" w:type="dxa"/>
            <w:vAlign w:val="bottom"/>
            <w:gridSpan w:val="3"/>
            <w:shd w:val="clear" w:color="auto" w:fill="E6EDF3"/>
          </w:tcPr>
          <w:p>
            <w:pPr>
              <w:jc w:val="right"/>
              <w:ind w:right="440"/>
              <w:spacing w:after="0" w:line="183" w:lineRule="exact"/>
              <w:rPr>
                <w:sz w:val="20"/>
                <w:szCs w:val="20"/>
                <w:color w:val="auto"/>
              </w:rPr>
            </w:pPr>
            <w:r>
              <w:rPr>
                <w:rFonts w:ascii="Arial" w:cs="Arial" w:eastAsia="Arial" w:hAnsi="Arial"/>
                <w:sz w:val="16"/>
                <w:szCs w:val="16"/>
                <w:color w:val="auto"/>
              </w:rPr>
              <w:t>(31)%</w:t>
            </w:r>
          </w:p>
        </w:tc>
      </w:tr>
      <w:tr>
        <w:trPr>
          <w:trHeight w:val="189"/>
        </w:trPr>
        <w:tc>
          <w:tcPr>
            <w:tcW w:w="2780" w:type="dxa"/>
            <w:vAlign w:val="bottom"/>
          </w:tcPr>
          <w:p>
            <w:pPr>
              <w:ind w:left="80"/>
              <w:spacing w:after="0"/>
              <w:rPr>
                <w:sz w:val="20"/>
                <w:szCs w:val="20"/>
                <w:color w:val="auto"/>
              </w:rPr>
            </w:pPr>
            <w:r>
              <w:rPr>
                <w:rFonts w:ascii="Arial" w:cs="Arial" w:eastAsia="Arial" w:hAnsi="Arial"/>
                <w:sz w:val="16"/>
                <w:szCs w:val="16"/>
                <w:color w:val="auto"/>
              </w:rPr>
              <w:t>John T. McGinnis(1)</w:t>
            </w:r>
          </w:p>
        </w:tc>
        <w:tc>
          <w:tcPr>
            <w:tcW w:w="6800" w:type="dxa"/>
            <w:vAlign w:val="bottom"/>
            <w:gridSpan w:val="3"/>
          </w:tcPr>
          <w:p>
            <w:pPr>
              <w:jc w:val="right"/>
              <w:ind w:right="480"/>
              <w:spacing w:after="0"/>
              <w:rPr>
                <w:sz w:val="20"/>
                <w:szCs w:val="20"/>
                <w:color w:val="auto"/>
              </w:rPr>
            </w:pPr>
            <w:r>
              <w:rPr>
                <w:rFonts w:ascii="Arial" w:cs="Arial" w:eastAsia="Arial" w:hAnsi="Arial"/>
                <w:sz w:val="16"/>
                <w:szCs w:val="16"/>
                <w:color w:val="auto"/>
              </w:rPr>
              <w:t>2%</w:t>
            </w:r>
          </w:p>
        </w:tc>
      </w:tr>
      <w:tr>
        <w:trPr>
          <w:trHeight w:val="189"/>
        </w:trPr>
        <w:tc>
          <w:tcPr>
            <w:tcW w:w="2780" w:type="dxa"/>
            <w:vAlign w:val="bottom"/>
            <w:shd w:val="clear" w:color="auto" w:fill="E6EDF3"/>
          </w:tcPr>
          <w:p>
            <w:pPr>
              <w:ind w:left="80"/>
              <w:spacing w:after="0"/>
              <w:rPr>
                <w:sz w:val="20"/>
                <w:szCs w:val="20"/>
                <w:color w:val="auto"/>
              </w:rPr>
            </w:pPr>
            <w:r>
              <w:rPr>
                <w:rFonts w:ascii="Arial" w:cs="Arial" w:eastAsia="Arial" w:hAnsi="Arial"/>
                <w:sz w:val="16"/>
                <w:szCs w:val="16"/>
                <w:color w:val="auto"/>
              </w:rPr>
              <w:t>Darryl Green</w:t>
            </w:r>
          </w:p>
        </w:tc>
        <w:tc>
          <w:tcPr>
            <w:tcW w:w="6800" w:type="dxa"/>
            <w:vAlign w:val="bottom"/>
            <w:gridSpan w:val="3"/>
            <w:shd w:val="clear" w:color="auto" w:fill="E6EDF3"/>
          </w:tcPr>
          <w:p>
            <w:pPr>
              <w:jc w:val="right"/>
              <w:ind w:right="480"/>
              <w:spacing w:after="0"/>
              <w:rPr>
                <w:sz w:val="20"/>
                <w:szCs w:val="20"/>
                <w:color w:val="auto"/>
              </w:rPr>
            </w:pPr>
            <w:r>
              <w:rPr>
                <w:rFonts w:ascii="Arial" w:cs="Arial" w:eastAsia="Arial" w:hAnsi="Arial"/>
                <w:sz w:val="16"/>
                <w:szCs w:val="16"/>
                <w:color w:val="auto"/>
              </w:rPr>
              <w:t>35%</w:t>
            </w:r>
          </w:p>
        </w:tc>
      </w:tr>
      <w:tr>
        <w:trPr>
          <w:trHeight w:val="189"/>
        </w:trPr>
        <w:tc>
          <w:tcPr>
            <w:tcW w:w="2780" w:type="dxa"/>
            <w:vAlign w:val="bottom"/>
          </w:tcPr>
          <w:p>
            <w:pPr>
              <w:ind w:left="80"/>
              <w:spacing w:after="0"/>
              <w:rPr>
                <w:sz w:val="20"/>
                <w:szCs w:val="20"/>
                <w:color w:val="auto"/>
              </w:rPr>
            </w:pPr>
            <w:r>
              <w:rPr>
                <w:rFonts w:ascii="Arial" w:cs="Arial" w:eastAsia="Arial" w:hAnsi="Arial"/>
                <w:sz w:val="16"/>
                <w:szCs w:val="16"/>
                <w:color w:val="auto"/>
              </w:rPr>
              <w:t>Ram Chandrashekar(2)</w:t>
            </w:r>
          </w:p>
        </w:tc>
        <w:tc>
          <w:tcPr>
            <w:tcW w:w="6800" w:type="dxa"/>
            <w:vAlign w:val="bottom"/>
            <w:gridSpan w:val="3"/>
          </w:tcPr>
          <w:p>
            <w:pPr>
              <w:jc w:val="right"/>
              <w:ind w:right="440"/>
              <w:spacing w:after="0"/>
              <w:rPr>
                <w:sz w:val="20"/>
                <w:szCs w:val="20"/>
                <w:color w:val="auto"/>
              </w:rPr>
            </w:pPr>
            <w:r>
              <w:rPr>
                <w:rFonts w:ascii="Arial" w:cs="Arial" w:eastAsia="Arial" w:hAnsi="Arial"/>
                <w:sz w:val="16"/>
                <w:szCs w:val="16"/>
                <w:color w:val="auto"/>
              </w:rPr>
              <w:t>(8)%</w:t>
            </w:r>
          </w:p>
        </w:tc>
      </w:tr>
      <w:tr>
        <w:trPr>
          <w:trHeight w:val="189"/>
        </w:trPr>
        <w:tc>
          <w:tcPr>
            <w:tcW w:w="2780" w:type="dxa"/>
            <w:vAlign w:val="bottom"/>
            <w:shd w:val="clear" w:color="auto" w:fill="E6EDF3"/>
          </w:tcPr>
          <w:p>
            <w:pPr>
              <w:ind w:left="80"/>
              <w:spacing w:after="0"/>
              <w:rPr>
                <w:sz w:val="20"/>
                <w:szCs w:val="20"/>
                <w:color w:val="auto"/>
              </w:rPr>
            </w:pPr>
            <w:r>
              <w:rPr>
                <w:rFonts w:ascii="Arial" w:cs="Arial" w:eastAsia="Arial" w:hAnsi="Arial"/>
                <w:sz w:val="16"/>
                <w:szCs w:val="16"/>
                <w:color w:val="auto"/>
              </w:rPr>
              <w:t>Mara E. Swan(3)</w:t>
            </w:r>
          </w:p>
        </w:tc>
        <w:tc>
          <w:tcPr>
            <w:tcW w:w="6800" w:type="dxa"/>
            <w:vAlign w:val="bottom"/>
            <w:gridSpan w:val="3"/>
            <w:shd w:val="clear" w:color="auto" w:fill="E6EDF3"/>
          </w:tcPr>
          <w:p>
            <w:pPr>
              <w:jc w:val="right"/>
              <w:ind w:right="480"/>
              <w:spacing w:after="0"/>
              <w:rPr>
                <w:sz w:val="20"/>
                <w:szCs w:val="20"/>
                <w:color w:val="auto"/>
              </w:rPr>
            </w:pPr>
            <w:r>
              <w:rPr>
                <w:rFonts w:ascii="Arial" w:cs="Arial" w:eastAsia="Arial" w:hAnsi="Arial"/>
                <w:sz w:val="16"/>
                <w:szCs w:val="16"/>
                <w:color w:val="auto"/>
              </w:rPr>
              <w:t>20%</w:t>
            </w:r>
          </w:p>
        </w:tc>
      </w:tr>
      <w:tr>
        <w:trPr>
          <w:trHeight w:val="189"/>
        </w:trPr>
        <w:tc>
          <w:tcPr>
            <w:tcW w:w="27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Michael J. Van Handel(4)</w:t>
            </w:r>
          </w:p>
        </w:tc>
        <w:tc>
          <w:tcPr>
            <w:tcW w:w="680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6"/>
                <w:szCs w:val="16"/>
                <w:color w:val="auto"/>
              </w:rPr>
              <w:t>24%</w:t>
            </w:r>
          </w:p>
        </w:tc>
      </w:tr>
    </w:tbl>
    <w:p>
      <w:pPr>
        <w:spacing w:after="0" w:line="126" w:lineRule="exact"/>
        <w:rPr>
          <w:sz w:val="20"/>
          <w:szCs w:val="20"/>
          <w:color w:val="auto"/>
        </w:rPr>
      </w:pPr>
    </w:p>
    <w:p>
      <w:pPr>
        <w:ind w:left="1360" w:hanging="447"/>
        <w:spacing w:after="0"/>
        <w:tabs>
          <w:tab w:leader="none" w:pos="1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For Mr. McGinnis, this reflects his 2016 total direct compensation at the time of his joining the Company, compared against the composite data for CFOs.</w:t>
      </w:r>
    </w:p>
    <w:p>
      <w:pPr>
        <w:spacing w:after="0" w:line="122" w:lineRule="exact"/>
        <w:rPr>
          <w:rFonts w:ascii="Arial" w:cs="Arial" w:eastAsia="Arial" w:hAnsi="Arial"/>
          <w:sz w:val="14"/>
          <w:szCs w:val="14"/>
          <w:color w:val="auto"/>
        </w:rPr>
      </w:pPr>
    </w:p>
    <w:p>
      <w:pPr>
        <w:ind w:left="1360" w:hanging="447"/>
        <w:spacing w:after="0" w:line="258" w:lineRule="auto"/>
        <w:tabs>
          <w:tab w:leader="none" w:pos="1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Mr. Chandrashekar is based in Asia, and international survey data was also used as a secondary source in setting his compensation. Such international data is not included in the composite reflected in this table.</w:t>
      </w:r>
    </w:p>
    <w:p>
      <w:pPr>
        <w:spacing w:after="0" w:line="99" w:lineRule="exact"/>
        <w:rPr>
          <w:rFonts w:ascii="Arial" w:cs="Arial" w:eastAsia="Arial" w:hAnsi="Arial"/>
          <w:sz w:val="14"/>
          <w:szCs w:val="14"/>
          <w:color w:val="auto"/>
        </w:rPr>
      </w:pPr>
    </w:p>
    <w:p>
      <w:pPr>
        <w:ind w:left="1360" w:right="320" w:hanging="447"/>
        <w:spacing w:after="0" w:line="258" w:lineRule="auto"/>
        <w:tabs>
          <w:tab w:leader="none" w:pos="1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Compensation for Ms. Swan, who is a global functional leader, was compared against U.S. compensation survey data recommended by Mercer, but not against the subset of S&amp;P 500 companies.</w:t>
      </w:r>
    </w:p>
    <w:p>
      <w:pPr>
        <w:spacing w:after="0" w:line="99" w:lineRule="exact"/>
        <w:rPr>
          <w:rFonts w:ascii="Arial" w:cs="Arial" w:eastAsia="Arial" w:hAnsi="Arial"/>
          <w:sz w:val="14"/>
          <w:szCs w:val="14"/>
          <w:color w:val="auto"/>
        </w:rPr>
      </w:pPr>
    </w:p>
    <w:p>
      <w:pPr>
        <w:ind w:left="1360" w:right="780" w:hanging="447"/>
        <w:spacing w:after="0" w:line="258" w:lineRule="auto"/>
        <w:tabs>
          <w:tab w:leader="none" w:pos="13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As Mr. Van Handel started the year as CFO, his benchmarking for 2016 was calibrated against the same CFO peer group and survey data as for Mr. McGinnis.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38</w:t>
      </w:r>
    </w:p>
    <w:p>
      <w:pPr>
        <w:sectPr>
          <w:pgSz w:w="11900" w:h="16838" w:orient="portrait"/>
          <w:cols w:equalWidth="0" w:num="1">
            <w:col w:w="11320"/>
          </w:cols>
          <w:pgMar w:left="24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818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It was observed that Mr. Prising’s target compensation for 2015 fell significantly below the median total direct compensation when benchmarked against survey data for CEOs. The Committee determined that in light of this, adjustments to Mr. Prising’s total direct compensation would be appropriate. For all other NEOs, the Committee determined their target compensation was within a suitable range of the median.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Assessing Individual Factors</w:t>
      </w:r>
    </w:p>
    <w:p>
      <w:pPr>
        <w:spacing w:after="0" w:line="16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An individual NEO’s total compensation or any element of compensation may be adjusted upwards or downwards relative to the competitive market based on a subjective consideration of the NEO’s experience, potential, tenure and results (individual and relevant organizational results), internal equity (which means that comparably positioned executives within ManpowerGroup should have comparable award opportunities), the NEO’s historical compensation, and any retention concerns. The Committee uses a historical compensation report to review the compensation and benefits provided to each NEO in connection with its compensation decisions concerning that NEO.</w:t>
      </w:r>
    </w:p>
    <w:p>
      <w:pPr>
        <w:spacing w:after="0" w:line="281"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How the Committee Determines Compensation Levels</w:t>
      </w:r>
    </w:p>
    <w:p>
      <w:pPr>
        <w:spacing w:after="0" w:line="14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Committee determines the CEO compensation levels, including base salary, establishing and determining the achievement of the financial goals and operating objectives for the annual cash incentives, and any equity-based compensation awards, subject to ratification by the board of directors. Generally, the CEO establishes and determines the achievement of the goals and objectives for the annual incentive for the other NEOs, with the Committee making the final determinations. Similarly, the CEO generally recommends to the Committee any salary adjustments, cash incentive awards or equity-based awards for the other NEOs, which are then evaluated and determined by the Committee. Mercer also provided input to the Committee regarding the final 2016 compensation for all of the NEOs. This input reflected the Company’s performance results for 2016, external market references against the peer group, internal compensation references and the individual performance of each of the NEOs. Under the Committee’s charter, compensation for our CEO, CFO and President is subject to ratification by the board of directors. Accordingly, the board of directors ratified the determinations for Mr. Prising, Mr. McGinnis, Mr. Green, as well as Mr. Van Handel, who were our executives at this level.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Setting Annual Incentive Goals and Equity Awards for Mr. Prising</w:t>
      </w:r>
    </w:p>
    <w:p>
      <w:pPr>
        <w:spacing w:after="0" w:line="166"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annual financial goals for the CEO are based on EPS and ROIC for the year. The process begins with collaboration between Mercer and the CFO. Mercer then reviews this outcome with the chair of the Committee, who makes a preliminary decision about the goals. The full Committee then reviews and determines the goals and range of award opportunities for achievement of the goals, including the weighting of each goal for the CEO, subject to ratification by the board of directors. In determining these goals, the Committee considers financial information including historical and projected earnings growth, the prior year financial results and the Company’s expected financial performance for the current year, consulting with management, including financial personnel, and Mercer.</w:t>
      </w:r>
    </w:p>
    <w:p>
      <w:pPr>
        <w:spacing w:after="0" w:line="97"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Setting the operating objectives for the CEO begins with the CEO recommending to the Committee the objectives for himself for the year. The Committee reviews and ultimately approves these operating objectives, subject to any adjustments, in the context of ManpowerGroup’s strategic and financial plans.</w:t>
      </w:r>
    </w:p>
    <w:p>
      <w:pPr>
        <w:spacing w:after="0" w:line="9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At each Committee meeting during the year, the Committee reviews the progress the CEO is making towards the achievement of his financial goals and operating objectives for the year. After the close of each year, the Committee reviews and approves, subject to ratification by the board of directors, an award amount for the annual cash incentive based on whether the annual objective financial goals have been achieved, the pool allocation earned under the Pool Plan, and based on the CEO’s performance towards each of his annual operating objectives.</w:t>
      </w:r>
    </w:p>
    <w:p>
      <w:pPr>
        <w:spacing w:after="0" w:line="94"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The Committee will generally determine and approve equity awards to the CEO and the related vesting schedules, at its regularly scheduled meeting in February each year, subject to ratification by the board of directors. The grant date for the awards is the date the Committee approves the awards. The exercise price for any options granted is the closing price on the date of grant.</w:t>
      </w:r>
    </w:p>
    <w:p>
      <w:pPr>
        <w:spacing w:after="0" w:line="95"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As part of the decision making process for the CEO’s compensation matters, any decisions of the Committee or ratifications by the board of directors regarding the CEO’s compensation, are done in executive session without any other management present.</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39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Compensation Discussion and Analysis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Setting Annual Incentive Goals and Equity Awards for Messrs. McGinnis, Green, Chandrashekar, Van Handel and Ms. Swan</w:t>
      </w:r>
    </w:p>
    <w:p>
      <w:pPr>
        <w:spacing w:after="0" w:line="166"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The process for setting the annual financial goals for the other NEOs begins with the CEO and CFO selecting the objective financial metrics and establishing proposed goals for those selected metrics for each of the NEOs. The EPS and ROIC metric is used for each NEO, with the same goals as those used for the CEO. The CEO and CFO determine the proposed goals and award opportunities for Mr. Chandrashekar’s other objective financial metric, AOUP. The Committee reviews these recommended financial goals, makes any adjustments it deems appropriate and then approves the financial goals and range of award opportunities, including the weighting of each goal.</w:t>
      </w:r>
    </w:p>
    <w:p>
      <w:pPr>
        <w:spacing w:after="0" w:line="95"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For 2016, Mr. Prising approved the operating objectives for Messrs. McGinnis, Green, Chandrashekar, Van Handel and Ms. Swan, which were reviewed by the Committee.</w:t>
      </w:r>
    </w:p>
    <w:p>
      <w:pPr>
        <w:spacing w:after="0" w:line="89" w:lineRule="exact"/>
        <w:rPr>
          <w:sz w:val="20"/>
          <w:szCs w:val="20"/>
          <w:color w:val="auto"/>
        </w:rPr>
      </w:pPr>
    </w:p>
    <w:p>
      <w:pPr>
        <w:ind w:right="600"/>
        <w:spacing w:after="0" w:line="238" w:lineRule="auto"/>
        <w:rPr>
          <w:sz w:val="20"/>
          <w:szCs w:val="20"/>
          <w:color w:val="auto"/>
        </w:rPr>
      </w:pPr>
      <w:r>
        <w:rPr>
          <w:rFonts w:ascii="Arial" w:cs="Arial" w:eastAsia="Arial" w:hAnsi="Arial"/>
          <w:sz w:val="18"/>
          <w:szCs w:val="18"/>
          <w:color w:val="auto"/>
        </w:rPr>
        <w:t>After the close of each year, the Committee reviews and approves an award amount for the annual incentive to each NEO based on achievement of the NEO’s annual objective financial goals and the pool allocation earned under the Pool Plan. The CEO determines the amount of any award to each of the NEOs for performance towards each of their annual operating objectives. The CEO presents the recommended award for each NEO to the Committee for its review and approval, subject to ratification by the board of directors for Messrs. McGinnis, Green and Van Handel.</w:t>
      </w:r>
    </w:p>
    <w:p>
      <w:pPr>
        <w:spacing w:after="0" w:line="9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Committee generally determines and approves equity awards to the other NEOs, including vesting schedules, at its regularly scheduled meeting in February each year, subject to ratification by the board of directors in the case of Messrs. McGinnis, Green and Van Handel. These are generally based on recommendations by the CEO (although not with regard to himself). The Committee may make grants to NEOs at other times during the year, as it deems appropriate. The grant date for the awards is the date the Committee approves the awards. The exercise price for any options granted is the closing price on the date of grant.</w:t>
      </w:r>
    </w:p>
    <w:p>
      <w:pPr>
        <w:spacing w:after="0" w:line="281"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Components of the 2016 Executive Compensation Program</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Base Salary</w:t>
      </w:r>
    </w:p>
    <w:p>
      <w:pPr>
        <w:spacing w:after="0" w:line="126"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Base salaries for NEOs are set near the median of base salaries paid in the relevant competitive market, for the particular position, subject to individual performance factors as described earlier. Mr. Prising received an increase in base salary to $1,200,000 in 2016. None of the other NEOs received an increase in base salary in 2016.</w:t>
      </w:r>
    </w:p>
    <w:p>
      <w:pPr>
        <w:spacing w:after="0" w:line="95"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Base salary levels affect the value of the annual incentive awarded to the NEOs because the incentive award is awarded as a percentage of base salary. A higher base salary will result in a higher annual incentive, assuming the same level of achievement against goals. The level of severance benefit each NEO may receive is also increased if his or her salary is increased. The value of long-term incentive awards is not determined as a multiple of base salary.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Annual Cash Incentives</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5D89B4"/>
        </w:rPr>
        <w:t>Pool Plan</w:t>
      </w:r>
    </w:p>
    <w:p>
      <w:pPr>
        <w:spacing w:after="0" w:line="12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As stated earlier, in 2011 our shareholders approved the ManpowerGroup Inc. Corporate Senior Management Annual Incentive Pool Plan (the “Pool Plan”) and re-approved the material terms of the performance goals under the Plan in 2016. The design of the Pool Plan sets maximum incentive levels for executives subject to the plan, and then enables the Committee to use negative discretion to establish actual incentives for our NEOs. This is done based on a subjective assessment of the individual’s achievements and performance and overall contribution to the Company and even more importantly, based on the Committee’s assessment of performance towards the pre-specified financial goals and operating objectives which are set at the beginning of the year. The Pool Plan is designed to maintain our ability to deduct the incentives to the greatest extent permitted under Section 162(m) of the Internal Revenue Code.</w:t>
      </w:r>
    </w:p>
    <w:p>
      <w:pPr>
        <w:spacing w:after="0" w:line="9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February 2016, the Committee approved an amendment to the Pool Plan so that any participant who retires during the year would be entitled to a pro-rata portion of their annual incentive for that year, based on actual performance. Prior to the amendment, a participant who retired prior to December 31 of a given year would not be eligible for any incentive for that year, unless otherwise determined by the Committee.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818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For 2016, the Committee determined that the aggregate annual cash incentive awards for the NEOs who are subject to the Pool Plan cannot exceed .75% percent of gross profit. The maximum amount of the individual awards for each participating NEO will be the lesser of the shareholder approved maximum individual payout under the Pool Plan of $5.0 million or a percentage of the gross profit pool as approved by the Committee in advance.</w:t>
      </w:r>
    </w:p>
    <w:p>
      <w:pPr>
        <w:spacing w:after="0" w:line="94" w:lineRule="exact"/>
        <w:rPr>
          <w:sz w:val="20"/>
          <w:szCs w:val="20"/>
          <w:color w:val="auto"/>
        </w:rPr>
      </w:pPr>
    </w:p>
    <w:p>
      <w:pPr>
        <w:ind w:right="340"/>
        <w:spacing w:after="0" w:line="234" w:lineRule="auto"/>
        <w:rPr>
          <w:sz w:val="20"/>
          <w:szCs w:val="20"/>
          <w:color w:val="auto"/>
        </w:rPr>
      </w:pPr>
      <w:r>
        <w:rPr>
          <w:rFonts w:ascii="Arial" w:cs="Arial" w:eastAsia="Arial" w:hAnsi="Arial"/>
          <w:sz w:val="18"/>
          <w:szCs w:val="18"/>
          <w:color w:val="auto"/>
        </w:rPr>
        <w:t>The total incentive payout to executives cannot exceed 100% of the pool. During the first quarter of 2016, the Committee approved the pool allocations for each of the NEOs as follows: Mr. Prising (26%), Mr. McGinnis (10%), Mr. Green (13%), Mr. Chandrashekar (7%), Ms. Swan</w:t>
      </w:r>
    </w:p>
    <w:p>
      <w:pPr>
        <w:spacing w:after="0" w:line="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(7%), and Mr. Van Handel (11%) with the balance of the pool being allocated to other executives and for any new executives hired or promoted during the year. Within this structure, the Committee uses negative discretion to determine incentives for our NEOs by continuing to use the goals of EPS, ROIC, AOUP and various operational objectives to calculate the amount for each of the NEOs, capped by each executive’s allocable share of the pool. Each of the NEOs who was a participant in the Pool Plan for 2016 received a cash incentive payment significantly less than his or her allocable share of the pool.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5D89B4"/>
        </w:rPr>
        <w:t>How the Committee Sets Underlying Goals for EPS and ROIC</w:t>
      </w:r>
    </w:p>
    <w:p>
      <w:pPr>
        <w:spacing w:after="0" w:line="16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As noted above, the annual cash incentives for NEOs are based on two objective factors – EPS and ROIC – plus regional operating unit performance, where applicable, and individual performance objectives. For EPS and ROIC, the Committee sets target outcomes at a number that reflects an annual growth target. As mentioned earlier, beginning in 2016, the Committee determined to exclude the impact of currency when calculating EPS and ROIC to ensure that payments under our annual incentives reflect the underlying performance of our business. Accordingly, they set the EPS and ROIC targets on a constant currency basis. The calculation of EPS and ROIC are as follows:</w:t>
      </w:r>
    </w:p>
    <w:p>
      <w:pPr>
        <w:spacing w:after="0" w:line="86" w:lineRule="exact"/>
        <w:rPr>
          <w:sz w:val="20"/>
          <w:szCs w:val="20"/>
          <w:color w:val="auto"/>
        </w:rPr>
      </w:pPr>
    </w:p>
    <w:p>
      <w:pPr>
        <w:ind w:left="440" w:right="140" w:hanging="324"/>
        <w:spacing w:after="0" w:line="271" w:lineRule="auto"/>
        <w:tabs>
          <w:tab w:leader="none" w:pos="440" w:val="left"/>
        </w:tabs>
        <w:numPr>
          <w:ilvl w:val="0"/>
          <w:numId w:val="46"/>
        </w:numPr>
        <w:rPr>
          <w:rFonts w:ascii="Arial" w:cs="Arial" w:eastAsia="Arial" w:hAnsi="Arial"/>
          <w:sz w:val="18"/>
          <w:szCs w:val="18"/>
          <w:color w:val="5D89B4"/>
        </w:rPr>
      </w:pPr>
      <w:r>
        <w:rPr>
          <w:rFonts w:ascii="Arial" w:cs="Arial" w:eastAsia="Arial" w:hAnsi="Arial"/>
          <w:sz w:val="18"/>
          <w:szCs w:val="18"/>
          <w:b w:val="1"/>
          <w:bCs w:val="1"/>
          <w:color w:val="auto"/>
        </w:rPr>
        <w:t xml:space="preserve">EPS </w:t>
      </w:r>
      <w:r>
        <w:rPr>
          <w:rFonts w:ascii="Arial" w:cs="Arial" w:eastAsia="Arial" w:hAnsi="Arial"/>
          <w:sz w:val="18"/>
          <w:szCs w:val="18"/>
          <w:color w:val="auto"/>
        </w:rPr>
        <w:t>— net earnings per share – diluted, including net earnings from continuing and discontinued operations, but excluding the impact of</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any cumulative effects of changes in accounting principles, extraordinary items or goodwill impairment.</w:t>
      </w:r>
    </w:p>
    <w:p>
      <w:pPr>
        <w:spacing w:after="0" w:line="59" w:lineRule="exact"/>
        <w:rPr>
          <w:rFonts w:ascii="Arial" w:cs="Arial" w:eastAsia="Arial" w:hAnsi="Arial"/>
          <w:sz w:val="18"/>
          <w:szCs w:val="18"/>
          <w:color w:val="5D89B4"/>
        </w:rPr>
      </w:pPr>
    </w:p>
    <w:p>
      <w:pPr>
        <w:ind w:left="440" w:right="40" w:hanging="324"/>
        <w:spacing w:after="0" w:line="253" w:lineRule="auto"/>
        <w:tabs>
          <w:tab w:leader="none" w:pos="440" w:val="left"/>
        </w:tabs>
        <w:numPr>
          <w:ilvl w:val="0"/>
          <w:numId w:val="46"/>
        </w:numPr>
        <w:rPr>
          <w:rFonts w:ascii="Arial" w:cs="Arial" w:eastAsia="Arial" w:hAnsi="Arial"/>
          <w:sz w:val="18"/>
          <w:szCs w:val="18"/>
          <w:color w:val="5D89B4"/>
        </w:rPr>
      </w:pPr>
      <w:r>
        <w:rPr>
          <w:rFonts w:ascii="Arial" w:cs="Arial" w:eastAsia="Arial" w:hAnsi="Arial"/>
          <w:sz w:val="18"/>
          <w:szCs w:val="18"/>
          <w:b w:val="1"/>
          <w:bCs w:val="1"/>
          <w:color w:val="auto"/>
        </w:rPr>
        <w:t xml:space="preserve">ROIC </w:t>
      </w:r>
      <w:r>
        <w:rPr>
          <w:rFonts w:ascii="Arial" w:cs="Arial" w:eastAsia="Arial" w:hAnsi="Arial"/>
          <w:sz w:val="18"/>
          <w:szCs w:val="18"/>
          <w:color w:val="auto"/>
        </w:rPr>
        <w:t>— consolidated net operating profit after taxes divided by average capital. Net operating profit equals earnings before income taxes</w:t>
      </w:r>
      <w:r>
        <w:rPr>
          <w:rFonts w:ascii="Arial" w:cs="Arial" w:eastAsia="Arial" w:hAnsi="Arial"/>
          <w:sz w:val="18"/>
          <w:szCs w:val="18"/>
          <w:b w:val="1"/>
          <w:bCs w:val="1"/>
          <w:color w:val="auto"/>
        </w:rPr>
        <w:t xml:space="preserve"> </w:t>
      </w:r>
      <w:r>
        <w:rPr>
          <w:rFonts w:ascii="Arial" w:cs="Arial" w:eastAsia="Arial" w:hAnsi="Arial"/>
          <w:sz w:val="18"/>
          <w:szCs w:val="18"/>
          <w:color w:val="auto"/>
        </w:rPr>
        <w:t>plus interest expense and goodwill impairment minus taxes, excluding the impact of currency. Average capital is the average monthly ending balance of capital employed plus or minus adjustments.</w:t>
      </w:r>
    </w:p>
    <w:p>
      <w:pPr>
        <w:spacing w:after="0" w:line="8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EPS target is generally based on the Company’s targeted long-term growth rate for EPS, but may be adjusted year-by-year based on economic conditions and the Company’s expected financial performance for the year. From that target, the Committee then sets levels for threshold and outstanding performance. The threshold EPS growth rate reflects a level of performance that is below target but still appropriate for a partial award to be earned. Conversely, the outstanding EPS growth rate reflects a level of performance appropriate for the maximum incentive to be earned. So the comparisons are valid between the two years, the growth rates are based on growth over results of the previous year excluding non-recurring items.</w:t>
      </w:r>
    </w:p>
    <w:p>
      <w:pPr>
        <w:spacing w:after="0" w:line="9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ROIC target is then determined based on the earnings growth reflected by the EPS target as well as consideration by the Committee of factors relating to the Company’s level of capital. The other financial performance metrics under the plan used to determine the annual incentives earned by the other NEOs are determined in a similar way, taking into consideration the economic conditions and expected financial performance of each individual region, where applicable, as well as the overall EPS and ROIC targets. This methodology is not the same as the Company’s financial budgeting or business outlook for the year. As a result, target performance for purposes of achieving an incentive award will not be the same as performance at the budgeted financial plan, which may be higher or lower than target performance depending on economic conditions and trends at the time.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5D89B4"/>
        </w:rPr>
        <w:t>Why the Company Uses EPS and ROIC</w:t>
      </w:r>
    </w:p>
    <w:p>
      <w:pPr>
        <w:spacing w:after="0" w:line="12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Company believes using EPS as a performance goal keeps the NEOs focused on producing financial results that align with shareholder interests. In that regard, ManpowerGroup is in a cyclical business, which is influenced by economic and labor market cycles that are outside of ManpowerGroup’s control, and it is important that the senior executives manage short-term results closely to be able to adjust strategy and execution in quick response to external cycle changes. The Company uses ROIC as a performance goal for the NEOs because it measures how effectively our senior management is converting our services into cash. Although we are a provider of services, and not a manufacturer of products, our business is still highly capital intensive. Our requirement for</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41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capital arises from the timing characteristics of our business. We typically pay our associates and consultants before we can bill and collect from our clients.</w:t>
      </w:r>
    </w:p>
    <w:p>
      <w:pPr>
        <w:spacing w:after="0" w:line="89" w:lineRule="exact"/>
        <w:rPr>
          <w:sz w:val="20"/>
          <w:szCs w:val="20"/>
          <w:color w:val="auto"/>
        </w:rPr>
      </w:pPr>
    </w:p>
    <w:p>
      <w:pPr>
        <w:ind w:right="480"/>
        <w:spacing w:after="0"/>
        <w:rPr>
          <w:sz w:val="20"/>
          <w:szCs w:val="20"/>
          <w:color w:val="auto"/>
        </w:rPr>
      </w:pPr>
      <w:r>
        <w:rPr>
          <w:rFonts w:ascii="Arial" w:cs="Arial" w:eastAsia="Arial" w:hAnsi="Arial"/>
          <w:sz w:val="18"/>
          <w:szCs w:val="18"/>
          <w:color w:val="auto"/>
        </w:rPr>
        <w:t>Using an ROIC metric incentivizes our executives to manage our accounts receivable and other capital investments carefully in order to maximize the return on capital deployed. Our goal is to continuously improve our internal capital employed each year resulting in stable to improving ROIC.</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For 2016, the Committee continued its practice of setting threshold, target and outstanding goals for EPS and ROIC that were based on its view of appropriate rates of EPS growth compared to prior year achievement. In setting these levels, the Committee assumed continuing improvement in global economic conditions. Correspondingly, the EPS and ROIC targets for outstanding performance represent what the Committee believes is an appropriate growth rate for outstanding performance. The Committee believes the threshold levels for EPS and ROIC are the minimum levels at which it was appropriate to earn an incentive, mainly due to continued uncertainty in the global economic conditions that existed at the time when the goals were set.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EPS and ROIC goals established by the Committee for 2016:</w:t>
      </w:r>
    </w:p>
    <w:p>
      <w:pPr>
        <w:spacing w:after="0" w:line="98" w:lineRule="exact"/>
        <w:rPr>
          <w:sz w:val="20"/>
          <w:szCs w:val="20"/>
          <w:color w:val="auto"/>
        </w:rPr>
      </w:pPr>
    </w:p>
    <w:tbl>
      <w:tblPr>
        <w:tblLayout w:type="fixed"/>
        <w:tblInd w:w="920" w:type="dxa"/>
        <w:tblCellMar>
          <w:top w:w="0" w:type="dxa"/>
          <w:left w:w="0" w:type="dxa"/>
          <w:bottom w:w="0" w:type="dxa"/>
          <w:right w:w="0" w:type="dxa"/>
        </w:tblCellMar>
      </w:tblPr>
      <w:tr>
        <w:trPr>
          <w:trHeight w:val="270"/>
        </w:trPr>
        <w:tc>
          <w:tcPr>
            <w:tcW w:w="4940" w:type="dxa"/>
            <w:vAlign w:val="bottom"/>
            <w:tcBorders>
              <w:top w:val="single" w:sz="8" w:color="auto"/>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Goal</w:t>
            </w:r>
          </w:p>
        </w:tc>
        <w:tc>
          <w:tcPr>
            <w:tcW w:w="2020" w:type="dxa"/>
            <w:vAlign w:val="bottom"/>
            <w:tcBorders>
              <w:top w:val="single" w:sz="8" w:color="auto"/>
              <w:bottom w:val="single" w:sz="8" w:color="auto"/>
            </w:tcBorders>
            <w:shd w:val="clear" w:color="auto" w:fill="9DB8D2"/>
          </w:tcPr>
          <w:p>
            <w:pPr>
              <w:jc w:val="right"/>
              <w:ind w:right="442"/>
              <w:spacing w:after="0"/>
              <w:rPr>
                <w:sz w:val="20"/>
                <w:szCs w:val="20"/>
                <w:color w:val="auto"/>
              </w:rPr>
            </w:pPr>
            <w:r>
              <w:rPr>
                <w:rFonts w:ascii="Arial" w:cs="Arial" w:eastAsia="Arial" w:hAnsi="Arial"/>
                <w:sz w:val="14"/>
                <w:szCs w:val="14"/>
                <w:b w:val="1"/>
                <w:bCs w:val="1"/>
                <w:color w:val="auto"/>
              </w:rPr>
              <w:t>Threshold</w:t>
            </w:r>
          </w:p>
        </w:tc>
        <w:tc>
          <w:tcPr>
            <w:tcW w:w="1260" w:type="dxa"/>
            <w:vAlign w:val="bottom"/>
            <w:tcBorders>
              <w:top w:val="single" w:sz="8" w:color="auto"/>
              <w:bottom w:val="single" w:sz="8" w:color="auto"/>
            </w:tcBorders>
            <w:shd w:val="clear" w:color="auto" w:fill="9DB8D2"/>
          </w:tcPr>
          <w:p>
            <w:pPr>
              <w:jc w:val="right"/>
              <w:ind w:right="362"/>
              <w:spacing w:after="0"/>
              <w:rPr>
                <w:sz w:val="20"/>
                <w:szCs w:val="20"/>
                <w:color w:val="auto"/>
              </w:rPr>
            </w:pPr>
            <w:r>
              <w:rPr>
                <w:rFonts w:ascii="Arial" w:cs="Arial" w:eastAsia="Arial" w:hAnsi="Arial"/>
                <w:sz w:val="14"/>
                <w:szCs w:val="14"/>
                <w:b w:val="1"/>
                <w:bCs w:val="1"/>
                <w:color w:val="auto"/>
              </w:rPr>
              <w:t>Target</w:t>
            </w:r>
          </w:p>
        </w:tc>
        <w:tc>
          <w:tcPr>
            <w:tcW w:w="1360" w:type="dxa"/>
            <w:vAlign w:val="bottom"/>
            <w:tcBorders>
              <w:top w:val="single" w:sz="8" w:color="auto"/>
              <w:bottom w:val="single" w:sz="8" w:color="auto"/>
            </w:tcBorders>
            <w:gridSpan w:val="2"/>
            <w:shd w:val="clear" w:color="auto" w:fill="9DB8D2"/>
          </w:tcPr>
          <w:p>
            <w:pPr>
              <w:ind w:left="300"/>
              <w:spacing w:after="0"/>
              <w:rPr>
                <w:sz w:val="20"/>
                <w:szCs w:val="20"/>
                <w:color w:val="auto"/>
              </w:rPr>
            </w:pPr>
            <w:r>
              <w:rPr>
                <w:rFonts w:ascii="Arial" w:cs="Arial" w:eastAsia="Arial" w:hAnsi="Arial"/>
                <w:sz w:val="14"/>
                <w:szCs w:val="14"/>
                <w:b w:val="1"/>
                <w:bCs w:val="1"/>
                <w:color w:val="auto"/>
              </w:rPr>
              <w:t>Outstanding</w:t>
            </w:r>
          </w:p>
        </w:tc>
      </w:tr>
      <w:tr>
        <w:trPr>
          <w:trHeight w:val="183"/>
        </w:trPr>
        <w:tc>
          <w:tcPr>
            <w:tcW w:w="494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EPS</w:t>
            </w:r>
          </w:p>
        </w:tc>
        <w:tc>
          <w:tcPr>
            <w:tcW w:w="2020" w:type="dxa"/>
            <w:vAlign w:val="bottom"/>
            <w:shd w:val="clear" w:color="auto" w:fill="E6EDF3"/>
          </w:tcPr>
          <w:p>
            <w:pPr>
              <w:jc w:val="right"/>
              <w:ind w:right="442"/>
              <w:spacing w:after="0" w:line="183" w:lineRule="exact"/>
              <w:rPr>
                <w:sz w:val="20"/>
                <w:szCs w:val="20"/>
                <w:color w:val="auto"/>
              </w:rPr>
            </w:pPr>
            <w:r>
              <w:rPr>
                <w:rFonts w:ascii="Arial" w:cs="Arial" w:eastAsia="Arial" w:hAnsi="Arial"/>
                <w:sz w:val="16"/>
                <w:szCs w:val="16"/>
                <w:color w:val="auto"/>
              </w:rPr>
              <w:t>$    5.45</w:t>
            </w:r>
          </w:p>
        </w:tc>
        <w:tc>
          <w:tcPr>
            <w:tcW w:w="1260" w:type="dxa"/>
            <w:vAlign w:val="bottom"/>
            <w:shd w:val="clear" w:color="auto" w:fill="E6EDF3"/>
          </w:tcPr>
          <w:p>
            <w:pPr>
              <w:jc w:val="right"/>
              <w:ind w:right="362"/>
              <w:spacing w:after="0" w:line="183" w:lineRule="exact"/>
              <w:rPr>
                <w:sz w:val="20"/>
                <w:szCs w:val="20"/>
                <w:color w:val="auto"/>
              </w:rPr>
            </w:pPr>
            <w:r>
              <w:rPr>
                <w:rFonts w:ascii="Arial" w:cs="Arial" w:eastAsia="Arial" w:hAnsi="Arial"/>
                <w:sz w:val="16"/>
                <w:szCs w:val="16"/>
                <w:color w:val="auto"/>
              </w:rPr>
              <w:t>$ 6.10</w:t>
            </w:r>
          </w:p>
        </w:tc>
        <w:tc>
          <w:tcPr>
            <w:tcW w:w="620" w:type="dxa"/>
            <w:vAlign w:val="bottom"/>
            <w:shd w:val="clear" w:color="auto" w:fill="E6EDF3"/>
          </w:tcPr>
          <w:p>
            <w:pPr>
              <w:ind w:left="300"/>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E6EDF3"/>
          </w:tcPr>
          <w:p>
            <w:pPr>
              <w:ind w:left="220"/>
              <w:spacing w:after="0" w:line="183" w:lineRule="exact"/>
              <w:rPr>
                <w:sz w:val="20"/>
                <w:szCs w:val="20"/>
                <w:color w:val="auto"/>
              </w:rPr>
            </w:pPr>
            <w:r>
              <w:rPr>
                <w:rFonts w:ascii="Arial" w:cs="Arial" w:eastAsia="Arial" w:hAnsi="Arial"/>
                <w:sz w:val="16"/>
                <w:szCs w:val="16"/>
                <w:color w:val="auto"/>
              </w:rPr>
              <w:t>7.00</w:t>
            </w:r>
          </w:p>
        </w:tc>
      </w:tr>
      <w:tr>
        <w:trPr>
          <w:trHeight w:val="189"/>
        </w:trPr>
        <w:tc>
          <w:tcPr>
            <w:tcW w:w="49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ROIC</w:t>
            </w:r>
          </w:p>
        </w:tc>
        <w:tc>
          <w:tcPr>
            <w:tcW w:w="20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12.5%</w:t>
            </w:r>
          </w:p>
        </w:tc>
        <w:tc>
          <w:tcPr>
            <w:tcW w:w="12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14.0%</w:t>
            </w:r>
          </w:p>
        </w:tc>
        <w:tc>
          <w:tcPr>
            <w:tcW w:w="6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16.0%</w:t>
            </w:r>
          </w:p>
        </w:tc>
      </w:tr>
    </w:tbl>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5D89B4"/>
        </w:rPr>
        <w:t>The Committee Also Uses AOUP for Certain NEOs</w:t>
      </w:r>
    </w:p>
    <w:p>
      <w:pPr>
        <w:spacing w:after="0" w:line="122" w:lineRule="exact"/>
        <w:rPr>
          <w:sz w:val="20"/>
          <w:szCs w:val="20"/>
          <w:color w:val="auto"/>
        </w:rPr>
      </w:pPr>
    </w:p>
    <w:p>
      <w:pPr>
        <w:jc w:val="both"/>
        <w:ind w:right="680"/>
        <w:spacing w:after="0"/>
        <w:rPr>
          <w:sz w:val="20"/>
          <w:szCs w:val="20"/>
          <w:color w:val="auto"/>
        </w:rPr>
      </w:pPr>
      <w:r>
        <w:rPr>
          <w:rFonts w:ascii="Arial" w:cs="Arial" w:eastAsia="Arial" w:hAnsi="Arial"/>
          <w:sz w:val="18"/>
          <w:szCs w:val="18"/>
          <w:color w:val="auto"/>
        </w:rPr>
        <w:t>Where an individual executive has specific responsibility for a geographic operating unit, the Committee also uses AOUP as a financial performance metric, to drive profitability in the executive’s business unit, while factoring in the cost of carrying accounts receivable. The calculation of AOUP is as follows:</w:t>
      </w:r>
    </w:p>
    <w:p>
      <w:pPr>
        <w:spacing w:after="0" w:line="86" w:lineRule="exact"/>
        <w:rPr>
          <w:sz w:val="20"/>
          <w:szCs w:val="20"/>
          <w:color w:val="auto"/>
        </w:rPr>
      </w:pPr>
    </w:p>
    <w:p>
      <w:pPr>
        <w:ind w:left="440" w:hanging="324"/>
        <w:spacing w:after="0"/>
        <w:tabs>
          <w:tab w:leader="none" w:pos="440" w:val="left"/>
        </w:tabs>
        <w:numPr>
          <w:ilvl w:val="0"/>
          <w:numId w:val="47"/>
        </w:numPr>
        <w:rPr>
          <w:rFonts w:ascii="Arial" w:cs="Arial" w:eastAsia="Arial" w:hAnsi="Arial"/>
          <w:sz w:val="18"/>
          <w:szCs w:val="18"/>
          <w:color w:val="5D89B4"/>
        </w:rPr>
      </w:pPr>
      <w:r>
        <w:rPr>
          <w:rFonts w:ascii="Arial" w:cs="Arial" w:eastAsia="Arial" w:hAnsi="Arial"/>
          <w:sz w:val="18"/>
          <w:szCs w:val="18"/>
          <w:b w:val="1"/>
          <w:bCs w:val="1"/>
          <w:color w:val="auto"/>
        </w:rPr>
        <w:t xml:space="preserve">AOUP </w:t>
      </w:r>
      <w:r>
        <w:rPr>
          <w:rFonts w:ascii="Arial" w:cs="Arial" w:eastAsia="Arial" w:hAnsi="Arial"/>
          <w:sz w:val="18"/>
          <w:szCs w:val="18"/>
          <w:color w:val="auto"/>
        </w:rPr>
        <w:t>— Operating unit profit less a cost of net capital.</w:t>
      </w:r>
    </w:p>
    <w:p>
      <w:pPr>
        <w:spacing w:after="0" w:line="139" w:lineRule="exact"/>
        <w:rPr>
          <w:rFonts w:ascii="Arial" w:cs="Arial" w:eastAsia="Arial" w:hAnsi="Arial"/>
          <w:sz w:val="18"/>
          <w:szCs w:val="18"/>
          <w:color w:val="5D89B4"/>
        </w:rPr>
      </w:pPr>
    </w:p>
    <w:p>
      <w:pPr>
        <w:ind w:left="900" w:hanging="325"/>
        <w:spacing w:after="0" w:line="246" w:lineRule="auto"/>
        <w:tabs>
          <w:tab w:leader="none" w:pos="900" w:val="left"/>
        </w:tabs>
        <w:numPr>
          <w:ilvl w:val="1"/>
          <w:numId w:val="47"/>
        </w:numPr>
        <w:rPr>
          <w:rFonts w:ascii="Arial" w:cs="Arial" w:eastAsia="Arial" w:hAnsi="Arial"/>
          <w:sz w:val="18"/>
          <w:szCs w:val="18"/>
          <w:color w:val="5D89B4"/>
        </w:rPr>
      </w:pPr>
      <w:r>
        <w:rPr>
          <w:rFonts w:ascii="Arial" w:cs="Arial" w:eastAsia="Arial" w:hAnsi="Arial"/>
          <w:sz w:val="18"/>
          <w:szCs w:val="18"/>
          <w:color w:val="auto"/>
        </w:rPr>
        <w:t>Operating unit profit is equal to revenues less direct costs and branch and national headquarters operating costs translated into U.S. Dollars in constant currency.</w:t>
      </w:r>
    </w:p>
    <w:p>
      <w:pPr>
        <w:spacing w:after="0" w:line="102" w:lineRule="exact"/>
        <w:rPr>
          <w:rFonts w:ascii="Arial" w:cs="Arial" w:eastAsia="Arial" w:hAnsi="Arial"/>
          <w:sz w:val="18"/>
          <w:szCs w:val="18"/>
          <w:color w:val="5D89B4"/>
        </w:rPr>
      </w:pPr>
    </w:p>
    <w:p>
      <w:pPr>
        <w:ind w:left="900" w:right="60" w:hanging="325"/>
        <w:spacing w:after="0"/>
        <w:tabs>
          <w:tab w:leader="none" w:pos="900" w:val="left"/>
        </w:tabs>
        <w:numPr>
          <w:ilvl w:val="1"/>
          <w:numId w:val="47"/>
        </w:numPr>
        <w:rPr>
          <w:rFonts w:ascii="Arial" w:cs="Arial" w:eastAsia="Arial" w:hAnsi="Arial"/>
          <w:sz w:val="18"/>
          <w:szCs w:val="18"/>
          <w:color w:val="5D89B4"/>
        </w:rPr>
      </w:pPr>
      <w:r>
        <w:rPr>
          <w:rFonts w:ascii="Arial" w:cs="Arial" w:eastAsia="Arial" w:hAnsi="Arial"/>
          <w:sz w:val="18"/>
          <w:szCs w:val="18"/>
          <w:color w:val="auto"/>
        </w:rPr>
        <w:t>Cost of net capital is average net capital multiplied by 12%. Average net capital equals trade accounts receivable less allowance for doubtful accounts and other miscellaneous adjustments, calculated based on the average of the monthly ending balances, translated into U.S. Dollars using the same monthly exchange rates as used for operating unit profit.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In 2016, Mr. Chandrashekar was the only NEO with AOUP used as a performance metric for his annual incentive goals.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Annual Incentive Award Opportunities by NEO</w:t>
      </w:r>
    </w:p>
    <w:p>
      <w:pPr>
        <w:spacing w:after="0" w:line="104" w:lineRule="exact"/>
        <w:rPr>
          <w:sz w:val="20"/>
          <w:szCs w:val="20"/>
          <w:color w:val="auto"/>
        </w:rPr>
      </w:pPr>
    </w:p>
    <w:p>
      <w:pPr>
        <w:ind w:left="3580"/>
        <w:spacing w:after="0"/>
        <w:rPr>
          <w:sz w:val="20"/>
          <w:szCs w:val="20"/>
          <w:color w:val="auto"/>
        </w:rPr>
      </w:pPr>
      <w:r>
        <w:rPr>
          <w:rFonts w:ascii="Arial" w:cs="Arial" w:eastAsia="Arial" w:hAnsi="Arial"/>
          <w:sz w:val="18"/>
          <w:szCs w:val="18"/>
          <w:b w:val="1"/>
          <w:bCs w:val="1"/>
          <w:i w:val="1"/>
          <w:iCs w:val="1"/>
          <w:color w:val="5D89B4"/>
        </w:rPr>
        <w:t xml:space="preserve">Jonas Prising </w:t>
      </w:r>
      <w:r>
        <w:rPr>
          <w:rFonts w:ascii="Arial" w:cs="Arial" w:eastAsia="Arial" w:hAnsi="Arial"/>
          <w:sz w:val="18"/>
          <w:szCs w:val="18"/>
          <w:color w:val="5D89B4"/>
        </w:rPr>
        <w:t>—</w:t>
      </w:r>
      <w:r>
        <w:rPr>
          <w:rFonts w:ascii="Arial" w:cs="Arial" w:eastAsia="Arial" w:hAnsi="Arial"/>
          <w:sz w:val="18"/>
          <w:szCs w:val="18"/>
          <w:b w:val="1"/>
          <w:bCs w:val="1"/>
          <w:i w:val="1"/>
          <w:iCs w:val="1"/>
          <w:color w:val="5D89B4"/>
        </w:rPr>
        <w:t xml:space="preserve"> Annual Incentive Award Opportunities</w:t>
      </w:r>
    </w:p>
    <w:p>
      <w:pPr>
        <w:spacing w:after="0" w:line="126"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Committee determined that EPS and ROIC were the appropriate performance metrics in 2016 for Mr. Prising as the CEO. The following chart shows the Committee’s determination of award opportunities for the annual incentive payable to Mr. Prising for 2016, as a percentage of his 2016 base salary of $1,200,000:</w:t>
      </w:r>
    </w:p>
    <w:p>
      <w:pPr>
        <w:spacing w:after="0" w:line="89" w:lineRule="exact"/>
        <w:rPr>
          <w:sz w:val="20"/>
          <w:szCs w:val="20"/>
          <w:color w:val="auto"/>
        </w:rPr>
      </w:pPr>
    </w:p>
    <w:tbl>
      <w:tblPr>
        <w:tblLayout w:type="fixed"/>
        <w:tblInd w:w="920" w:type="dxa"/>
        <w:tblCellMar>
          <w:top w:w="0" w:type="dxa"/>
          <w:left w:w="0" w:type="dxa"/>
          <w:bottom w:w="0" w:type="dxa"/>
          <w:right w:w="0" w:type="dxa"/>
        </w:tblCellMar>
      </w:tblPr>
      <w:tr>
        <w:trPr>
          <w:trHeight w:val="270"/>
        </w:trPr>
        <w:tc>
          <w:tcPr>
            <w:tcW w:w="5100" w:type="dxa"/>
            <w:vAlign w:val="bottom"/>
            <w:tcBorders>
              <w:top w:val="single" w:sz="8" w:color="auto"/>
              <w:bottom w:val="single" w:sz="8" w:color="auto"/>
            </w:tcBorders>
            <w:shd w:val="clear" w:color="auto" w:fill="9DB8D2"/>
          </w:tcPr>
          <w:p>
            <w:pPr>
              <w:spacing w:after="0"/>
              <w:rPr>
                <w:sz w:val="23"/>
                <w:szCs w:val="23"/>
                <w:color w:val="auto"/>
              </w:rPr>
            </w:pPr>
          </w:p>
        </w:tc>
        <w:tc>
          <w:tcPr>
            <w:tcW w:w="1940" w:type="dxa"/>
            <w:vAlign w:val="bottom"/>
            <w:tcBorders>
              <w:top w:val="single" w:sz="8" w:color="auto"/>
              <w:bottom w:val="single" w:sz="8" w:color="auto"/>
            </w:tcBorders>
            <w:shd w:val="clear" w:color="auto" w:fill="9DB8D2"/>
          </w:tcPr>
          <w:p>
            <w:pPr>
              <w:jc w:val="right"/>
              <w:ind w:right="441"/>
              <w:spacing w:after="0"/>
              <w:rPr>
                <w:sz w:val="20"/>
                <w:szCs w:val="20"/>
                <w:color w:val="auto"/>
              </w:rPr>
            </w:pPr>
            <w:r>
              <w:rPr>
                <w:rFonts w:ascii="Arial" w:cs="Arial" w:eastAsia="Arial" w:hAnsi="Arial"/>
                <w:sz w:val="14"/>
                <w:szCs w:val="14"/>
                <w:b w:val="1"/>
                <w:bCs w:val="1"/>
                <w:color w:val="auto"/>
              </w:rPr>
              <w:t>Threshold</w:t>
            </w:r>
          </w:p>
        </w:tc>
        <w:tc>
          <w:tcPr>
            <w:tcW w:w="1220" w:type="dxa"/>
            <w:vAlign w:val="bottom"/>
            <w:tcBorders>
              <w:top w:val="single" w:sz="8" w:color="auto"/>
              <w:bottom w:val="single" w:sz="8" w:color="auto"/>
            </w:tcBorders>
            <w:shd w:val="clear" w:color="auto" w:fill="9DB8D2"/>
          </w:tcPr>
          <w:p>
            <w:pPr>
              <w:jc w:val="right"/>
              <w:ind w:right="361"/>
              <w:spacing w:after="0"/>
              <w:rPr>
                <w:sz w:val="20"/>
                <w:szCs w:val="20"/>
                <w:color w:val="auto"/>
              </w:rPr>
            </w:pPr>
            <w:r>
              <w:rPr>
                <w:rFonts w:ascii="Arial" w:cs="Arial" w:eastAsia="Arial" w:hAnsi="Arial"/>
                <w:sz w:val="14"/>
                <w:szCs w:val="14"/>
                <w:b w:val="1"/>
                <w:bCs w:val="1"/>
                <w:color w:val="auto"/>
              </w:rPr>
              <w:t>Target</w:t>
            </w:r>
          </w:p>
        </w:tc>
        <w:tc>
          <w:tcPr>
            <w:tcW w:w="1320" w:type="dxa"/>
            <w:vAlign w:val="bottom"/>
            <w:tcBorders>
              <w:top w:val="single" w:sz="8" w:color="auto"/>
              <w:bottom w:val="single" w:sz="8" w:color="auto"/>
            </w:tcBorders>
            <w:shd w:val="clear" w:color="auto" w:fill="9DB8D2"/>
          </w:tcPr>
          <w:p>
            <w:pPr>
              <w:jc w:val="right"/>
              <w:ind w:right="121"/>
              <w:spacing w:after="0"/>
              <w:rPr>
                <w:sz w:val="20"/>
                <w:szCs w:val="20"/>
                <w:color w:val="auto"/>
              </w:rPr>
            </w:pPr>
            <w:r>
              <w:rPr>
                <w:rFonts w:ascii="Arial" w:cs="Arial" w:eastAsia="Arial" w:hAnsi="Arial"/>
                <w:sz w:val="14"/>
                <w:szCs w:val="14"/>
                <w:b w:val="1"/>
                <w:bCs w:val="1"/>
                <w:color w:val="auto"/>
              </w:rPr>
              <w:t>Outstanding</w:t>
            </w:r>
          </w:p>
        </w:tc>
      </w:tr>
      <w:tr>
        <w:trPr>
          <w:trHeight w:val="183"/>
        </w:trPr>
        <w:tc>
          <w:tcPr>
            <w:tcW w:w="510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EPS goal (weighted 40%)</w:t>
            </w:r>
          </w:p>
        </w:tc>
        <w:tc>
          <w:tcPr>
            <w:tcW w:w="1940" w:type="dxa"/>
            <w:vAlign w:val="bottom"/>
            <w:shd w:val="clear" w:color="auto" w:fill="E6EDF3"/>
          </w:tcPr>
          <w:p>
            <w:pPr>
              <w:jc w:val="right"/>
              <w:ind w:right="281"/>
              <w:spacing w:after="0" w:line="183" w:lineRule="exact"/>
              <w:rPr>
                <w:sz w:val="20"/>
                <w:szCs w:val="20"/>
                <w:color w:val="auto"/>
              </w:rPr>
            </w:pPr>
            <w:r>
              <w:rPr>
                <w:rFonts w:ascii="Arial" w:cs="Arial" w:eastAsia="Arial" w:hAnsi="Arial"/>
                <w:sz w:val="16"/>
                <w:szCs w:val="16"/>
                <w:color w:val="auto"/>
              </w:rPr>
              <w:t>15.0%</w:t>
            </w:r>
          </w:p>
        </w:tc>
        <w:tc>
          <w:tcPr>
            <w:tcW w:w="1220" w:type="dxa"/>
            <w:vAlign w:val="bottom"/>
            <w:shd w:val="clear" w:color="auto" w:fill="E6EDF3"/>
          </w:tcPr>
          <w:p>
            <w:pPr>
              <w:jc w:val="right"/>
              <w:ind w:right="201"/>
              <w:spacing w:after="0" w:line="183" w:lineRule="exact"/>
              <w:rPr>
                <w:sz w:val="20"/>
                <w:szCs w:val="20"/>
                <w:color w:val="auto"/>
              </w:rPr>
            </w:pPr>
            <w:r>
              <w:rPr>
                <w:rFonts w:ascii="Arial" w:cs="Arial" w:eastAsia="Arial" w:hAnsi="Arial"/>
                <w:sz w:val="16"/>
                <w:szCs w:val="16"/>
                <w:color w:val="auto"/>
              </w:rPr>
              <w:t>60.0%</w:t>
            </w:r>
          </w:p>
        </w:tc>
        <w:tc>
          <w:tcPr>
            <w:tcW w:w="1320" w:type="dxa"/>
            <w:vAlign w:val="bottom"/>
            <w:shd w:val="clear" w:color="auto" w:fill="E6EDF3"/>
          </w:tcPr>
          <w:p>
            <w:pPr>
              <w:jc w:val="right"/>
              <w:spacing w:after="0" w:line="183" w:lineRule="exact"/>
              <w:rPr>
                <w:sz w:val="20"/>
                <w:szCs w:val="20"/>
                <w:color w:val="auto"/>
              </w:rPr>
            </w:pPr>
            <w:r>
              <w:rPr>
                <w:rFonts w:ascii="Arial" w:cs="Arial" w:eastAsia="Arial" w:hAnsi="Arial"/>
                <w:sz w:val="16"/>
                <w:szCs w:val="16"/>
                <w:color w:val="auto"/>
              </w:rPr>
              <w:t>120.0%</w:t>
            </w:r>
          </w:p>
        </w:tc>
      </w:tr>
      <w:tr>
        <w:trPr>
          <w:trHeight w:val="189"/>
        </w:trPr>
        <w:tc>
          <w:tcPr>
            <w:tcW w:w="5100" w:type="dxa"/>
            <w:vAlign w:val="bottom"/>
          </w:tcPr>
          <w:p>
            <w:pPr>
              <w:ind w:left="80"/>
              <w:spacing w:after="0"/>
              <w:rPr>
                <w:sz w:val="20"/>
                <w:szCs w:val="20"/>
                <w:color w:val="auto"/>
              </w:rPr>
            </w:pPr>
            <w:r>
              <w:rPr>
                <w:rFonts w:ascii="Arial" w:cs="Arial" w:eastAsia="Arial" w:hAnsi="Arial"/>
                <w:sz w:val="16"/>
                <w:szCs w:val="16"/>
                <w:color w:val="auto"/>
              </w:rPr>
              <w:t>ROIC goal (weighted 40%)</w:t>
            </w:r>
          </w:p>
        </w:tc>
        <w:tc>
          <w:tcPr>
            <w:tcW w:w="1940" w:type="dxa"/>
            <w:vAlign w:val="bottom"/>
          </w:tcPr>
          <w:p>
            <w:pPr>
              <w:jc w:val="right"/>
              <w:ind w:right="281"/>
              <w:spacing w:after="0"/>
              <w:rPr>
                <w:sz w:val="20"/>
                <w:szCs w:val="20"/>
                <w:color w:val="auto"/>
              </w:rPr>
            </w:pPr>
            <w:r>
              <w:rPr>
                <w:rFonts w:ascii="Arial" w:cs="Arial" w:eastAsia="Arial" w:hAnsi="Arial"/>
                <w:sz w:val="16"/>
                <w:szCs w:val="16"/>
                <w:color w:val="auto"/>
              </w:rPr>
              <w:t>15.0%</w:t>
            </w:r>
          </w:p>
        </w:tc>
        <w:tc>
          <w:tcPr>
            <w:tcW w:w="1220" w:type="dxa"/>
            <w:vAlign w:val="bottom"/>
          </w:tcPr>
          <w:p>
            <w:pPr>
              <w:jc w:val="right"/>
              <w:ind w:right="201"/>
              <w:spacing w:after="0"/>
              <w:rPr>
                <w:sz w:val="20"/>
                <w:szCs w:val="20"/>
                <w:color w:val="auto"/>
              </w:rPr>
            </w:pPr>
            <w:r>
              <w:rPr>
                <w:rFonts w:ascii="Arial" w:cs="Arial" w:eastAsia="Arial" w:hAnsi="Arial"/>
                <w:sz w:val="16"/>
                <w:szCs w:val="16"/>
                <w:color w:val="auto"/>
              </w:rPr>
              <w:t>60.0%</w:t>
            </w:r>
          </w:p>
        </w:tc>
        <w:tc>
          <w:tcPr>
            <w:tcW w:w="1320" w:type="dxa"/>
            <w:vAlign w:val="bottom"/>
          </w:tcPr>
          <w:p>
            <w:pPr>
              <w:jc w:val="right"/>
              <w:spacing w:after="0"/>
              <w:rPr>
                <w:sz w:val="20"/>
                <w:szCs w:val="20"/>
                <w:color w:val="auto"/>
              </w:rPr>
            </w:pPr>
            <w:r>
              <w:rPr>
                <w:rFonts w:ascii="Arial" w:cs="Arial" w:eastAsia="Arial" w:hAnsi="Arial"/>
                <w:sz w:val="16"/>
                <w:szCs w:val="16"/>
                <w:color w:val="auto"/>
              </w:rPr>
              <w:t>120.0%</w:t>
            </w:r>
          </w:p>
        </w:tc>
      </w:tr>
      <w:tr>
        <w:trPr>
          <w:trHeight w:val="189"/>
        </w:trPr>
        <w:tc>
          <w:tcPr>
            <w:tcW w:w="5100" w:type="dxa"/>
            <w:vAlign w:val="bottom"/>
            <w:shd w:val="clear" w:color="auto" w:fill="E6EDF3"/>
          </w:tcPr>
          <w:p>
            <w:pPr>
              <w:ind w:left="80"/>
              <w:spacing w:after="0"/>
              <w:rPr>
                <w:sz w:val="20"/>
                <w:szCs w:val="20"/>
                <w:color w:val="auto"/>
              </w:rPr>
            </w:pPr>
            <w:r>
              <w:rPr>
                <w:rFonts w:ascii="Arial" w:cs="Arial" w:eastAsia="Arial" w:hAnsi="Arial"/>
                <w:sz w:val="16"/>
                <w:szCs w:val="16"/>
                <w:color w:val="auto"/>
              </w:rPr>
              <w:t>Operating Objectives (weighted 20%)</w:t>
            </w:r>
          </w:p>
        </w:tc>
        <w:tc>
          <w:tcPr>
            <w:tcW w:w="1940" w:type="dxa"/>
            <w:vAlign w:val="bottom"/>
            <w:shd w:val="clear" w:color="auto" w:fill="E6EDF3"/>
          </w:tcPr>
          <w:p>
            <w:pPr>
              <w:jc w:val="right"/>
              <w:ind w:right="281"/>
              <w:spacing w:after="0"/>
              <w:rPr>
                <w:sz w:val="20"/>
                <w:szCs w:val="20"/>
                <w:color w:val="auto"/>
              </w:rPr>
            </w:pPr>
            <w:r>
              <w:rPr>
                <w:rFonts w:ascii="Arial" w:cs="Arial" w:eastAsia="Arial" w:hAnsi="Arial"/>
                <w:sz w:val="16"/>
                <w:szCs w:val="16"/>
                <w:color w:val="auto"/>
              </w:rPr>
              <w:t>7.5%</w:t>
            </w:r>
          </w:p>
        </w:tc>
        <w:tc>
          <w:tcPr>
            <w:tcW w:w="1220" w:type="dxa"/>
            <w:vAlign w:val="bottom"/>
            <w:shd w:val="clear" w:color="auto" w:fill="E6EDF3"/>
          </w:tcPr>
          <w:p>
            <w:pPr>
              <w:jc w:val="right"/>
              <w:ind w:right="201"/>
              <w:spacing w:after="0"/>
              <w:rPr>
                <w:sz w:val="20"/>
                <w:szCs w:val="20"/>
                <w:color w:val="auto"/>
              </w:rPr>
            </w:pPr>
            <w:r>
              <w:rPr>
                <w:rFonts w:ascii="Arial" w:cs="Arial" w:eastAsia="Arial" w:hAnsi="Arial"/>
                <w:sz w:val="16"/>
                <w:szCs w:val="16"/>
                <w:color w:val="auto"/>
              </w:rPr>
              <w:t>30.0%</w:t>
            </w:r>
          </w:p>
        </w:tc>
        <w:tc>
          <w:tcPr>
            <w:tcW w:w="13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60.0%</w:t>
            </w:r>
          </w:p>
        </w:tc>
      </w:tr>
      <w:tr>
        <w:trPr>
          <w:trHeight w:val="189"/>
        </w:trPr>
        <w:tc>
          <w:tcPr>
            <w:tcW w:w="51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Total</w:t>
            </w:r>
          </w:p>
        </w:tc>
        <w:tc>
          <w:tcPr>
            <w:tcW w:w="194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37.5%</w:t>
            </w:r>
          </w:p>
        </w:tc>
        <w:tc>
          <w:tcPr>
            <w:tcW w:w="12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150.0%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operating objectives for Mr. Prising for 2016 are as follows:</w:t>
      </w:r>
    </w:p>
    <w:p>
      <w:pPr>
        <w:spacing w:after="0" w:line="117" w:lineRule="exact"/>
        <w:rPr>
          <w:sz w:val="20"/>
          <w:szCs w:val="20"/>
          <w:color w:val="auto"/>
        </w:rPr>
      </w:pPr>
    </w:p>
    <w:p>
      <w:pPr>
        <w:ind w:left="440" w:hanging="324"/>
        <w:spacing w:after="0"/>
        <w:tabs>
          <w:tab w:leader="none" w:pos="440" w:val="left"/>
        </w:tabs>
        <w:numPr>
          <w:ilvl w:val="0"/>
          <w:numId w:val="48"/>
        </w:numPr>
        <w:rPr>
          <w:rFonts w:ascii="Arial" w:cs="Arial" w:eastAsia="Arial" w:hAnsi="Arial"/>
          <w:sz w:val="18"/>
          <w:szCs w:val="18"/>
          <w:color w:val="5D89B4"/>
        </w:rPr>
      </w:pPr>
      <w:r>
        <w:rPr>
          <w:rFonts w:ascii="Arial" w:cs="Arial" w:eastAsia="Arial" w:hAnsi="Arial"/>
          <w:sz w:val="18"/>
          <w:szCs w:val="18"/>
          <w:color w:val="auto"/>
        </w:rPr>
        <w:t>Meet/exceed growth rate of gross profit of certain competitors</w:t>
      </w:r>
    </w:p>
    <w:p>
      <w:pPr>
        <w:spacing w:after="0" w:line="117" w:lineRule="exact"/>
        <w:rPr>
          <w:rFonts w:ascii="Arial" w:cs="Arial" w:eastAsia="Arial" w:hAnsi="Arial"/>
          <w:sz w:val="18"/>
          <w:szCs w:val="18"/>
          <w:color w:val="5D89B4"/>
        </w:rPr>
      </w:pPr>
    </w:p>
    <w:p>
      <w:pPr>
        <w:ind w:left="440" w:hanging="324"/>
        <w:spacing w:after="0"/>
        <w:tabs>
          <w:tab w:leader="none" w:pos="440" w:val="left"/>
        </w:tabs>
        <w:numPr>
          <w:ilvl w:val="0"/>
          <w:numId w:val="48"/>
        </w:numPr>
        <w:rPr>
          <w:rFonts w:ascii="Arial" w:cs="Arial" w:eastAsia="Arial" w:hAnsi="Arial"/>
          <w:sz w:val="18"/>
          <w:szCs w:val="18"/>
          <w:color w:val="5D89B4"/>
        </w:rPr>
      </w:pPr>
      <w:r>
        <w:rPr>
          <w:rFonts w:ascii="Arial" w:cs="Arial" w:eastAsia="Arial" w:hAnsi="Arial"/>
          <w:sz w:val="18"/>
          <w:szCs w:val="18"/>
          <w:color w:val="auto"/>
        </w:rPr>
        <w:t>Make progress towards strategic plans within each of the brands</w:t>
      </w:r>
    </w:p>
    <w:p>
      <w:pPr>
        <w:spacing w:after="0" w:line="117" w:lineRule="exact"/>
        <w:rPr>
          <w:rFonts w:ascii="Arial" w:cs="Arial" w:eastAsia="Arial" w:hAnsi="Arial"/>
          <w:sz w:val="18"/>
          <w:szCs w:val="18"/>
          <w:color w:val="5D89B4"/>
        </w:rPr>
      </w:pPr>
    </w:p>
    <w:p>
      <w:pPr>
        <w:ind w:left="440" w:hanging="324"/>
        <w:spacing w:after="0"/>
        <w:tabs>
          <w:tab w:leader="none" w:pos="440" w:val="left"/>
        </w:tabs>
        <w:numPr>
          <w:ilvl w:val="0"/>
          <w:numId w:val="48"/>
        </w:numPr>
        <w:rPr>
          <w:rFonts w:ascii="Arial" w:cs="Arial" w:eastAsia="Arial" w:hAnsi="Arial"/>
          <w:sz w:val="18"/>
          <w:szCs w:val="18"/>
          <w:color w:val="5D89B4"/>
        </w:rPr>
      </w:pPr>
      <w:r>
        <w:rPr>
          <w:rFonts w:ascii="Arial" w:cs="Arial" w:eastAsia="Arial" w:hAnsi="Arial"/>
          <w:sz w:val="18"/>
          <w:szCs w:val="18"/>
          <w:color w:val="auto"/>
        </w:rPr>
        <w:t>Develop a strong team and a robust and diverse talent pipeline, including key leadership</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8180"/>
        <w:spacing w:after="0"/>
        <w:rPr>
          <w:sz w:val="20"/>
          <w:szCs w:val="20"/>
          <w:color w:val="auto"/>
        </w:rPr>
      </w:pPr>
      <w:r>
        <w:rPr>
          <w:rFonts w:ascii="Arial" w:cs="Arial" w:eastAsia="Arial" w:hAnsi="Arial"/>
          <w:sz w:val="18"/>
          <w:szCs w:val="18"/>
          <w:color w:val="FFFFFF"/>
        </w:rPr>
        <w:t>Compensation Discussion and Analysis</w:t>
      </w:r>
    </w:p>
    <w:p>
      <w:pPr>
        <w:spacing w:after="0" w:line="360" w:lineRule="exact"/>
        <w:rPr>
          <w:sz w:val="20"/>
          <w:szCs w:val="20"/>
          <w:color w:val="auto"/>
        </w:rPr>
      </w:pPr>
    </w:p>
    <w:p>
      <w:pPr>
        <w:ind w:left="440" w:hanging="324"/>
        <w:spacing w:after="0"/>
        <w:tabs>
          <w:tab w:leader="none" w:pos="440" w:val="left"/>
        </w:tabs>
        <w:numPr>
          <w:ilvl w:val="0"/>
          <w:numId w:val="49"/>
        </w:numPr>
        <w:rPr>
          <w:rFonts w:ascii="Arial" w:cs="Arial" w:eastAsia="Arial" w:hAnsi="Arial"/>
          <w:sz w:val="18"/>
          <w:szCs w:val="18"/>
          <w:color w:val="5D89B4"/>
        </w:rPr>
      </w:pPr>
      <w:r>
        <w:rPr>
          <w:rFonts w:ascii="Arial" w:cs="Arial" w:eastAsia="Arial" w:hAnsi="Arial"/>
          <w:sz w:val="18"/>
          <w:szCs w:val="18"/>
          <w:color w:val="auto"/>
        </w:rPr>
        <w:t>Drive continuing transformation of IT operating model and platform to enhance governance and accelerate business performance</w:t>
      </w:r>
    </w:p>
    <w:p>
      <w:pPr>
        <w:spacing w:after="0" w:line="117" w:lineRule="exact"/>
        <w:rPr>
          <w:rFonts w:ascii="Arial" w:cs="Arial" w:eastAsia="Arial" w:hAnsi="Arial"/>
          <w:sz w:val="18"/>
          <w:szCs w:val="18"/>
          <w:color w:val="5D89B4"/>
        </w:rPr>
      </w:pPr>
    </w:p>
    <w:p>
      <w:pPr>
        <w:ind w:left="440" w:hanging="324"/>
        <w:spacing w:after="0"/>
        <w:tabs>
          <w:tab w:leader="none" w:pos="440" w:val="left"/>
        </w:tabs>
        <w:numPr>
          <w:ilvl w:val="0"/>
          <w:numId w:val="49"/>
        </w:numPr>
        <w:rPr>
          <w:rFonts w:ascii="Arial" w:cs="Arial" w:eastAsia="Arial" w:hAnsi="Arial"/>
          <w:sz w:val="18"/>
          <w:szCs w:val="18"/>
          <w:color w:val="5D89B4"/>
        </w:rPr>
      </w:pPr>
      <w:r>
        <w:rPr>
          <w:rFonts w:ascii="Arial" w:cs="Arial" w:eastAsia="Arial" w:hAnsi="Arial"/>
          <w:sz w:val="18"/>
          <w:szCs w:val="18"/>
          <w:color w:val="auto"/>
        </w:rPr>
        <w:t>Expand use of certain delivery channels to deliver faster service to clients and reduce administrative expenses</w:t>
      </w:r>
    </w:p>
    <w:p>
      <w:pPr>
        <w:spacing w:after="0" w:line="10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Committee determined that Mr. Prising earned a cash incentive award for 2016 between target and outstanding for all of his financial objectives in 2016. The Committee also approved an incentive award to Mr. Prising based on its determination of the level of performance towards achievement of his various operating objectives. Based on these accomplishments, the Committee determined to pay the 2016 award to Mr. Prising as follows:</w:t>
      </w:r>
    </w:p>
    <w:p>
      <w:pPr>
        <w:spacing w:after="0" w:line="88" w:lineRule="exact"/>
        <w:rPr>
          <w:sz w:val="20"/>
          <w:szCs w:val="20"/>
          <w:color w:val="auto"/>
        </w:rPr>
      </w:pPr>
    </w:p>
    <w:tbl>
      <w:tblPr>
        <w:tblLayout w:type="fixed"/>
        <w:tblInd w:w="920" w:type="dxa"/>
        <w:tblCellMar>
          <w:top w:w="0" w:type="dxa"/>
          <w:left w:w="0" w:type="dxa"/>
          <w:bottom w:w="0" w:type="dxa"/>
          <w:right w:w="0" w:type="dxa"/>
        </w:tblCellMar>
      </w:tblPr>
      <w:tr>
        <w:trPr>
          <w:trHeight w:val="270"/>
        </w:trPr>
        <w:tc>
          <w:tcPr>
            <w:tcW w:w="6660" w:type="dxa"/>
            <w:vAlign w:val="bottom"/>
            <w:tcBorders>
              <w:top w:val="single" w:sz="8" w:color="auto"/>
              <w:bottom w:val="single" w:sz="8" w:color="auto"/>
            </w:tcBorders>
            <w:shd w:val="clear" w:color="auto" w:fill="9DB8D2"/>
          </w:tcPr>
          <w:p>
            <w:pPr>
              <w:spacing w:after="0"/>
              <w:rPr>
                <w:sz w:val="23"/>
                <w:szCs w:val="23"/>
                <w:color w:val="auto"/>
              </w:rPr>
            </w:pPr>
          </w:p>
        </w:tc>
        <w:tc>
          <w:tcPr>
            <w:tcW w:w="1600" w:type="dxa"/>
            <w:vAlign w:val="bottom"/>
            <w:tcBorders>
              <w:top w:val="single" w:sz="8" w:color="auto"/>
              <w:bottom w:val="single" w:sz="8" w:color="auto"/>
            </w:tcBorders>
            <w:shd w:val="clear" w:color="auto" w:fill="9DB8D2"/>
          </w:tcPr>
          <w:p>
            <w:pPr>
              <w:ind w:left="480"/>
              <w:spacing w:after="0"/>
              <w:rPr>
                <w:sz w:val="20"/>
                <w:szCs w:val="20"/>
                <w:color w:val="auto"/>
              </w:rPr>
            </w:pPr>
            <w:r>
              <w:rPr>
                <w:rFonts w:ascii="Arial" w:cs="Arial" w:eastAsia="Arial" w:hAnsi="Arial"/>
                <w:sz w:val="14"/>
                <w:szCs w:val="14"/>
                <w:b w:val="1"/>
                <w:bCs w:val="1"/>
                <w:color w:val="auto"/>
              </w:rPr>
              <w:t>Target Award</w:t>
            </w:r>
          </w:p>
        </w:tc>
        <w:tc>
          <w:tcPr>
            <w:tcW w:w="1320" w:type="dxa"/>
            <w:vAlign w:val="bottom"/>
            <w:tcBorders>
              <w:top w:val="single" w:sz="8" w:color="auto"/>
              <w:bottom w:val="single" w:sz="8" w:color="auto"/>
            </w:tcBorders>
            <w:shd w:val="clear" w:color="auto" w:fill="9DB8D2"/>
          </w:tcPr>
          <w:p>
            <w:pPr>
              <w:ind w:left="220"/>
              <w:spacing w:after="0"/>
              <w:rPr>
                <w:sz w:val="20"/>
                <w:szCs w:val="20"/>
                <w:color w:val="auto"/>
              </w:rPr>
            </w:pPr>
            <w:r>
              <w:rPr>
                <w:rFonts w:ascii="Arial" w:cs="Arial" w:eastAsia="Arial" w:hAnsi="Arial"/>
                <w:sz w:val="14"/>
                <w:szCs w:val="14"/>
                <w:b w:val="1"/>
                <w:bCs w:val="1"/>
                <w:color w:val="auto"/>
              </w:rPr>
              <w:t>Actual Award</w:t>
            </w:r>
          </w:p>
        </w:tc>
      </w:tr>
      <w:tr>
        <w:trPr>
          <w:trHeight w:val="183"/>
        </w:trPr>
        <w:tc>
          <w:tcPr>
            <w:tcW w:w="6660" w:type="dxa"/>
            <w:vAlign w:val="bottom"/>
            <w:tcBorders>
              <w:bottom w:val="single" w:sz="8" w:color="auto"/>
            </w:tcBorders>
            <w:shd w:val="clear" w:color="auto" w:fill="E6EDF3"/>
          </w:tcPr>
          <w:p>
            <w:pPr>
              <w:ind w:left="80"/>
              <w:spacing w:after="0" w:line="183" w:lineRule="exact"/>
              <w:rPr>
                <w:sz w:val="20"/>
                <w:szCs w:val="20"/>
                <w:color w:val="auto"/>
              </w:rPr>
            </w:pPr>
            <w:r>
              <w:rPr>
                <w:rFonts w:ascii="Arial" w:cs="Arial" w:eastAsia="Arial" w:hAnsi="Arial"/>
                <w:sz w:val="16"/>
                <w:szCs w:val="16"/>
                <w:color w:val="auto"/>
              </w:rPr>
              <w:t>CEO</w:t>
            </w:r>
          </w:p>
        </w:tc>
        <w:tc>
          <w:tcPr>
            <w:tcW w:w="1600" w:type="dxa"/>
            <w:vAlign w:val="bottom"/>
            <w:tcBorders>
              <w:bottom w:val="single" w:sz="8" w:color="auto"/>
            </w:tcBorders>
            <w:shd w:val="clear" w:color="auto" w:fill="E6EDF3"/>
          </w:tcPr>
          <w:p>
            <w:pPr>
              <w:ind w:left="480"/>
              <w:spacing w:after="0" w:line="183" w:lineRule="exact"/>
              <w:rPr>
                <w:sz w:val="20"/>
                <w:szCs w:val="20"/>
                <w:color w:val="auto"/>
              </w:rPr>
            </w:pPr>
            <w:r>
              <w:rPr>
                <w:rFonts w:ascii="Arial" w:cs="Arial" w:eastAsia="Arial" w:hAnsi="Arial"/>
                <w:sz w:val="16"/>
                <w:szCs w:val="16"/>
                <w:color w:val="auto"/>
              </w:rPr>
              <w:t>$ 1,800,000</w:t>
            </w:r>
          </w:p>
        </w:tc>
        <w:tc>
          <w:tcPr>
            <w:tcW w:w="1320" w:type="dxa"/>
            <w:vAlign w:val="bottom"/>
            <w:tcBorders>
              <w:bottom w:val="single" w:sz="8" w:color="auto"/>
            </w:tcBorders>
            <w:shd w:val="clear" w:color="auto" w:fill="E6EDF3"/>
          </w:tcPr>
          <w:p>
            <w:pPr>
              <w:ind w:left="220"/>
              <w:spacing w:after="0" w:line="183" w:lineRule="exact"/>
              <w:rPr>
                <w:sz w:val="20"/>
                <w:szCs w:val="20"/>
                <w:color w:val="auto"/>
              </w:rPr>
            </w:pPr>
            <w:r>
              <w:rPr>
                <w:rFonts w:ascii="Arial" w:cs="Arial" w:eastAsia="Arial" w:hAnsi="Arial"/>
                <w:sz w:val="16"/>
                <w:szCs w:val="16"/>
                <w:color w:val="auto"/>
              </w:rPr>
              <w:t>$ 2,238,000</w:t>
            </w:r>
          </w:p>
        </w:tc>
      </w:tr>
    </w:tbl>
    <w:p>
      <w:pPr>
        <w:spacing w:after="0" w:line="215"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For 2016, the calculation of EPS for Mr. Prising and the other NEOs was adjusted downward by the Committee, exercising negative discretion to adjust for the impact on EPS of significant share repurchase activity during the year. See page 58 for the calculations for Mr. Prising and the other NEOs.</w:t>
      </w:r>
    </w:p>
    <w:p>
      <w:pPr>
        <w:spacing w:after="0" w:line="113" w:lineRule="exact"/>
        <w:rPr>
          <w:sz w:val="20"/>
          <w:szCs w:val="20"/>
          <w:color w:val="auto"/>
        </w:rPr>
      </w:pPr>
    </w:p>
    <w:p>
      <w:pPr>
        <w:ind w:left="3420"/>
        <w:spacing w:after="0"/>
        <w:rPr>
          <w:sz w:val="20"/>
          <w:szCs w:val="20"/>
          <w:color w:val="auto"/>
        </w:rPr>
      </w:pPr>
      <w:r>
        <w:rPr>
          <w:rFonts w:ascii="Arial" w:cs="Arial" w:eastAsia="Arial" w:hAnsi="Arial"/>
          <w:sz w:val="18"/>
          <w:szCs w:val="18"/>
          <w:b w:val="1"/>
          <w:bCs w:val="1"/>
          <w:i w:val="1"/>
          <w:iCs w:val="1"/>
          <w:color w:val="5D89B4"/>
        </w:rPr>
        <w:t xml:space="preserve">John T. McGinnis </w:t>
      </w:r>
      <w:r>
        <w:rPr>
          <w:rFonts w:ascii="Arial" w:cs="Arial" w:eastAsia="Arial" w:hAnsi="Arial"/>
          <w:sz w:val="18"/>
          <w:szCs w:val="18"/>
          <w:color w:val="5D89B4"/>
        </w:rPr>
        <w:t>—</w:t>
      </w:r>
      <w:r>
        <w:rPr>
          <w:rFonts w:ascii="Arial" w:cs="Arial" w:eastAsia="Arial" w:hAnsi="Arial"/>
          <w:sz w:val="18"/>
          <w:szCs w:val="18"/>
          <w:b w:val="1"/>
          <w:bCs w:val="1"/>
          <w:i w:val="1"/>
          <w:iCs w:val="1"/>
          <w:color w:val="5D89B4"/>
        </w:rPr>
        <w:t xml:space="preserve"> Annual Incentive Award Opportunities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Similar to the CEO, the Committee determined EPS and ROIC as the appropriate performance metrics for Mr. McGinnis as the CFO.</w:t>
      </w:r>
    </w:p>
    <w:p>
      <w:pPr>
        <w:spacing w:after="0" w:line="104" w:lineRule="exact"/>
        <w:rPr>
          <w:sz w:val="20"/>
          <w:szCs w:val="20"/>
          <w:color w:val="auto"/>
        </w:rPr>
      </w:pPr>
    </w:p>
    <w:p>
      <w:pPr>
        <w:jc w:val="both"/>
        <w:ind w:right="380"/>
        <w:spacing w:after="0"/>
        <w:rPr>
          <w:sz w:val="20"/>
          <w:szCs w:val="20"/>
          <w:color w:val="auto"/>
        </w:rPr>
      </w:pPr>
      <w:r>
        <w:rPr>
          <w:rFonts w:ascii="Arial" w:cs="Arial" w:eastAsia="Arial" w:hAnsi="Arial"/>
          <w:sz w:val="18"/>
          <w:szCs w:val="18"/>
          <w:color w:val="auto"/>
        </w:rPr>
        <w:t>The following chart shows the Committee’s determination of award opportunities for the annual incentive payable to Mr. McGinnis for 2016. Although Mr. McGinnis’ base salary was pro-rated to reflect his start date of February 15, 2016, his annual incentives were calculated as a percentage of his full-year base salary of $600,000.</w:t>
      </w:r>
    </w:p>
    <w:p>
      <w:pPr>
        <w:spacing w:after="0" w:line="89" w:lineRule="exact"/>
        <w:rPr>
          <w:sz w:val="20"/>
          <w:szCs w:val="20"/>
          <w:color w:val="auto"/>
        </w:rPr>
      </w:pPr>
    </w:p>
    <w:tbl>
      <w:tblPr>
        <w:tblLayout w:type="fixed"/>
        <w:tblInd w:w="920" w:type="dxa"/>
        <w:tblCellMar>
          <w:top w:w="0" w:type="dxa"/>
          <w:left w:w="0" w:type="dxa"/>
          <w:bottom w:w="0" w:type="dxa"/>
          <w:right w:w="0" w:type="dxa"/>
        </w:tblCellMar>
      </w:tblPr>
      <w:tr>
        <w:trPr>
          <w:trHeight w:val="270"/>
        </w:trPr>
        <w:tc>
          <w:tcPr>
            <w:tcW w:w="5100" w:type="dxa"/>
            <w:vAlign w:val="bottom"/>
            <w:tcBorders>
              <w:top w:val="single" w:sz="8" w:color="auto"/>
              <w:bottom w:val="single" w:sz="8" w:color="auto"/>
            </w:tcBorders>
            <w:shd w:val="clear" w:color="auto" w:fill="9DB8D2"/>
          </w:tcPr>
          <w:p>
            <w:pPr>
              <w:spacing w:after="0"/>
              <w:rPr>
                <w:sz w:val="23"/>
                <w:szCs w:val="23"/>
                <w:color w:val="auto"/>
              </w:rPr>
            </w:pPr>
          </w:p>
        </w:tc>
        <w:tc>
          <w:tcPr>
            <w:tcW w:w="1940" w:type="dxa"/>
            <w:vAlign w:val="bottom"/>
            <w:tcBorders>
              <w:top w:val="single" w:sz="8" w:color="auto"/>
              <w:bottom w:val="single" w:sz="8" w:color="auto"/>
            </w:tcBorders>
            <w:shd w:val="clear" w:color="auto" w:fill="9DB8D2"/>
          </w:tcPr>
          <w:p>
            <w:pPr>
              <w:jc w:val="right"/>
              <w:ind w:right="441"/>
              <w:spacing w:after="0"/>
              <w:rPr>
                <w:sz w:val="20"/>
                <w:szCs w:val="20"/>
                <w:color w:val="auto"/>
              </w:rPr>
            </w:pPr>
            <w:r>
              <w:rPr>
                <w:rFonts w:ascii="Arial" w:cs="Arial" w:eastAsia="Arial" w:hAnsi="Arial"/>
                <w:sz w:val="14"/>
                <w:szCs w:val="14"/>
                <w:b w:val="1"/>
                <w:bCs w:val="1"/>
                <w:color w:val="auto"/>
              </w:rPr>
              <w:t>Threshold</w:t>
            </w:r>
          </w:p>
        </w:tc>
        <w:tc>
          <w:tcPr>
            <w:tcW w:w="1220" w:type="dxa"/>
            <w:vAlign w:val="bottom"/>
            <w:tcBorders>
              <w:top w:val="single" w:sz="8" w:color="auto"/>
              <w:bottom w:val="single" w:sz="8" w:color="auto"/>
            </w:tcBorders>
            <w:shd w:val="clear" w:color="auto" w:fill="9DB8D2"/>
          </w:tcPr>
          <w:p>
            <w:pPr>
              <w:jc w:val="right"/>
              <w:ind w:right="361"/>
              <w:spacing w:after="0"/>
              <w:rPr>
                <w:sz w:val="20"/>
                <w:szCs w:val="20"/>
                <w:color w:val="auto"/>
              </w:rPr>
            </w:pPr>
            <w:r>
              <w:rPr>
                <w:rFonts w:ascii="Arial" w:cs="Arial" w:eastAsia="Arial" w:hAnsi="Arial"/>
                <w:sz w:val="14"/>
                <w:szCs w:val="14"/>
                <w:b w:val="1"/>
                <w:bCs w:val="1"/>
                <w:color w:val="auto"/>
              </w:rPr>
              <w:t>Target</w:t>
            </w:r>
          </w:p>
        </w:tc>
        <w:tc>
          <w:tcPr>
            <w:tcW w:w="1320" w:type="dxa"/>
            <w:vAlign w:val="bottom"/>
            <w:tcBorders>
              <w:top w:val="single" w:sz="8" w:color="auto"/>
              <w:bottom w:val="single" w:sz="8" w:color="auto"/>
            </w:tcBorders>
            <w:shd w:val="clear" w:color="auto" w:fill="9DB8D2"/>
          </w:tcPr>
          <w:p>
            <w:pPr>
              <w:jc w:val="right"/>
              <w:ind w:right="121"/>
              <w:spacing w:after="0"/>
              <w:rPr>
                <w:sz w:val="20"/>
                <w:szCs w:val="20"/>
                <w:color w:val="auto"/>
              </w:rPr>
            </w:pPr>
            <w:r>
              <w:rPr>
                <w:rFonts w:ascii="Arial" w:cs="Arial" w:eastAsia="Arial" w:hAnsi="Arial"/>
                <w:sz w:val="14"/>
                <w:szCs w:val="14"/>
                <w:b w:val="1"/>
                <w:bCs w:val="1"/>
                <w:color w:val="auto"/>
              </w:rPr>
              <w:t>Outstanding</w:t>
            </w:r>
          </w:p>
        </w:tc>
      </w:tr>
      <w:tr>
        <w:trPr>
          <w:trHeight w:val="183"/>
        </w:trPr>
        <w:tc>
          <w:tcPr>
            <w:tcW w:w="510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EPS goal (weighted 40%)</w:t>
            </w:r>
          </w:p>
        </w:tc>
        <w:tc>
          <w:tcPr>
            <w:tcW w:w="1940" w:type="dxa"/>
            <w:vAlign w:val="bottom"/>
            <w:shd w:val="clear" w:color="auto" w:fill="E6EDF3"/>
          </w:tcPr>
          <w:p>
            <w:pPr>
              <w:jc w:val="right"/>
              <w:ind w:right="281"/>
              <w:spacing w:after="0" w:line="183" w:lineRule="exact"/>
              <w:rPr>
                <w:sz w:val="20"/>
                <w:szCs w:val="20"/>
                <w:color w:val="auto"/>
              </w:rPr>
            </w:pPr>
            <w:r>
              <w:rPr>
                <w:rFonts w:ascii="Arial" w:cs="Arial" w:eastAsia="Arial" w:hAnsi="Arial"/>
                <w:sz w:val="16"/>
                <w:szCs w:val="16"/>
                <w:color w:val="auto"/>
              </w:rPr>
              <w:t>10.0%</w:t>
            </w:r>
          </w:p>
        </w:tc>
        <w:tc>
          <w:tcPr>
            <w:tcW w:w="1220" w:type="dxa"/>
            <w:vAlign w:val="bottom"/>
            <w:shd w:val="clear" w:color="auto" w:fill="E6EDF3"/>
          </w:tcPr>
          <w:p>
            <w:pPr>
              <w:jc w:val="right"/>
              <w:ind w:right="201"/>
              <w:spacing w:after="0" w:line="183" w:lineRule="exact"/>
              <w:rPr>
                <w:sz w:val="20"/>
                <w:szCs w:val="20"/>
                <w:color w:val="auto"/>
              </w:rPr>
            </w:pPr>
            <w:r>
              <w:rPr>
                <w:rFonts w:ascii="Arial" w:cs="Arial" w:eastAsia="Arial" w:hAnsi="Arial"/>
                <w:sz w:val="16"/>
                <w:szCs w:val="16"/>
                <w:color w:val="auto"/>
              </w:rPr>
              <w:t>40.0%</w:t>
            </w:r>
          </w:p>
        </w:tc>
        <w:tc>
          <w:tcPr>
            <w:tcW w:w="1320" w:type="dxa"/>
            <w:vAlign w:val="bottom"/>
            <w:shd w:val="clear" w:color="auto" w:fill="E6EDF3"/>
          </w:tcPr>
          <w:p>
            <w:pPr>
              <w:jc w:val="right"/>
              <w:spacing w:after="0" w:line="183" w:lineRule="exact"/>
              <w:rPr>
                <w:sz w:val="20"/>
                <w:szCs w:val="20"/>
                <w:color w:val="auto"/>
              </w:rPr>
            </w:pPr>
            <w:r>
              <w:rPr>
                <w:rFonts w:ascii="Arial" w:cs="Arial" w:eastAsia="Arial" w:hAnsi="Arial"/>
                <w:sz w:val="16"/>
                <w:szCs w:val="16"/>
                <w:color w:val="auto"/>
              </w:rPr>
              <w:t>80.0%</w:t>
            </w:r>
          </w:p>
        </w:tc>
      </w:tr>
      <w:tr>
        <w:trPr>
          <w:trHeight w:val="189"/>
        </w:trPr>
        <w:tc>
          <w:tcPr>
            <w:tcW w:w="5100" w:type="dxa"/>
            <w:vAlign w:val="bottom"/>
          </w:tcPr>
          <w:p>
            <w:pPr>
              <w:ind w:left="80"/>
              <w:spacing w:after="0"/>
              <w:rPr>
                <w:sz w:val="20"/>
                <w:szCs w:val="20"/>
                <w:color w:val="auto"/>
              </w:rPr>
            </w:pPr>
            <w:r>
              <w:rPr>
                <w:rFonts w:ascii="Arial" w:cs="Arial" w:eastAsia="Arial" w:hAnsi="Arial"/>
                <w:sz w:val="16"/>
                <w:szCs w:val="16"/>
                <w:color w:val="auto"/>
              </w:rPr>
              <w:t>ROIC goal (weighted 40%)</w:t>
            </w:r>
          </w:p>
        </w:tc>
        <w:tc>
          <w:tcPr>
            <w:tcW w:w="1940" w:type="dxa"/>
            <w:vAlign w:val="bottom"/>
          </w:tcPr>
          <w:p>
            <w:pPr>
              <w:jc w:val="right"/>
              <w:ind w:right="281"/>
              <w:spacing w:after="0"/>
              <w:rPr>
                <w:sz w:val="20"/>
                <w:szCs w:val="20"/>
                <w:color w:val="auto"/>
              </w:rPr>
            </w:pPr>
            <w:r>
              <w:rPr>
                <w:rFonts w:ascii="Arial" w:cs="Arial" w:eastAsia="Arial" w:hAnsi="Arial"/>
                <w:sz w:val="16"/>
                <w:szCs w:val="16"/>
                <w:color w:val="auto"/>
              </w:rPr>
              <w:t>10.0%</w:t>
            </w:r>
          </w:p>
        </w:tc>
        <w:tc>
          <w:tcPr>
            <w:tcW w:w="1220" w:type="dxa"/>
            <w:vAlign w:val="bottom"/>
          </w:tcPr>
          <w:p>
            <w:pPr>
              <w:jc w:val="right"/>
              <w:ind w:right="201"/>
              <w:spacing w:after="0"/>
              <w:rPr>
                <w:sz w:val="20"/>
                <w:szCs w:val="20"/>
                <w:color w:val="auto"/>
              </w:rPr>
            </w:pPr>
            <w:r>
              <w:rPr>
                <w:rFonts w:ascii="Arial" w:cs="Arial" w:eastAsia="Arial" w:hAnsi="Arial"/>
                <w:sz w:val="16"/>
                <w:szCs w:val="16"/>
                <w:color w:val="auto"/>
              </w:rPr>
              <w:t>40.0%</w:t>
            </w:r>
          </w:p>
        </w:tc>
        <w:tc>
          <w:tcPr>
            <w:tcW w:w="132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189"/>
        </w:trPr>
        <w:tc>
          <w:tcPr>
            <w:tcW w:w="5100" w:type="dxa"/>
            <w:vAlign w:val="bottom"/>
            <w:shd w:val="clear" w:color="auto" w:fill="E6EDF3"/>
          </w:tcPr>
          <w:p>
            <w:pPr>
              <w:ind w:left="80"/>
              <w:spacing w:after="0"/>
              <w:rPr>
                <w:sz w:val="20"/>
                <w:szCs w:val="20"/>
                <w:color w:val="auto"/>
              </w:rPr>
            </w:pPr>
            <w:r>
              <w:rPr>
                <w:rFonts w:ascii="Arial" w:cs="Arial" w:eastAsia="Arial" w:hAnsi="Arial"/>
                <w:sz w:val="16"/>
                <w:szCs w:val="16"/>
                <w:color w:val="auto"/>
              </w:rPr>
              <w:t>Operating Objectives (weighted 20%)</w:t>
            </w:r>
          </w:p>
        </w:tc>
        <w:tc>
          <w:tcPr>
            <w:tcW w:w="1940" w:type="dxa"/>
            <w:vAlign w:val="bottom"/>
            <w:shd w:val="clear" w:color="auto" w:fill="E6EDF3"/>
          </w:tcPr>
          <w:p>
            <w:pPr>
              <w:jc w:val="right"/>
              <w:ind w:right="281"/>
              <w:spacing w:after="0"/>
              <w:rPr>
                <w:sz w:val="20"/>
                <w:szCs w:val="20"/>
                <w:color w:val="auto"/>
              </w:rPr>
            </w:pPr>
            <w:r>
              <w:rPr>
                <w:rFonts w:ascii="Arial" w:cs="Arial" w:eastAsia="Arial" w:hAnsi="Arial"/>
                <w:sz w:val="16"/>
                <w:szCs w:val="16"/>
                <w:color w:val="auto"/>
              </w:rPr>
              <w:t>5.0%</w:t>
            </w:r>
          </w:p>
        </w:tc>
        <w:tc>
          <w:tcPr>
            <w:tcW w:w="1220" w:type="dxa"/>
            <w:vAlign w:val="bottom"/>
            <w:shd w:val="clear" w:color="auto" w:fill="E6EDF3"/>
          </w:tcPr>
          <w:p>
            <w:pPr>
              <w:jc w:val="right"/>
              <w:ind w:right="201"/>
              <w:spacing w:after="0"/>
              <w:rPr>
                <w:sz w:val="20"/>
                <w:szCs w:val="20"/>
                <w:color w:val="auto"/>
              </w:rPr>
            </w:pPr>
            <w:r>
              <w:rPr>
                <w:rFonts w:ascii="Arial" w:cs="Arial" w:eastAsia="Arial" w:hAnsi="Arial"/>
                <w:sz w:val="16"/>
                <w:szCs w:val="16"/>
                <w:color w:val="auto"/>
              </w:rPr>
              <w:t>20.0%</w:t>
            </w:r>
          </w:p>
        </w:tc>
        <w:tc>
          <w:tcPr>
            <w:tcW w:w="13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40.0%</w:t>
            </w:r>
          </w:p>
        </w:tc>
      </w:tr>
      <w:tr>
        <w:trPr>
          <w:trHeight w:val="189"/>
        </w:trPr>
        <w:tc>
          <w:tcPr>
            <w:tcW w:w="51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Total</w:t>
            </w:r>
          </w:p>
        </w:tc>
        <w:tc>
          <w:tcPr>
            <w:tcW w:w="194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25.0%</w:t>
            </w:r>
          </w:p>
        </w:tc>
        <w:tc>
          <w:tcPr>
            <w:tcW w:w="12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100.0%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operating objectives for Mr. McGinnis for 2016 are as follows:</w:t>
      </w:r>
    </w:p>
    <w:p>
      <w:pPr>
        <w:spacing w:after="0" w:line="117" w:lineRule="exact"/>
        <w:rPr>
          <w:sz w:val="20"/>
          <w:szCs w:val="20"/>
          <w:color w:val="auto"/>
        </w:rPr>
      </w:pPr>
    </w:p>
    <w:p>
      <w:pPr>
        <w:ind w:left="440" w:hanging="324"/>
        <w:spacing w:after="0"/>
        <w:tabs>
          <w:tab w:leader="none" w:pos="440" w:val="left"/>
        </w:tabs>
        <w:numPr>
          <w:ilvl w:val="0"/>
          <w:numId w:val="50"/>
        </w:numPr>
        <w:rPr>
          <w:rFonts w:ascii="Arial" w:cs="Arial" w:eastAsia="Arial" w:hAnsi="Arial"/>
          <w:sz w:val="18"/>
          <w:szCs w:val="18"/>
          <w:color w:val="5D89B4"/>
        </w:rPr>
      </w:pPr>
      <w:r>
        <w:rPr>
          <w:rFonts w:ascii="Arial" w:cs="Arial" w:eastAsia="Arial" w:hAnsi="Arial"/>
          <w:sz w:val="18"/>
          <w:szCs w:val="18"/>
          <w:color w:val="auto"/>
        </w:rPr>
        <w:t>Meet/exceed growth rate of gross profit of certain competitors</w:t>
      </w:r>
    </w:p>
    <w:p>
      <w:pPr>
        <w:spacing w:after="0" w:line="117" w:lineRule="exact"/>
        <w:rPr>
          <w:rFonts w:ascii="Arial" w:cs="Arial" w:eastAsia="Arial" w:hAnsi="Arial"/>
          <w:sz w:val="18"/>
          <w:szCs w:val="18"/>
          <w:color w:val="5D89B4"/>
        </w:rPr>
      </w:pPr>
    </w:p>
    <w:p>
      <w:pPr>
        <w:ind w:left="440" w:hanging="324"/>
        <w:spacing w:after="0"/>
        <w:tabs>
          <w:tab w:leader="none" w:pos="440" w:val="left"/>
        </w:tabs>
        <w:numPr>
          <w:ilvl w:val="0"/>
          <w:numId w:val="50"/>
        </w:numPr>
        <w:rPr>
          <w:rFonts w:ascii="Arial" w:cs="Arial" w:eastAsia="Arial" w:hAnsi="Arial"/>
          <w:sz w:val="18"/>
          <w:szCs w:val="18"/>
          <w:color w:val="5D89B4"/>
        </w:rPr>
      </w:pPr>
      <w:r>
        <w:rPr>
          <w:rFonts w:ascii="Arial" w:cs="Arial" w:eastAsia="Arial" w:hAnsi="Arial"/>
          <w:sz w:val="18"/>
          <w:szCs w:val="18"/>
          <w:color w:val="auto"/>
        </w:rPr>
        <w:t>Develop diverse leadership that strengthens our capabilities</w:t>
      </w:r>
    </w:p>
    <w:p>
      <w:pPr>
        <w:spacing w:after="0" w:line="117" w:lineRule="exact"/>
        <w:rPr>
          <w:rFonts w:ascii="Arial" w:cs="Arial" w:eastAsia="Arial" w:hAnsi="Arial"/>
          <w:sz w:val="18"/>
          <w:szCs w:val="18"/>
          <w:color w:val="5D89B4"/>
        </w:rPr>
      </w:pPr>
    </w:p>
    <w:p>
      <w:pPr>
        <w:ind w:left="440" w:hanging="324"/>
        <w:spacing w:after="0"/>
        <w:tabs>
          <w:tab w:leader="none" w:pos="440" w:val="left"/>
        </w:tabs>
        <w:numPr>
          <w:ilvl w:val="0"/>
          <w:numId w:val="50"/>
        </w:numPr>
        <w:rPr>
          <w:rFonts w:ascii="Arial" w:cs="Arial" w:eastAsia="Arial" w:hAnsi="Arial"/>
          <w:sz w:val="18"/>
          <w:szCs w:val="18"/>
          <w:color w:val="5D89B4"/>
        </w:rPr>
      </w:pPr>
      <w:r>
        <w:rPr>
          <w:rFonts w:ascii="Arial" w:cs="Arial" w:eastAsia="Arial" w:hAnsi="Arial"/>
          <w:sz w:val="18"/>
          <w:szCs w:val="18"/>
          <w:color w:val="auto"/>
        </w:rPr>
        <w:t>Assume all responsibilities of the CFO role and establish knowledge of company operational and strategic priorities</w:t>
      </w:r>
    </w:p>
    <w:p>
      <w:pPr>
        <w:spacing w:after="0" w:line="117" w:lineRule="exact"/>
        <w:rPr>
          <w:rFonts w:ascii="Arial" w:cs="Arial" w:eastAsia="Arial" w:hAnsi="Arial"/>
          <w:sz w:val="18"/>
          <w:szCs w:val="18"/>
          <w:color w:val="5D89B4"/>
        </w:rPr>
      </w:pPr>
    </w:p>
    <w:p>
      <w:pPr>
        <w:ind w:left="440" w:hanging="324"/>
        <w:spacing w:after="0"/>
        <w:tabs>
          <w:tab w:leader="none" w:pos="440" w:val="left"/>
        </w:tabs>
        <w:numPr>
          <w:ilvl w:val="0"/>
          <w:numId w:val="50"/>
        </w:numPr>
        <w:rPr>
          <w:rFonts w:ascii="Arial" w:cs="Arial" w:eastAsia="Arial" w:hAnsi="Arial"/>
          <w:sz w:val="18"/>
          <w:szCs w:val="18"/>
          <w:color w:val="5D89B4"/>
        </w:rPr>
      </w:pPr>
      <w:r>
        <w:rPr>
          <w:rFonts w:ascii="Arial" w:cs="Arial" w:eastAsia="Arial" w:hAnsi="Arial"/>
          <w:sz w:val="18"/>
          <w:szCs w:val="18"/>
          <w:color w:val="auto"/>
        </w:rPr>
        <w:t>Work with CEO and former CFO to ensure a good integration and collaboration with key leadership</w:t>
      </w:r>
    </w:p>
    <w:p>
      <w:pPr>
        <w:spacing w:after="0" w:line="104" w:lineRule="exact"/>
        <w:rPr>
          <w:sz w:val="20"/>
          <w:szCs w:val="20"/>
          <w:color w:val="auto"/>
        </w:rPr>
      </w:pPr>
    </w:p>
    <w:p>
      <w:pPr>
        <w:jc w:val="both"/>
        <w:ind w:right="80"/>
        <w:spacing w:after="0" w:line="261" w:lineRule="auto"/>
        <w:rPr>
          <w:sz w:val="20"/>
          <w:szCs w:val="20"/>
          <w:color w:val="auto"/>
        </w:rPr>
      </w:pPr>
      <w:r>
        <w:rPr>
          <w:rFonts w:ascii="Arial" w:cs="Arial" w:eastAsia="Arial" w:hAnsi="Arial"/>
          <w:sz w:val="17"/>
          <w:szCs w:val="17"/>
          <w:color w:val="auto"/>
        </w:rPr>
        <w:t>The Committee determined that Mr. McGinnis earned a cash incentive award for 2016 between target and outstanding for EPS and ROIC. The Committee also approved an incentive award for Mr. McGinnis based on its determination of the level of performance towards achievement of his operating objectives. Based on these accomplishments, the Committee determined to pay the 2016 award to Mr. McGinnis as follows:</w:t>
      </w:r>
    </w:p>
    <w:p>
      <w:pPr>
        <w:spacing w:after="0" w:line="72" w:lineRule="exact"/>
        <w:rPr>
          <w:sz w:val="20"/>
          <w:szCs w:val="20"/>
          <w:color w:val="auto"/>
        </w:rPr>
      </w:pPr>
    </w:p>
    <w:tbl>
      <w:tblPr>
        <w:tblLayout w:type="fixed"/>
        <w:tblInd w:w="920" w:type="dxa"/>
        <w:tblCellMar>
          <w:top w:w="0" w:type="dxa"/>
          <w:left w:w="0" w:type="dxa"/>
          <w:bottom w:w="0" w:type="dxa"/>
          <w:right w:w="0" w:type="dxa"/>
        </w:tblCellMar>
      </w:tblPr>
      <w:tr>
        <w:trPr>
          <w:trHeight w:val="270"/>
        </w:trPr>
        <w:tc>
          <w:tcPr>
            <w:tcW w:w="6340" w:type="dxa"/>
            <w:vAlign w:val="bottom"/>
            <w:tcBorders>
              <w:top w:val="single" w:sz="8" w:color="auto"/>
              <w:bottom w:val="single" w:sz="8" w:color="auto"/>
            </w:tcBorders>
            <w:shd w:val="clear" w:color="auto" w:fill="9DB8D2"/>
          </w:tcPr>
          <w:p>
            <w:pPr>
              <w:spacing w:after="0"/>
              <w:rPr>
                <w:sz w:val="23"/>
                <w:szCs w:val="23"/>
                <w:color w:val="auto"/>
              </w:rPr>
            </w:pPr>
          </w:p>
        </w:tc>
        <w:tc>
          <w:tcPr>
            <w:tcW w:w="1840" w:type="dxa"/>
            <w:vAlign w:val="bottom"/>
            <w:tcBorders>
              <w:top w:val="single" w:sz="8" w:color="auto"/>
              <w:bottom w:val="single" w:sz="8" w:color="auto"/>
            </w:tcBorders>
            <w:shd w:val="clear" w:color="auto" w:fill="9DB8D2"/>
          </w:tcPr>
          <w:p>
            <w:pPr>
              <w:ind w:left="620"/>
              <w:spacing w:after="0"/>
              <w:rPr>
                <w:sz w:val="20"/>
                <w:szCs w:val="20"/>
                <w:color w:val="auto"/>
              </w:rPr>
            </w:pPr>
            <w:r>
              <w:rPr>
                <w:rFonts w:ascii="Arial" w:cs="Arial" w:eastAsia="Arial" w:hAnsi="Arial"/>
                <w:sz w:val="14"/>
                <w:szCs w:val="14"/>
                <w:b w:val="1"/>
                <w:bCs w:val="1"/>
                <w:color w:val="auto"/>
              </w:rPr>
              <w:t>Target Award</w:t>
            </w:r>
          </w:p>
        </w:tc>
        <w:tc>
          <w:tcPr>
            <w:tcW w:w="1400" w:type="dxa"/>
            <w:vAlign w:val="bottom"/>
            <w:tcBorders>
              <w:top w:val="single" w:sz="8" w:color="auto"/>
              <w:bottom w:val="single" w:sz="8" w:color="auto"/>
            </w:tcBorders>
            <w:shd w:val="clear" w:color="auto" w:fill="9DB8D2"/>
          </w:tcPr>
          <w:p>
            <w:pPr>
              <w:ind w:left="300"/>
              <w:spacing w:after="0"/>
              <w:rPr>
                <w:sz w:val="20"/>
                <w:szCs w:val="20"/>
                <w:color w:val="auto"/>
              </w:rPr>
            </w:pPr>
            <w:r>
              <w:rPr>
                <w:rFonts w:ascii="Arial" w:cs="Arial" w:eastAsia="Arial" w:hAnsi="Arial"/>
                <w:sz w:val="14"/>
                <w:szCs w:val="14"/>
                <w:b w:val="1"/>
                <w:bCs w:val="1"/>
                <w:color w:val="auto"/>
              </w:rPr>
              <w:t>Actual Award</w:t>
            </w:r>
          </w:p>
        </w:tc>
        <w:tc>
          <w:tcPr>
            <w:tcW w:w="920" w:type="dxa"/>
            <w:vAlign w:val="bottom"/>
          </w:tcPr>
          <w:p>
            <w:pPr>
              <w:spacing w:after="0"/>
              <w:rPr>
                <w:sz w:val="23"/>
                <w:szCs w:val="23"/>
                <w:color w:val="auto"/>
              </w:rPr>
            </w:pPr>
          </w:p>
        </w:tc>
      </w:tr>
      <w:tr>
        <w:trPr>
          <w:trHeight w:val="183"/>
        </w:trPr>
        <w:tc>
          <w:tcPr>
            <w:tcW w:w="6340" w:type="dxa"/>
            <w:vAlign w:val="bottom"/>
            <w:tcBorders>
              <w:bottom w:val="single" w:sz="8" w:color="auto"/>
            </w:tcBorders>
            <w:shd w:val="clear" w:color="auto" w:fill="E6EDF3"/>
          </w:tcPr>
          <w:p>
            <w:pPr>
              <w:ind w:left="80"/>
              <w:spacing w:after="0" w:line="183" w:lineRule="exact"/>
              <w:rPr>
                <w:sz w:val="20"/>
                <w:szCs w:val="20"/>
                <w:color w:val="auto"/>
              </w:rPr>
            </w:pPr>
            <w:r>
              <w:rPr>
                <w:rFonts w:ascii="Arial" w:cs="Arial" w:eastAsia="Arial" w:hAnsi="Arial"/>
                <w:sz w:val="16"/>
                <w:szCs w:val="16"/>
                <w:color w:val="auto"/>
              </w:rPr>
              <w:t>CFO</w:t>
            </w:r>
          </w:p>
        </w:tc>
        <w:tc>
          <w:tcPr>
            <w:tcW w:w="1840" w:type="dxa"/>
            <w:vAlign w:val="bottom"/>
            <w:tcBorders>
              <w:bottom w:val="single" w:sz="8" w:color="auto"/>
            </w:tcBorders>
            <w:shd w:val="clear" w:color="auto" w:fill="E6EDF3"/>
          </w:tcPr>
          <w:p>
            <w:pPr>
              <w:ind w:left="620"/>
              <w:spacing w:after="0" w:line="183" w:lineRule="exact"/>
              <w:rPr>
                <w:sz w:val="20"/>
                <w:szCs w:val="20"/>
                <w:color w:val="auto"/>
              </w:rPr>
            </w:pPr>
            <w:r>
              <w:rPr>
                <w:rFonts w:ascii="Arial" w:cs="Arial" w:eastAsia="Arial" w:hAnsi="Arial"/>
                <w:sz w:val="16"/>
                <w:szCs w:val="16"/>
                <w:color w:val="auto"/>
              </w:rPr>
              <w:t>$   600,000</w:t>
            </w:r>
          </w:p>
        </w:tc>
        <w:tc>
          <w:tcPr>
            <w:tcW w:w="1400" w:type="dxa"/>
            <w:vAlign w:val="bottom"/>
            <w:tcBorders>
              <w:bottom w:val="single" w:sz="8" w:color="auto"/>
            </w:tcBorders>
            <w:shd w:val="clear" w:color="auto" w:fill="E6EDF3"/>
          </w:tcPr>
          <w:p>
            <w:pPr>
              <w:ind w:left="300"/>
              <w:spacing w:after="0" w:line="183" w:lineRule="exact"/>
              <w:rPr>
                <w:sz w:val="20"/>
                <w:szCs w:val="20"/>
                <w:color w:val="auto"/>
              </w:rPr>
            </w:pPr>
            <w:r>
              <w:rPr>
                <w:rFonts w:ascii="Arial" w:cs="Arial" w:eastAsia="Arial" w:hAnsi="Arial"/>
                <w:sz w:val="16"/>
                <w:szCs w:val="16"/>
                <w:color w:val="auto"/>
              </w:rPr>
              <w:t>$   712,680</w:t>
            </w:r>
          </w:p>
        </w:tc>
        <w:tc>
          <w:tcPr>
            <w:tcW w:w="920" w:type="dxa"/>
            <w:vAlign w:val="bottom"/>
          </w:tcPr>
          <w:p>
            <w:pPr>
              <w:spacing w:after="0"/>
              <w:rPr>
                <w:sz w:val="15"/>
                <w:szCs w:val="15"/>
                <w:color w:val="auto"/>
              </w:rPr>
            </w:pPr>
          </w:p>
        </w:tc>
      </w:tr>
      <w:tr>
        <w:trPr>
          <w:trHeight w:val="395"/>
        </w:trPr>
        <w:tc>
          <w:tcPr>
            <w:tcW w:w="6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320" w:type="dxa"/>
            <w:vAlign w:val="bottom"/>
            <w:gridSpan w:val="2"/>
          </w:tcPr>
          <w:p>
            <w:pPr>
              <w:ind w:left="780"/>
              <w:spacing w:after="0"/>
              <w:rPr>
                <w:sz w:val="20"/>
                <w:szCs w:val="20"/>
                <w:color w:val="auto"/>
              </w:rPr>
            </w:pPr>
            <w:r>
              <w:rPr>
                <w:rFonts w:ascii="Arial" w:cs="Arial" w:eastAsia="Arial" w:hAnsi="Arial"/>
                <w:sz w:val="16"/>
                <w:szCs w:val="16"/>
                <w:b w:val="1"/>
                <w:bCs w:val="1"/>
                <w:color w:val="5D89B4"/>
              </w:rPr>
              <w:t xml:space="preserve">43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Compensation Discussion and Analysis</w:t>
      </w:r>
    </w:p>
    <w:p>
      <w:pPr>
        <w:spacing w:after="0" w:line="217" w:lineRule="exact"/>
        <w:rPr>
          <w:sz w:val="20"/>
          <w:szCs w:val="20"/>
          <w:color w:val="auto"/>
        </w:rPr>
      </w:pPr>
    </w:p>
    <w:p>
      <w:pPr>
        <w:ind w:left="3620"/>
        <w:spacing w:after="0"/>
        <w:rPr>
          <w:sz w:val="20"/>
          <w:szCs w:val="20"/>
          <w:color w:val="auto"/>
        </w:rPr>
      </w:pPr>
      <w:r>
        <w:rPr>
          <w:rFonts w:ascii="Arial" w:cs="Arial" w:eastAsia="Arial" w:hAnsi="Arial"/>
          <w:sz w:val="18"/>
          <w:szCs w:val="18"/>
          <w:b w:val="1"/>
          <w:bCs w:val="1"/>
          <w:i w:val="1"/>
          <w:iCs w:val="1"/>
          <w:color w:val="5D89B4"/>
        </w:rPr>
        <w:t xml:space="preserve">Darryl Green </w:t>
      </w:r>
      <w:r>
        <w:rPr>
          <w:rFonts w:ascii="Arial" w:cs="Arial" w:eastAsia="Arial" w:hAnsi="Arial"/>
          <w:sz w:val="18"/>
          <w:szCs w:val="18"/>
          <w:color w:val="5D89B4"/>
        </w:rPr>
        <w:t>—</w:t>
      </w:r>
      <w:r>
        <w:rPr>
          <w:rFonts w:ascii="Arial" w:cs="Arial" w:eastAsia="Arial" w:hAnsi="Arial"/>
          <w:sz w:val="18"/>
          <w:szCs w:val="18"/>
          <w:b w:val="1"/>
          <w:bCs w:val="1"/>
          <w:i w:val="1"/>
          <w:iCs w:val="1"/>
          <w:color w:val="5D89B4"/>
        </w:rPr>
        <w:t xml:space="preserve"> Annual Incentive Award Opportunities</w:t>
      </w:r>
    </w:p>
    <w:p>
      <w:pPr>
        <w:spacing w:after="0" w:line="126"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Similar to the CEO and CFO, the Committee determined EPS and ROIC as the appropriate performance metrics for Mr. Green as President and COO.</w:t>
      </w:r>
    </w:p>
    <w:p>
      <w:pPr>
        <w:spacing w:after="0" w:line="8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following chart shows the Committee’s determination of award opportunities for the annual incentive payable to Mr. Green for 2016, as a percentage of his 2016 base salary of $800,000:</w:t>
      </w:r>
    </w:p>
    <w:p>
      <w:pPr>
        <w:spacing w:after="0" w:line="83" w:lineRule="exact"/>
        <w:rPr>
          <w:sz w:val="20"/>
          <w:szCs w:val="20"/>
          <w:color w:val="auto"/>
        </w:rPr>
      </w:pPr>
    </w:p>
    <w:tbl>
      <w:tblPr>
        <w:tblLayout w:type="fixed"/>
        <w:tblInd w:w="920" w:type="dxa"/>
        <w:tblCellMar>
          <w:top w:w="0" w:type="dxa"/>
          <w:left w:w="0" w:type="dxa"/>
          <w:bottom w:w="0" w:type="dxa"/>
          <w:right w:w="0" w:type="dxa"/>
        </w:tblCellMar>
      </w:tblPr>
      <w:tr>
        <w:trPr>
          <w:trHeight w:val="270"/>
        </w:trPr>
        <w:tc>
          <w:tcPr>
            <w:tcW w:w="5100" w:type="dxa"/>
            <w:vAlign w:val="bottom"/>
            <w:tcBorders>
              <w:top w:val="single" w:sz="8" w:color="auto"/>
              <w:bottom w:val="single" w:sz="8" w:color="auto"/>
            </w:tcBorders>
            <w:shd w:val="clear" w:color="auto" w:fill="9DB8D2"/>
          </w:tcPr>
          <w:p>
            <w:pPr>
              <w:spacing w:after="0"/>
              <w:rPr>
                <w:sz w:val="23"/>
                <w:szCs w:val="23"/>
                <w:color w:val="auto"/>
              </w:rPr>
            </w:pPr>
          </w:p>
        </w:tc>
        <w:tc>
          <w:tcPr>
            <w:tcW w:w="1940" w:type="dxa"/>
            <w:vAlign w:val="bottom"/>
            <w:tcBorders>
              <w:top w:val="single" w:sz="8" w:color="auto"/>
              <w:bottom w:val="single" w:sz="8" w:color="auto"/>
            </w:tcBorders>
            <w:shd w:val="clear" w:color="auto" w:fill="9DB8D2"/>
          </w:tcPr>
          <w:p>
            <w:pPr>
              <w:jc w:val="right"/>
              <w:ind w:right="441"/>
              <w:spacing w:after="0"/>
              <w:rPr>
                <w:sz w:val="20"/>
                <w:szCs w:val="20"/>
                <w:color w:val="auto"/>
              </w:rPr>
            </w:pPr>
            <w:r>
              <w:rPr>
                <w:rFonts w:ascii="Arial" w:cs="Arial" w:eastAsia="Arial" w:hAnsi="Arial"/>
                <w:sz w:val="14"/>
                <w:szCs w:val="14"/>
                <w:b w:val="1"/>
                <w:bCs w:val="1"/>
                <w:color w:val="auto"/>
              </w:rPr>
              <w:t>Threshold</w:t>
            </w:r>
          </w:p>
        </w:tc>
        <w:tc>
          <w:tcPr>
            <w:tcW w:w="1220" w:type="dxa"/>
            <w:vAlign w:val="bottom"/>
            <w:tcBorders>
              <w:top w:val="single" w:sz="8" w:color="auto"/>
              <w:bottom w:val="single" w:sz="8" w:color="auto"/>
            </w:tcBorders>
            <w:shd w:val="clear" w:color="auto" w:fill="9DB8D2"/>
          </w:tcPr>
          <w:p>
            <w:pPr>
              <w:jc w:val="right"/>
              <w:ind w:right="361"/>
              <w:spacing w:after="0"/>
              <w:rPr>
                <w:sz w:val="20"/>
                <w:szCs w:val="20"/>
                <w:color w:val="auto"/>
              </w:rPr>
            </w:pPr>
            <w:r>
              <w:rPr>
                <w:rFonts w:ascii="Arial" w:cs="Arial" w:eastAsia="Arial" w:hAnsi="Arial"/>
                <w:sz w:val="14"/>
                <w:szCs w:val="14"/>
                <w:b w:val="1"/>
                <w:bCs w:val="1"/>
                <w:color w:val="auto"/>
              </w:rPr>
              <w:t>Target</w:t>
            </w:r>
          </w:p>
        </w:tc>
        <w:tc>
          <w:tcPr>
            <w:tcW w:w="1320" w:type="dxa"/>
            <w:vAlign w:val="bottom"/>
            <w:tcBorders>
              <w:top w:val="single" w:sz="8" w:color="auto"/>
              <w:bottom w:val="single" w:sz="8" w:color="auto"/>
            </w:tcBorders>
            <w:shd w:val="clear" w:color="auto" w:fill="9DB8D2"/>
          </w:tcPr>
          <w:p>
            <w:pPr>
              <w:jc w:val="right"/>
              <w:ind w:right="121"/>
              <w:spacing w:after="0"/>
              <w:rPr>
                <w:sz w:val="20"/>
                <w:szCs w:val="20"/>
                <w:color w:val="auto"/>
              </w:rPr>
            </w:pPr>
            <w:r>
              <w:rPr>
                <w:rFonts w:ascii="Arial" w:cs="Arial" w:eastAsia="Arial" w:hAnsi="Arial"/>
                <w:sz w:val="14"/>
                <w:szCs w:val="14"/>
                <w:b w:val="1"/>
                <w:bCs w:val="1"/>
                <w:color w:val="auto"/>
              </w:rPr>
              <w:t>Outstanding</w:t>
            </w:r>
          </w:p>
        </w:tc>
      </w:tr>
      <w:tr>
        <w:trPr>
          <w:trHeight w:val="183"/>
        </w:trPr>
        <w:tc>
          <w:tcPr>
            <w:tcW w:w="510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EPS goal (weighted 40%)</w:t>
            </w:r>
          </w:p>
        </w:tc>
        <w:tc>
          <w:tcPr>
            <w:tcW w:w="1940" w:type="dxa"/>
            <w:vAlign w:val="bottom"/>
            <w:shd w:val="clear" w:color="auto" w:fill="E6EDF3"/>
          </w:tcPr>
          <w:p>
            <w:pPr>
              <w:jc w:val="right"/>
              <w:ind w:right="281"/>
              <w:spacing w:after="0" w:line="183" w:lineRule="exact"/>
              <w:rPr>
                <w:sz w:val="20"/>
                <w:szCs w:val="20"/>
                <w:color w:val="auto"/>
              </w:rPr>
            </w:pPr>
            <w:r>
              <w:rPr>
                <w:rFonts w:ascii="Arial" w:cs="Arial" w:eastAsia="Arial" w:hAnsi="Arial"/>
                <w:sz w:val="16"/>
                <w:szCs w:val="16"/>
                <w:color w:val="auto"/>
              </w:rPr>
              <w:t>10.0%</w:t>
            </w:r>
          </w:p>
        </w:tc>
        <w:tc>
          <w:tcPr>
            <w:tcW w:w="1220" w:type="dxa"/>
            <w:vAlign w:val="bottom"/>
            <w:shd w:val="clear" w:color="auto" w:fill="E6EDF3"/>
          </w:tcPr>
          <w:p>
            <w:pPr>
              <w:jc w:val="right"/>
              <w:ind w:right="201"/>
              <w:spacing w:after="0" w:line="183" w:lineRule="exact"/>
              <w:rPr>
                <w:sz w:val="20"/>
                <w:szCs w:val="20"/>
                <w:color w:val="auto"/>
              </w:rPr>
            </w:pPr>
            <w:r>
              <w:rPr>
                <w:rFonts w:ascii="Arial" w:cs="Arial" w:eastAsia="Arial" w:hAnsi="Arial"/>
                <w:sz w:val="16"/>
                <w:szCs w:val="16"/>
                <w:color w:val="auto"/>
              </w:rPr>
              <w:t>40.0%</w:t>
            </w:r>
          </w:p>
        </w:tc>
        <w:tc>
          <w:tcPr>
            <w:tcW w:w="1320" w:type="dxa"/>
            <w:vAlign w:val="bottom"/>
            <w:shd w:val="clear" w:color="auto" w:fill="E6EDF3"/>
          </w:tcPr>
          <w:p>
            <w:pPr>
              <w:jc w:val="right"/>
              <w:spacing w:after="0" w:line="183" w:lineRule="exact"/>
              <w:rPr>
                <w:sz w:val="20"/>
                <w:szCs w:val="20"/>
                <w:color w:val="auto"/>
              </w:rPr>
            </w:pPr>
            <w:r>
              <w:rPr>
                <w:rFonts w:ascii="Arial" w:cs="Arial" w:eastAsia="Arial" w:hAnsi="Arial"/>
                <w:sz w:val="16"/>
                <w:szCs w:val="16"/>
                <w:color w:val="auto"/>
              </w:rPr>
              <w:t>80.0%</w:t>
            </w:r>
          </w:p>
        </w:tc>
      </w:tr>
      <w:tr>
        <w:trPr>
          <w:trHeight w:val="189"/>
        </w:trPr>
        <w:tc>
          <w:tcPr>
            <w:tcW w:w="5100" w:type="dxa"/>
            <w:vAlign w:val="bottom"/>
          </w:tcPr>
          <w:p>
            <w:pPr>
              <w:ind w:left="80"/>
              <w:spacing w:after="0"/>
              <w:rPr>
                <w:sz w:val="20"/>
                <w:szCs w:val="20"/>
                <w:color w:val="auto"/>
              </w:rPr>
            </w:pPr>
            <w:r>
              <w:rPr>
                <w:rFonts w:ascii="Arial" w:cs="Arial" w:eastAsia="Arial" w:hAnsi="Arial"/>
                <w:sz w:val="16"/>
                <w:szCs w:val="16"/>
                <w:color w:val="auto"/>
              </w:rPr>
              <w:t>ROIC goal (weighted 40%)</w:t>
            </w:r>
          </w:p>
        </w:tc>
        <w:tc>
          <w:tcPr>
            <w:tcW w:w="1940" w:type="dxa"/>
            <w:vAlign w:val="bottom"/>
          </w:tcPr>
          <w:p>
            <w:pPr>
              <w:jc w:val="right"/>
              <w:ind w:right="281"/>
              <w:spacing w:after="0"/>
              <w:rPr>
                <w:sz w:val="20"/>
                <w:szCs w:val="20"/>
                <w:color w:val="auto"/>
              </w:rPr>
            </w:pPr>
            <w:r>
              <w:rPr>
                <w:rFonts w:ascii="Arial" w:cs="Arial" w:eastAsia="Arial" w:hAnsi="Arial"/>
                <w:sz w:val="16"/>
                <w:szCs w:val="16"/>
                <w:color w:val="auto"/>
              </w:rPr>
              <w:t>10.0%</w:t>
            </w:r>
          </w:p>
        </w:tc>
        <w:tc>
          <w:tcPr>
            <w:tcW w:w="1220" w:type="dxa"/>
            <w:vAlign w:val="bottom"/>
          </w:tcPr>
          <w:p>
            <w:pPr>
              <w:jc w:val="right"/>
              <w:ind w:right="201"/>
              <w:spacing w:after="0"/>
              <w:rPr>
                <w:sz w:val="20"/>
                <w:szCs w:val="20"/>
                <w:color w:val="auto"/>
              </w:rPr>
            </w:pPr>
            <w:r>
              <w:rPr>
                <w:rFonts w:ascii="Arial" w:cs="Arial" w:eastAsia="Arial" w:hAnsi="Arial"/>
                <w:sz w:val="16"/>
                <w:szCs w:val="16"/>
                <w:color w:val="auto"/>
              </w:rPr>
              <w:t>40.0%</w:t>
            </w:r>
          </w:p>
        </w:tc>
        <w:tc>
          <w:tcPr>
            <w:tcW w:w="132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189"/>
        </w:trPr>
        <w:tc>
          <w:tcPr>
            <w:tcW w:w="5100" w:type="dxa"/>
            <w:vAlign w:val="bottom"/>
            <w:shd w:val="clear" w:color="auto" w:fill="E6EDF3"/>
          </w:tcPr>
          <w:p>
            <w:pPr>
              <w:ind w:left="80"/>
              <w:spacing w:after="0"/>
              <w:rPr>
                <w:sz w:val="20"/>
                <w:szCs w:val="20"/>
                <w:color w:val="auto"/>
              </w:rPr>
            </w:pPr>
            <w:r>
              <w:rPr>
                <w:rFonts w:ascii="Arial" w:cs="Arial" w:eastAsia="Arial" w:hAnsi="Arial"/>
                <w:sz w:val="16"/>
                <w:szCs w:val="16"/>
                <w:color w:val="auto"/>
              </w:rPr>
              <w:t>Operating Objectives (weighted 20%)</w:t>
            </w:r>
          </w:p>
        </w:tc>
        <w:tc>
          <w:tcPr>
            <w:tcW w:w="1940" w:type="dxa"/>
            <w:vAlign w:val="bottom"/>
            <w:shd w:val="clear" w:color="auto" w:fill="E6EDF3"/>
          </w:tcPr>
          <w:p>
            <w:pPr>
              <w:jc w:val="right"/>
              <w:ind w:right="281"/>
              <w:spacing w:after="0"/>
              <w:rPr>
                <w:sz w:val="20"/>
                <w:szCs w:val="20"/>
                <w:color w:val="auto"/>
              </w:rPr>
            </w:pPr>
            <w:r>
              <w:rPr>
                <w:rFonts w:ascii="Arial" w:cs="Arial" w:eastAsia="Arial" w:hAnsi="Arial"/>
                <w:sz w:val="16"/>
                <w:szCs w:val="16"/>
                <w:color w:val="auto"/>
              </w:rPr>
              <w:t>5.0%</w:t>
            </w:r>
          </w:p>
        </w:tc>
        <w:tc>
          <w:tcPr>
            <w:tcW w:w="1220" w:type="dxa"/>
            <w:vAlign w:val="bottom"/>
            <w:shd w:val="clear" w:color="auto" w:fill="E6EDF3"/>
          </w:tcPr>
          <w:p>
            <w:pPr>
              <w:jc w:val="right"/>
              <w:ind w:right="201"/>
              <w:spacing w:after="0"/>
              <w:rPr>
                <w:sz w:val="20"/>
                <w:szCs w:val="20"/>
                <w:color w:val="auto"/>
              </w:rPr>
            </w:pPr>
            <w:r>
              <w:rPr>
                <w:rFonts w:ascii="Arial" w:cs="Arial" w:eastAsia="Arial" w:hAnsi="Arial"/>
                <w:sz w:val="16"/>
                <w:szCs w:val="16"/>
                <w:color w:val="auto"/>
              </w:rPr>
              <w:t>20.0%</w:t>
            </w:r>
          </w:p>
        </w:tc>
        <w:tc>
          <w:tcPr>
            <w:tcW w:w="13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40.0%</w:t>
            </w:r>
          </w:p>
        </w:tc>
      </w:tr>
      <w:tr>
        <w:trPr>
          <w:trHeight w:val="189"/>
        </w:trPr>
        <w:tc>
          <w:tcPr>
            <w:tcW w:w="51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Total</w:t>
            </w:r>
          </w:p>
        </w:tc>
        <w:tc>
          <w:tcPr>
            <w:tcW w:w="194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25.0%</w:t>
            </w:r>
          </w:p>
        </w:tc>
        <w:tc>
          <w:tcPr>
            <w:tcW w:w="12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100.0%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operating objectives for Mr. Green for 2016 were as follows:</w:t>
      </w:r>
    </w:p>
    <w:p>
      <w:pPr>
        <w:spacing w:after="0" w:line="117" w:lineRule="exact"/>
        <w:rPr>
          <w:sz w:val="20"/>
          <w:szCs w:val="20"/>
          <w:color w:val="auto"/>
        </w:rPr>
      </w:pPr>
    </w:p>
    <w:p>
      <w:pPr>
        <w:ind w:left="440" w:hanging="324"/>
        <w:spacing w:after="0"/>
        <w:tabs>
          <w:tab w:leader="none" w:pos="440" w:val="left"/>
        </w:tabs>
        <w:numPr>
          <w:ilvl w:val="0"/>
          <w:numId w:val="51"/>
        </w:numPr>
        <w:rPr>
          <w:rFonts w:ascii="Arial" w:cs="Arial" w:eastAsia="Arial" w:hAnsi="Arial"/>
          <w:sz w:val="18"/>
          <w:szCs w:val="18"/>
          <w:color w:val="5D89B4"/>
        </w:rPr>
      </w:pPr>
      <w:r>
        <w:rPr>
          <w:rFonts w:ascii="Arial" w:cs="Arial" w:eastAsia="Arial" w:hAnsi="Arial"/>
          <w:sz w:val="18"/>
          <w:szCs w:val="18"/>
          <w:color w:val="auto"/>
        </w:rPr>
        <w:t>Meet/exceed growth rate of gross profit of certain competitors</w:t>
      </w:r>
    </w:p>
    <w:p>
      <w:pPr>
        <w:spacing w:after="0" w:line="117" w:lineRule="exact"/>
        <w:rPr>
          <w:rFonts w:ascii="Arial" w:cs="Arial" w:eastAsia="Arial" w:hAnsi="Arial"/>
          <w:sz w:val="18"/>
          <w:szCs w:val="18"/>
          <w:color w:val="5D89B4"/>
        </w:rPr>
      </w:pPr>
    </w:p>
    <w:p>
      <w:pPr>
        <w:ind w:left="440" w:hanging="324"/>
        <w:spacing w:after="0"/>
        <w:tabs>
          <w:tab w:leader="none" w:pos="440" w:val="left"/>
        </w:tabs>
        <w:numPr>
          <w:ilvl w:val="0"/>
          <w:numId w:val="51"/>
        </w:numPr>
        <w:rPr>
          <w:rFonts w:ascii="Arial" w:cs="Arial" w:eastAsia="Arial" w:hAnsi="Arial"/>
          <w:sz w:val="18"/>
          <w:szCs w:val="18"/>
          <w:color w:val="5D89B4"/>
        </w:rPr>
      </w:pPr>
      <w:r>
        <w:rPr>
          <w:rFonts w:ascii="Arial" w:cs="Arial" w:eastAsia="Arial" w:hAnsi="Arial"/>
          <w:sz w:val="18"/>
          <w:szCs w:val="18"/>
          <w:color w:val="auto"/>
        </w:rPr>
        <w:t>Develop diverse leadership that strengthens our capabilities</w:t>
      </w:r>
    </w:p>
    <w:p>
      <w:pPr>
        <w:spacing w:after="0" w:line="117" w:lineRule="exact"/>
        <w:rPr>
          <w:rFonts w:ascii="Arial" w:cs="Arial" w:eastAsia="Arial" w:hAnsi="Arial"/>
          <w:sz w:val="18"/>
          <w:szCs w:val="18"/>
          <w:color w:val="5D89B4"/>
        </w:rPr>
      </w:pPr>
    </w:p>
    <w:p>
      <w:pPr>
        <w:ind w:left="440" w:hanging="324"/>
        <w:spacing w:after="0"/>
        <w:tabs>
          <w:tab w:leader="none" w:pos="440" w:val="left"/>
        </w:tabs>
        <w:numPr>
          <w:ilvl w:val="0"/>
          <w:numId w:val="51"/>
        </w:numPr>
        <w:rPr>
          <w:rFonts w:ascii="Arial" w:cs="Arial" w:eastAsia="Arial" w:hAnsi="Arial"/>
          <w:sz w:val="18"/>
          <w:szCs w:val="18"/>
          <w:color w:val="5D89B4"/>
        </w:rPr>
      </w:pPr>
      <w:r>
        <w:rPr>
          <w:rFonts w:ascii="Arial" w:cs="Arial" w:eastAsia="Arial" w:hAnsi="Arial"/>
          <w:sz w:val="18"/>
          <w:szCs w:val="18"/>
          <w:color w:val="auto"/>
        </w:rPr>
        <w:t>Accelerate Manpower performance in temporary assignments and permanent recruitment globally</w:t>
      </w:r>
    </w:p>
    <w:p>
      <w:pPr>
        <w:spacing w:after="0" w:line="117" w:lineRule="exact"/>
        <w:rPr>
          <w:rFonts w:ascii="Arial" w:cs="Arial" w:eastAsia="Arial" w:hAnsi="Arial"/>
          <w:sz w:val="18"/>
          <w:szCs w:val="18"/>
          <w:color w:val="5D89B4"/>
        </w:rPr>
      </w:pPr>
    </w:p>
    <w:p>
      <w:pPr>
        <w:ind w:left="440" w:hanging="324"/>
        <w:spacing w:after="0"/>
        <w:tabs>
          <w:tab w:leader="none" w:pos="440" w:val="left"/>
        </w:tabs>
        <w:numPr>
          <w:ilvl w:val="0"/>
          <w:numId w:val="51"/>
        </w:numPr>
        <w:rPr>
          <w:rFonts w:ascii="Arial" w:cs="Arial" w:eastAsia="Arial" w:hAnsi="Arial"/>
          <w:sz w:val="18"/>
          <w:szCs w:val="18"/>
          <w:color w:val="5D89B4"/>
        </w:rPr>
      </w:pPr>
      <w:r>
        <w:rPr>
          <w:rFonts w:ascii="Arial" w:cs="Arial" w:eastAsia="Arial" w:hAnsi="Arial"/>
          <w:sz w:val="18"/>
          <w:szCs w:val="18"/>
          <w:color w:val="auto"/>
        </w:rPr>
        <w:t>Provide operational and strategic insight that aligns with, and supports, the CEO’s objectives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Committee determined that Mr. Green earned a cash incentive award for 2016 between target and outstanding for EPS and ROIC. The Committee also approved an incentive award to Mr. Green based on its determination of the level of performance towards achievement of his various operating objectives. Based on these accomplishments, the Committee determined to pay the 2016 award to Mr. Green as follows:</w:t>
      </w:r>
    </w:p>
    <w:p>
      <w:pPr>
        <w:spacing w:after="0" w:line="89" w:lineRule="exact"/>
        <w:rPr>
          <w:sz w:val="20"/>
          <w:szCs w:val="20"/>
          <w:color w:val="auto"/>
        </w:rPr>
      </w:pPr>
    </w:p>
    <w:tbl>
      <w:tblPr>
        <w:tblLayout w:type="fixed"/>
        <w:tblInd w:w="920" w:type="dxa"/>
        <w:tblCellMar>
          <w:top w:w="0" w:type="dxa"/>
          <w:left w:w="0" w:type="dxa"/>
          <w:bottom w:w="0" w:type="dxa"/>
          <w:right w:w="0" w:type="dxa"/>
        </w:tblCellMar>
      </w:tblPr>
      <w:tr>
        <w:trPr>
          <w:trHeight w:val="270"/>
        </w:trPr>
        <w:tc>
          <w:tcPr>
            <w:tcW w:w="6080" w:type="dxa"/>
            <w:vAlign w:val="bottom"/>
            <w:tcBorders>
              <w:top w:val="single" w:sz="8" w:color="auto"/>
              <w:bottom w:val="single" w:sz="8" w:color="auto"/>
            </w:tcBorders>
            <w:shd w:val="clear" w:color="auto" w:fill="9DB8D2"/>
          </w:tcPr>
          <w:p>
            <w:pPr>
              <w:spacing w:after="0"/>
              <w:rPr>
                <w:sz w:val="23"/>
                <w:szCs w:val="23"/>
                <w:color w:val="auto"/>
              </w:rPr>
            </w:pPr>
          </w:p>
        </w:tc>
        <w:tc>
          <w:tcPr>
            <w:tcW w:w="2040" w:type="dxa"/>
            <w:vAlign w:val="bottom"/>
            <w:tcBorders>
              <w:top w:val="single" w:sz="8" w:color="auto"/>
              <w:bottom w:val="single" w:sz="8" w:color="auto"/>
            </w:tcBorders>
            <w:shd w:val="clear" w:color="auto" w:fill="9DB8D2"/>
          </w:tcPr>
          <w:p>
            <w:pPr>
              <w:ind w:left="800"/>
              <w:spacing w:after="0"/>
              <w:rPr>
                <w:sz w:val="20"/>
                <w:szCs w:val="20"/>
                <w:color w:val="auto"/>
              </w:rPr>
            </w:pPr>
            <w:r>
              <w:rPr>
                <w:rFonts w:ascii="Arial" w:cs="Arial" w:eastAsia="Arial" w:hAnsi="Arial"/>
                <w:sz w:val="14"/>
                <w:szCs w:val="14"/>
                <w:b w:val="1"/>
                <w:bCs w:val="1"/>
                <w:color w:val="auto"/>
              </w:rPr>
              <w:t>Target Award</w:t>
            </w:r>
          </w:p>
        </w:tc>
        <w:tc>
          <w:tcPr>
            <w:tcW w:w="1460" w:type="dxa"/>
            <w:vAlign w:val="bottom"/>
            <w:tcBorders>
              <w:top w:val="single" w:sz="8" w:color="auto"/>
              <w:bottom w:val="single" w:sz="8" w:color="auto"/>
            </w:tcBorders>
            <w:shd w:val="clear" w:color="auto" w:fill="9DB8D2"/>
          </w:tcPr>
          <w:p>
            <w:pPr>
              <w:ind w:left="360"/>
              <w:spacing w:after="0"/>
              <w:rPr>
                <w:sz w:val="20"/>
                <w:szCs w:val="20"/>
                <w:color w:val="auto"/>
              </w:rPr>
            </w:pPr>
            <w:r>
              <w:rPr>
                <w:rFonts w:ascii="Arial" w:cs="Arial" w:eastAsia="Arial" w:hAnsi="Arial"/>
                <w:sz w:val="14"/>
                <w:szCs w:val="14"/>
                <w:b w:val="1"/>
                <w:bCs w:val="1"/>
                <w:color w:val="auto"/>
              </w:rPr>
              <w:t>Actual Award</w:t>
            </w:r>
          </w:p>
        </w:tc>
      </w:tr>
      <w:tr>
        <w:trPr>
          <w:trHeight w:val="183"/>
        </w:trPr>
        <w:tc>
          <w:tcPr>
            <w:tcW w:w="6080" w:type="dxa"/>
            <w:vAlign w:val="bottom"/>
            <w:tcBorders>
              <w:bottom w:val="single" w:sz="8" w:color="auto"/>
            </w:tcBorders>
            <w:shd w:val="clear" w:color="auto" w:fill="E6EDF3"/>
          </w:tcPr>
          <w:p>
            <w:pPr>
              <w:ind w:left="80"/>
              <w:spacing w:after="0" w:line="183" w:lineRule="exact"/>
              <w:rPr>
                <w:sz w:val="20"/>
                <w:szCs w:val="20"/>
                <w:color w:val="auto"/>
              </w:rPr>
            </w:pPr>
            <w:r>
              <w:rPr>
                <w:rFonts w:ascii="Arial" w:cs="Arial" w:eastAsia="Arial" w:hAnsi="Arial"/>
                <w:sz w:val="16"/>
                <w:szCs w:val="16"/>
                <w:color w:val="auto"/>
              </w:rPr>
              <w:t>COO</w:t>
            </w:r>
          </w:p>
        </w:tc>
        <w:tc>
          <w:tcPr>
            <w:tcW w:w="2040" w:type="dxa"/>
            <w:vAlign w:val="bottom"/>
            <w:tcBorders>
              <w:bottom w:val="single" w:sz="8" w:color="auto"/>
            </w:tcBorders>
            <w:shd w:val="clear" w:color="auto" w:fill="E6EDF3"/>
          </w:tcPr>
          <w:p>
            <w:pPr>
              <w:ind w:left="800"/>
              <w:spacing w:after="0" w:line="183" w:lineRule="exact"/>
              <w:rPr>
                <w:sz w:val="20"/>
                <w:szCs w:val="20"/>
                <w:color w:val="auto"/>
              </w:rPr>
            </w:pPr>
            <w:r>
              <w:rPr>
                <w:rFonts w:ascii="Arial" w:cs="Arial" w:eastAsia="Arial" w:hAnsi="Arial"/>
                <w:sz w:val="16"/>
                <w:szCs w:val="16"/>
                <w:color w:val="auto"/>
              </w:rPr>
              <w:t>$   800,000</w:t>
            </w:r>
          </w:p>
        </w:tc>
        <w:tc>
          <w:tcPr>
            <w:tcW w:w="1460" w:type="dxa"/>
            <w:vAlign w:val="bottom"/>
            <w:tcBorders>
              <w:bottom w:val="single" w:sz="8" w:color="auto"/>
            </w:tcBorders>
            <w:shd w:val="clear" w:color="auto" w:fill="E6EDF3"/>
          </w:tcPr>
          <w:p>
            <w:pPr>
              <w:ind w:left="360"/>
              <w:spacing w:after="0" w:line="183" w:lineRule="exact"/>
              <w:rPr>
                <w:sz w:val="20"/>
                <w:szCs w:val="20"/>
                <w:color w:val="auto"/>
              </w:rPr>
            </w:pPr>
            <w:r>
              <w:rPr>
                <w:rFonts w:ascii="Arial" w:cs="Arial" w:eastAsia="Arial" w:hAnsi="Arial"/>
                <w:sz w:val="16"/>
                <w:szCs w:val="16"/>
                <w:color w:val="auto"/>
              </w:rPr>
              <w:t>$   990,240</w:t>
            </w:r>
          </w:p>
        </w:tc>
      </w:tr>
    </w:tbl>
    <w:p>
      <w:pPr>
        <w:spacing w:after="0" w:line="126" w:lineRule="exact"/>
        <w:rPr>
          <w:sz w:val="20"/>
          <w:szCs w:val="20"/>
          <w:color w:val="auto"/>
        </w:rPr>
      </w:pPr>
    </w:p>
    <w:p>
      <w:pPr>
        <w:ind w:left="3300"/>
        <w:spacing w:after="0"/>
        <w:rPr>
          <w:sz w:val="20"/>
          <w:szCs w:val="20"/>
          <w:color w:val="auto"/>
        </w:rPr>
      </w:pPr>
      <w:r>
        <w:rPr>
          <w:rFonts w:ascii="Arial" w:cs="Arial" w:eastAsia="Arial" w:hAnsi="Arial"/>
          <w:sz w:val="18"/>
          <w:szCs w:val="18"/>
          <w:b w:val="1"/>
          <w:bCs w:val="1"/>
          <w:i w:val="1"/>
          <w:iCs w:val="1"/>
          <w:color w:val="5D89B4"/>
        </w:rPr>
        <w:t xml:space="preserve">Ram Chandrashekar </w:t>
      </w:r>
      <w:r>
        <w:rPr>
          <w:rFonts w:ascii="Arial" w:cs="Arial" w:eastAsia="Arial" w:hAnsi="Arial"/>
          <w:sz w:val="18"/>
          <w:szCs w:val="18"/>
          <w:color w:val="5D89B4"/>
        </w:rPr>
        <w:t>—</w:t>
      </w:r>
      <w:r>
        <w:rPr>
          <w:rFonts w:ascii="Arial" w:cs="Arial" w:eastAsia="Arial" w:hAnsi="Arial"/>
          <w:sz w:val="18"/>
          <w:szCs w:val="18"/>
          <w:b w:val="1"/>
          <w:bCs w:val="1"/>
          <w:i w:val="1"/>
          <w:iCs w:val="1"/>
          <w:color w:val="5D89B4"/>
        </w:rPr>
        <w:t xml:space="preserve"> Annual Incentive Award Opportunities</w:t>
      </w:r>
    </w:p>
    <w:p>
      <w:pPr>
        <w:spacing w:after="0" w:line="126"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The Committee determined that EPS, ROIC and AOUP were the appropriate performance metrics for Mr. Chandrashekar, Executive Vice President, Operational Excellence and IT, and President, Asia Pacific Middle East.</w:t>
      </w:r>
    </w:p>
    <w:p>
      <w:pPr>
        <w:spacing w:after="0" w:line="89"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The following chart shows the Committee’s determination of award opportunities for the annual incentive payable to Mr. Chandrashekar for 2016, as a percentage of his 2016 base salary of $568,035:</w:t>
      </w:r>
    </w:p>
    <w:p>
      <w:pPr>
        <w:spacing w:after="0" w:line="83" w:lineRule="exact"/>
        <w:rPr>
          <w:sz w:val="20"/>
          <w:szCs w:val="20"/>
          <w:color w:val="auto"/>
        </w:rPr>
      </w:pPr>
    </w:p>
    <w:tbl>
      <w:tblPr>
        <w:tblLayout w:type="fixed"/>
        <w:tblInd w:w="920" w:type="dxa"/>
        <w:tblCellMar>
          <w:top w:w="0" w:type="dxa"/>
          <w:left w:w="0" w:type="dxa"/>
          <w:bottom w:w="0" w:type="dxa"/>
          <w:right w:w="0" w:type="dxa"/>
        </w:tblCellMar>
      </w:tblPr>
      <w:tr>
        <w:trPr>
          <w:trHeight w:val="270"/>
        </w:trPr>
        <w:tc>
          <w:tcPr>
            <w:tcW w:w="5100" w:type="dxa"/>
            <w:vAlign w:val="bottom"/>
            <w:tcBorders>
              <w:top w:val="single" w:sz="8" w:color="auto"/>
              <w:bottom w:val="single" w:sz="8" w:color="auto"/>
            </w:tcBorders>
            <w:shd w:val="clear" w:color="auto" w:fill="9DB8D2"/>
          </w:tcPr>
          <w:p>
            <w:pPr>
              <w:spacing w:after="0"/>
              <w:rPr>
                <w:sz w:val="23"/>
                <w:szCs w:val="23"/>
                <w:color w:val="auto"/>
              </w:rPr>
            </w:pPr>
          </w:p>
        </w:tc>
        <w:tc>
          <w:tcPr>
            <w:tcW w:w="1940" w:type="dxa"/>
            <w:vAlign w:val="bottom"/>
            <w:tcBorders>
              <w:top w:val="single" w:sz="8" w:color="auto"/>
              <w:bottom w:val="single" w:sz="8" w:color="auto"/>
            </w:tcBorders>
            <w:shd w:val="clear" w:color="auto" w:fill="9DB8D2"/>
          </w:tcPr>
          <w:p>
            <w:pPr>
              <w:jc w:val="right"/>
              <w:ind w:right="440"/>
              <w:spacing w:after="0"/>
              <w:rPr>
                <w:sz w:val="20"/>
                <w:szCs w:val="20"/>
                <w:color w:val="auto"/>
              </w:rPr>
            </w:pPr>
            <w:r>
              <w:rPr>
                <w:rFonts w:ascii="Arial" w:cs="Arial" w:eastAsia="Arial" w:hAnsi="Arial"/>
                <w:sz w:val="14"/>
                <w:szCs w:val="14"/>
                <w:b w:val="1"/>
                <w:bCs w:val="1"/>
                <w:color w:val="auto"/>
              </w:rPr>
              <w:t>Threshold</w:t>
            </w:r>
          </w:p>
        </w:tc>
        <w:tc>
          <w:tcPr>
            <w:tcW w:w="1220" w:type="dxa"/>
            <w:vAlign w:val="bottom"/>
            <w:tcBorders>
              <w:top w:val="single" w:sz="8" w:color="auto"/>
              <w:bottom w:val="single" w:sz="8" w:color="auto"/>
            </w:tcBorders>
            <w:shd w:val="clear" w:color="auto" w:fill="9DB8D2"/>
          </w:tcPr>
          <w:p>
            <w:pPr>
              <w:jc w:val="right"/>
              <w:ind w:right="360"/>
              <w:spacing w:after="0"/>
              <w:rPr>
                <w:sz w:val="20"/>
                <w:szCs w:val="20"/>
                <w:color w:val="auto"/>
              </w:rPr>
            </w:pPr>
            <w:r>
              <w:rPr>
                <w:rFonts w:ascii="Arial" w:cs="Arial" w:eastAsia="Arial" w:hAnsi="Arial"/>
                <w:sz w:val="14"/>
                <w:szCs w:val="14"/>
                <w:b w:val="1"/>
                <w:bCs w:val="1"/>
                <w:color w:val="auto"/>
              </w:rPr>
              <w:t>Target</w:t>
            </w:r>
          </w:p>
        </w:tc>
        <w:tc>
          <w:tcPr>
            <w:tcW w:w="1320" w:type="dxa"/>
            <w:vAlign w:val="bottom"/>
            <w:tcBorders>
              <w:top w:val="single" w:sz="8" w:color="auto"/>
              <w:bottom w:val="single" w:sz="8" w:color="auto"/>
            </w:tcBorders>
            <w:shd w:val="clear" w:color="auto" w:fill="9DB8D2"/>
          </w:tcPr>
          <w:p>
            <w:pPr>
              <w:jc w:val="right"/>
              <w:ind w:right="120"/>
              <w:spacing w:after="0"/>
              <w:rPr>
                <w:sz w:val="20"/>
                <w:szCs w:val="20"/>
                <w:color w:val="auto"/>
              </w:rPr>
            </w:pPr>
            <w:r>
              <w:rPr>
                <w:rFonts w:ascii="Arial" w:cs="Arial" w:eastAsia="Arial" w:hAnsi="Arial"/>
                <w:sz w:val="14"/>
                <w:szCs w:val="14"/>
                <w:b w:val="1"/>
                <w:bCs w:val="1"/>
                <w:color w:val="auto"/>
              </w:rPr>
              <w:t>Outstanding</w:t>
            </w:r>
          </w:p>
        </w:tc>
      </w:tr>
      <w:tr>
        <w:trPr>
          <w:trHeight w:val="183"/>
        </w:trPr>
        <w:tc>
          <w:tcPr>
            <w:tcW w:w="510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AOUP goal (weighted 40%)</w:t>
            </w:r>
          </w:p>
        </w:tc>
        <w:tc>
          <w:tcPr>
            <w:tcW w:w="1940" w:type="dxa"/>
            <w:vAlign w:val="bottom"/>
            <w:shd w:val="clear" w:color="auto" w:fill="E6EDF3"/>
          </w:tcPr>
          <w:p>
            <w:pPr>
              <w:jc w:val="right"/>
              <w:ind w:right="280"/>
              <w:spacing w:after="0" w:line="183" w:lineRule="exact"/>
              <w:rPr>
                <w:sz w:val="20"/>
                <w:szCs w:val="20"/>
                <w:color w:val="auto"/>
              </w:rPr>
            </w:pPr>
            <w:r>
              <w:rPr>
                <w:rFonts w:ascii="Arial" w:cs="Arial" w:eastAsia="Arial" w:hAnsi="Arial"/>
                <w:sz w:val="16"/>
                <w:szCs w:val="16"/>
                <w:color w:val="auto"/>
              </w:rPr>
              <w:t>10.00%</w:t>
            </w:r>
          </w:p>
        </w:tc>
        <w:tc>
          <w:tcPr>
            <w:tcW w:w="1220" w:type="dxa"/>
            <w:vAlign w:val="bottom"/>
            <w:shd w:val="clear" w:color="auto" w:fill="E6EDF3"/>
          </w:tcPr>
          <w:p>
            <w:pPr>
              <w:jc w:val="right"/>
              <w:ind w:right="200"/>
              <w:spacing w:after="0" w:line="183" w:lineRule="exact"/>
              <w:rPr>
                <w:sz w:val="20"/>
                <w:szCs w:val="20"/>
                <w:color w:val="auto"/>
              </w:rPr>
            </w:pPr>
            <w:r>
              <w:rPr>
                <w:rFonts w:ascii="Arial" w:cs="Arial" w:eastAsia="Arial" w:hAnsi="Arial"/>
                <w:sz w:val="16"/>
                <w:szCs w:val="16"/>
                <w:color w:val="auto"/>
              </w:rPr>
              <w:t>30.00%</w:t>
            </w:r>
          </w:p>
        </w:tc>
        <w:tc>
          <w:tcPr>
            <w:tcW w:w="1320" w:type="dxa"/>
            <w:vAlign w:val="bottom"/>
            <w:shd w:val="clear" w:color="auto" w:fill="E6EDF3"/>
          </w:tcPr>
          <w:p>
            <w:pPr>
              <w:jc w:val="right"/>
              <w:spacing w:after="0" w:line="183" w:lineRule="exact"/>
              <w:rPr>
                <w:sz w:val="20"/>
                <w:szCs w:val="20"/>
                <w:color w:val="auto"/>
              </w:rPr>
            </w:pPr>
            <w:r>
              <w:rPr>
                <w:rFonts w:ascii="Arial" w:cs="Arial" w:eastAsia="Arial" w:hAnsi="Arial"/>
                <w:sz w:val="16"/>
                <w:szCs w:val="16"/>
                <w:color w:val="auto"/>
              </w:rPr>
              <w:t>60.00%</w:t>
            </w:r>
          </w:p>
        </w:tc>
      </w:tr>
      <w:tr>
        <w:trPr>
          <w:trHeight w:val="189"/>
        </w:trPr>
        <w:tc>
          <w:tcPr>
            <w:tcW w:w="5100" w:type="dxa"/>
            <w:vAlign w:val="bottom"/>
          </w:tcPr>
          <w:p>
            <w:pPr>
              <w:ind w:left="80"/>
              <w:spacing w:after="0"/>
              <w:rPr>
                <w:sz w:val="20"/>
                <w:szCs w:val="20"/>
                <w:color w:val="auto"/>
              </w:rPr>
            </w:pPr>
            <w:r>
              <w:rPr>
                <w:rFonts w:ascii="Arial" w:cs="Arial" w:eastAsia="Arial" w:hAnsi="Arial"/>
                <w:sz w:val="16"/>
                <w:szCs w:val="16"/>
                <w:color w:val="auto"/>
              </w:rPr>
              <w:t>EPS goal (weighted 20%)</w:t>
            </w:r>
          </w:p>
        </w:tc>
        <w:tc>
          <w:tcPr>
            <w:tcW w:w="1940" w:type="dxa"/>
            <w:vAlign w:val="bottom"/>
          </w:tcPr>
          <w:p>
            <w:pPr>
              <w:jc w:val="right"/>
              <w:ind w:right="280"/>
              <w:spacing w:after="0"/>
              <w:rPr>
                <w:sz w:val="20"/>
                <w:szCs w:val="20"/>
                <w:color w:val="auto"/>
              </w:rPr>
            </w:pPr>
            <w:r>
              <w:rPr>
                <w:rFonts w:ascii="Arial" w:cs="Arial" w:eastAsia="Arial" w:hAnsi="Arial"/>
                <w:sz w:val="16"/>
                <w:szCs w:val="16"/>
                <w:color w:val="auto"/>
              </w:rPr>
              <w:t>5.00%</w:t>
            </w:r>
          </w:p>
        </w:tc>
        <w:tc>
          <w:tcPr>
            <w:tcW w:w="1220" w:type="dxa"/>
            <w:vAlign w:val="bottom"/>
          </w:tcPr>
          <w:p>
            <w:pPr>
              <w:jc w:val="right"/>
              <w:ind w:right="200"/>
              <w:spacing w:after="0"/>
              <w:rPr>
                <w:sz w:val="20"/>
                <w:szCs w:val="20"/>
                <w:color w:val="auto"/>
              </w:rPr>
            </w:pPr>
            <w:r>
              <w:rPr>
                <w:rFonts w:ascii="Arial" w:cs="Arial" w:eastAsia="Arial" w:hAnsi="Arial"/>
                <w:sz w:val="16"/>
                <w:szCs w:val="16"/>
                <w:color w:val="auto"/>
              </w:rPr>
              <w:t>15.00%</w:t>
            </w:r>
          </w:p>
        </w:tc>
        <w:tc>
          <w:tcPr>
            <w:tcW w:w="1320" w:type="dxa"/>
            <w:vAlign w:val="bottom"/>
          </w:tcPr>
          <w:p>
            <w:pPr>
              <w:jc w:val="right"/>
              <w:spacing w:after="0"/>
              <w:rPr>
                <w:sz w:val="20"/>
                <w:szCs w:val="20"/>
                <w:color w:val="auto"/>
              </w:rPr>
            </w:pPr>
            <w:r>
              <w:rPr>
                <w:rFonts w:ascii="Arial" w:cs="Arial" w:eastAsia="Arial" w:hAnsi="Arial"/>
                <w:sz w:val="16"/>
                <w:szCs w:val="16"/>
                <w:color w:val="auto"/>
              </w:rPr>
              <w:t>30.00%</w:t>
            </w:r>
          </w:p>
        </w:tc>
      </w:tr>
      <w:tr>
        <w:trPr>
          <w:trHeight w:val="189"/>
        </w:trPr>
        <w:tc>
          <w:tcPr>
            <w:tcW w:w="5100" w:type="dxa"/>
            <w:vAlign w:val="bottom"/>
            <w:shd w:val="clear" w:color="auto" w:fill="E6EDF3"/>
          </w:tcPr>
          <w:p>
            <w:pPr>
              <w:ind w:left="80"/>
              <w:spacing w:after="0"/>
              <w:rPr>
                <w:sz w:val="20"/>
                <w:szCs w:val="20"/>
                <w:color w:val="auto"/>
              </w:rPr>
            </w:pPr>
            <w:r>
              <w:rPr>
                <w:rFonts w:ascii="Arial" w:cs="Arial" w:eastAsia="Arial" w:hAnsi="Arial"/>
                <w:sz w:val="16"/>
                <w:szCs w:val="16"/>
                <w:color w:val="auto"/>
              </w:rPr>
              <w:t>ROIC goal (weighted 20%)</w:t>
            </w:r>
          </w:p>
        </w:tc>
        <w:tc>
          <w:tcPr>
            <w:tcW w:w="1940" w:type="dxa"/>
            <w:vAlign w:val="bottom"/>
            <w:shd w:val="clear" w:color="auto" w:fill="E6EDF3"/>
          </w:tcPr>
          <w:p>
            <w:pPr>
              <w:jc w:val="right"/>
              <w:ind w:right="280"/>
              <w:spacing w:after="0"/>
              <w:rPr>
                <w:sz w:val="20"/>
                <w:szCs w:val="20"/>
                <w:color w:val="auto"/>
              </w:rPr>
            </w:pPr>
            <w:r>
              <w:rPr>
                <w:rFonts w:ascii="Arial" w:cs="Arial" w:eastAsia="Arial" w:hAnsi="Arial"/>
                <w:sz w:val="16"/>
                <w:szCs w:val="16"/>
                <w:color w:val="auto"/>
              </w:rPr>
              <w:t>5.00%</w:t>
            </w:r>
          </w:p>
        </w:tc>
        <w:tc>
          <w:tcPr>
            <w:tcW w:w="1220" w:type="dxa"/>
            <w:vAlign w:val="bottom"/>
            <w:shd w:val="clear" w:color="auto" w:fill="E6EDF3"/>
          </w:tcPr>
          <w:p>
            <w:pPr>
              <w:jc w:val="right"/>
              <w:ind w:right="200"/>
              <w:spacing w:after="0"/>
              <w:rPr>
                <w:sz w:val="20"/>
                <w:szCs w:val="20"/>
                <w:color w:val="auto"/>
              </w:rPr>
            </w:pPr>
            <w:r>
              <w:rPr>
                <w:rFonts w:ascii="Arial" w:cs="Arial" w:eastAsia="Arial" w:hAnsi="Arial"/>
                <w:sz w:val="16"/>
                <w:szCs w:val="16"/>
                <w:color w:val="auto"/>
              </w:rPr>
              <w:t>15.00%</w:t>
            </w:r>
          </w:p>
        </w:tc>
        <w:tc>
          <w:tcPr>
            <w:tcW w:w="13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30.00%</w:t>
            </w:r>
          </w:p>
        </w:tc>
      </w:tr>
      <w:tr>
        <w:trPr>
          <w:trHeight w:val="189"/>
        </w:trPr>
        <w:tc>
          <w:tcPr>
            <w:tcW w:w="5100" w:type="dxa"/>
            <w:vAlign w:val="bottom"/>
          </w:tcPr>
          <w:p>
            <w:pPr>
              <w:ind w:left="80"/>
              <w:spacing w:after="0"/>
              <w:rPr>
                <w:sz w:val="20"/>
                <w:szCs w:val="20"/>
                <w:color w:val="auto"/>
              </w:rPr>
            </w:pPr>
            <w:r>
              <w:rPr>
                <w:rFonts w:ascii="Arial" w:cs="Arial" w:eastAsia="Arial" w:hAnsi="Arial"/>
                <w:sz w:val="16"/>
                <w:szCs w:val="16"/>
                <w:color w:val="auto"/>
              </w:rPr>
              <w:t>Operating Objectives (weighted 20%)</w:t>
            </w:r>
          </w:p>
        </w:tc>
        <w:tc>
          <w:tcPr>
            <w:tcW w:w="1940" w:type="dxa"/>
            <w:vAlign w:val="bottom"/>
          </w:tcPr>
          <w:p>
            <w:pPr>
              <w:jc w:val="right"/>
              <w:ind w:right="280"/>
              <w:spacing w:after="0"/>
              <w:rPr>
                <w:sz w:val="20"/>
                <w:szCs w:val="20"/>
                <w:color w:val="auto"/>
              </w:rPr>
            </w:pPr>
            <w:r>
              <w:rPr>
                <w:rFonts w:ascii="Arial" w:cs="Arial" w:eastAsia="Arial" w:hAnsi="Arial"/>
                <w:sz w:val="16"/>
                <w:szCs w:val="16"/>
                <w:color w:val="auto"/>
              </w:rPr>
              <w:t>5.00%</w:t>
            </w:r>
          </w:p>
        </w:tc>
        <w:tc>
          <w:tcPr>
            <w:tcW w:w="1220" w:type="dxa"/>
            <w:vAlign w:val="bottom"/>
          </w:tcPr>
          <w:p>
            <w:pPr>
              <w:jc w:val="right"/>
              <w:ind w:right="200"/>
              <w:spacing w:after="0"/>
              <w:rPr>
                <w:sz w:val="20"/>
                <w:szCs w:val="20"/>
                <w:color w:val="auto"/>
              </w:rPr>
            </w:pPr>
            <w:r>
              <w:rPr>
                <w:rFonts w:ascii="Arial" w:cs="Arial" w:eastAsia="Arial" w:hAnsi="Arial"/>
                <w:sz w:val="16"/>
                <w:szCs w:val="16"/>
                <w:color w:val="auto"/>
              </w:rPr>
              <w:t>15.00%</w:t>
            </w:r>
          </w:p>
        </w:tc>
        <w:tc>
          <w:tcPr>
            <w:tcW w:w="1320" w:type="dxa"/>
            <w:vAlign w:val="bottom"/>
          </w:tcPr>
          <w:p>
            <w:pPr>
              <w:jc w:val="right"/>
              <w:spacing w:after="0"/>
              <w:rPr>
                <w:sz w:val="20"/>
                <w:szCs w:val="20"/>
                <w:color w:val="auto"/>
              </w:rPr>
            </w:pPr>
            <w:r>
              <w:rPr>
                <w:rFonts w:ascii="Arial" w:cs="Arial" w:eastAsia="Arial" w:hAnsi="Arial"/>
                <w:sz w:val="16"/>
                <w:szCs w:val="16"/>
                <w:color w:val="auto"/>
              </w:rPr>
              <w:t>30.00%</w:t>
            </w:r>
          </w:p>
        </w:tc>
      </w:tr>
      <w:tr>
        <w:trPr>
          <w:trHeight w:val="189"/>
        </w:trPr>
        <w:tc>
          <w:tcPr>
            <w:tcW w:w="5100" w:type="dxa"/>
            <w:vAlign w:val="bottom"/>
            <w:tcBorders>
              <w:bottom w:val="single" w:sz="8" w:color="auto"/>
            </w:tcBorders>
            <w:shd w:val="clear" w:color="auto" w:fill="E6EDF3"/>
          </w:tcPr>
          <w:p>
            <w:pPr>
              <w:ind w:left="80"/>
              <w:spacing w:after="0"/>
              <w:rPr>
                <w:sz w:val="20"/>
                <w:szCs w:val="20"/>
                <w:color w:val="auto"/>
              </w:rPr>
            </w:pPr>
            <w:r>
              <w:rPr>
                <w:rFonts w:ascii="Arial" w:cs="Arial" w:eastAsia="Arial" w:hAnsi="Arial"/>
                <w:sz w:val="16"/>
                <w:szCs w:val="16"/>
                <w:color w:val="auto"/>
              </w:rPr>
              <w:t>Total</w:t>
            </w:r>
          </w:p>
        </w:tc>
        <w:tc>
          <w:tcPr>
            <w:tcW w:w="1940" w:type="dxa"/>
            <w:vAlign w:val="bottom"/>
            <w:tcBorders>
              <w:bottom w:val="single" w:sz="8" w:color="auto"/>
            </w:tcBorders>
            <w:shd w:val="clear" w:color="auto" w:fill="E6EDF3"/>
          </w:tcPr>
          <w:p>
            <w:pPr>
              <w:jc w:val="right"/>
              <w:ind w:right="280"/>
              <w:spacing w:after="0"/>
              <w:rPr>
                <w:sz w:val="20"/>
                <w:szCs w:val="20"/>
                <w:color w:val="auto"/>
              </w:rPr>
            </w:pPr>
            <w:r>
              <w:rPr>
                <w:rFonts w:ascii="Arial" w:cs="Arial" w:eastAsia="Arial" w:hAnsi="Arial"/>
                <w:sz w:val="16"/>
                <w:szCs w:val="16"/>
                <w:color w:val="auto"/>
              </w:rPr>
              <w:t>25.0%</w:t>
            </w:r>
          </w:p>
        </w:tc>
        <w:tc>
          <w:tcPr>
            <w:tcW w:w="1220" w:type="dxa"/>
            <w:vAlign w:val="bottom"/>
            <w:tcBorders>
              <w:bottom w:val="single" w:sz="8" w:color="auto"/>
            </w:tcBorders>
            <w:shd w:val="clear" w:color="auto" w:fill="E6EDF3"/>
          </w:tcPr>
          <w:p>
            <w:pPr>
              <w:jc w:val="right"/>
              <w:ind w:right="200"/>
              <w:spacing w:after="0"/>
              <w:rPr>
                <w:sz w:val="20"/>
                <w:szCs w:val="20"/>
                <w:color w:val="auto"/>
              </w:rPr>
            </w:pPr>
            <w:r>
              <w:rPr>
                <w:rFonts w:ascii="Arial" w:cs="Arial" w:eastAsia="Arial" w:hAnsi="Arial"/>
                <w:sz w:val="16"/>
                <w:szCs w:val="16"/>
                <w:color w:val="auto"/>
              </w:rPr>
              <w:t>75.0%</w:t>
            </w:r>
          </w:p>
        </w:tc>
        <w:tc>
          <w:tcPr>
            <w:tcW w:w="132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150.0%</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operating objectives for Mr. Chandrashekar for 2016 are as follows:</w:t>
      </w:r>
    </w:p>
    <w:p>
      <w:pPr>
        <w:spacing w:after="0" w:line="117" w:lineRule="exact"/>
        <w:rPr>
          <w:sz w:val="20"/>
          <w:szCs w:val="20"/>
          <w:color w:val="auto"/>
        </w:rPr>
      </w:pPr>
    </w:p>
    <w:p>
      <w:pPr>
        <w:ind w:left="440" w:hanging="324"/>
        <w:spacing w:after="0"/>
        <w:tabs>
          <w:tab w:leader="none" w:pos="440" w:val="left"/>
        </w:tabs>
        <w:numPr>
          <w:ilvl w:val="0"/>
          <w:numId w:val="52"/>
        </w:numPr>
        <w:rPr>
          <w:rFonts w:ascii="Arial" w:cs="Arial" w:eastAsia="Arial" w:hAnsi="Arial"/>
          <w:sz w:val="18"/>
          <w:szCs w:val="18"/>
          <w:color w:val="5D89B4"/>
        </w:rPr>
      </w:pPr>
      <w:r>
        <w:rPr>
          <w:rFonts w:ascii="Arial" w:cs="Arial" w:eastAsia="Arial" w:hAnsi="Arial"/>
          <w:sz w:val="18"/>
          <w:szCs w:val="18"/>
          <w:color w:val="auto"/>
        </w:rPr>
        <w:t>Meet/exceed growth rate of gross profit of certain competitors</w:t>
      </w:r>
    </w:p>
    <w:p>
      <w:pPr>
        <w:spacing w:after="0" w:line="117" w:lineRule="exact"/>
        <w:rPr>
          <w:rFonts w:ascii="Arial" w:cs="Arial" w:eastAsia="Arial" w:hAnsi="Arial"/>
          <w:sz w:val="18"/>
          <w:szCs w:val="18"/>
          <w:color w:val="5D89B4"/>
        </w:rPr>
      </w:pPr>
    </w:p>
    <w:p>
      <w:pPr>
        <w:ind w:left="440" w:hanging="324"/>
        <w:spacing w:after="0"/>
        <w:tabs>
          <w:tab w:leader="none" w:pos="440" w:val="left"/>
        </w:tabs>
        <w:numPr>
          <w:ilvl w:val="0"/>
          <w:numId w:val="52"/>
        </w:numPr>
        <w:rPr>
          <w:rFonts w:ascii="Arial" w:cs="Arial" w:eastAsia="Arial" w:hAnsi="Arial"/>
          <w:sz w:val="18"/>
          <w:szCs w:val="18"/>
          <w:color w:val="5D89B4"/>
        </w:rPr>
      </w:pPr>
      <w:r>
        <w:rPr>
          <w:rFonts w:ascii="Arial" w:cs="Arial" w:eastAsia="Arial" w:hAnsi="Arial"/>
          <w:sz w:val="18"/>
          <w:szCs w:val="18"/>
          <w:color w:val="auto"/>
        </w:rPr>
        <w:t>Develop diverse leadership that strengthens our capabilities</w:t>
      </w:r>
    </w:p>
    <w:p>
      <w:pPr>
        <w:spacing w:after="0" w:line="117" w:lineRule="exact"/>
        <w:rPr>
          <w:rFonts w:ascii="Arial" w:cs="Arial" w:eastAsia="Arial" w:hAnsi="Arial"/>
          <w:sz w:val="18"/>
          <w:szCs w:val="18"/>
          <w:color w:val="5D89B4"/>
        </w:rPr>
      </w:pPr>
    </w:p>
    <w:p>
      <w:pPr>
        <w:ind w:left="440" w:hanging="324"/>
        <w:spacing w:after="0"/>
        <w:tabs>
          <w:tab w:leader="none" w:pos="440" w:val="left"/>
        </w:tabs>
        <w:numPr>
          <w:ilvl w:val="0"/>
          <w:numId w:val="52"/>
        </w:numPr>
        <w:rPr>
          <w:rFonts w:ascii="Arial" w:cs="Arial" w:eastAsia="Arial" w:hAnsi="Arial"/>
          <w:sz w:val="18"/>
          <w:szCs w:val="18"/>
          <w:color w:val="5D89B4"/>
        </w:rPr>
      </w:pPr>
      <w:r>
        <w:rPr>
          <w:rFonts w:ascii="Arial" w:cs="Arial" w:eastAsia="Arial" w:hAnsi="Arial"/>
          <w:sz w:val="18"/>
          <w:szCs w:val="18"/>
          <w:color w:val="auto"/>
        </w:rPr>
        <w:t>Drive continuing transformation of IT operating model and platform to enhance governance and accelerate business performance</w:t>
      </w:r>
    </w:p>
    <w:p>
      <w:pPr>
        <w:spacing w:after="0" w:line="117" w:lineRule="exact"/>
        <w:rPr>
          <w:rFonts w:ascii="Arial" w:cs="Arial" w:eastAsia="Arial" w:hAnsi="Arial"/>
          <w:sz w:val="18"/>
          <w:szCs w:val="18"/>
          <w:color w:val="5D89B4"/>
        </w:rPr>
      </w:pPr>
    </w:p>
    <w:p>
      <w:pPr>
        <w:ind w:left="440" w:right="160" w:hanging="324"/>
        <w:spacing w:after="0" w:line="246" w:lineRule="auto"/>
        <w:tabs>
          <w:tab w:leader="none" w:pos="440" w:val="left"/>
        </w:tabs>
        <w:numPr>
          <w:ilvl w:val="0"/>
          <w:numId w:val="52"/>
        </w:numPr>
        <w:rPr>
          <w:rFonts w:ascii="Arial" w:cs="Arial" w:eastAsia="Arial" w:hAnsi="Arial"/>
          <w:sz w:val="18"/>
          <w:szCs w:val="18"/>
          <w:color w:val="5D89B4"/>
        </w:rPr>
      </w:pPr>
      <w:r>
        <w:rPr>
          <w:rFonts w:ascii="Arial" w:cs="Arial" w:eastAsia="Arial" w:hAnsi="Arial"/>
          <w:sz w:val="18"/>
          <w:szCs w:val="18"/>
          <w:color w:val="auto"/>
        </w:rPr>
        <w:t>Define scope and desired outcome of digitization and related insights in conjunction with CEO to identify and explore to value creation opportunities</w:t>
      </w:r>
    </w:p>
    <w:p>
      <w:pPr>
        <w:spacing w:after="0" w:line="102" w:lineRule="exact"/>
        <w:rPr>
          <w:rFonts w:ascii="Arial" w:cs="Arial" w:eastAsia="Arial" w:hAnsi="Arial"/>
          <w:sz w:val="18"/>
          <w:szCs w:val="18"/>
          <w:color w:val="5D89B4"/>
        </w:rPr>
      </w:pPr>
    </w:p>
    <w:p>
      <w:pPr>
        <w:ind w:left="440" w:hanging="324"/>
        <w:spacing w:after="0"/>
        <w:tabs>
          <w:tab w:leader="none" w:pos="440" w:val="left"/>
        </w:tabs>
        <w:numPr>
          <w:ilvl w:val="0"/>
          <w:numId w:val="52"/>
        </w:numPr>
        <w:rPr>
          <w:rFonts w:ascii="Arial" w:cs="Arial" w:eastAsia="Arial" w:hAnsi="Arial"/>
          <w:sz w:val="18"/>
          <w:szCs w:val="18"/>
          <w:color w:val="5D89B4"/>
        </w:rPr>
      </w:pPr>
      <w:r>
        <w:rPr>
          <w:rFonts w:ascii="Arial" w:cs="Arial" w:eastAsia="Arial" w:hAnsi="Arial"/>
          <w:sz w:val="18"/>
          <w:szCs w:val="18"/>
          <w:color w:val="auto"/>
        </w:rPr>
        <w:t>Accelerate development of Experis, achieving operational and strategic plan objectives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44</w:t>
      </w:r>
    </w:p>
    <w:p>
      <w:pPr>
        <w:sectPr>
          <w:pgSz w:w="11900" w:h="16838" w:orient="portrait"/>
          <w:cols w:equalWidth="0" w:num="1">
            <w:col w:w="11240"/>
          </w:cols>
          <w:pgMar w:left="240" w:top="459" w:right="4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818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Committee determined that Mr. Chandrashekar earned a cash incentive award for 2016 between target and outstanding for both EPS and ROIC and did not earn a cash incentive for his AOUP financial goal as Asia Pacific’s AOUP for 2016 did not meet the threshold level. The Committee also approved an incentive award for Mr. Chandrashekar based on its determination of the level of performance towards achievement of his operating objectives. Based on these accomplishments, the Committee determined to pay the 2016 award to Mr. Chandrashekar as follows:</w:t>
      </w:r>
    </w:p>
    <w:p>
      <w:pPr>
        <w:spacing w:after="0" w:line="89" w:lineRule="exact"/>
        <w:rPr>
          <w:sz w:val="20"/>
          <w:szCs w:val="20"/>
          <w:color w:val="auto"/>
        </w:rPr>
      </w:pPr>
    </w:p>
    <w:tbl>
      <w:tblPr>
        <w:tblLayout w:type="fixed"/>
        <w:tblInd w:w="920" w:type="dxa"/>
        <w:tblCellMar>
          <w:top w:w="0" w:type="dxa"/>
          <w:left w:w="0" w:type="dxa"/>
          <w:bottom w:w="0" w:type="dxa"/>
          <w:right w:w="0" w:type="dxa"/>
        </w:tblCellMar>
      </w:tblPr>
      <w:tr>
        <w:trPr>
          <w:trHeight w:val="270"/>
        </w:trPr>
        <w:tc>
          <w:tcPr>
            <w:tcW w:w="5660" w:type="dxa"/>
            <w:vAlign w:val="bottom"/>
            <w:tcBorders>
              <w:top w:val="single" w:sz="8" w:color="auto"/>
              <w:bottom w:val="single" w:sz="8" w:color="auto"/>
            </w:tcBorders>
            <w:shd w:val="clear" w:color="auto" w:fill="9DB8D2"/>
          </w:tcPr>
          <w:p>
            <w:pPr>
              <w:spacing w:after="0"/>
              <w:rPr>
                <w:sz w:val="23"/>
                <w:szCs w:val="23"/>
                <w:color w:val="auto"/>
              </w:rPr>
            </w:pPr>
          </w:p>
        </w:tc>
        <w:tc>
          <w:tcPr>
            <w:tcW w:w="2240" w:type="dxa"/>
            <w:vAlign w:val="bottom"/>
            <w:tcBorders>
              <w:top w:val="single" w:sz="8" w:color="auto"/>
              <w:bottom w:val="single" w:sz="8" w:color="auto"/>
            </w:tcBorders>
            <w:gridSpan w:val="2"/>
            <w:shd w:val="clear" w:color="auto" w:fill="9DB8D2"/>
          </w:tcPr>
          <w:p>
            <w:pPr>
              <w:ind w:left="840"/>
              <w:spacing w:after="0"/>
              <w:rPr>
                <w:sz w:val="20"/>
                <w:szCs w:val="20"/>
                <w:color w:val="auto"/>
              </w:rPr>
            </w:pPr>
            <w:r>
              <w:rPr>
                <w:rFonts w:ascii="Arial" w:cs="Arial" w:eastAsia="Arial" w:hAnsi="Arial"/>
                <w:sz w:val="14"/>
                <w:szCs w:val="14"/>
                <w:b w:val="1"/>
                <w:bCs w:val="1"/>
                <w:color w:val="auto"/>
              </w:rPr>
              <w:t>Target Award(1)</w:t>
            </w:r>
          </w:p>
        </w:tc>
        <w:tc>
          <w:tcPr>
            <w:tcW w:w="1680" w:type="dxa"/>
            <w:vAlign w:val="bottom"/>
            <w:tcBorders>
              <w:top w:val="single" w:sz="8" w:color="auto"/>
              <w:bottom w:val="single" w:sz="8" w:color="auto"/>
            </w:tcBorders>
            <w:gridSpan w:val="2"/>
            <w:shd w:val="clear" w:color="auto" w:fill="9DB8D2"/>
          </w:tcPr>
          <w:p>
            <w:pPr>
              <w:ind w:left="340"/>
              <w:spacing w:after="0"/>
              <w:rPr>
                <w:sz w:val="20"/>
                <w:szCs w:val="20"/>
                <w:color w:val="auto"/>
              </w:rPr>
            </w:pPr>
            <w:r>
              <w:rPr>
                <w:rFonts w:ascii="Arial" w:cs="Arial" w:eastAsia="Arial" w:hAnsi="Arial"/>
                <w:sz w:val="14"/>
                <w:szCs w:val="14"/>
                <w:b w:val="1"/>
                <w:bCs w:val="1"/>
                <w:color w:val="auto"/>
              </w:rPr>
              <w:t>Actual Award(1)</w:t>
            </w:r>
          </w:p>
        </w:tc>
      </w:tr>
      <w:tr>
        <w:trPr>
          <w:trHeight w:val="183"/>
        </w:trPr>
        <w:tc>
          <w:tcPr>
            <w:tcW w:w="5660" w:type="dxa"/>
            <w:vAlign w:val="bottom"/>
            <w:tcBorders>
              <w:bottom w:val="single" w:sz="8" w:color="auto"/>
            </w:tcBorders>
            <w:shd w:val="clear" w:color="auto" w:fill="E6EDF3"/>
          </w:tcPr>
          <w:p>
            <w:pPr>
              <w:ind w:left="80"/>
              <w:spacing w:after="0" w:line="183" w:lineRule="exact"/>
              <w:rPr>
                <w:sz w:val="20"/>
                <w:szCs w:val="20"/>
                <w:color w:val="auto"/>
              </w:rPr>
            </w:pPr>
            <w:r>
              <w:rPr>
                <w:rFonts w:ascii="Arial" w:cs="Arial" w:eastAsia="Arial" w:hAnsi="Arial"/>
                <w:sz w:val="16"/>
                <w:szCs w:val="16"/>
                <w:color w:val="auto"/>
              </w:rPr>
              <w:t>EVP, Operational Excellence and IT, and President, Asia Pacific Middle East</w:t>
            </w:r>
          </w:p>
        </w:tc>
        <w:tc>
          <w:tcPr>
            <w:tcW w:w="1140" w:type="dxa"/>
            <w:vAlign w:val="bottom"/>
            <w:tcBorders>
              <w:bottom w:val="single" w:sz="8" w:color="auto"/>
            </w:tcBorders>
            <w:shd w:val="clear" w:color="auto" w:fill="E6EDF3"/>
          </w:tcPr>
          <w:p>
            <w:pPr>
              <w:ind w:left="840"/>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6EDF3"/>
          </w:tcPr>
          <w:p>
            <w:pPr>
              <w:jc w:val="right"/>
              <w:ind w:right="239"/>
              <w:spacing w:after="0" w:line="183" w:lineRule="exact"/>
              <w:rPr>
                <w:sz w:val="20"/>
                <w:szCs w:val="20"/>
                <w:color w:val="auto"/>
              </w:rPr>
            </w:pPr>
            <w:r>
              <w:rPr>
                <w:rFonts w:ascii="Arial" w:cs="Arial" w:eastAsia="Arial" w:hAnsi="Arial"/>
                <w:sz w:val="16"/>
                <w:szCs w:val="16"/>
                <w:color w:val="auto"/>
              </w:rPr>
              <w:t>426,025</w:t>
            </w:r>
          </w:p>
        </w:tc>
        <w:tc>
          <w:tcPr>
            <w:tcW w:w="640" w:type="dxa"/>
            <w:vAlign w:val="bottom"/>
            <w:tcBorders>
              <w:bottom w:val="single" w:sz="8" w:color="auto"/>
            </w:tcBorders>
            <w:shd w:val="clear" w:color="auto" w:fill="E6EDF3"/>
          </w:tcPr>
          <w:p>
            <w:pPr>
              <w:ind w:left="340"/>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E6EDF3"/>
          </w:tcPr>
          <w:p>
            <w:pPr>
              <w:jc w:val="right"/>
              <w:ind w:right="179"/>
              <w:spacing w:after="0" w:line="183" w:lineRule="exact"/>
              <w:rPr>
                <w:sz w:val="20"/>
                <w:szCs w:val="20"/>
                <w:color w:val="auto"/>
              </w:rPr>
            </w:pPr>
            <w:r>
              <w:rPr>
                <w:rFonts w:ascii="Arial" w:cs="Arial" w:eastAsia="Arial" w:hAnsi="Arial"/>
                <w:sz w:val="16"/>
                <w:szCs w:val="16"/>
                <w:color w:val="auto"/>
              </w:rPr>
              <w:t>370,188</w:t>
            </w:r>
          </w:p>
        </w:tc>
      </w:tr>
    </w:tbl>
    <w:p>
      <w:pPr>
        <w:spacing w:after="0" w:line="126" w:lineRule="exact"/>
        <w:rPr>
          <w:sz w:val="20"/>
          <w:szCs w:val="20"/>
          <w:color w:val="auto"/>
        </w:rPr>
      </w:pPr>
    </w:p>
    <w:p>
      <w:pPr>
        <w:ind w:left="1360" w:right="160" w:hanging="447"/>
        <w:spacing w:after="0" w:line="250" w:lineRule="auto"/>
        <w:tabs>
          <w:tab w:leader="none" w:pos="13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Mr. Chandrashekar’s target award and actual award received have been translated at an exchange rate of 0.789017 (in U.S. Dollars), which was the exchange rate on February 11, 2014, the date Mr. Chandrashekar was promoted to Executive Vice President, Operational Excellence and IT and President, Asia Pacific Middle East.</w:t>
      </w:r>
    </w:p>
    <w:p>
      <w:pPr>
        <w:spacing w:after="0" w:line="104" w:lineRule="exact"/>
        <w:rPr>
          <w:sz w:val="20"/>
          <w:szCs w:val="20"/>
          <w:color w:val="auto"/>
        </w:rPr>
      </w:pPr>
    </w:p>
    <w:p>
      <w:pPr>
        <w:ind w:left="3580"/>
        <w:spacing w:after="0"/>
        <w:rPr>
          <w:sz w:val="20"/>
          <w:szCs w:val="20"/>
          <w:color w:val="auto"/>
        </w:rPr>
      </w:pPr>
      <w:r>
        <w:rPr>
          <w:rFonts w:ascii="Arial" w:cs="Arial" w:eastAsia="Arial" w:hAnsi="Arial"/>
          <w:sz w:val="18"/>
          <w:szCs w:val="18"/>
          <w:b w:val="1"/>
          <w:bCs w:val="1"/>
          <w:i w:val="1"/>
          <w:iCs w:val="1"/>
          <w:color w:val="5D89B4"/>
        </w:rPr>
        <w:t xml:space="preserve">Mara E. Swan </w:t>
      </w:r>
      <w:r>
        <w:rPr>
          <w:rFonts w:ascii="Arial" w:cs="Arial" w:eastAsia="Arial" w:hAnsi="Arial"/>
          <w:sz w:val="18"/>
          <w:szCs w:val="18"/>
          <w:color w:val="5D89B4"/>
        </w:rPr>
        <w:t>—</w:t>
      </w:r>
      <w:r>
        <w:rPr>
          <w:rFonts w:ascii="Arial" w:cs="Arial" w:eastAsia="Arial" w:hAnsi="Arial"/>
          <w:sz w:val="18"/>
          <w:szCs w:val="18"/>
          <w:b w:val="1"/>
          <w:bCs w:val="1"/>
          <w:i w:val="1"/>
          <w:iCs w:val="1"/>
          <w:color w:val="5D89B4"/>
        </w:rPr>
        <w:t xml:space="preserve"> Annual Incentive Award Opportunities</w:t>
      </w:r>
    </w:p>
    <w:p>
      <w:pPr>
        <w:spacing w:after="0" w:line="126"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Committee determined EPS and ROIC were the appropriate performance metrics for Ms. Swan, Executive Vice President, Global Strategy and Talent.</w:t>
      </w:r>
    </w:p>
    <w:p>
      <w:pPr>
        <w:spacing w:after="0" w:line="89"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following chart shows the Committee’s determination of award opportunities for the annual incentive payable to Ms. Swan for 2016, as a percentage of her 2016 base salary of $560,000:</w:t>
      </w:r>
    </w:p>
    <w:p>
      <w:pPr>
        <w:spacing w:after="0" w:line="83" w:lineRule="exact"/>
        <w:rPr>
          <w:sz w:val="20"/>
          <w:szCs w:val="20"/>
          <w:color w:val="auto"/>
        </w:rPr>
      </w:pPr>
    </w:p>
    <w:tbl>
      <w:tblPr>
        <w:tblLayout w:type="fixed"/>
        <w:tblInd w:w="920" w:type="dxa"/>
        <w:tblCellMar>
          <w:top w:w="0" w:type="dxa"/>
          <w:left w:w="0" w:type="dxa"/>
          <w:bottom w:w="0" w:type="dxa"/>
          <w:right w:w="0" w:type="dxa"/>
        </w:tblCellMar>
      </w:tblPr>
      <w:tr>
        <w:trPr>
          <w:trHeight w:val="270"/>
        </w:trPr>
        <w:tc>
          <w:tcPr>
            <w:tcW w:w="5420" w:type="dxa"/>
            <w:vAlign w:val="bottom"/>
            <w:tcBorders>
              <w:top w:val="single" w:sz="8" w:color="auto"/>
              <w:bottom w:val="single" w:sz="8" w:color="auto"/>
            </w:tcBorders>
            <w:shd w:val="clear" w:color="auto" w:fill="9DB8D2"/>
          </w:tcPr>
          <w:p>
            <w:pPr>
              <w:spacing w:after="0"/>
              <w:rPr>
                <w:sz w:val="23"/>
                <w:szCs w:val="23"/>
                <w:color w:val="auto"/>
              </w:rPr>
            </w:pPr>
          </w:p>
        </w:tc>
        <w:tc>
          <w:tcPr>
            <w:tcW w:w="1740" w:type="dxa"/>
            <w:vAlign w:val="bottom"/>
            <w:tcBorders>
              <w:top w:val="single" w:sz="8" w:color="auto"/>
              <w:bottom w:val="single" w:sz="8" w:color="auto"/>
            </w:tcBorders>
            <w:shd w:val="clear" w:color="auto" w:fill="9DB8D2"/>
          </w:tcPr>
          <w:p>
            <w:pPr>
              <w:jc w:val="right"/>
              <w:ind w:right="401"/>
              <w:spacing w:after="0"/>
              <w:rPr>
                <w:sz w:val="20"/>
                <w:szCs w:val="20"/>
                <w:color w:val="auto"/>
              </w:rPr>
            </w:pPr>
            <w:r>
              <w:rPr>
                <w:rFonts w:ascii="Arial" w:cs="Arial" w:eastAsia="Arial" w:hAnsi="Arial"/>
                <w:sz w:val="14"/>
                <w:szCs w:val="14"/>
                <w:b w:val="1"/>
                <w:bCs w:val="1"/>
                <w:color w:val="auto"/>
              </w:rPr>
              <w:t>Threshold</w:t>
            </w:r>
          </w:p>
        </w:tc>
        <w:tc>
          <w:tcPr>
            <w:tcW w:w="1140" w:type="dxa"/>
            <w:vAlign w:val="bottom"/>
            <w:tcBorders>
              <w:top w:val="single" w:sz="8" w:color="auto"/>
              <w:bottom w:val="single" w:sz="8" w:color="auto"/>
            </w:tcBorders>
            <w:shd w:val="clear" w:color="auto" w:fill="9DB8D2"/>
          </w:tcPr>
          <w:p>
            <w:pPr>
              <w:jc w:val="right"/>
              <w:ind w:right="321"/>
              <w:spacing w:after="0"/>
              <w:rPr>
                <w:sz w:val="20"/>
                <w:szCs w:val="20"/>
                <w:color w:val="auto"/>
              </w:rPr>
            </w:pPr>
            <w:r>
              <w:rPr>
                <w:rFonts w:ascii="Arial" w:cs="Arial" w:eastAsia="Arial" w:hAnsi="Arial"/>
                <w:sz w:val="14"/>
                <w:szCs w:val="14"/>
                <w:b w:val="1"/>
                <w:bCs w:val="1"/>
                <w:color w:val="auto"/>
              </w:rPr>
              <w:t>Target</w:t>
            </w:r>
          </w:p>
        </w:tc>
        <w:tc>
          <w:tcPr>
            <w:tcW w:w="1280" w:type="dxa"/>
            <w:vAlign w:val="bottom"/>
            <w:tcBorders>
              <w:top w:val="single" w:sz="8" w:color="auto"/>
              <w:bottom w:val="single" w:sz="8" w:color="auto"/>
            </w:tcBorders>
            <w:shd w:val="clear" w:color="auto" w:fill="9DB8D2"/>
          </w:tcPr>
          <w:p>
            <w:pPr>
              <w:jc w:val="right"/>
              <w:ind w:right="121"/>
              <w:spacing w:after="0"/>
              <w:rPr>
                <w:sz w:val="20"/>
                <w:szCs w:val="20"/>
                <w:color w:val="auto"/>
              </w:rPr>
            </w:pPr>
            <w:r>
              <w:rPr>
                <w:rFonts w:ascii="Arial" w:cs="Arial" w:eastAsia="Arial" w:hAnsi="Arial"/>
                <w:sz w:val="14"/>
                <w:szCs w:val="14"/>
                <w:b w:val="1"/>
                <w:bCs w:val="1"/>
                <w:color w:val="auto"/>
              </w:rPr>
              <w:t>Outstanding</w:t>
            </w:r>
          </w:p>
        </w:tc>
      </w:tr>
      <w:tr>
        <w:trPr>
          <w:trHeight w:val="183"/>
        </w:trPr>
        <w:tc>
          <w:tcPr>
            <w:tcW w:w="542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EPS goal (weighted 40%)</w:t>
            </w:r>
          </w:p>
        </w:tc>
        <w:tc>
          <w:tcPr>
            <w:tcW w:w="1740" w:type="dxa"/>
            <w:vAlign w:val="bottom"/>
            <w:shd w:val="clear" w:color="auto" w:fill="E6EDF3"/>
          </w:tcPr>
          <w:p>
            <w:pPr>
              <w:jc w:val="right"/>
              <w:ind w:right="241"/>
              <w:spacing w:after="0" w:line="183" w:lineRule="exact"/>
              <w:rPr>
                <w:sz w:val="20"/>
                <w:szCs w:val="20"/>
                <w:color w:val="auto"/>
              </w:rPr>
            </w:pPr>
            <w:r>
              <w:rPr>
                <w:rFonts w:ascii="Arial" w:cs="Arial" w:eastAsia="Arial" w:hAnsi="Arial"/>
                <w:sz w:val="16"/>
                <w:szCs w:val="16"/>
                <w:color w:val="auto"/>
              </w:rPr>
              <w:t>10.00%</w:t>
            </w:r>
          </w:p>
        </w:tc>
        <w:tc>
          <w:tcPr>
            <w:tcW w:w="1140" w:type="dxa"/>
            <w:vAlign w:val="bottom"/>
            <w:shd w:val="clear" w:color="auto" w:fill="E6EDF3"/>
          </w:tcPr>
          <w:p>
            <w:pPr>
              <w:jc w:val="right"/>
              <w:ind w:right="161"/>
              <w:spacing w:after="0" w:line="183" w:lineRule="exact"/>
              <w:rPr>
                <w:sz w:val="20"/>
                <w:szCs w:val="20"/>
                <w:color w:val="auto"/>
              </w:rPr>
            </w:pPr>
            <w:r>
              <w:rPr>
                <w:rFonts w:ascii="Arial" w:cs="Arial" w:eastAsia="Arial" w:hAnsi="Arial"/>
                <w:sz w:val="16"/>
                <w:szCs w:val="16"/>
                <w:color w:val="auto"/>
              </w:rPr>
              <w:t>30.00%</w:t>
            </w:r>
          </w:p>
        </w:tc>
        <w:tc>
          <w:tcPr>
            <w:tcW w:w="1280" w:type="dxa"/>
            <w:vAlign w:val="bottom"/>
            <w:shd w:val="clear" w:color="auto" w:fill="E6EDF3"/>
          </w:tcPr>
          <w:p>
            <w:pPr>
              <w:jc w:val="right"/>
              <w:spacing w:after="0" w:line="183" w:lineRule="exact"/>
              <w:rPr>
                <w:sz w:val="20"/>
                <w:szCs w:val="20"/>
                <w:color w:val="auto"/>
              </w:rPr>
            </w:pPr>
            <w:r>
              <w:rPr>
                <w:rFonts w:ascii="Arial" w:cs="Arial" w:eastAsia="Arial" w:hAnsi="Arial"/>
                <w:sz w:val="16"/>
                <w:szCs w:val="16"/>
                <w:color w:val="auto"/>
              </w:rPr>
              <w:t>60.00%</w:t>
            </w:r>
          </w:p>
        </w:tc>
      </w:tr>
      <w:tr>
        <w:trPr>
          <w:trHeight w:val="189"/>
        </w:trPr>
        <w:tc>
          <w:tcPr>
            <w:tcW w:w="5420" w:type="dxa"/>
            <w:vAlign w:val="bottom"/>
          </w:tcPr>
          <w:p>
            <w:pPr>
              <w:ind w:left="80"/>
              <w:spacing w:after="0"/>
              <w:rPr>
                <w:sz w:val="20"/>
                <w:szCs w:val="20"/>
                <w:color w:val="auto"/>
              </w:rPr>
            </w:pPr>
            <w:r>
              <w:rPr>
                <w:rFonts w:ascii="Arial" w:cs="Arial" w:eastAsia="Arial" w:hAnsi="Arial"/>
                <w:sz w:val="16"/>
                <w:szCs w:val="16"/>
                <w:color w:val="auto"/>
              </w:rPr>
              <w:t>ROIC goal (weighted 40%)</w:t>
            </w:r>
          </w:p>
        </w:tc>
        <w:tc>
          <w:tcPr>
            <w:tcW w:w="1740" w:type="dxa"/>
            <w:vAlign w:val="bottom"/>
          </w:tcPr>
          <w:p>
            <w:pPr>
              <w:jc w:val="right"/>
              <w:ind w:right="241"/>
              <w:spacing w:after="0"/>
              <w:rPr>
                <w:sz w:val="20"/>
                <w:szCs w:val="20"/>
                <w:color w:val="auto"/>
              </w:rPr>
            </w:pPr>
            <w:r>
              <w:rPr>
                <w:rFonts w:ascii="Arial" w:cs="Arial" w:eastAsia="Arial" w:hAnsi="Arial"/>
                <w:sz w:val="16"/>
                <w:szCs w:val="16"/>
                <w:color w:val="auto"/>
              </w:rPr>
              <w:t>10.00%</w:t>
            </w:r>
          </w:p>
        </w:tc>
        <w:tc>
          <w:tcPr>
            <w:tcW w:w="1140" w:type="dxa"/>
            <w:vAlign w:val="bottom"/>
          </w:tcPr>
          <w:p>
            <w:pPr>
              <w:jc w:val="right"/>
              <w:ind w:right="161"/>
              <w:spacing w:after="0"/>
              <w:rPr>
                <w:sz w:val="20"/>
                <w:szCs w:val="20"/>
                <w:color w:val="auto"/>
              </w:rPr>
            </w:pPr>
            <w:r>
              <w:rPr>
                <w:rFonts w:ascii="Arial" w:cs="Arial" w:eastAsia="Arial" w:hAnsi="Arial"/>
                <w:sz w:val="16"/>
                <w:szCs w:val="16"/>
                <w:color w:val="auto"/>
              </w:rPr>
              <w:t>30.00%</w:t>
            </w:r>
          </w:p>
        </w:tc>
        <w:tc>
          <w:tcPr>
            <w:tcW w:w="128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189"/>
        </w:trPr>
        <w:tc>
          <w:tcPr>
            <w:tcW w:w="5420" w:type="dxa"/>
            <w:vAlign w:val="bottom"/>
            <w:shd w:val="clear" w:color="auto" w:fill="E6EDF3"/>
          </w:tcPr>
          <w:p>
            <w:pPr>
              <w:ind w:left="80"/>
              <w:spacing w:after="0"/>
              <w:rPr>
                <w:sz w:val="20"/>
                <w:szCs w:val="20"/>
                <w:color w:val="auto"/>
              </w:rPr>
            </w:pPr>
            <w:r>
              <w:rPr>
                <w:rFonts w:ascii="Arial" w:cs="Arial" w:eastAsia="Arial" w:hAnsi="Arial"/>
                <w:sz w:val="16"/>
                <w:szCs w:val="16"/>
                <w:color w:val="auto"/>
              </w:rPr>
              <w:t>Operating Objectives (weighted 20%)</w:t>
            </w:r>
          </w:p>
        </w:tc>
        <w:tc>
          <w:tcPr>
            <w:tcW w:w="1740" w:type="dxa"/>
            <w:vAlign w:val="bottom"/>
            <w:shd w:val="clear" w:color="auto" w:fill="E6EDF3"/>
          </w:tcPr>
          <w:p>
            <w:pPr>
              <w:jc w:val="right"/>
              <w:ind w:right="241"/>
              <w:spacing w:after="0"/>
              <w:rPr>
                <w:sz w:val="20"/>
                <w:szCs w:val="20"/>
                <w:color w:val="auto"/>
              </w:rPr>
            </w:pPr>
            <w:r>
              <w:rPr>
                <w:rFonts w:ascii="Arial" w:cs="Arial" w:eastAsia="Arial" w:hAnsi="Arial"/>
                <w:sz w:val="16"/>
                <w:szCs w:val="16"/>
                <w:color w:val="auto"/>
              </w:rPr>
              <w:t>5.00%</w:t>
            </w:r>
          </w:p>
        </w:tc>
        <w:tc>
          <w:tcPr>
            <w:tcW w:w="1140" w:type="dxa"/>
            <w:vAlign w:val="bottom"/>
            <w:shd w:val="clear" w:color="auto" w:fill="E6EDF3"/>
          </w:tcPr>
          <w:p>
            <w:pPr>
              <w:jc w:val="right"/>
              <w:ind w:right="161"/>
              <w:spacing w:after="0"/>
              <w:rPr>
                <w:sz w:val="20"/>
                <w:szCs w:val="20"/>
                <w:color w:val="auto"/>
              </w:rPr>
            </w:pPr>
            <w:r>
              <w:rPr>
                <w:rFonts w:ascii="Arial" w:cs="Arial" w:eastAsia="Arial" w:hAnsi="Arial"/>
                <w:sz w:val="16"/>
                <w:szCs w:val="16"/>
                <w:color w:val="auto"/>
              </w:rPr>
              <w:t>15.00%</w:t>
            </w:r>
          </w:p>
        </w:tc>
        <w:tc>
          <w:tcPr>
            <w:tcW w:w="1280" w:type="dxa"/>
            <w:vAlign w:val="bottom"/>
            <w:shd w:val="clear" w:color="auto" w:fill="E6EDF3"/>
          </w:tcPr>
          <w:p>
            <w:pPr>
              <w:jc w:val="right"/>
              <w:spacing w:after="0"/>
              <w:rPr>
                <w:sz w:val="20"/>
                <w:szCs w:val="20"/>
                <w:color w:val="auto"/>
              </w:rPr>
            </w:pPr>
            <w:r>
              <w:rPr>
                <w:rFonts w:ascii="Arial" w:cs="Arial" w:eastAsia="Arial" w:hAnsi="Arial"/>
                <w:sz w:val="16"/>
                <w:szCs w:val="16"/>
                <w:color w:val="auto"/>
              </w:rPr>
              <w:t>30.00%</w:t>
            </w:r>
          </w:p>
        </w:tc>
      </w:tr>
      <w:tr>
        <w:trPr>
          <w:trHeight w:val="189"/>
        </w:trPr>
        <w:tc>
          <w:tcPr>
            <w:tcW w:w="54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Total</w:t>
            </w:r>
          </w:p>
        </w:tc>
        <w:tc>
          <w:tcPr>
            <w:tcW w:w="17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25.0%</w:t>
            </w:r>
          </w:p>
        </w:tc>
        <w:tc>
          <w:tcPr>
            <w:tcW w:w="11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75.0%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operating objectives for Ms. Swan for 2016 are as follows:</w:t>
      </w:r>
    </w:p>
    <w:p>
      <w:pPr>
        <w:spacing w:after="0" w:line="117" w:lineRule="exact"/>
        <w:rPr>
          <w:sz w:val="20"/>
          <w:szCs w:val="20"/>
          <w:color w:val="auto"/>
        </w:rPr>
      </w:pPr>
    </w:p>
    <w:p>
      <w:pPr>
        <w:ind w:left="440" w:hanging="324"/>
        <w:spacing w:after="0"/>
        <w:tabs>
          <w:tab w:leader="none" w:pos="440" w:val="left"/>
        </w:tabs>
        <w:numPr>
          <w:ilvl w:val="0"/>
          <w:numId w:val="54"/>
        </w:numPr>
        <w:rPr>
          <w:rFonts w:ascii="Arial" w:cs="Arial" w:eastAsia="Arial" w:hAnsi="Arial"/>
          <w:sz w:val="18"/>
          <w:szCs w:val="18"/>
          <w:color w:val="5D89B4"/>
        </w:rPr>
      </w:pPr>
      <w:r>
        <w:rPr>
          <w:rFonts w:ascii="Arial" w:cs="Arial" w:eastAsia="Arial" w:hAnsi="Arial"/>
          <w:sz w:val="18"/>
          <w:szCs w:val="18"/>
          <w:color w:val="auto"/>
        </w:rPr>
        <w:t>Meet/exceed growth rate of gross profit of certain competitors</w:t>
      </w:r>
    </w:p>
    <w:p>
      <w:pPr>
        <w:spacing w:after="0" w:line="117" w:lineRule="exact"/>
        <w:rPr>
          <w:rFonts w:ascii="Arial" w:cs="Arial" w:eastAsia="Arial" w:hAnsi="Arial"/>
          <w:sz w:val="18"/>
          <w:szCs w:val="18"/>
          <w:color w:val="5D89B4"/>
        </w:rPr>
      </w:pPr>
    </w:p>
    <w:p>
      <w:pPr>
        <w:ind w:left="440" w:hanging="324"/>
        <w:spacing w:after="0"/>
        <w:tabs>
          <w:tab w:leader="none" w:pos="440" w:val="left"/>
        </w:tabs>
        <w:numPr>
          <w:ilvl w:val="0"/>
          <w:numId w:val="54"/>
        </w:numPr>
        <w:rPr>
          <w:rFonts w:ascii="Arial" w:cs="Arial" w:eastAsia="Arial" w:hAnsi="Arial"/>
          <w:sz w:val="18"/>
          <w:szCs w:val="18"/>
          <w:color w:val="5D89B4"/>
        </w:rPr>
      </w:pPr>
      <w:r>
        <w:rPr>
          <w:rFonts w:ascii="Arial" w:cs="Arial" w:eastAsia="Arial" w:hAnsi="Arial"/>
          <w:sz w:val="18"/>
          <w:szCs w:val="18"/>
          <w:color w:val="auto"/>
        </w:rPr>
        <w:t>Develop diverse leadership that strengthens our capabilities</w:t>
      </w:r>
    </w:p>
    <w:p>
      <w:pPr>
        <w:spacing w:after="0" w:line="117" w:lineRule="exact"/>
        <w:rPr>
          <w:rFonts w:ascii="Arial" w:cs="Arial" w:eastAsia="Arial" w:hAnsi="Arial"/>
          <w:sz w:val="18"/>
          <w:szCs w:val="18"/>
          <w:color w:val="5D89B4"/>
        </w:rPr>
      </w:pPr>
    </w:p>
    <w:p>
      <w:pPr>
        <w:ind w:left="440" w:hanging="324"/>
        <w:spacing w:after="0"/>
        <w:tabs>
          <w:tab w:leader="none" w:pos="440" w:val="left"/>
        </w:tabs>
        <w:numPr>
          <w:ilvl w:val="0"/>
          <w:numId w:val="54"/>
        </w:numPr>
        <w:rPr>
          <w:rFonts w:ascii="Arial" w:cs="Arial" w:eastAsia="Arial" w:hAnsi="Arial"/>
          <w:sz w:val="18"/>
          <w:szCs w:val="18"/>
          <w:color w:val="5D89B4"/>
        </w:rPr>
      </w:pPr>
      <w:r>
        <w:rPr>
          <w:rFonts w:ascii="Arial" w:cs="Arial" w:eastAsia="Arial" w:hAnsi="Arial"/>
          <w:sz w:val="18"/>
          <w:szCs w:val="18"/>
          <w:color w:val="auto"/>
        </w:rPr>
        <w:t>Accelerate performance in certain brands by deploying strategic priorities</w:t>
      </w:r>
    </w:p>
    <w:p>
      <w:pPr>
        <w:spacing w:after="0" w:line="117" w:lineRule="exact"/>
        <w:rPr>
          <w:rFonts w:ascii="Arial" w:cs="Arial" w:eastAsia="Arial" w:hAnsi="Arial"/>
          <w:sz w:val="18"/>
          <w:szCs w:val="18"/>
          <w:color w:val="5D89B4"/>
        </w:rPr>
      </w:pPr>
    </w:p>
    <w:p>
      <w:pPr>
        <w:ind w:left="440" w:hanging="324"/>
        <w:spacing w:after="0"/>
        <w:tabs>
          <w:tab w:leader="none" w:pos="440" w:val="left"/>
        </w:tabs>
        <w:numPr>
          <w:ilvl w:val="0"/>
          <w:numId w:val="54"/>
        </w:numPr>
        <w:rPr>
          <w:rFonts w:ascii="Arial" w:cs="Arial" w:eastAsia="Arial" w:hAnsi="Arial"/>
          <w:sz w:val="18"/>
          <w:szCs w:val="18"/>
          <w:color w:val="5D89B4"/>
        </w:rPr>
      </w:pPr>
      <w:r>
        <w:rPr>
          <w:rFonts w:ascii="Arial" w:cs="Arial" w:eastAsia="Arial" w:hAnsi="Arial"/>
          <w:sz w:val="18"/>
          <w:szCs w:val="18"/>
          <w:color w:val="auto"/>
        </w:rPr>
        <w:t>Define future desired state and evolution of our business model, in collaboration with the CEO</w:t>
      </w:r>
    </w:p>
    <w:p>
      <w:pPr>
        <w:spacing w:after="0" w:line="117" w:lineRule="exact"/>
        <w:rPr>
          <w:rFonts w:ascii="Arial" w:cs="Arial" w:eastAsia="Arial" w:hAnsi="Arial"/>
          <w:sz w:val="18"/>
          <w:szCs w:val="18"/>
          <w:color w:val="5D89B4"/>
        </w:rPr>
      </w:pPr>
    </w:p>
    <w:p>
      <w:pPr>
        <w:ind w:left="440" w:hanging="324"/>
        <w:spacing w:after="0"/>
        <w:tabs>
          <w:tab w:leader="none" w:pos="440" w:val="left"/>
        </w:tabs>
        <w:numPr>
          <w:ilvl w:val="0"/>
          <w:numId w:val="54"/>
        </w:numPr>
        <w:rPr>
          <w:rFonts w:ascii="Arial" w:cs="Arial" w:eastAsia="Arial" w:hAnsi="Arial"/>
          <w:sz w:val="18"/>
          <w:szCs w:val="18"/>
          <w:color w:val="5D89B4"/>
        </w:rPr>
      </w:pPr>
      <w:r>
        <w:rPr>
          <w:rFonts w:ascii="Arial" w:cs="Arial" w:eastAsia="Arial" w:hAnsi="Arial"/>
          <w:sz w:val="18"/>
          <w:szCs w:val="18"/>
          <w:color w:val="auto"/>
        </w:rPr>
        <w:t>Support the CEO in significantly progressing our people and culture priorities</w:t>
      </w:r>
    </w:p>
    <w:p>
      <w:pPr>
        <w:spacing w:after="0" w:line="10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Committee determined that Ms. Swan earned a cash incentive award for 2016 between target and outstanding for EPS and ROIC. The Committee also approved an incentive award to Ms. Swan based on its determination of the level of performance towards achievement of her operating objectives. Based on these accomplishments, the Committee determined to pay the 2016 award to Ms. Swan as follows:</w:t>
      </w:r>
    </w:p>
    <w:p>
      <w:pPr>
        <w:spacing w:after="0" w:line="89" w:lineRule="exact"/>
        <w:rPr>
          <w:sz w:val="20"/>
          <w:szCs w:val="20"/>
          <w:color w:val="auto"/>
        </w:rPr>
      </w:pPr>
    </w:p>
    <w:tbl>
      <w:tblPr>
        <w:tblLayout w:type="fixed"/>
        <w:tblInd w:w="920" w:type="dxa"/>
        <w:tblCellMar>
          <w:top w:w="0" w:type="dxa"/>
          <w:left w:w="0" w:type="dxa"/>
          <w:bottom w:w="0" w:type="dxa"/>
          <w:right w:w="0" w:type="dxa"/>
        </w:tblCellMar>
      </w:tblPr>
      <w:tr>
        <w:trPr>
          <w:trHeight w:val="270"/>
        </w:trPr>
        <w:tc>
          <w:tcPr>
            <w:tcW w:w="6260" w:type="dxa"/>
            <w:vAlign w:val="bottom"/>
            <w:tcBorders>
              <w:top w:val="single" w:sz="8" w:color="auto"/>
              <w:bottom w:val="single" w:sz="8" w:color="auto"/>
            </w:tcBorders>
            <w:shd w:val="clear" w:color="auto" w:fill="9DB8D2"/>
          </w:tcPr>
          <w:p>
            <w:pPr>
              <w:spacing w:after="0"/>
              <w:rPr>
                <w:sz w:val="23"/>
                <w:szCs w:val="23"/>
                <w:color w:val="auto"/>
              </w:rPr>
            </w:pPr>
          </w:p>
        </w:tc>
        <w:tc>
          <w:tcPr>
            <w:tcW w:w="1920" w:type="dxa"/>
            <w:vAlign w:val="bottom"/>
            <w:tcBorders>
              <w:top w:val="single" w:sz="8" w:color="auto"/>
              <w:bottom w:val="single" w:sz="8" w:color="auto"/>
            </w:tcBorders>
            <w:shd w:val="clear" w:color="auto" w:fill="9DB8D2"/>
          </w:tcPr>
          <w:p>
            <w:pPr>
              <w:ind w:left="720"/>
              <w:spacing w:after="0"/>
              <w:rPr>
                <w:sz w:val="20"/>
                <w:szCs w:val="20"/>
                <w:color w:val="auto"/>
              </w:rPr>
            </w:pPr>
            <w:r>
              <w:rPr>
                <w:rFonts w:ascii="Arial" w:cs="Arial" w:eastAsia="Arial" w:hAnsi="Arial"/>
                <w:sz w:val="14"/>
                <w:szCs w:val="14"/>
                <w:b w:val="1"/>
                <w:bCs w:val="1"/>
                <w:color w:val="auto"/>
              </w:rPr>
              <w:t>Target Award</w:t>
            </w:r>
          </w:p>
        </w:tc>
        <w:tc>
          <w:tcPr>
            <w:tcW w:w="1400" w:type="dxa"/>
            <w:vAlign w:val="bottom"/>
            <w:tcBorders>
              <w:top w:val="single" w:sz="8" w:color="auto"/>
              <w:bottom w:val="single" w:sz="8" w:color="auto"/>
            </w:tcBorders>
            <w:shd w:val="clear" w:color="auto" w:fill="9DB8D2"/>
          </w:tcPr>
          <w:p>
            <w:pPr>
              <w:ind w:left="300"/>
              <w:spacing w:after="0"/>
              <w:rPr>
                <w:sz w:val="20"/>
                <w:szCs w:val="20"/>
                <w:color w:val="auto"/>
              </w:rPr>
            </w:pPr>
            <w:r>
              <w:rPr>
                <w:rFonts w:ascii="Arial" w:cs="Arial" w:eastAsia="Arial" w:hAnsi="Arial"/>
                <w:sz w:val="14"/>
                <w:szCs w:val="14"/>
                <w:b w:val="1"/>
                <w:bCs w:val="1"/>
                <w:color w:val="auto"/>
              </w:rPr>
              <w:t>Actual Award</w:t>
            </w:r>
          </w:p>
        </w:tc>
      </w:tr>
      <w:tr>
        <w:trPr>
          <w:trHeight w:val="183"/>
        </w:trPr>
        <w:tc>
          <w:tcPr>
            <w:tcW w:w="6260" w:type="dxa"/>
            <w:vAlign w:val="bottom"/>
            <w:tcBorders>
              <w:bottom w:val="single" w:sz="8" w:color="auto"/>
            </w:tcBorders>
            <w:shd w:val="clear" w:color="auto" w:fill="E6EDF3"/>
          </w:tcPr>
          <w:p>
            <w:pPr>
              <w:ind w:left="80"/>
              <w:spacing w:after="0" w:line="183" w:lineRule="exact"/>
              <w:rPr>
                <w:sz w:val="20"/>
                <w:szCs w:val="20"/>
                <w:color w:val="auto"/>
              </w:rPr>
            </w:pPr>
            <w:r>
              <w:rPr>
                <w:rFonts w:ascii="Arial" w:cs="Arial" w:eastAsia="Arial" w:hAnsi="Arial"/>
                <w:sz w:val="16"/>
                <w:szCs w:val="16"/>
                <w:color w:val="auto"/>
              </w:rPr>
              <w:t>EVP, Global Strategy and Talent</w:t>
            </w:r>
          </w:p>
        </w:tc>
        <w:tc>
          <w:tcPr>
            <w:tcW w:w="1920" w:type="dxa"/>
            <w:vAlign w:val="bottom"/>
            <w:tcBorders>
              <w:bottom w:val="single" w:sz="8" w:color="auto"/>
            </w:tcBorders>
            <w:shd w:val="clear" w:color="auto" w:fill="E6EDF3"/>
          </w:tcPr>
          <w:p>
            <w:pPr>
              <w:ind w:left="720"/>
              <w:spacing w:after="0" w:line="183" w:lineRule="exact"/>
              <w:rPr>
                <w:sz w:val="20"/>
                <w:szCs w:val="20"/>
                <w:color w:val="auto"/>
              </w:rPr>
            </w:pPr>
            <w:r>
              <w:rPr>
                <w:rFonts w:ascii="Arial" w:cs="Arial" w:eastAsia="Arial" w:hAnsi="Arial"/>
                <w:sz w:val="16"/>
                <w:szCs w:val="16"/>
                <w:color w:val="auto"/>
              </w:rPr>
              <w:t>$   420,000</w:t>
            </w:r>
          </w:p>
        </w:tc>
        <w:tc>
          <w:tcPr>
            <w:tcW w:w="1400" w:type="dxa"/>
            <w:vAlign w:val="bottom"/>
            <w:tcBorders>
              <w:bottom w:val="single" w:sz="8" w:color="auto"/>
            </w:tcBorders>
            <w:shd w:val="clear" w:color="auto" w:fill="E6EDF3"/>
          </w:tcPr>
          <w:p>
            <w:pPr>
              <w:ind w:left="300"/>
              <w:spacing w:after="0" w:line="183" w:lineRule="exact"/>
              <w:rPr>
                <w:sz w:val="20"/>
                <w:szCs w:val="20"/>
                <w:color w:val="auto"/>
              </w:rPr>
            </w:pPr>
            <w:r>
              <w:rPr>
                <w:rFonts w:ascii="Arial" w:cs="Arial" w:eastAsia="Arial" w:hAnsi="Arial"/>
                <w:sz w:val="16"/>
                <w:szCs w:val="16"/>
                <w:color w:val="auto"/>
              </w:rPr>
              <w:t>$   522,648</w:t>
            </w:r>
          </w:p>
        </w:tc>
      </w:tr>
    </w:tbl>
    <w:p>
      <w:pPr>
        <w:spacing w:after="0" w:line="126" w:lineRule="exact"/>
        <w:rPr>
          <w:sz w:val="20"/>
          <w:szCs w:val="20"/>
          <w:color w:val="auto"/>
        </w:rPr>
      </w:pPr>
    </w:p>
    <w:p>
      <w:pPr>
        <w:ind w:left="3220"/>
        <w:spacing w:after="0"/>
        <w:rPr>
          <w:sz w:val="20"/>
          <w:szCs w:val="20"/>
          <w:color w:val="auto"/>
        </w:rPr>
      </w:pPr>
      <w:r>
        <w:rPr>
          <w:rFonts w:ascii="Arial" w:cs="Arial" w:eastAsia="Arial" w:hAnsi="Arial"/>
          <w:sz w:val="18"/>
          <w:szCs w:val="18"/>
          <w:b w:val="1"/>
          <w:bCs w:val="1"/>
          <w:i w:val="1"/>
          <w:iCs w:val="1"/>
          <w:color w:val="5D89B4"/>
        </w:rPr>
        <w:t xml:space="preserve">Michael J. Van Handel </w:t>
      </w:r>
      <w:r>
        <w:rPr>
          <w:rFonts w:ascii="Arial" w:cs="Arial" w:eastAsia="Arial" w:hAnsi="Arial"/>
          <w:sz w:val="18"/>
          <w:szCs w:val="18"/>
          <w:color w:val="5D89B4"/>
        </w:rPr>
        <w:t>—</w:t>
      </w:r>
      <w:r>
        <w:rPr>
          <w:rFonts w:ascii="Arial" w:cs="Arial" w:eastAsia="Arial" w:hAnsi="Arial"/>
          <w:sz w:val="18"/>
          <w:szCs w:val="18"/>
          <w:b w:val="1"/>
          <w:bCs w:val="1"/>
          <w:i w:val="1"/>
          <w:iCs w:val="1"/>
          <w:color w:val="5D89B4"/>
        </w:rPr>
        <w:t xml:space="preserve"> Annual Incentive Award Opportunities</w:t>
      </w:r>
    </w:p>
    <w:p>
      <w:pPr>
        <w:spacing w:after="0" w:line="126" w:lineRule="exact"/>
        <w:rPr>
          <w:sz w:val="20"/>
          <w:szCs w:val="20"/>
          <w:color w:val="auto"/>
        </w:rPr>
      </w:pPr>
    </w:p>
    <w:p>
      <w:pPr>
        <w:ind w:right="1060"/>
        <w:spacing w:after="0" w:line="246" w:lineRule="auto"/>
        <w:rPr>
          <w:sz w:val="20"/>
          <w:szCs w:val="20"/>
          <w:color w:val="auto"/>
        </w:rPr>
      </w:pPr>
      <w:r>
        <w:rPr>
          <w:rFonts w:ascii="Arial" w:cs="Arial" w:eastAsia="Arial" w:hAnsi="Arial"/>
          <w:sz w:val="18"/>
          <w:szCs w:val="18"/>
          <w:color w:val="auto"/>
        </w:rPr>
        <w:t>The Committee determined that EPS and ROIC were the appropriate performance metrics for Mr. Van Handel for 2016, taking into consideration his revised role.</w:t>
      </w:r>
    </w:p>
    <w:p>
      <w:pPr>
        <w:spacing w:after="0" w:line="89"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following chart shows the Committee’s determination of award opportunities for the annual incentive payable to Mr. Van Handel as Senior Executive Vice President as a percentage of his 2016 base salary of $660,000:</w:t>
      </w:r>
    </w:p>
    <w:p>
      <w:pPr>
        <w:spacing w:after="0" w:line="83" w:lineRule="exact"/>
        <w:rPr>
          <w:sz w:val="20"/>
          <w:szCs w:val="20"/>
          <w:color w:val="auto"/>
        </w:rPr>
      </w:pPr>
    </w:p>
    <w:tbl>
      <w:tblPr>
        <w:tblLayout w:type="fixed"/>
        <w:tblInd w:w="920" w:type="dxa"/>
        <w:tblCellMar>
          <w:top w:w="0" w:type="dxa"/>
          <w:left w:w="0" w:type="dxa"/>
          <w:bottom w:w="0" w:type="dxa"/>
          <w:right w:w="0" w:type="dxa"/>
        </w:tblCellMar>
      </w:tblPr>
      <w:tr>
        <w:trPr>
          <w:trHeight w:val="270"/>
        </w:trPr>
        <w:tc>
          <w:tcPr>
            <w:tcW w:w="5200" w:type="dxa"/>
            <w:vAlign w:val="bottom"/>
            <w:tcBorders>
              <w:top w:val="single" w:sz="8" w:color="auto"/>
              <w:bottom w:val="single" w:sz="8" w:color="auto"/>
            </w:tcBorders>
            <w:shd w:val="clear" w:color="auto" w:fill="9DB8D2"/>
          </w:tcPr>
          <w:p>
            <w:pPr>
              <w:spacing w:after="0"/>
              <w:rPr>
                <w:sz w:val="23"/>
                <w:szCs w:val="23"/>
                <w:color w:val="auto"/>
              </w:rPr>
            </w:pPr>
          </w:p>
        </w:tc>
        <w:tc>
          <w:tcPr>
            <w:tcW w:w="1840" w:type="dxa"/>
            <w:vAlign w:val="bottom"/>
            <w:tcBorders>
              <w:top w:val="single" w:sz="8" w:color="auto"/>
              <w:bottom w:val="single" w:sz="8" w:color="auto"/>
            </w:tcBorders>
            <w:shd w:val="clear" w:color="auto" w:fill="9DB8D2"/>
          </w:tcPr>
          <w:p>
            <w:pPr>
              <w:jc w:val="right"/>
              <w:ind w:right="421"/>
              <w:spacing w:after="0"/>
              <w:rPr>
                <w:sz w:val="20"/>
                <w:szCs w:val="20"/>
                <w:color w:val="auto"/>
              </w:rPr>
            </w:pPr>
            <w:r>
              <w:rPr>
                <w:rFonts w:ascii="Arial" w:cs="Arial" w:eastAsia="Arial" w:hAnsi="Arial"/>
                <w:sz w:val="14"/>
                <w:szCs w:val="14"/>
                <w:b w:val="1"/>
                <w:bCs w:val="1"/>
                <w:color w:val="auto"/>
              </w:rPr>
              <w:t>Threshold</w:t>
            </w:r>
          </w:p>
        </w:tc>
        <w:tc>
          <w:tcPr>
            <w:tcW w:w="1220" w:type="dxa"/>
            <w:vAlign w:val="bottom"/>
            <w:tcBorders>
              <w:top w:val="single" w:sz="8" w:color="auto"/>
              <w:bottom w:val="single" w:sz="8" w:color="auto"/>
            </w:tcBorders>
            <w:shd w:val="clear" w:color="auto" w:fill="9DB8D2"/>
          </w:tcPr>
          <w:p>
            <w:pPr>
              <w:jc w:val="right"/>
              <w:ind w:right="341"/>
              <w:spacing w:after="0"/>
              <w:rPr>
                <w:sz w:val="20"/>
                <w:szCs w:val="20"/>
                <w:color w:val="auto"/>
              </w:rPr>
            </w:pPr>
            <w:r>
              <w:rPr>
                <w:rFonts w:ascii="Arial" w:cs="Arial" w:eastAsia="Arial" w:hAnsi="Arial"/>
                <w:sz w:val="14"/>
                <w:szCs w:val="14"/>
                <w:b w:val="1"/>
                <w:bCs w:val="1"/>
                <w:color w:val="auto"/>
              </w:rPr>
              <w:t>Target</w:t>
            </w:r>
          </w:p>
        </w:tc>
        <w:tc>
          <w:tcPr>
            <w:tcW w:w="1320" w:type="dxa"/>
            <w:vAlign w:val="bottom"/>
            <w:tcBorders>
              <w:top w:val="single" w:sz="8" w:color="auto"/>
              <w:bottom w:val="single" w:sz="8" w:color="auto"/>
            </w:tcBorders>
            <w:shd w:val="clear" w:color="auto" w:fill="9DB8D2"/>
          </w:tcPr>
          <w:p>
            <w:pPr>
              <w:jc w:val="right"/>
              <w:ind w:right="121"/>
              <w:spacing w:after="0"/>
              <w:rPr>
                <w:sz w:val="20"/>
                <w:szCs w:val="20"/>
                <w:color w:val="auto"/>
              </w:rPr>
            </w:pPr>
            <w:r>
              <w:rPr>
                <w:rFonts w:ascii="Arial" w:cs="Arial" w:eastAsia="Arial" w:hAnsi="Arial"/>
                <w:sz w:val="14"/>
                <w:szCs w:val="14"/>
                <w:b w:val="1"/>
                <w:bCs w:val="1"/>
                <w:color w:val="auto"/>
              </w:rPr>
              <w:t>Outstanding</w:t>
            </w:r>
          </w:p>
        </w:tc>
      </w:tr>
      <w:tr>
        <w:trPr>
          <w:trHeight w:val="183"/>
        </w:trPr>
        <w:tc>
          <w:tcPr>
            <w:tcW w:w="520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EPS goal (weighted 40%)</w:t>
            </w:r>
          </w:p>
        </w:tc>
        <w:tc>
          <w:tcPr>
            <w:tcW w:w="1840" w:type="dxa"/>
            <w:vAlign w:val="bottom"/>
            <w:shd w:val="clear" w:color="auto" w:fill="E6EDF3"/>
          </w:tcPr>
          <w:p>
            <w:pPr>
              <w:jc w:val="right"/>
              <w:ind w:right="281"/>
              <w:spacing w:after="0" w:line="183" w:lineRule="exact"/>
              <w:rPr>
                <w:sz w:val="20"/>
                <w:szCs w:val="20"/>
                <w:color w:val="auto"/>
              </w:rPr>
            </w:pPr>
            <w:r>
              <w:rPr>
                <w:rFonts w:ascii="Arial" w:cs="Arial" w:eastAsia="Arial" w:hAnsi="Arial"/>
                <w:sz w:val="16"/>
                <w:szCs w:val="16"/>
                <w:color w:val="auto"/>
              </w:rPr>
              <w:t>10.0%</w:t>
            </w:r>
          </w:p>
        </w:tc>
        <w:tc>
          <w:tcPr>
            <w:tcW w:w="1220" w:type="dxa"/>
            <w:vAlign w:val="bottom"/>
            <w:shd w:val="clear" w:color="auto" w:fill="E6EDF3"/>
          </w:tcPr>
          <w:p>
            <w:pPr>
              <w:jc w:val="right"/>
              <w:ind w:right="181"/>
              <w:spacing w:after="0" w:line="183" w:lineRule="exact"/>
              <w:rPr>
                <w:sz w:val="20"/>
                <w:szCs w:val="20"/>
                <w:color w:val="auto"/>
              </w:rPr>
            </w:pPr>
            <w:r>
              <w:rPr>
                <w:rFonts w:ascii="Arial" w:cs="Arial" w:eastAsia="Arial" w:hAnsi="Arial"/>
                <w:sz w:val="16"/>
                <w:szCs w:val="16"/>
                <w:color w:val="auto"/>
              </w:rPr>
              <w:t>40.0%</w:t>
            </w:r>
          </w:p>
        </w:tc>
        <w:tc>
          <w:tcPr>
            <w:tcW w:w="1320" w:type="dxa"/>
            <w:vAlign w:val="bottom"/>
            <w:shd w:val="clear" w:color="auto" w:fill="E6EDF3"/>
          </w:tcPr>
          <w:p>
            <w:pPr>
              <w:jc w:val="right"/>
              <w:spacing w:after="0" w:line="183" w:lineRule="exact"/>
              <w:rPr>
                <w:sz w:val="20"/>
                <w:szCs w:val="20"/>
                <w:color w:val="auto"/>
              </w:rPr>
            </w:pPr>
            <w:r>
              <w:rPr>
                <w:rFonts w:ascii="Arial" w:cs="Arial" w:eastAsia="Arial" w:hAnsi="Arial"/>
                <w:sz w:val="16"/>
                <w:szCs w:val="16"/>
                <w:color w:val="auto"/>
              </w:rPr>
              <w:t>80.0%</w:t>
            </w:r>
          </w:p>
        </w:tc>
      </w:tr>
      <w:tr>
        <w:trPr>
          <w:trHeight w:val="189"/>
        </w:trPr>
        <w:tc>
          <w:tcPr>
            <w:tcW w:w="5200" w:type="dxa"/>
            <w:vAlign w:val="bottom"/>
          </w:tcPr>
          <w:p>
            <w:pPr>
              <w:ind w:left="80"/>
              <w:spacing w:after="0"/>
              <w:rPr>
                <w:sz w:val="20"/>
                <w:szCs w:val="20"/>
                <w:color w:val="auto"/>
              </w:rPr>
            </w:pPr>
            <w:r>
              <w:rPr>
                <w:rFonts w:ascii="Arial" w:cs="Arial" w:eastAsia="Arial" w:hAnsi="Arial"/>
                <w:sz w:val="16"/>
                <w:szCs w:val="16"/>
                <w:color w:val="auto"/>
              </w:rPr>
              <w:t>ROIC goal (weighted 40%)</w:t>
            </w:r>
          </w:p>
        </w:tc>
        <w:tc>
          <w:tcPr>
            <w:tcW w:w="1840" w:type="dxa"/>
            <w:vAlign w:val="bottom"/>
          </w:tcPr>
          <w:p>
            <w:pPr>
              <w:jc w:val="right"/>
              <w:ind w:right="281"/>
              <w:spacing w:after="0"/>
              <w:rPr>
                <w:sz w:val="20"/>
                <w:szCs w:val="20"/>
                <w:color w:val="auto"/>
              </w:rPr>
            </w:pPr>
            <w:r>
              <w:rPr>
                <w:rFonts w:ascii="Arial" w:cs="Arial" w:eastAsia="Arial" w:hAnsi="Arial"/>
                <w:sz w:val="16"/>
                <w:szCs w:val="16"/>
                <w:color w:val="auto"/>
              </w:rPr>
              <w:t>10.0%</w:t>
            </w:r>
          </w:p>
        </w:tc>
        <w:tc>
          <w:tcPr>
            <w:tcW w:w="1220" w:type="dxa"/>
            <w:vAlign w:val="bottom"/>
          </w:tcPr>
          <w:p>
            <w:pPr>
              <w:jc w:val="right"/>
              <w:ind w:right="181"/>
              <w:spacing w:after="0"/>
              <w:rPr>
                <w:sz w:val="20"/>
                <w:szCs w:val="20"/>
                <w:color w:val="auto"/>
              </w:rPr>
            </w:pPr>
            <w:r>
              <w:rPr>
                <w:rFonts w:ascii="Arial" w:cs="Arial" w:eastAsia="Arial" w:hAnsi="Arial"/>
                <w:sz w:val="16"/>
                <w:szCs w:val="16"/>
                <w:color w:val="auto"/>
              </w:rPr>
              <w:t>40.0%</w:t>
            </w:r>
          </w:p>
        </w:tc>
        <w:tc>
          <w:tcPr>
            <w:tcW w:w="132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189"/>
        </w:trPr>
        <w:tc>
          <w:tcPr>
            <w:tcW w:w="5200" w:type="dxa"/>
            <w:vAlign w:val="bottom"/>
            <w:shd w:val="clear" w:color="auto" w:fill="E6EDF3"/>
          </w:tcPr>
          <w:p>
            <w:pPr>
              <w:ind w:left="80"/>
              <w:spacing w:after="0"/>
              <w:rPr>
                <w:sz w:val="20"/>
                <w:szCs w:val="20"/>
                <w:color w:val="auto"/>
              </w:rPr>
            </w:pPr>
            <w:r>
              <w:rPr>
                <w:rFonts w:ascii="Arial" w:cs="Arial" w:eastAsia="Arial" w:hAnsi="Arial"/>
                <w:sz w:val="16"/>
                <w:szCs w:val="16"/>
                <w:color w:val="auto"/>
              </w:rPr>
              <w:t>Operating Objectives (weighted 20%)</w:t>
            </w:r>
          </w:p>
        </w:tc>
        <w:tc>
          <w:tcPr>
            <w:tcW w:w="1840" w:type="dxa"/>
            <w:vAlign w:val="bottom"/>
            <w:shd w:val="clear" w:color="auto" w:fill="E6EDF3"/>
          </w:tcPr>
          <w:p>
            <w:pPr>
              <w:jc w:val="right"/>
              <w:ind w:right="281"/>
              <w:spacing w:after="0"/>
              <w:rPr>
                <w:sz w:val="20"/>
                <w:szCs w:val="20"/>
                <w:color w:val="auto"/>
              </w:rPr>
            </w:pPr>
            <w:r>
              <w:rPr>
                <w:rFonts w:ascii="Arial" w:cs="Arial" w:eastAsia="Arial" w:hAnsi="Arial"/>
                <w:sz w:val="16"/>
                <w:szCs w:val="16"/>
                <w:color w:val="auto"/>
              </w:rPr>
              <w:t>5.0%</w:t>
            </w:r>
          </w:p>
        </w:tc>
        <w:tc>
          <w:tcPr>
            <w:tcW w:w="1220" w:type="dxa"/>
            <w:vAlign w:val="bottom"/>
            <w:shd w:val="clear" w:color="auto" w:fill="E6EDF3"/>
          </w:tcPr>
          <w:p>
            <w:pPr>
              <w:jc w:val="right"/>
              <w:ind w:right="181"/>
              <w:spacing w:after="0"/>
              <w:rPr>
                <w:sz w:val="20"/>
                <w:szCs w:val="20"/>
                <w:color w:val="auto"/>
              </w:rPr>
            </w:pPr>
            <w:r>
              <w:rPr>
                <w:rFonts w:ascii="Arial" w:cs="Arial" w:eastAsia="Arial" w:hAnsi="Arial"/>
                <w:sz w:val="16"/>
                <w:szCs w:val="16"/>
                <w:color w:val="auto"/>
              </w:rPr>
              <w:t>20.0%</w:t>
            </w:r>
          </w:p>
        </w:tc>
        <w:tc>
          <w:tcPr>
            <w:tcW w:w="13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40.0%</w:t>
            </w:r>
          </w:p>
        </w:tc>
      </w:tr>
      <w:tr>
        <w:trPr>
          <w:trHeight w:val="189"/>
        </w:trPr>
        <w:tc>
          <w:tcPr>
            <w:tcW w:w="52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Total</w:t>
            </w:r>
          </w:p>
        </w:tc>
        <w:tc>
          <w:tcPr>
            <w:tcW w:w="184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25.0%</w:t>
            </w:r>
          </w:p>
        </w:tc>
        <w:tc>
          <w:tcPr>
            <w:tcW w:w="12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100.0%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r>
    </w:tbl>
    <w:p>
      <w:pPr>
        <w:spacing w:after="0" w:line="14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45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Committee established operating objectives for Mr. Van Handel for 2016 as follows:</w:t>
      </w:r>
    </w:p>
    <w:p>
      <w:pPr>
        <w:spacing w:after="0" w:line="117" w:lineRule="exact"/>
        <w:rPr>
          <w:sz w:val="20"/>
          <w:szCs w:val="20"/>
          <w:color w:val="auto"/>
        </w:rPr>
      </w:pPr>
    </w:p>
    <w:p>
      <w:pPr>
        <w:ind w:left="440" w:hanging="324"/>
        <w:spacing w:after="0"/>
        <w:tabs>
          <w:tab w:leader="none" w:pos="440" w:val="left"/>
        </w:tabs>
        <w:numPr>
          <w:ilvl w:val="0"/>
          <w:numId w:val="55"/>
        </w:numPr>
        <w:rPr>
          <w:rFonts w:ascii="Arial" w:cs="Arial" w:eastAsia="Arial" w:hAnsi="Arial"/>
          <w:sz w:val="18"/>
          <w:szCs w:val="18"/>
          <w:color w:val="5D89B4"/>
        </w:rPr>
      </w:pPr>
      <w:r>
        <w:rPr>
          <w:rFonts w:ascii="Arial" w:cs="Arial" w:eastAsia="Arial" w:hAnsi="Arial"/>
          <w:sz w:val="18"/>
          <w:szCs w:val="18"/>
          <w:color w:val="auto"/>
        </w:rPr>
        <w:t>In collaboration with the CEO, facilitate and ensure a smooth CFO transition with external and internal stakeholders</w:t>
      </w:r>
    </w:p>
    <w:p>
      <w:pPr>
        <w:spacing w:after="0" w:line="117" w:lineRule="exact"/>
        <w:rPr>
          <w:rFonts w:ascii="Arial" w:cs="Arial" w:eastAsia="Arial" w:hAnsi="Arial"/>
          <w:sz w:val="18"/>
          <w:szCs w:val="18"/>
          <w:color w:val="5D89B4"/>
        </w:rPr>
      </w:pPr>
    </w:p>
    <w:p>
      <w:pPr>
        <w:ind w:left="440" w:hanging="324"/>
        <w:spacing w:after="0"/>
        <w:tabs>
          <w:tab w:leader="none" w:pos="440" w:val="left"/>
        </w:tabs>
        <w:numPr>
          <w:ilvl w:val="0"/>
          <w:numId w:val="55"/>
        </w:numPr>
        <w:rPr>
          <w:rFonts w:ascii="Arial" w:cs="Arial" w:eastAsia="Arial" w:hAnsi="Arial"/>
          <w:sz w:val="18"/>
          <w:szCs w:val="18"/>
          <w:color w:val="5D89B4"/>
        </w:rPr>
      </w:pPr>
      <w:r>
        <w:rPr>
          <w:rFonts w:ascii="Arial" w:cs="Arial" w:eastAsia="Arial" w:hAnsi="Arial"/>
          <w:sz w:val="18"/>
          <w:szCs w:val="18"/>
          <w:color w:val="auto"/>
        </w:rPr>
        <w:t>Manage investor relations and shareholder messaging in close collaboration with the CEO and CFO</w:t>
      </w:r>
    </w:p>
    <w:p>
      <w:pPr>
        <w:spacing w:after="0" w:line="104"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Committee determined that Mr. Van Handel earned a cash incentive award for 2016 between target and outstanding for EPS and ROIC. The Committee also approved an incentive award to Mr. Van Handel based on its determination of the level of performance towards achievement of his various operating objectives. Based on these accomplishments, the Committee determined to pay the 2016 award to Mr. Van Handel as follows:</w:t>
      </w:r>
    </w:p>
    <w:p>
      <w:pPr>
        <w:spacing w:after="0" w:line="88" w:lineRule="exact"/>
        <w:rPr>
          <w:sz w:val="20"/>
          <w:szCs w:val="20"/>
          <w:color w:val="auto"/>
        </w:rPr>
      </w:pPr>
    </w:p>
    <w:tbl>
      <w:tblPr>
        <w:tblLayout w:type="fixed"/>
        <w:tblInd w:w="920" w:type="dxa"/>
        <w:tblCellMar>
          <w:top w:w="0" w:type="dxa"/>
          <w:left w:w="0" w:type="dxa"/>
          <w:bottom w:w="0" w:type="dxa"/>
          <w:right w:w="0" w:type="dxa"/>
        </w:tblCellMar>
      </w:tblPr>
      <w:tr>
        <w:trPr>
          <w:trHeight w:val="270"/>
        </w:trPr>
        <w:tc>
          <w:tcPr>
            <w:tcW w:w="6080" w:type="dxa"/>
            <w:vAlign w:val="bottom"/>
            <w:tcBorders>
              <w:top w:val="single" w:sz="8" w:color="auto"/>
              <w:bottom w:val="single" w:sz="8" w:color="auto"/>
            </w:tcBorders>
            <w:shd w:val="clear" w:color="auto" w:fill="9DB8D2"/>
          </w:tcPr>
          <w:p>
            <w:pPr>
              <w:spacing w:after="0"/>
              <w:rPr>
                <w:sz w:val="23"/>
                <w:szCs w:val="23"/>
                <w:color w:val="auto"/>
              </w:rPr>
            </w:pPr>
          </w:p>
        </w:tc>
        <w:tc>
          <w:tcPr>
            <w:tcW w:w="2040" w:type="dxa"/>
            <w:vAlign w:val="bottom"/>
            <w:tcBorders>
              <w:top w:val="single" w:sz="8" w:color="auto"/>
              <w:bottom w:val="single" w:sz="8" w:color="auto"/>
            </w:tcBorders>
            <w:shd w:val="clear" w:color="auto" w:fill="9DB8D2"/>
          </w:tcPr>
          <w:p>
            <w:pPr>
              <w:ind w:left="800"/>
              <w:spacing w:after="0"/>
              <w:rPr>
                <w:sz w:val="20"/>
                <w:szCs w:val="20"/>
                <w:color w:val="auto"/>
              </w:rPr>
            </w:pPr>
            <w:r>
              <w:rPr>
                <w:rFonts w:ascii="Arial" w:cs="Arial" w:eastAsia="Arial" w:hAnsi="Arial"/>
                <w:sz w:val="14"/>
                <w:szCs w:val="14"/>
                <w:b w:val="1"/>
                <w:bCs w:val="1"/>
                <w:color w:val="auto"/>
              </w:rPr>
              <w:t>Target Award</w:t>
            </w:r>
          </w:p>
        </w:tc>
        <w:tc>
          <w:tcPr>
            <w:tcW w:w="1460" w:type="dxa"/>
            <w:vAlign w:val="bottom"/>
            <w:tcBorders>
              <w:top w:val="single" w:sz="8" w:color="auto"/>
              <w:bottom w:val="single" w:sz="8" w:color="auto"/>
            </w:tcBorders>
            <w:shd w:val="clear" w:color="auto" w:fill="9DB8D2"/>
          </w:tcPr>
          <w:p>
            <w:pPr>
              <w:ind w:left="360"/>
              <w:spacing w:after="0"/>
              <w:rPr>
                <w:sz w:val="20"/>
                <w:szCs w:val="20"/>
                <w:color w:val="auto"/>
              </w:rPr>
            </w:pPr>
            <w:r>
              <w:rPr>
                <w:rFonts w:ascii="Arial" w:cs="Arial" w:eastAsia="Arial" w:hAnsi="Arial"/>
                <w:sz w:val="14"/>
                <w:szCs w:val="14"/>
                <w:b w:val="1"/>
                <w:bCs w:val="1"/>
                <w:color w:val="auto"/>
              </w:rPr>
              <w:t>Actual Award</w:t>
            </w:r>
          </w:p>
        </w:tc>
      </w:tr>
      <w:tr>
        <w:trPr>
          <w:trHeight w:val="183"/>
        </w:trPr>
        <w:tc>
          <w:tcPr>
            <w:tcW w:w="6080" w:type="dxa"/>
            <w:vAlign w:val="bottom"/>
            <w:tcBorders>
              <w:bottom w:val="single" w:sz="8" w:color="auto"/>
            </w:tcBorders>
            <w:shd w:val="clear" w:color="auto" w:fill="E6EDF3"/>
          </w:tcPr>
          <w:p>
            <w:pPr>
              <w:ind w:left="80"/>
              <w:spacing w:after="0" w:line="183" w:lineRule="exact"/>
              <w:rPr>
                <w:sz w:val="20"/>
                <w:szCs w:val="20"/>
                <w:color w:val="auto"/>
              </w:rPr>
            </w:pPr>
            <w:r>
              <w:rPr>
                <w:rFonts w:ascii="Arial" w:cs="Arial" w:eastAsia="Arial" w:hAnsi="Arial"/>
                <w:sz w:val="16"/>
                <w:szCs w:val="16"/>
                <w:color w:val="auto"/>
              </w:rPr>
              <w:t>Senior Executive Vice President</w:t>
            </w:r>
          </w:p>
        </w:tc>
        <w:tc>
          <w:tcPr>
            <w:tcW w:w="2040" w:type="dxa"/>
            <w:vAlign w:val="bottom"/>
            <w:tcBorders>
              <w:bottom w:val="single" w:sz="8" w:color="auto"/>
            </w:tcBorders>
            <w:shd w:val="clear" w:color="auto" w:fill="E6EDF3"/>
          </w:tcPr>
          <w:p>
            <w:pPr>
              <w:ind w:left="800"/>
              <w:spacing w:after="0" w:line="183" w:lineRule="exact"/>
              <w:rPr>
                <w:sz w:val="20"/>
                <w:szCs w:val="20"/>
                <w:color w:val="auto"/>
              </w:rPr>
            </w:pPr>
            <w:r>
              <w:rPr>
                <w:rFonts w:ascii="Arial" w:cs="Arial" w:eastAsia="Arial" w:hAnsi="Arial"/>
                <w:sz w:val="16"/>
                <w:szCs w:val="16"/>
                <w:color w:val="auto"/>
              </w:rPr>
              <w:t>$   660,000</w:t>
            </w:r>
          </w:p>
        </w:tc>
        <w:tc>
          <w:tcPr>
            <w:tcW w:w="1460" w:type="dxa"/>
            <w:vAlign w:val="bottom"/>
            <w:tcBorders>
              <w:bottom w:val="single" w:sz="8" w:color="auto"/>
            </w:tcBorders>
            <w:shd w:val="clear" w:color="auto" w:fill="E6EDF3"/>
          </w:tcPr>
          <w:p>
            <w:pPr>
              <w:ind w:left="360"/>
              <w:spacing w:after="0" w:line="183" w:lineRule="exact"/>
              <w:rPr>
                <w:sz w:val="20"/>
                <w:szCs w:val="20"/>
                <w:color w:val="auto"/>
              </w:rPr>
            </w:pPr>
            <w:r>
              <w:rPr>
                <w:rFonts w:ascii="Arial" w:cs="Arial" w:eastAsia="Arial" w:hAnsi="Arial"/>
                <w:sz w:val="16"/>
                <w:szCs w:val="16"/>
                <w:color w:val="auto"/>
              </w:rPr>
              <w:t>$   816,948</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Long-Term Incentives</w:t>
      </w:r>
    </w:p>
    <w:p>
      <w:pPr>
        <w:spacing w:after="0" w:line="16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Each year the Committee determines the appropriate mix of performance share units, stock options and restricted stock grants that should comprise the long-term incentives for the NEOs. This flexibility allows the Committee to tailor its program to create the incentive structure that it believes will best align executive performance and the needs of the Company. The Committee has determined that the performance needs of the Company are generally best met through a package of awards for the NEOs made up of 60% performance share units, 20% stock options and 20% restricted stock units. We believe this will further align the NEOs’ interests with long-term shareholder value, particularly as 60% of the awards vest based on performance criteria. This structure was modified by the Committee for Mr. Van Handel in 2016, in light of the expectation that he would retire following the end of 2016. His awards took the form of restricted stock units. He was not granted performance share units or stock options in 2016.</w:t>
      </w:r>
    </w:p>
    <w:p>
      <w:pPr>
        <w:spacing w:after="0" w:line="100"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The performance share units, stock options and restricted stock units awarded in 2016 have the characteristics below. The specific long-term incentive grants for each officer are shown in the Grants of Plan Based Awards table on page 56.</w:t>
      </w:r>
    </w:p>
    <w:p>
      <w:pPr>
        <w:spacing w:after="0" w:line="8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u w:val="single" w:color="auto"/>
          <w:color w:val="auto"/>
        </w:rPr>
        <w:t>Performance share units</w:t>
      </w:r>
      <w:r>
        <w:rPr>
          <w:rFonts w:ascii="Arial" w:cs="Arial" w:eastAsia="Arial" w:hAnsi="Arial"/>
          <w:sz w:val="18"/>
          <w:szCs w:val="18"/>
          <w:color w:val="auto"/>
        </w:rPr>
        <w:t>. For the performance share units granted in 2016, vesting will be based on achievement of a pre-established goal for average operating profit margin percent, over a three year period ending December 31, 2018. The Committee believes operating profit margin percent correctly focuses executive officers on the long-term profitability of the Company. Following completion of the 2016-2018 performance period, the Committee will compare operating profit margin percent performance against target levels. The number of shares earned will vest and be settled in common stock in February 2019, after the Committee determines the achievement of the performance goals.</w:t>
      </w:r>
    </w:p>
    <w:p>
      <w:pPr>
        <w:spacing w:after="0" w:line="95"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The following table shows the goals established by the Committee for the 2016-2018 performance period for these performance share units and the associated payout percentage:</w:t>
      </w:r>
    </w:p>
    <w:p>
      <w:pPr>
        <w:spacing w:after="0" w:line="83" w:lineRule="exact"/>
        <w:rPr>
          <w:sz w:val="20"/>
          <w:szCs w:val="20"/>
          <w:color w:val="auto"/>
        </w:rPr>
      </w:pPr>
    </w:p>
    <w:tbl>
      <w:tblPr>
        <w:tblLayout w:type="fixed"/>
        <w:tblInd w:w="920" w:type="dxa"/>
        <w:tblCellMar>
          <w:top w:w="0" w:type="dxa"/>
          <w:left w:w="0" w:type="dxa"/>
          <w:bottom w:w="0" w:type="dxa"/>
          <w:right w:w="0" w:type="dxa"/>
        </w:tblCellMar>
      </w:tblPr>
      <w:tr>
        <w:trPr>
          <w:trHeight w:val="270"/>
        </w:trPr>
        <w:tc>
          <w:tcPr>
            <w:tcW w:w="4960" w:type="dxa"/>
            <w:vAlign w:val="bottom"/>
            <w:tcBorders>
              <w:top w:val="single" w:sz="8" w:color="auto"/>
              <w:bottom w:val="single" w:sz="8" w:color="auto"/>
            </w:tcBorders>
            <w:shd w:val="clear" w:color="auto" w:fill="9DB8D2"/>
          </w:tcPr>
          <w:p>
            <w:pPr>
              <w:spacing w:after="0"/>
              <w:rPr>
                <w:sz w:val="23"/>
                <w:szCs w:val="23"/>
                <w:color w:val="auto"/>
              </w:rPr>
            </w:pPr>
          </w:p>
        </w:tc>
        <w:tc>
          <w:tcPr>
            <w:tcW w:w="2000" w:type="dxa"/>
            <w:vAlign w:val="bottom"/>
            <w:tcBorders>
              <w:top w:val="single" w:sz="8" w:color="auto"/>
              <w:bottom w:val="single" w:sz="8" w:color="auto"/>
            </w:tcBorders>
            <w:shd w:val="clear" w:color="auto" w:fill="9DB8D2"/>
          </w:tcPr>
          <w:p>
            <w:pPr>
              <w:jc w:val="right"/>
              <w:ind w:right="442"/>
              <w:spacing w:after="0"/>
              <w:rPr>
                <w:sz w:val="20"/>
                <w:szCs w:val="20"/>
                <w:color w:val="auto"/>
              </w:rPr>
            </w:pPr>
            <w:r>
              <w:rPr>
                <w:rFonts w:ascii="Arial" w:cs="Arial" w:eastAsia="Arial" w:hAnsi="Arial"/>
                <w:sz w:val="14"/>
                <w:szCs w:val="14"/>
                <w:b w:val="1"/>
                <w:bCs w:val="1"/>
                <w:color w:val="auto"/>
              </w:rPr>
              <w:t>Threshold</w:t>
            </w:r>
          </w:p>
        </w:tc>
        <w:tc>
          <w:tcPr>
            <w:tcW w:w="1260" w:type="dxa"/>
            <w:vAlign w:val="bottom"/>
            <w:tcBorders>
              <w:top w:val="single" w:sz="8" w:color="auto"/>
              <w:bottom w:val="single" w:sz="8" w:color="auto"/>
            </w:tcBorders>
            <w:shd w:val="clear" w:color="auto" w:fill="9DB8D2"/>
          </w:tcPr>
          <w:p>
            <w:pPr>
              <w:jc w:val="right"/>
              <w:ind w:right="362"/>
              <w:spacing w:after="0"/>
              <w:rPr>
                <w:sz w:val="20"/>
                <w:szCs w:val="20"/>
                <w:color w:val="auto"/>
              </w:rPr>
            </w:pPr>
            <w:r>
              <w:rPr>
                <w:rFonts w:ascii="Arial" w:cs="Arial" w:eastAsia="Arial" w:hAnsi="Arial"/>
                <w:sz w:val="14"/>
                <w:szCs w:val="14"/>
                <w:b w:val="1"/>
                <w:bCs w:val="1"/>
                <w:color w:val="auto"/>
              </w:rPr>
              <w:t>Target</w:t>
            </w:r>
          </w:p>
        </w:tc>
        <w:tc>
          <w:tcPr>
            <w:tcW w:w="1360" w:type="dxa"/>
            <w:vAlign w:val="bottom"/>
            <w:tcBorders>
              <w:top w:val="single" w:sz="8" w:color="auto"/>
              <w:bottom w:val="single" w:sz="8" w:color="auto"/>
            </w:tcBorders>
            <w:shd w:val="clear" w:color="auto" w:fill="9DB8D2"/>
          </w:tcPr>
          <w:p>
            <w:pPr>
              <w:jc w:val="right"/>
              <w:ind w:right="122"/>
              <w:spacing w:after="0"/>
              <w:rPr>
                <w:sz w:val="20"/>
                <w:szCs w:val="20"/>
                <w:color w:val="auto"/>
              </w:rPr>
            </w:pPr>
            <w:r>
              <w:rPr>
                <w:rFonts w:ascii="Arial" w:cs="Arial" w:eastAsia="Arial" w:hAnsi="Arial"/>
                <w:sz w:val="14"/>
                <w:szCs w:val="14"/>
                <w:b w:val="1"/>
                <w:bCs w:val="1"/>
                <w:color w:val="auto"/>
              </w:rPr>
              <w:t>Outstanding</w:t>
            </w:r>
          </w:p>
        </w:tc>
      </w:tr>
      <w:tr>
        <w:trPr>
          <w:trHeight w:val="183"/>
        </w:trPr>
        <w:tc>
          <w:tcPr>
            <w:tcW w:w="496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Average Operating Profit Margin Percent 2016-2018</w:t>
            </w:r>
          </w:p>
        </w:tc>
        <w:tc>
          <w:tcPr>
            <w:tcW w:w="2000" w:type="dxa"/>
            <w:vAlign w:val="bottom"/>
            <w:shd w:val="clear" w:color="auto" w:fill="E6EDF3"/>
          </w:tcPr>
          <w:p>
            <w:pPr>
              <w:jc w:val="right"/>
              <w:ind w:right="282"/>
              <w:spacing w:after="0" w:line="183" w:lineRule="exact"/>
              <w:rPr>
                <w:sz w:val="20"/>
                <w:szCs w:val="20"/>
                <w:color w:val="auto"/>
              </w:rPr>
            </w:pPr>
            <w:r>
              <w:rPr>
                <w:rFonts w:ascii="Arial" w:cs="Arial" w:eastAsia="Arial" w:hAnsi="Arial"/>
                <w:sz w:val="16"/>
                <w:szCs w:val="16"/>
                <w:color w:val="auto"/>
              </w:rPr>
              <w:t>2.90%</w:t>
            </w:r>
          </w:p>
        </w:tc>
        <w:tc>
          <w:tcPr>
            <w:tcW w:w="1260" w:type="dxa"/>
            <w:vAlign w:val="bottom"/>
            <w:shd w:val="clear" w:color="auto" w:fill="E6EDF3"/>
          </w:tcPr>
          <w:p>
            <w:pPr>
              <w:jc w:val="right"/>
              <w:ind w:right="222"/>
              <w:spacing w:after="0" w:line="183" w:lineRule="exact"/>
              <w:rPr>
                <w:sz w:val="20"/>
                <w:szCs w:val="20"/>
                <w:color w:val="auto"/>
              </w:rPr>
            </w:pPr>
            <w:r>
              <w:rPr>
                <w:rFonts w:ascii="Arial" w:cs="Arial" w:eastAsia="Arial" w:hAnsi="Arial"/>
                <w:sz w:val="16"/>
                <w:szCs w:val="16"/>
                <w:color w:val="auto"/>
              </w:rPr>
              <w:t>3.90%</w:t>
            </w:r>
          </w:p>
        </w:tc>
        <w:tc>
          <w:tcPr>
            <w:tcW w:w="1360" w:type="dxa"/>
            <w:vAlign w:val="bottom"/>
            <w:shd w:val="clear" w:color="auto" w:fill="E6EDF3"/>
          </w:tcPr>
          <w:p>
            <w:pPr>
              <w:jc w:val="right"/>
              <w:spacing w:after="0" w:line="183" w:lineRule="exact"/>
              <w:rPr>
                <w:sz w:val="20"/>
                <w:szCs w:val="20"/>
                <w:color w:val="auto"/>
              </w:rPr>
            </w:pPr>
            <w:r>
              <w:rPr>
                <w:rFonts w:ascii="Arial" w:cs="Arial" w:eastAsia="Arial" w:hAnsi="Arial"/>
                <w:sz w:val="16"/>
                <w:szCs w:val="16"/>
                <w:color w:val="auto"/>
              </w:rPr>
              <w:t>4.40%</w:t>
            </w:r>
          </w:p>
        </w:tc>
      </w:tr>
      <w:tr>
        <w:trPr>
          <w:trHeight w:val="189"/>
        </w:trPr>
        <w:tc>
          <w:tcPr>
            <w:tcW w:w="49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Payout Percentage</w:t>
            </w:r>
          </w:p>
        </w:tc>
        <w:tc>
          <w:tcPr>
            <w:tcW w:w="20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50%</w:t>
            </w:r>
          </w:p>
        </w:tc>
        <w:tc>
          <w:tcPr>
            <w:tcW w:w="12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100%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r>
    </w:tbl>
    <w:p>
      <w:pPr>
        <w:spacing w:after="0" w:line="107"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To determine the average operating profit margin percent at the end of the three year period, the actual performance results from each year will be averaged to determine the three-year average performance results. The final award will be determined by using the three-year payout scale relative to the 3-year average performance.</w:t>
      </w:r>
    </w:p>
    <w:p>
      <w:pPr>
        <w:spacing w:after="0" w:line="9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An operating profit “gate” was also established for the performance share units to ensure operating profit margins are achieved without significantly decreasing revenues. This gate was set at $650.0 million, meaning participants cannot receive more than 100% of the target level payout unless average operating profit for the 2016-2018 performance period exceeds $650.0 million.</w:t>
      </w:r>
    </w:p>
    <w:p>
      <w:pPr>
        <w:spacing w:after="0" w:line="95"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Based on the Company’s average operating margin percent for the 3-year performance period of 2014-2016, the Committee determined the 2014 performance share unit awards vested at 188% of the target level. The operating</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46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818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profit dollar gate for these awards was also reached, so the NEOs received the actual performance share units earned under the 2014 award. These shares vested and were settled in common stock in February 2017, after the Committee determined the achievement of the performance goals. The number of shares earned for the each of the NEOs is as follows:</w:t>
      </w:r>
    </w:p>
    <w:p>
      <w:pPr>
        <w:spacing w:after="0" w:line="89" w:lineRule="exact"/>
        <w:rPr>
          <w:sz w:val="20"/>
          <w:szCs w:val="20"/>
          <w:color w:val="auto"/>
        </w:rPr>
      </w:pPr>
    </w:p>
    <w:tbl>
      <w:tblPr>
        <w:tblLayout w:type="fixed"/>
        <w:tblInd w:w="920" w:type="dxa"/>
        <w:tblCellMar>
          <w:top w:w="0" w:type="dxa"/>
          <w:left w:w="0" w:type="dxa"/>
          <w:bottom w:w="0" w:type="dxa"/>
          <w:right w:w="0" w:type="dxa"/>
        </w:tblCellMar>
      </w:tblPr>
      <w:tr>
        <w:trPr>
          <w:trHeight w:val="257"/>
        </w:trPr>
        <w:tc>
          <w:tcPr>
            <w:tcW w:w="4560" w:type="dxa"/>
            <w:vAlign w:val="bottom"/>
            <w:tcBorders>
              <w:top w:val="single" w:sz="8" w:color="auto"/>
            </w:tcBorders>
            <w:shd w:val="clear" w:color="auto" w:fill="9DB8D2"/>
          </w:tcPr>
          <w:p>
            <w:pPr>
              <w:spacing w:after="0"/>
              <w:rPr>
                <w:sz w:val="22"/>
                <w:szCs w:val="22"/>
                <w:color w:val="auto"/>
              </w:rPr>
            </w:pPr>
          </w:p>
        </w:tc>
        <w:tc>
          <w:tcPr>
            <w:tcW w:w="2960" w:type="dxa"/>
            <w:vAlign w:val="bottom"/>
            <w:tcBorders>
              <w:top w:val="single" w:sz="8" w:color="auto"/>
            </w:tcBorders>
            <w:shd w:val="clear" w:color="auto" w:fill="9DB8D2"/>
          </w:tcPr>
          <w:p>
            <w:pPr>
              <w:jc w:val="right"/>
              <w:ind w:right="421"/>
              <w:spacing w:after="0"/>
              <w:rPr>
                <w:sz w:val="20"/>
                <w:szCs w:val="20"/>
                <w:color w:val="auto"/>
              </w:rPr>
            </w:pPr>
            <w:r>
              <w:rPr>
                <w:rFonts w:ascii="Arial" w:cs="Arial" w:eastAsia="Arial" w:hAnsi="Arial"/>
                <w:sz w:val="14"/>
                <w:szCs w:val="14"/>
                <w:b w:val="1"/>
                <w:bCs w:val="1"/>
                <w:color w:val="auto"/>
              </w:rPr>
              <w:t>Performance Share</w:t>
            </w:r>
          </w:p>
        </w:tc>
        <w:tc>
          <w:tcPr>
            <w:tcW w:w="2060" w:type="dxa"/>
            <w:vAlign w:val="bottom"/>
            <w:tcBorders>
              <w:top w:val="single" w:sz="8" w:color="auto"/>
            </w:tcBorders>
            <w:shd w:val="clear" w:color="auto" w:fill="9DB8D2"/>
          </w:tcPr>
          <w:p>
            <w:pPr>
              <w:jc w:val="right"/>
              <w:ind w:right="161"/>
              <w:spacing w:after="0"/>
              <w:rPr>
                <w:sz w:val="20"/>
                <w:szCs w:val="20"/>
                <w:color w:val="auto"/>
              </w:rPr>
            </w:pPr>
            <w:r>
              <w:rPr>
                <w:rFonts w:ascii="Arial" w:cs="Arial" w:eastAsia="Arial" w:hAnsi="Arial"/>
                <w:sz w:val="14"/>
                <w:szCs w:val="14"/>
                <w:b w:val="1"/>
                <w:bCs w:val="1"/>
                <w:color w:val="auto"/>
              </w:rPr>
              <w:t>Performance Share</w:t>
            </w:r>
          </w:p>
        </w:tc>
      </w:tr>
      <w:tr>
        <w:trPr>
          <w:trHeight w:val="175"/>
        </w:trPr>
        <w:tc>
          <w:tcPr>
            <w:tcW w:w="456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NEO</w:t>
            </w:r>
          </w:p>
        </w:tc>
        <w:tc>
          <w:tcPr>
            <w:tcW w:w="2960" w:type="dxa"/>
            <w:vAlign w:val="bottom"/>
            <w:tcBorders>
              <w:bottom w:val="single" w:sz="8" w:color="auto"/>
            </w:tcBorders>
            <w:shd w:val="clear" w:color="auto" w:fill="9DB8D2"/>
          </w:tcPr>
          <w:p>
            <w:pPr>
              <w:jc w:val="right"/>
              <w:ind w:right="501"/>
              <w:spacing w:after="0"/>
              <w:rPr>
                <w:sz w:val="20"/>
                <w:szCs w:val="20"/>
                <w:color w:val="auto"/>
              </w:rPr>
            </w:pPr>
            <w:r>
              <w:rPr>
                <w:rFonts w:ascii="Arial" w:cs="Arial" w:eastAsia="Arial" w:hAnsi="Arial"/>
                <w:sz w:val="14"/>
                <w:szCs w:val="14"/>
                <w:b w:val="1"/>
                <w:bCs w:val="1"/>
                <w:color w:val="auto"/>
              </w:rPr>
              <w:t>Units Granted(#)</w:t>
            </w:r>
          </w:p>
        </w:tc>
        <w:tc>
          <w:tcPr>
            <w:tcW w:w="2060" w:type="dxa"/>
            <w:vAlign w:val="bottom"/>
            <w:tcBorders>
              <w:bottom w:val="single" w:sz="8" w:color="auto"/>
            </w:tcBorders>
            <w:shd w:val="clear" w:color="auto" w:fill="9DB8D2"/>
          </w:tcPr>
          <w:p>
            <w:pPr>
              <w:jc w:val="right"/>
              <w:ind w:right="301"/>
              <w:spacing w:after="0"/>
              <w:rPr>
                <w:sz w:val="20"/>
                <w:szCs w:val="20"/>
                <w:color w:val="auto"/>
              </w:rPr>
            </w:pPr>
            <w:r>
              <w:rPr>
                <w:rFonts w:ascii="Arial" w:cs="Arial" w:eastAsia="Arial" w:hAnsi="Arial"/>
                <w:sz w:val="14"/>
                <w:szCs w:val="14"/>
                <w:b w:val="1"/>
                <w:bCs w:val="1"/>
                <w:color w:val="auto"/>
              </w:rPr>
              <w:t>Units Earned(#)</w:t>
            </w:r>
          </w:p>
        </w:tc>
      </w:tr>
      <w:tr>
        <w:trPr>
          <w:trHeight w:val="183"/>
        </w:trPr>
        <w:tc>
          <w:tcPr>
            <w:tcW w:w="456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Jonas Prising</w:t>
            </w:r>
          </w:p>
        </w:tc>
        <w:tc>
          <w:tcPr>
            <w:tcW w:w="2960" w:type="dxa"/>
            <w:vAlign w:val="bottom"/>
            <w:shd w:val="clear" w:color="auto" w:fill="E6EDF3"/>
          </w:tcPr>
          <w:p>
            <w:pPr>
              <w:jc w:val="right"/>
              <w:ind w:right="421"/>
              <w:spacing w:after="0" w:line="183" w:lineRule="exact"/>
              <w:rPr>
                <w:sz w:val="20"/>
                <w:szCs w:val="20"/>
                <w:color w:val="auto"/>
              </w:rPr>
            </w:pPr>
            <w:r>
              <w:rPr>
                <w:rFonts w:ascii="Arial" w:cs="Arial" w:eastAsia="Arial" w:hAnsi="Arial"/>
                <w:sz w:val="16"/>
                <w:szCs w:val="16"/>
                <w:color w:val="auto"/>
              </w:rPr>
              <w:t>42,028</w:t>
            </w:r>
          </w:p>
        </w:tc>
        <w:tc>
          <w:tcPr>
            <w:tcW w:w="2060" w:type="dxa"/>
            <w:vAlign w:val="bottom"/>
            <w:shd w:val="clear" w:color="auto" w:fill="E6EDF3"/>
          </w:tcPr>
          <w:p>
            <w:pPr>
              <w:jc w:val="right"/>
              <w:ind w:right="161"/>
              <w:spacing w:after="0" w:line="183" w:lineRule="exact"/>
              <w:rPr>
                <w:sz w:val="20"/>
                <w:szCs w:val="20"/>
                <w:color w:val="auto"/>
              </w:rPr>
            </w:pPr>
            <w:r>
              <w:rPr>
                <w:rFonts w:ascii="Arial" w:cs="Arial" w:eastAsia="Arial" w:hAnsi="Arial"/>
                <w:sz w:val="16"/>
                <w:szCs w:val="16"/>
                <w:color w:val="auto"/>
              </w:rPr>
              <w:t>79,012</w:t>
            </w:r>
          </w:p>
        </w:tc>
      </w:tr>
      <w:tr>
        <w:trPr>
          <w:trHeight w:val="189"/>
        </w:trPr>
        <w:tc>
          <w:tcPr>
            <w:tcW w:w="4560" w:type="dxa"/>
            <w:vAlign w:val="bottom"/>
          </w:tcPr>
          <w:p>
            <w:pPr>
              <w:ind w:left="80"/>
              <w:spacing w:after="0"/>
              <w:rPr>
                <w:sz w:val="20"/>
                <w:szCs w:val="20"/>
                <w:color w:val="auto"/>
              </w:rPr>
            </w:pPr>
            <w:r>
              <w:rPr>
                <w:rFonts w:ascii="Arial" w:cs="Arial" w:eastAsia="Arial" w:hAnsi="Arial"/>
                <w:sz w:val="16"/>
                <w:szCs w:val="16"/>
                <w:color w:val="auto"/>
              </w:rPr>
              <w:t>John T. McGinnis(1)</w:t>
            </w:r>
          </w:p>
        </w:tc>
        <w:tc>
          <w:tcPr>
            <w:tcW w:w="2960" w:type="dxa"/>
            <w:vAlign w:val="bottom"/>
          </w:tcPr>
          <w:p>
            <w:pPr>
              <w:jc w:val="right"/>
              <w:ind w:right="421"/>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161"/>
              <w:spacing w:after="0"/>
              <w:rPr>
                <w:sz w:val="20"/>
                <w:szCs w:val="20"/>
                <w:color w:val="auto"/>
              </w:rPr>
            </w:pPr>
            <w:r>
              <w:rPr>
                <w:rFonts w:ascii="Arial" w:cs="Arial" w:eastAsia="Arial" w:hAnsi="Arial"/>
                <w:sz w:val="16"/>
                <w:szCs w:val="16"/>
                <w:color w:val="auto"/>
              </w:rPr>
              <w:t>—</w:t>
            </w:r>
          </w:p>
        </w:tc>
      </w:tr>
      <w:tr>
        <w:trPr>
          <w:trHeight w:val="189"/>
        </w:trPr>
        <w:tc>
          <w:tcPr>
            <w:tcW w:w="4560" w:type="dxa"/>
            <w:vAlign w:val="bottom"/>
            <w:shd w:val="clear" w:color="auto" w:fill="E6EDF3"/>
          </w:tcPr>
          <w:p>
            <w:pPr>
              <w:ind w:left="80"/>
              <w:spacing w:after="0"/>
              <w:rPr>
                <w:sz w:val="20"/>
                <w:szCs w:val="20"/>
                <w:color w:val="auto"/>
              </w:rPr>
            </w:pPr>
            <w:r>
              <w:rPr>
                <w:rFonts w:ascii="Arial" w:cs="Arial" w:eastAsia="Arial" w:hAnsi="Arial"/>
                <w:sz w:val="16"/>
                <w:szCs w:val="16"/>
                <w:color w:val="auto"/>
              </w:rPr>
              <w:t>Darryl Green</w:t>
            </w:r>
          </w:p>
        </w:tc>
        <w:tc>
          <w:tcPr>
            <w:tcW w:w="2960" w:type="dxa"/>
            <w:vAlign w:val="bottom"/>
            <w:shd w:val="clear" w:color="auto" w:fill="E6EDF3"/>
          </w:tcPr>
          <w:p>
            <w:pPr>
              <w:jc w:val="right"/>
              <w:ind w:right="421"/>
              <w:spacing w:after="0"/>
              <w:rPr>
                <w:sz w:val="20"/>
                <w:szCs w:val="20"/>
                <w:color w:val="auto"/>
              </w:rPr>
            </w:pPr>
            <w:r>
              <w:rPr>
                <w:rFonts w:ascii="Arial" w:cs="Arial" w:eastAsia="Arial" w:hAnsi="Arial"/>
                <w:sz w:val="16"/>
                <w:szCs w:val="16"/>
                <w:color w:val="auto"/>
              </w:rPr>
              <w:t>26,707</w:t>
            </w:r>
          </w:p>
        </w:tc>
        <w:tc>
          <w:tcPr>
            <w:tcW w:w="2060" w:type="dxa"/>
            <w:vAlign w:val="bottom"/>
            <w:shd w:val="clear" w:color="auto" w:fill="E6EDF3"/>
          </w:tcPr>
          <w:p>
            <w:pPr>
              <w:jc w:val="right"/>
              <w:ind w:right="161"/>
              <w:spacing w:after="0"/>
              <w:rPr>
                <w:sz w:val="20"/>
                <w:szCs w:val="20"/>
                <w:color w:val="auto"/>
              </w:rPr>
            </w:pPr>
            <w:r>
              <w:rPr>
                <w:rFonts w:ascii="Arial" w:cs="Arial" w:eastAsia="Arial" w:hAnsi="Arial"/>
                <w:sz w:val="16"/>
                <w:szCs w:val="16"/>
                <w:color w:val="auto"/>
              </w:rPr>
              <w:t>50,209</w:t>
            </w:r>
          </w:p>
        </w:tc>
      </w:tr>
      <w:tr>
        <w:trPr>
          <w:trHeight w:val="189"/>
        </w:trPr>
        <w:tc>
          <w:tcPr>
            <w:tcW w:w="4560" w:type="dxa"/>
            <w:vAlign w:val="bottom"/>
          </w:tcPr>
          <w:p>
            <w:pPr>
              <w:ind w:left="80"/>
              <w:spacing w:after="0"/>
              <w:rPr>
                <w:sz w:val="20"/>
                <w:szCs w:val="20"/>
                <w:color w:val="auto"/>
              </w:rPr>
            </w:pPr>
            <w:r>
              <w:rPr>
                <w:rFonts w:ascii="Arial" w:cs="Arial" w:eastAsia="Arial" w:hAnsi="Arial"/>
                <w:sz w:val="16"/>
                <w:szCs w:val="16"/>
                <w:color w:val="auto"/>
              </w:rPr>
              <w:t>Ram Chandrashekar</w:t>
            </w:r>
          </w:p>
        </w:tc>
        <w:tc>
          <w:tcPr>
            <w:tcW w:w="2960" w:type="dxa"/>
            <w:vAlign w:val="bottom"/>
          </w:tcPr>
          <w:p>
            <w:pPr>
              <w:jc w:val="right"/>
              <w:ind w:right="421"/>
              <w:spacing w:after="0"/>
              <w:rPr>
                <w:sz w:val="20"/>
                <w:szCs w:val="20"/>
                <w:color w:val="auto"/>
              </w:rPr>
            </w:pPr>
            <w:r>
              <w:rPr>
                <w:rFonts w:ascii="Arial" w:cs="Arial" w:eastAsia="Arial" w:hAnsi="Arial"/>
                <w:sz w:val="16"/>
                <w:szCs w:val="16"/>
                <w:color w:val="auto"/>
              </w:rPr>
              <w:t>11,034</w:t>
            </w:r>
          </w:p>
        </w:tc>
        <w:tc>
          <w:tcPr>
            <w:tcW w:w="2060" w:type="dxa"/>
            <w:vAlign w:val="bottom"/>
          </w:tcPr>
          <w:p>
            <w:pPr>
              <w:jc w:val="right"/>
              <w:ind w:right="161"/>
              <w:spacing w:after="0"/>
              <w:rPr>
                <w:sz w:val="20"/>
                <w:szCs w:val="20"/>
                <w:color w:val="auto"/>
              </w:rPr>
            </w:pPr>
            <w:r>
              <w:rPr>
                <w:rFonts w:ascii="Arial" w:cs="Arial" w:eastAsia="Arial" w:hAnsi="Arial"/>
                <w:sz w:val="16"/>
                <w:szCs w:val="16"/>
                <w:color w:val="auto"/>
              </w:rPr>
              <w:t>20,744</w:t>
            </w:r>
          </w:p>
        </w:tc>
      </w:tr>
      <w:tr>
        <w:trPr>
          <w:trHeight w:val="189"/>
        </w:trPr>
        <w:tc>
          <w:tcPr>
            <w:tcW w:w="4560" w:type="dxa"/>
            <w:vAlign w:val="bottom"/>
            <w:shd w:val="clear" w:color="auto" w:fill="E6EDF3"/>
          </w:tcPr>
          <w:p>
            <w:pPr>
              <w:ind w:left="80"/>
              <w:spacing w:after="0"/>
              <w:rPr>
                <w:sz w:val="20"/>
                <w:szCs w:val="20"/>
                <w:color w:val="auto"/>
              </w:rPr>
            </w:pPr>
            <w:r>
              <w:rPr>
                <w:rFonts w:ascii="Arial" w:cs="Arial" w:eastAsia="Arial" w:hAnsi="Arial"/>
                <w:sz w:val="16"/>
                <w:szCs w:val="16"/>
                <w:color w:val="auto"/>
              </w:rPr>
              <w:t>Mara E. Swan</w:t>
            </w:r>
          </w:p>
        </w:tc>
        <w:tc>
          <w:tcPr>
            <w:tcW w:w="2960" w:type="dxa"/>
            <w:vAlign w:val="bottom"/>
            <w:shd w:val="clear" w:color="auto" w:fill="E6EDF3"/>
          </w:tcPr>
          <w:p>
            <w:pPr>
              <w:jc w:val="right"/>
              <w:ind w:right="421"/>
              <w:spacing w:after="0"/>
              <w:rPr>
                <w:sz w:val="20"/>
                <w:szCs w:val="20"/>
                <w:color w:val="auto"/>
              </w:rPr>
            </w:pPr>
            <w:r>
              <w:rPr>
                <w:rFonts w:ascii="Arial" w:cs="Arial" w:eastAsia="Arial" w:hAnsi="Arial"/>
                <w:sz w:val="16"/>
                <w:szCs w:val="16"/>
                <w:color w:val="auto"/>
              </w:rPr>
              <w:t>9,458</w:t>
            </w:r>
          </w:p>
        </w:tc>
        <w:tc>
          <w:tcPr>
            <w:tcW w:w="2060" w:type="dxa"/>
            <w:vAlign w:val="bottom"/>
            <w:shd w:val="clear" w:color="auto" w:fill="E6EDF3"/>
          </w:tcPr>
          <w:p>
            <w:pPr>
              <w:jc w:val="right"/>
              <w:ind w:right="161"/>
              <w:spacing w:after="0"/>
              <w:rPr>
                <w:sz w:val="20"/>
                <w:szCs w:val="20"/>
                <w:color w:val="auto"/>
              </w:rPr>
            </w:pPr>
            <w:r>
              <w:rPr>
                <w:rFonts w:ascii="Arial" w:cs="Arial" w:eastAsia="Arial" w:hAnsi="Arial"/>
                <w:sz w:val="16"/>
                <w:szCs w:val="16"/>
                <w:color w:val="auto"/>
              </w:rPr>
              <w:t>17,781</w:t>
            </w:r>
          </w:p>
        </w:tc>
      </w:tr>
      <w:tr>
        <w:trPr>
          <w:trHeight w:val="189"/>
        </w:trPr>
        <w:tc>
          <w:tcPr>
            <w:tcW w:w="45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Michael J. Van Handel</w:t>
            </w:r>
          </w:p>
        </w:tc>
        <w:tc>
          <w:tcPr>
            <w:tcW w:w="29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20,492</w:t>
            </w:r>
          </w:p>
        </w:tc>
        <w:tc>
          <w:tcPr>
            <w:tcW w:w="20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38,525</w:t>
            </w:r>
          </w:p>
        </w:tc>
      </w:tr>
    </w:tbl>
    <w:p>
      <w:pPr>
        <w:spacing w:after="0" w:line="126" w:lineRule="exact"/>
        <w:rPr>
          <w:sz w:val="20"/>
          <w:szCs w:val="20"/>
          <w:color w:val="auto"/>
        </w:rPr>
      </w:pPr>
    </w:p>
    <w:p>
      <w:pPr>
        <w:ind w:left="1360" w:hanging="447"/>
        <w:spacing w:after="0"/>
        <w:tabs>
          <w:tab w:leader="none" w:pos="13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Mr. McGinnis was not an employee at the time of grant.</w:t>
      </w:r>
    </w:p>
    <w:p>
      <w:pPr>
        <w:spacing w:after="0" w:line="103"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 The Committee uses stock options to align the interests of the NEOs with long-term shareholder value. Consistent with past years, these will vest ratably over a four-year period.</w:t>
      </w:r>
    </w:p>
    <w:p>
      <w:pPr>
        <w:spacing w:after="0" w:line="8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 As stated earlier, the Committee chose to include restricted stock units because they align the interests of the NEOs with long-term shareholder value and add balance to the compensation program as they provide both upside potential and downside risk. In addition, restricted stock units provide a retention incentive to the NEOs as they are only payable in stock if the NEO remains with the Company through the vesting date. The restricted stock units have a three-year cliff vest.</w:t>
      </w:r>
    </w:p>
    <w:p>
      <w:pPr>
        <w:spacing w:after="0" w:line="280"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Career Shares and Deferred Compensation Plans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Career Shares</w:t>
      </w:r>
    </w:p>
    <w:p>
      <w:pPr>
        <w:spacing w:after="0" w:line="12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Committee selectively grants restricted stock units in order to provide a retention incentive. These career shares vest completely on a single date several years into the future. The Committee considers each year whether to make any such grants, to whom to make such grants and the size of any such grants. In 2016, Mr. McGinnis was granted 13,321 career shares as part of his offer package to join the Company. Mr. Chandrashekar also received a grant of 6,661 career shares in 2016. Both Mr. McGinnis’ and Mr. Chandrashekar’s career shares will fully vest in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Deferred Compensation Plans</w:t>
      </w:r>
    </w:p>
    <w:p>
      <w:pPr>
        <w:spacing w:after="0" w:line="16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ManpowerGroup maintains tax-qualified 401(k) plans for its U.S. employees. For compliance reasons, once an executive is deemed to be “highly compensated” within the meaning of Section 414(q) of the Internal Revenue Code, the executive is no longer eligible to participate in ManpowerGroup’s 401(k) plans except for “catch-up” contributions for employees over 50. ManpowerGroup maintains a separate non-qualified savings plan for “highly compensated” employees, including eligible executives. The non-qualified plan provides similar benefits to the tax-qualified 401(k) plans, including a company match and enhanced matching contribution. However, the nonqualified savings plan is a poor substitute because of the inflexibility as to the timing of the payouts and taxability of the retirement benefits relative to a qualified plan. Furthermore, the plan benefits are unsecured and subject to risk of forfeiture in bankruptcy. The Committee maintains this program in an effort to provide NEOs with reasonably competitive benefits to those in the competitive market.</w:t>
      </w:r>
    </w:p>
    <w:p>
      <w:pPr>
        <w:spacing w:after="0" w:line="100"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As required under applicable law, we contribute to the Central Provident Fund of Singapore on behalf of Mr. Chandrashekar. The Central Provident Fund is a nondiscriminatory, tax qualified savings plan operated and managed by the government of Singapore, to which the employers of Singapore-based employees are required to contribute. All employees of our Singapore branch participate in the Central Provident Fund.</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47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Compensation Discussion and Analysis</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Other Benefits</w:t>
      </w:r>
    </w:p>
    <w:p>
      <w:pPr>
        <w:spacing w:after="0" w:line="147"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NEOs participate in the health and dental coverage, company-paid term life insurance, disability insurance, paid time off, and paid holiday programs applicable to other employees in their locality. These rewards are designed to be competitive with overall market practices, while keeping them at a reasonable level.</w:t>
      </w:r>
    </w:p>
    <w:p>
      <w:pPr>
        <w:spacing w:after="0" w:line="9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ManpowerGroup reimburses NEOs for financial planning assistance. This benefit is provided to ensure that executives prepare adequately for retirement, file their taxes and conduct all stock transactions appropriately. In addition, ManpowerGroup provides memberships in clubs for business entertaining to a limited number of executives. Each executive who is provided such a membership pays the expenses for any personal use of these clubs; however, none of the NEOs used these clubs for personal use in 2016. ManpowerGroup also maintains a broad-based auto program that covers approximately 400 management employees in the U.S., including the U.S. based NEOs, except Mr. Prising who no longer participates in the program. Pursuant to this program, ManpowerGroup pays 75% of the cost of a leased car for NEOs based in the U.S. who participate in the program. Consistent with local practice in Singapore, where Mr. Chandrashekar is based, ManpowerGroup provided him with a car in 2016.</w:t>
      </w:r>
    </w:p>
    <w:p>
      <w:pPr>
        <w:spacing w:after="0" w:line="100"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Except in connection with expatriate assignments, as discussed below, ManpowerGroup does not pay tax gross ups to its NEOs on any of the above benefits.</w:t>
      </w:r>
    </w:p>
    <w:p>
      <w:pPr>
        <w:spacing w:after="0" w:line="8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In 2016, in addition to the above, Mr. McGinnis also received assistance with relocation expenses, including travel, shipping household goods, temporary housing and assistance with the sale of his prior home.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Severance Agreements</w:t>
      </w:r>
    </w:p>
    <w:p>
      <w:pPr>
        <w:spacing w:after="0" w:line="16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ManpowerGroup has entered into severance agreements (which include change of control benefits) with each of the NEOs. These severance agreements are more fully described on pages 67 - 68. The Committee believes that severance and change of control policies are necessary to attract and retain senior talent in a competitive market. The Committee also believes that these agreements benefit ManpowerGroup because they clarify the NEOs’ terms of employment and protect ManpowerGroup’s business during an acquisition. Furthermore, the Committee believes that change of control benefits, if structured appropriately, allow the NEOs to focus on their duties and responsibilities during an acquisition.</w:t>
      </w:r>
    </w:p>
    <w:p>
      <w:pPr>
        <w:spacing w:after="0" w:line="97"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To align our executive compensation program with best governance practices within the Committee’s philosophy, the Committee has eliminated any tax gross up payments and has adopted double triggers in our severance agreements in order for our NEOs to receive benefits following a change in control.</w:t>
      </w:r>
    </w:p>
    <w:p>
      <w:pPr>
        <w:spacing w:after="0" w:line="281"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Additional Executive Compensation Policies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We Have Stock Ownership Guidelines for Executive Officers</w:t>
      </w:r>
    </w:p>
    <w:p>
      <w:pPr>
        <w:spacing w:after="0" w:line="16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Committee believes that NEOs should hold a meaningful stake in ManpowerGroup to align their economic interests with those of other shareholders. To that end, the Committee adopted stock ownership guidelines that currently require each executive to own a target number of shares based on a salary multiple, dependent on the NEO’s position. Under the guidelines, the Committee takes into account actual shares owned by the executive, unvested restricted stock units, and unvested performance share units calculated at the threshold level. The Committee does not consider any stock options or performance share units above the threshold level held by the NEOs. Additionally, to enforce our stock ownership policies, we limit the ability of an executive officer to sell equity until he or she is in compliance with the guidelines. An executive who has not yet met, or who falls below, the stock ownership guidelines, is required to hold 50% of the shares received from the exercise of stock options or the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8180"/>
        <w:spacing w:after="0"/>
        <w:rPr>
          <w:sz w:val="20"/>
          <w:szCs w:val="20"/>
          <w:color w:val="auto"/>
        </w:rPr>
      </w:pPr>
      <w:r>
        <w:rPr>
          <w:rFonts w:ascii="Arial" w:cs="Arial" w:eastAsia="Arial" w:hAnsi="Arial"/>
          <w:sz w:val="18"/>
          <w:szCs w:val="18"/>
          <w:color w:val="FFFFFF"/>
        </w:rPr>
        <w:t>Compensation Discussion and Analysis</w:t>
      </w:r>
    </w:p>
    <w:p>
      <w:pPr>
        <w:spacing w:after="0" w:line="239"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vesting of restricted stock units or performance share units until the ownership guidelines have been satisfied. The following table shows the status as of December 31, 2016 of each of the NEOs guidelines: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20" w:type="dxa"/>
            <w:vAlign w:val="bottom"/>
            <w:tcBorders>
              <w:top w:val="single" w:sz="8" w:color="auto"/>
            </w:tcBorders>
            <w:shd w:val="clear" w:color="auto" w:fill="9DB8D2"/>
          </w:tcPr>
          <w:p>
            <w:pPr>
              <w:spacing w:after="0"/>
              <w:rPr>
                <w:sz w:val="22"/>
                <w:szCs w:val="22"/>
                <w:color w:val="auto"/>
              </w:rPr>
            </w:pPr>
          </w:p>
        </w:tc>
        <w:tc>
          <w:tcPr>
            <w:tcW w:w="1500" w:type="dxa"/>
            <w:vAlign w:val="bottom"/>
            <w:tcBorders>
              <w:top w:val="single" w:sz="8" w:color="auto"/>
            </w:tcBorders>
            <w:shd w:val="clear" w:color="auto" w:fill="9DB8D2"/>
          </w:tcPr>
          <w:p>
            <w:pPr>
              <w:spacing w:after="0"/>
              <w:rPr>
                <w:sz w:val="22"/>
                <w:szCs w:val="22"/>
                <w:color w:val="auto"/>
              </w:rPr>
            </w:pPr>
          </w:p>
        </w:tc>
        <w:tc>
          <w:tcPr>
            <w:tcW w:w="1380" w:type="dxa"/>
            <w:vAlign w:val="bottom"/>
            <w:tcBorders>
              <w:top w:val="single" w:sz="8" w:color="auto"/>
            </w:tcBorders>
            <w:shd w:val="clear" w:color="auto" w:fill="9DB8D2"/>
          </w:tcPr>
          <w:p>
            <w:pPr>
              <w:spacing w:after="0"/>
              <w:rPr>
                <w:sz w:val="22"/>
                <w:szCs w:val="22"/>
                <w:color w:val="auto"/>
              </w:rPr>
            </w:pPr>
          </w:p>
        </w:tc>
        <w:tc>
          <w:tcPr>
            <w:tcW w:w="1360" w:type="dxa"/>
            <w:vAlign w:val="bottom"/>
            <w:tcBorders>
              <w:top w:val="single" w:sz="8" w:color="auto"/>
            </w:tcBorders>
            <w:shd w:val="clear" w:color="auto" w:fill="9DB8D2"/>
          </w:tcPr>
          <w:p>
            <w:pPr>
              <w:spacing w:after="0"/>
              <w:rPr>
                <w:sz w:val="22"/>
                <w:szCs w:val="22"/>
                <w:color w:val="auto"/>
              </w:rPr>
            </w:pPr>
          </w:p>
        </w:tc>
        <w:tc>
          <w:tcPr>
            <w:tcW w:w="1680" w:type="dxa"/>
            <w:vAlign w:val="bottom"/>
            <w:tcBorders>
              <w:top w:val="single" w:sz="8" w:color="auto"/>
            </w:tcBorders>
            <w:shd w:val="clear" w:color="auto" w:fill="9DB8D2"/>
          </w:tcPr>
          <w:p>
            <w:pPr>
              <w:jc w:val="center"/>
              <w:ind w:left="3"/>
              <w:spacing w:after="0"/>
              <w:rPr>
                <w:sz w:val="20"/>
                <w:szCs w:val="20"/>
                <w:color w:val="auto"/>
              </w:rPr>
            </w:pPr>
            <w:r>
              <w:rPr>
                <w:rFonts w:ascii="Arial" w:cs="Arial" w:eastAsia="Arial" w:hAnsi="Arial"/>
                <w:sz w:val="14"/>
                <w:szCs w:val="14"/>
                <w:b w:val="1"/>
                <w:bCs w:val="1"/>
                <w:color w:val="auto"/>
              </w:rPr>
              <w:t>Number of</w:t>
            </w:r>
          </w:p>
        </w:tc>
        <w:tc>
          <w:tcPr>
            <w:tcW w:w="2280" w:type="dxa"/>
            <w:vAlign w:val="bottom"/>
            <w:tcBorders>
              <w:top w:val="single" w:sz="8" w:color="auto"/>
            </w:tcBorders>
            <w:shd w:val="clear" w:color="auto" w:fill="9DB8D2"/>
          </w:tcPr>
          <w:p>
            <w:pPr>
              <w:spacing w:after="0"/>
              <w:rPr>
                <w:sz w:val="22"/>
                <w:szCs w:val="22"/>
                <w:color w:val="auto"/>
              </w:rPr>
            </w:pPr>
          </w:p>
        </w:tc>
      </w:tr>
      <w:tr>
        <w:trPr>
          <w:trHeight w:val="162"/>
        </w:trPr>
        <w:tc>
          <w:tcPr>
            <w:tcW w:w="3220" w:type="dxa"/>
            <w:vAlign w:val="bottom"/>
            <w:shd w:val="clear" w:color="auto" w:fill="9DB8D2"/>
          </w:tcPr>
          <w:p>
            <w:pPr>
              <w:spacing w:after="0"/>
              <w:rPr>
                <w:sz w:val="14"/>
                <w:szCs w:val="14"/>
                <w:color w:val="auto"/>
              </w:rPr>
            </w:pPr>
          </w:p>
        </w:tc>
        <w:tc>
          <w:tcPr>
            <w:tcW w:w="1500" w:type="dxa"/>
            <w:vAlign w:val="bottom"/>
            <w:shd w:val="clear" w:color="auto" w:fill="9DB8D2"/>
          </w:tcPr>
          <w:p>
            <w:pPr>
              <w:jc w:val="right"/>
              <w:ind w:right="302"/>
              <w:spacing w:after="0"/>
              <w:rPr>
                <w:sz w:val="20"/>
                <w:szCs w:val="20"/>
                <w:color w:val="auto"/>
              </w:rPr>
            </w:pPr>
            <w:r>
              <w:rPr>
                <w:rFonts w:ascii="Arial" w:cs="Arial" w:eastAsia="Arial" w:hAnsi="Arial"/>
                <w:sz w:val="14"/>
                <w:szCs w:val="14"/>
                <w:b w:val="1"/>
                <w:bCs w:val="1"/>
                <w:color w:val="auto"/>
              </w:rPr>
              <w:t>Target as</w:t>
            </w:r>
          </w:p>
        </w:tc>
        <w:tc>
          <w:tcPr>
            <w:tcW w:w="1380" w:type="dxa"/>
            <w:vAlign w:val="bottom"/>
            <w:shd w:val="clear" w:color="auto" w:fill="9DB8D2"/>
          </w:tcPr>
          <w:p>
            <w:pPr>
              <w:spacing w:after="0"/>
              <w:rPr>
                <w:sz w:val="14"/>
                <w:szCs w:val="14"/>
                <w:color w:val="auto"/>
              </w:rPr>
            </w:pPr>
          </w:p>
        </w:tc>
        <w:tc>
          <w:tcPr>
            <w:tcW w:w="1360" w:type="dxa"/>
            <w:vAlign w:val="bottom"/>
            <w:shd w:val="clear" w:color="auto" w:fill="9DB8D2"/>
          </w:tcPr>
          <w:p>
            <w:pPr>
              <w:jc w:val="right"/>
              <w:ind w:right="382"/>
              <w:spacing w:after="0"/>
              <w:rPr>
                <w:sz w:val="20"/>
                <w:szCs w:val="20"/>
                <w:color w:val="auto"/>
              </w:rPr>
            </w:pPr>
            <w:r>
              <w:rPr>
                <w:rFonts w:ascii="Arial" w:cs="Arial" w:eastAsia="Arial" w:hAnsi="Arial"/>
                <w:sz w:val="14"/>
                <w:szCs w:val="14"/>
                <w:b w:val="1"/>
                <w:bCs w:val="1"/>
                <w:color w:val="auto"/>
              </w:rPr>
              <w:t>Target</w:t>
            </w:r>
          </w:p>
        </w:tc>
        <w:tc>
          <w:tcPr>
            <w:tcW w:w="1680" w:type="dxa"/>
            <w:vAlign w:val="bottom"/>
            <w:shd w:val="clear" w:color="auto" w:fill="9DB8D2"/>
          </w:tcPr>
          <w:p>
            <w:pPr>
              <w:jc w:val="center"/>
              <w:ind w:left="3"/>
              <w:spacing w:after="0"/>
              <w:rPr>
                <w:sz w:val="20"/>
                <w:szCs w:val="20"/>
                <w:color w:val="auto"/>
              </w:rPr>
            </w:pPr>
            <w:r>
              <w:rPr>
                <w:rFonts w:ascii="Arial" w:cs="Arial" w:eastAsia="Arial" w:hAnsi="Arial"/>
                <w:sz w:val="14"/>
                <w:szCs w:val="14"/>
                <w:b w:val="1"/>
                <w:bCs w:val="1"/>
                <w:color w:val="auto"/>
              </w:rPr>
              <w:t>shares held as</w:t>
            </w:r>
          </w:p>
        </w:tc>
        <w:tc>
          <w:tcPr>
            <w:tcW w:w="2280" w:type="dxa"/>
            <w:vAlign w:val="bottom"/>
            <w:shd w:val="clear" w:color="auto" w:fill="9DB8D2"/>
          </w:tcPr>
          <w:p>
            <w:pPr>
              <w:spacing w:after="0"/>
              <w:rPr>
                <w:sz w:val="14"/>
                <w:szCs w:val="14"/>
                <w:color w:val="auto"/>
              </w:rPr>
            </w:pPr>
          </w:p>
        </w:tc>
      </w:tr>
      <w:tr>
        <w:trPr>
          <w:trHeight w:val="162"/>
        </w:trPr>
        <w:tc>
          <w:tcPr>
            <w:tcW w:w="3220" w:type="dxa"/>
            <w:vAlign w:val="bottom"/>
            <w:shd w:val="clear" w:color="auto" w:fill="9DB8D2"/>
          </w:tcPr>
          <w:p>
            <w:pPr>
              <w:spacing w:after="0"/>
              <w:rPr>
                <w:sz w:val="14"/>
                <w:szCs w:val="14"/>
                <w:color w:val="auto"/>
              </w:rPr>
            </w:pPr>
          </w:p>
        </w:tc>
        <w:tc>
          <w:tcPr>
            <w:tcW w:w="1500" w:type="dxa"/>
            <w:vAlign w:val="bottom"/>
            <w:shd w:val="clear" w:color="auto" w:fill="9DB8D2"/>
          </w:tcPr>
          <w:p>
            <w:pPr>
              <w:jc w:val="right"/>
              <w:ind w:right="282"/>
              <w:spacing w:after="0"/>
              <w:rPr>
                <w:sz w:val="20"/>
                <w:szCs w:val="20"/>
                <w:color w:val="auto"/>
              </w:rPr>
            </w:pPr>
            <w:r>
              <w:rPr>
                <w:rFonts w:ascii="Arial" w:cs="Arial" w:eastAsia="Arial" w:hAnsi="Arial"/>
                <w:sz w:val="14"/>
                <w:szCs w:val="14"/>
                <w:b w:val="1"/>
                <w:bCs w:val="1"/>
                <w:color w:val="auto"/>
              </w:rPr>
              <w:t>a multiple</w:t>
            </w:r>
          </w:p>
        </w:tc>
        <w:tc>
          <w:tcPr>
            <w:tcW w:w="1380" w:type="dxa"/>
            <w:vAlign w:val="bottom"/>
            <w:shd w:val="clear" w:color="auto" w:fill="9DB8D2"/>
          </w:tcPr>
          <w:p>
            <w:pPr>
              <w:jc w:val="right"/>
              <w:ind w:right="401"/>
              <w:spacing w:after="0"/>
              <w:rPr>
                <w:sz w:val="20"/>
                <w:szCs w:val="20"/>
                <w:color w:val="auto"/>
              </w:rPr>
            </w:pPr>
            <w:r>
              <w:rPr>
                <w:rFonts w:ascii="Arial" w:cs="Arial" w:eastAsia="Arial" w:hAnsi="Arial"/>
                <w:sz w:val="14"/>
                <w:szCs w:val="14"/>
                <w:b w:val="1"/>
                <w:bCs w:val="1"/>
                <w:color w:val="auto"/>
              </w:rPr>
              <w:t>Target</w:t>
            </w:r>
          </w:p>
        </w:tc>
        <w:tc>
          <w:tcPr>
            <w:tcW w:w="1360" w:type="dxa"/>
            <w:vAlign w:val="bottom"/>
            <w:shd w:val="clear" w:color="auto" w:fill="9DB8D2"/>
          </w:tcPr>
          <w:p>
            <w:pPr>
              <w:jc w:val="right"/>
              <w:ind w:right="242"/>
              <w:spacing w:after="0"/>
              <w:rPr>
                <w:sz w:val="20"/>
                <w:szCs w:val="20"/>
                <w:color w:val="auto"/>
              </w:rPr>
            </w:pPr>
            <w:r>
              <w:rPr>
                <w:rFonts w:ascii="Arial" w:cs="Arial" w:eastAsia="Arial" w:hAnsi="Arial"/>
                <w:sz w:val="14"/>
                <w:szCs w:val="14"/>
                <w:b w:val="1"/>
                <w:bCs w:val="1"/>
                <w:color w:val="auto"/>
              </w:rPr>
              <w:t>number of</w:t>
            </w:r>
          </w:p>
        </w:tc>
        <w:tc>
          <w:tcPr>
            <w:tcW w:w="1680" w:type="dxa"/>
            <w:vAlign w:val="bottom"/>
            <w:shd w:val="clear" w:color="auto" w:fill="9DB8D2"/>
          </w:tcPr>
          <w:p>
            <w:pPr>
              <w:jc w:val="center"/>
              <w:ind w:left="3"/>
              <w:spacing w:after="0"/>
              <w:rPr>
                <w:sz w:val="20"/>
                <w:szCs w:val="20"/>
                <w:color w:val="auto"/>
              </w:rPr>
            </w:pPr>
            <w:r>
              <w:rPr>
                <w:rFonts w:ascii="Arial" w:cs="Arial" w:eastAsia="Arial" w:hAnsi="Arial"/>
                <w:sz w:val="14"/>
                <w:szCs w:val="14"/>
                <w:b w:val="1"/>
                <w:bCs w:val="1"/>
                <w:color w:val="auto"/>
              </w:rPr>
              <w:t>of December 31,</w:t>
            </w:r>
          </w:p>
        </w:tc>
        <w:tc>
          <w:tcPr>
            <w:tcW w:w="2280" w:type="dxa"/>
            <w:vAlign w:val="bottom"/>
            <w:shd w:val="clear" w:color="auto" w:fill="9DB8D2"/>
          </w:tcPr>
          <w:p>
            <w:pPr>
              <w:jc w:val="right"/>
              <w:ind w:right="641"/>
              <w:spacing w:after="0"/>
              <w:rPr>
                <w:sz w:val="20"/>
                <w:szCs w:val="20"/>
                <w:color w:val="auto"/>
              </w:rPr>
            </w:pPr>
            <w:r>
              <w:rPr>
                <w:rFonts w:ascii="Arial" w:cs="Arial" w:eastAsia="Arial" w:hAnsi="Arial"/>
                <w:sz w:val="14"/>
                <w:szCs w:val="14"/>
                <w:b w:val="1"/>
                <w:bCs w:val="1"/>
                <w:color w:val="auto"/>
              </w:rPr>
              <w:t>Status as of</w:t>
            </w:r>
          </w:p>
        </w:tc>
      </w:tr>
      <w:tr>
        <w:trPr>
          <w:trHeight w:val="189"/>
        </w:trPr>
        <w:tc>
          <w:tcPr>
            <w:tcW w:w="322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NEO</w:t>
            </w:r>
          </w:p>
        </w:tc>
        <w:tc>
          <w:tcPr>
            <w:tcW w:w="1500" w:type="dxa"/>
            <w:vAlign w:val="bottom"/>
            <w:tcBorders>
              <w:bottom w:val="single" w:sz="8" w:color="auto"/>
            </w:tcBorders>
            <w:shd w:val="clear" w:color="auto" w:fill="9DB8D2"/>
          </w:tcPr>
          <w:p>
            <w:pPr>
              <w:jc w:val="right"/>
              <w:ind w:right="322"/>
              <w:spacing w:after="0"/>
              <w:rPr>
                <w:sz w:val="20"/>
                <w:szCs w:val="20"/>
                <w:color w:val="auto"/>
              </w:rPr>
            </w:pPr>
            <w:r>
              <w:rPr>
                <w:rFonts w:ascii="Arial" w:cs="Arial" w:eastAsia="Arial" w:hAnsi="Arial"/>
                <w:sz w:val="14"/>
                <w:szCs w:val="14"/>
                <w:b w:val="1"/>
                <w:bCs w:val="1"/>
                <w:color w:val="auto"/>
              </w:rPr>
              <w:t>of salary</w:t>
            </w:r>
          </w:p>
        </w:tc>
        <w:tc>
          <w:tcPr>
            <w:tcW w:w="1380" w:type="dxa"/>
            <w:vAlign w:val="bottom"/>
            <w:tcBorders>
              <w:bottom w:val="single" w:sz="8" w:color="auto"/>
            </w:tcBorders>
            <w:shd w:val="clear" w:color="auto" w:fill="9DB8D2"/>
          </w:tcPr>
          <w:p>
            <w:pPr>
              <w:jc w:val="right"/>
              <w:ind w:right="361"/>
              <w:spacing w:after="0"/>
              <w:rPr>
                <w:sz w:val="20"/>
                <w:szCs w:val="20"/>
                <w:color w:val="auto"/>
              </w:rPr>
            </w:pPr>
            <w:r>
              <w:rPr>
                <w:rFonts w:ascii="Arial" w:cs="Arial" w:eastAsia="Arial" w:hAnsi="Arial"/>
                <w:sz w:val="14"/>
                <w:szCs w:val="14"/>
                <w:b w:val="1"/>
                <w:bCs w:val="1"/>
                <w:color w:val="auto"/>
              </w:rPr>
              <w:t>value($)</w:t>
            </w:r>
          </w:p>
        </w:tc>
        <w:tc>
          <w:tcPr>
            <w:tcW w:w="1360" w:type="dxa"/>
            <w:vAlign w:val="bottom"/>
            <w:tcBorders>
              <w:bottom w:val="single" w:sz="8" w:color="auto"/>
            </w:tcBorders>
            <w:shd w:val="clear" w:color="auto" w:fill="9DB8D2"/>
          </w:tcPr>
          <w:p>
            <w:pPr>
              <w:jc w:val="right"/>
              <w:ind w:right="282"/>
              <w:spacing w:after="0"/>
              <w:rPr>
                <w:sz w:val="20"/>
                <w:szCs w:val="20"/>
                <w:color w:val="auto"/>
              </w:rPr>
            </w:pPr>
            <w:r>
              <w:rPr>
                <w:rFonts w:ascii="Arial" w:cs="Arial" w:eastAsia="Arial" w:hAnsi="Arial"/>
                <w:sz w:val="14"/>
                <w:szCs w:val="14"/>
                <w:b w:val="1"/>
                <w:bCs w:val="1"/>
                <w:color w:val="auto"/>
              </w:rPr>
              <w:t>shares(#)</w:t>
            </w:r>
          </w:p>
        </w:tc>
        <w:tc>
          <w:tcPr>
            <w:tcW w:w="16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2016(#)</w:t>
            </w:r>
          </w:p>
        </w:tc>
        <w:tc>
          <w:tcPr>
            <w:tcW w:w="2280" w:type="dxa"/>
            <w:vAlign w:val="bottom"/>
            <w:tcBorders>
              <w:bottom w:val="single" w:sz="8" w:color="auto"/>
            </w:tcBorders>
            <w:shd w:val="clear" w:color="auto" w:fill="9DB8D2"/>
          </w:tcPr>
          <w:p>
            <w:pPr>
              <w:jc w:val="right"/>
              <w:ind w:right="321"/>
              <w:spacing w:after="0"/>
              <w:rPr>
                <w:sz w:val="20"/>
                <w:szCs w:val="20"/>
                <w:color w:val="auto"/>
              </w:rPr>
            </w:pPr>
            <w:r>
              <w:rPr>
                <w:rFonts w:ascii="Arial" w:cs="Arial" w:eastAsia="Arial" w:hAnsi="Arial"/>
                <w:sz w:val="14"/>
                <w:szCs w:val="14"/>
                <w:b w:val="1"/>
                <w:bCs w:val="1"/>
                <w:color w:val="auto"/>
              </w:rPr>
              <w:t>December 31, 2016(1)</w:t>
            </w:r>
          </w:p>
        </w:tc>
      </w:tr>
      <w:tr>
        <w:trPr>
          <w:trHeight w:val="183"/>
        </w:trPr>
        <w:tc>
          <w:tcPr>
            <w:tcW w:w="322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Jonas Prising</w:t>
            </w:r>
          </w:p>
        </w:tc>
        <w:tc>
          <w:tcPr>
            <w:tcW w:w="1500" w:type="dxa"/>
            <w:vAlign w:val="bottom"/>
            <w:shd w:val="clear" w:color="auto" w:fill="E6EDF3"/>
          </w:tcPr>
          <w:p>
            <w:pPr>
              <w:jc w:val="right"/>
              <w:ind w:right="262"/>
              <w:spacing w:after="0" w:line="183" w:lineRule="exact"/>
              <w:rPr>
                <w:sz w:val="20"/>
                <w:szCs w:val="20"/>
                <w:color w:val="auto"/>
              </w:rPr>
            </w:pPr>
            <w:r>
              <w:rPr>
                <w:rFonts w:ascii="Arial" w:cs="Arial" w:eastAsia="Arial" w:hAnsi="Arial"/>
                <w:sz w:val="16"/>
                <w:szCs w:val="16"/>
                <w:color w:val="auto"/>
              </w:rPr>
              <w:t>6</w:t>
            </w:r>
          </w:p>
        </w:tc>
        <w:tc>
          <w:tcPr>
            <w:tcW w:w="1380" w:type="dxa"/>
            <w:vAlign w:val="bottom"/>
            <w:shd w:val="clear" w:color="auto" w:fill="E6EDF3"/>
          </w:tcPr>
          <w:p>
            <w:pPr>
              <w:jc w:val="right"/>
              <w:ind w:right="241"/>
              <w:spacing w:after="0" w:line="183" w:lineRule="exact"/>
              <w:rPr>
                <w:sz w:val="20"/>
                <w:szCs w:val="20"/>
                <w:color w:val="auto"/>
              </w:rPr>
            </w:pPr>
            <w:r>
              <w:rPr>
                <w:rFonts w:ascii="Arial" w:cs="Arial" w:eastAsia="Arial" w:hAnsi="Arial"/>
                <w:sz w:val="16"/>
                <w:szCs w:val="16"/>
                <w:color w:val="auto"/>
              </w:rPr>
              <w:t>6,600,000</w:t>
            </w:r>
          </w:p>
        </w:tc>
        <w:tc>
          <w:tcPr>
            <w:tcW w:w="1360" w:type="dxa"/>
            <w:vAlign w:val="bottom"/>
            <w:shd w:val="clear" w:color="auto" w:fill="E6EDF3"/>
          </w:tcPr>
          <w:p>
            <w:pPr>
              <w:jc w:val="right"/>
              <w:ind w:right="242"/>
              <w:spacing w:after="0" w:line="183" w:lineRule="exact"/>
              <w:rPr>
                <w:sz w:val="20"/>
                <w:szCs w:val="20"/>
                <w:color w:val="auto"/>
              </w:rPr>
            </w:pPr>
            <w:r>
              <w:rPr>
                <w:rFonts w:ascii="Arial" w:cs="Arial" w:eastAsia="Arial" w:hAnsi="Arial"/>
                <w:sz w:val="16"/>
                <w:szCs w:val="16"/>
                <w:color w:val="auto"/>
              </w:rPr>
              <w:t>94,011</w:t>
            </w:r>
          </w:p>
        </w:tc>
        <w:tc>
          <w:tcPr>
            <w:tcW w:w="1680" w:type="dxa"/>
            <w:vAlign w:val="bottom"/>
            <w:shd w:val="clear" w:color="auto" w:fill="E6EDF3"/>
          </w:tcPr>
          <w:p>
            <w:pPr>
              <w:jc w:val="right"/>
              <w:ind w:right="163"/>
              <w:spacing w:after="0" w:line="183" w:lineRule="exact"/>
              <w:rPr>
                <w:sz w:val="20"/>
                <w:szCs w:val="20"/>
                <w:color w:val="auto"/>
              </w:rPr>
            </w:pPr>
            <w:r>
              <w:rPr>
                <w:rFonts w:ascii="Arial" w:cs="Arial" w:eastAsia="Arial" w:hAnsi="Arial"/>
                <w:sz w:val="16"/>
                <w:szCs w:val="16"/>
                <w:color w:val="auto"/>
              </w:rPr>
              <w:t>231,923</w:t>
            </w:r>
          </w:p>
        </w:tc>
        <w:tc>
          <w:tcPr>
            <w:tcW w:w="2280" w:type="dxa"/>
            <w:vAlign w:val="bottom"/>
            <w:shd w:val="clear" w:color="auto" w:fill="E6EDF3"/>
          </w:tcPr>
          <w:p>
            <w:pPr>
              <w:jc w:val="right"/>
              <w:ind w:right="101"/>
              <w:spacing w:after="0" w:line="183" w:lineRule="exact"/>
              <w:rPr>
                <w:sz w:val="20"/>
                <w:szCs w:val="20"/>
                <w:color w:val="auto"/>
              </w:rPr>
            </w:pPr>
            <w:r>
              <w:rPr>
                <w:rFonts w:ascii="Arial" w:cs="Arial" w:eastAsia="Arial" w:hAnsi="Arial"/>
                <w:sz w:val="16"/>
                <w:szCs w:val="16"/>
                <w:color w:val="auto"/>
              </w:rPr>
              <w:t>Guideline Met</w:t>
            </w:r>
          </w:p>
        </w:tc>
      </w:tr>
      <w:tr>
        <w:trPr>
          <w:trHeight w:val="189"/>
        </w:trPr>
        <w:tc>
          <w:tcPr>
            <w:tcW w:w="3220" w:type="dxa"/>
            <w:vAlign w:val="bottom"/>
          </w:tcPr>
          <w:p>
            <w:pPr>
              <w:ind w:left="80"/>
              <w:spacing w:after="0"/>
              <w:rPr>
                <w:sz w:val="20"/>
                <w:szCs w:val="20"/>
                <w:color w:val="auto"/>
              </w:rPr>
            </w:pPr>
            <w:r>
              <w:rPr>
                <w:rFonts w:ascii="Arial" w:cs="Arial" w:eastAsia="Arial" w:hAnsi="Arial"/>
                <w:sz w:val="16"/>
                <w:szCs w:val="16"/>
                <w:color w:val="auto"/>
              </w:rPr>
              <w:t>John T. McGinnis(2)</w:t>
            </w:r>
          </w:p>
        </w:tc>
        <w:tc>
          <w:tcPr>
            <w:tcW w:w="1500" w:type="dxa"/>
            <w:vAlign w:val="bottom"/>
          </w:tcPr>
          <w:p>
            <w:pPr>
              <w:jc w:val="right"/>
              <w:ind w:right="262"/>
              <w:spacing w:after="0"/>
              <w:rPr>
                <w:sz w:val="20"/>
                <w:szCs w:val="20"/>
                <w:color w:val="auto"/>
              </w:rPr>
            </w:pPr>
            <w:r>
              <w:rPr>
                <w:rFonts w:ascii="Arial" w:cs="Arial" w:eastAsia="Arial" w:hAnsi="Arial"/>
                <w:sz w:val="16"/>
                <w:szCs w:val="16"/>
                <w:color w:val="auto"/>
              </w:rPr>
              <w:t>4</w:t>
            </w:r>
          </w:p>
        </w:tc>
        <w:tc>
          <w:tcPr>
            <w:tcW w:w="1380" w:type="dxa"/>
            <w:vAlign w:val="bottom"/>
          </w:tcPr>
          <w:p>
            <w:pPr>
              <w:jc w:val="right"/>
              <w:ind w:right="241"/>
              <w:spacing w:after="0"/>
              <w:rPr>
                <w:sz w:val="20"/>
                <w:szCs w:val="20"/>
                <w:color w:val="auto"/>
              </w:rPr>
            </w:pPr>
            <w:r>
              <w:rPr>
                <w:rFonts w:ascii="Arial" w:cs="Arial" w:eastAsia="Arial" w:hAnsi="Arial"/>
                <w:sz w:val="16"/>
                <w:szCs w:val="16"/>
                <w:color w:val="auto"/>
              </w:rPr>
              <w:t>2,400,000</w:t>
            </w:r>
          </w:p>
        </w:tc>
        <w:tc>
          <w:tcPr>
            <w:tcW w:w="1360" w:type="dxa"/>
            <w:vAlign w:val="bottom"/>
          </w:tcPr>
          <w:p>
            <w:pPr>
              <w:jc w:val="right"/>
              <w:ind w:right="242"/>
              <w:spacing w:after="0"/>
              <w:rPr>
                <w:sz w:val="20"/>
                <w:szCs w:val="20"/>
                <w:color w:val="auto"/>
              </w:rPr>
            </w:pPr>
            <w:r>
              <w:rPr>
                <w:rFonts w:ascii="Arial" w:cs="Arial" w:eastAsia="Arial" w:hAnsi="Arial"/>
                <w:sz w:val="16"/>
                <w:szCs w:val="16"/>
                <w:color w:val="auto"/>
              </w:rPr>
              <w:t>32,994</w:t>
            </w:r>
          </w:p>
        </w:tc>
        <w:tc>
          <w:tcPr>
            <w:tcW w:w="1680" w:type="dxa"/>
            <w:vAlign w:val="bottom"/>
          </w:tcPr>
          <w:p>
            <w:pPr>
              <w:jc w:val="right"/>
              <w:ind w:right="163"/>
              <w:spacing w:after="0"/>
              <w:rPr>
                <w:sz w:val="20"/>
                <w:szCs w:val="20"/>
                <w:color w:val="auto"/>
              </w:rPr>
            </w:pPr>
            <w:r>
              <w:rPr>
                <w:rFonts w:ascii="Arial" w:cs="Arial" w:eastAsia="Arial" w:hAnsi="Arial"/>
                <w:sz w:val="16"/>
                <w:szCs w:val="16"/>
                <w:color w:val="auto"/>
              </w:rPr>
              <w:t>27,060</w:t>
            </w:r>
          </w:p>
        </w:tc>
        <w:tc>
          <w:tcPr>
            <w:tcW w:w="2280" w:type="dxa"/>
            <w:vAlign w:val="bottom"/>
          </w:tcPr>
          <w:p>
            <w:pPr>
              <w:jc w:val="right"/>
              <w:ind w:right="101"/>
              <w:spacing w:after="0"/>
              <w:rPr>
                <w:sz w:val="20"/>
                <w:szCs w:val="20"/>
                <w:color w:val="auto"/>
              </w:rPr>
            </w:pPr>
            <w:r>
              <w:rPr>
                <w:rFonts w:ascii="Arial" w:cs="Arial" w:eastAsia="Arial" w:hAnsi="Arial"/>
                <w:sz w:val="16"/>
                <w:szCs w:val="16"/>
                <w:color w:val="auto"/>
              </w:rPr>
              <w:t>Progressing Against Goal</w:t>
            </w:r>
          </w:p>
        </w:tc>
      </w:tr>
      <w:tr>
        <w:trPr>
          <w:trHeight w:val="189"/>
        </w:trPr>
        <w:tc>
          <w:tcPr>
            <w:tcW w:w="3220" w:type="dxa"/>
            <w:vAlign w:val="bottom"/>
            <w:shd w:val="clear" w:color="auto" w:fill="E6EDF3"/>
          </w:tcPr>
          <w:p>
            <w:pPr>
              <w:ind w:left="80"/>
              <w:spacing w:after="0"/>
              <w:rPr>
                <w:sz w:val="20"/>
                <w:szCs w:val="20"/>
                <w:color w:val="auto"/>
              </w:rPr>
            </w:pPr>
            <w:r>
              <w:rPr>
                <w:rFonts w:ascii="Arial" w:cs="Arial" w:eastAsia="Arial" w:hAnsi="Arial"/>
                <w:sz w:val="16"/>
                <w:szCs w:val="16"/>
                <w:color w:val="auto"/>
              </w:rPr>
              <w:t>Darryl Green</w:t>
            </w:r>
          </w:p>
        </w:tc>
        <w:tc>
          <w:tcPr>
            <w:tcW w:w="1500" w:type="dxa"/>
            <w:vAlign w:val="bottom"/>
            <w:shd w:val="clear" w:color="auto" w:fill="E6EDF3"/>
          </w:tcPr>
          <w:p>
            <w:pPr>
              <w:jc w:val="right"/>
              <w:ind w:right="262"/>
              <w:spacing w:after="0"/>
              <w:rPr>
                <w:sz w:val="20"/>
                <w:szCs w:val="20"/>
                <w:color w:val="auto"/>
              </w:rPr>
            </w:pPr>
            <w:r>
              <w:rPr>
                <w:rFonts w:ascii="Arial" w:cs="Arial" w:eastAsia="Arial" w:hAnsi="Arial"/>
                <w:sz w:val="16"/>
                <w:szCs w:val="16"/>
                <w:color w:val="auto"/>
              </w:rPr>
              <w:t>4</w:t>
            </w:r>
          </w:p>
        </w:tc>
        <w:tc>
          <w:tcPr>
            <w:tcW w:w="1380" w:type="dxa"/>
            <w:vAlign w:val="bottom"/>
            <w:shd w:val="clear" w:color="auto" w:fill="E6EDF3"/>
          </w:tcPr>
          <w:p>
            <w:pPr>
              <w:jc w:val="right"/>
              <w:ind w:right="241"/>
              <w:spacing w:after="0"/>
              <w:rPr>
                <w:sz w:val="20"/>
                <w:szCs w:val="20"/>
                <w:color w:val="auto"/>
              </w:rPr>
            </w:pPr>
            <w:r>
              <w:rPr>
                <w:rFonts w:ascii="Arial" w:cs="Arial" w:eastAsia="Arial" w:hAnsi="Arial"/>
                <w:sz w:val="16"/>
                <w:szCs w:val="16"/>
                <w:color w:val="auto"/>
              </w:rPr>
              <w:t>3,200,000</w:t>
            </w:r>
          </w:p>
        </w:tc>
        <w:tc>
          <w:tcPr>
            <w:tcW w:w="1360" w:type="dxa"/>
            <w:vAlign w:val="bottom"/>
            <w:shd w:val="clear" w:color="auto" w:fill="E6EDF3"/>
          </w:tcPr>
          <w:p>
            <w:pPr>
              <w:jc w:val="right"/>
              <w:ind w:right="242"/>
              <w:spacing w:after="0"/>
              <w:rPr>
                <w:sz w:val="20"/>
                <w:szCs w:val="20"/>
                <w:color w:val="auto"/>
              </w:rPr>
            </w:pPr>
            <w:r>
              <w:rPr>
                <w:rFonts w:ascii="Arial" w:cs="Arial" w:eastAsia="Arial" w:hAnsi="Arial"/>
                <w:sz w:val="16"/>
                <w:szCs w:val="16"/>
                <w:color w:val="auto"/>
              </w:rPr>
              <w:t>45,584</w:t>
            </w:r>
          </w:p>
        </w:tc>
        <w:tc>
          <w:tcPr>
            <w:tcW w:w="1680" w:type="dxa"/>
            <w:vAlign w:val="bottom"/>
            <w:shd w:val="clear" w:color="auto" w:fill="E6EDF3"/>
          </w:tcPr>
          <w:p>
            <w:pPr>
              <w:jc w:val="right"/>
              <w:ind w:right="163"/>
              <w:spacing w:after="0"/>
              <w:rPr>
                <w:sz w:val="20"/>
                <w:szCs w:val="20"/>
                <w:color w:val="auto"/>
              </w:rPr>
            </w:pPr>
            <w:r>
              <w:rPr>
                <w:rFonts w:ascii="Arial" w:cs="Arial" w:eastAsia="Arial" w:hAnsi="Arial"/>
                <w:sz w:val="16"/>
                <w:szCs w:val="16"/>
                <w:color w:val="auto"/>
              </w:rPr>
              <w:t>69,476</w:t>
            </w:r>
          </w:p>
        </w:tc>
        <w:tc>
          <w:tcPr>
            <w:tcW w:w="2280" w:type="dxa"/>
            <w:vAlign w:val="bottom"/>
            <w:shd w:val="clear" w:color="auto" w:fill="E6EDF3"/>
          </w:tcPr>
          <w:p>
            <w:pPr>
              <w:jc w:val="right"/>
              <w:ind w:right="101"/>
              <w:spacing w:after="0"/>
              <w:rPr>
                <w:sz w:val="20"/>
                <w:szCs w:val="20"/>
                <w:color w:val="auto"/>
              </w:rPr>
            </w:pPr>
            <w:r>
              <w:rPr>
                <w:rFonts w:ascii="Arial" w:cs="Arial" w:eastAsia="Arial" w:hAnsi="Arial"/>
                <w:sz w:val="16"/>
                <w:szCs w:val="16"/>
                <w:color w:val="auto"/>
              </w:rPr>
              <w:t>Guideline Met</w:t>
            </w:r>
          </w:p>
        </w:tc>
      </w:tr>
      <w:tr>
        <w:trPr>
          <w:trHeight w:val="189"/>
        </w:trPr>
        <w:tc>
          <w:tcPr>
            <w:tcW w:w="3220" w:type="dxa"/>
            <w:vAlign w:val="bottom"/>
          </w:tcPr>
          <w:p>
            <w:pPr>
              <w:ind w:left="80"/>
              <w:spacing w:after="0"/>
              <w:rPr>
                <w:sz w:val="20"/>
                <w:szCs w:val="20"/>
                <w:color w:val="auto"/>
              </w:rPr>
            </w:pPr>
            <w:r>
              <w:rPr>
                <w:rFonts w:ascii="Arial" w:cs="Arial" w:eastAsia="Arial" w:hAnsi="Arial"/>
                <w:sz w:val="16"/>
                <w:szCs w:val="16"/>
                <w:color w:val="auto"/>
              </w:rPr>
              <w:t>Ram Chandrashekar</w:t>
            </w:r>
          </w:p>
        </w:tc>
        <w:tc>
          <w:tcPr>
            <w:tcW w:w="1500" w:type="dxa"/>
            <w:vAlign w:val="bottom"/>
          </w:tcPr>
          <w:p>
            <w:pPr>
              <w:jc w:val="right"/>
              <w:ind w:right="262"/>
              <w:spacing w:after="0"/>
              <w:rPr>
                <w:sz w:val="20"/>
                <w:szCs w:val="20"/>
                <w:color w:val="auto"/>
              </w:rPr>
            </w:pPr>
            <w:r>
              <w:rPr>
                <w:rFonts w:ascii="Arial" w:cs="Arial" w:eastAsia="Arial" w:hAnsi="Arial"/>
                <w:sz w:val="16"/>
                <w:szCs w:val="16"/>
                <w:color w:val="auto"/>
              </w:rPr>
              <w:t>3</w:t>
            </w:r>
          </w:p>
        </w:tc>
        <w:tc>
          <w:tcPr>
            <w:tcW w:w="1380" w:type="dxa"/>
            <w:vAlign w:val="bottom"/>
          </w:tcPr>
          <w:p>
            <w:pPr>
              <w:jc w:val="right"/>
              <w:ind w:right="241"/>
              <w:spacing w:after="0"/>
              <w:rPr>
                <w:sz w:val="20"/>
                <w:szCs w:val="20"/>
                <w:color w:val="auto"/>
              </w:rPr>
            </w:pPr>
            <w:r>
              <w:rPr>
                <w:rFonts w:ascii="Arial" w:cs="Arial" w:eastAsia="Arial" w:hAnsi="Arial"/>
                <w:sz w:val="16"/>
                <w:szCs w:val="16"/>
                <w:color w:val="auto"/>
              </w:rPr>
              <w:t>1,710,000</w:t>
            </w:r>
          </w:p>
        </w:tc>
        <w:tc>
          <w:tcPr>
            <w:tcW w:w="1360" w:type="dxa"/>
            <w:vAlign w:val="bottom"/>
          </w:tcPr>
          <w:p>
            <w:pPr>
              <w:jc w:val="right"/>
              <w:ind w:right="242"/>
              <w:spacing w:after="0"/>
              <w:rPr>
                <w:sz w:val="20"/>
                <w:szCs w:val="20"/>
                <w:color w:val="auto"/>
              </w:rPr>
            </w:pPr>
            <w:r>
              <w:rPr>
                <w:rFonts w:ascii="Arial" w:cs="Arial" w:eastAsia="Arial" w:hAnsi="Arial"/>
                <w:sz w:val="16"/>
                <w:szCs w:val="16"/>
                <w:color w:val="auto"/>
              </w:rPr>
              <w:t>24,359</w:t>
            </w:r>
          </w:p>
        </w:tc>
        <w:tc>
          <w:tcPr>
            <w:tcW w:w="1680" w:type="dxa"/>
            <w:vAlign w:val="bottom"/>
          </w:tcPr>
          <w:p>
            <w:pPr>
              <w:jc w:val="right"/>
              <w:ind w:right="163"/>
              <w:spacing w:after="0"/>
              <w:rPr>
                <w:sz w:val="20"/>
                <w:szCs w:val="20"/>
                <w:color w:val="auto"/>
              </w:rPr>
            </w:pPr>
            <w:r>
              <w:rPr>
                <w:rFonts w:ascii="Arial" w:cs="Arial" w:eastAsia="Arial" w:hAnsi="Arial"/>
                <w:sz w:val="16"/>
                <w:szCs w:val="16"/>
                <w:color w:val="auto"/>
              </w:rPr>
              <w:t>41,790</w:t>
            </w:r>
          </w:p>
        </w:tc>
        <w:tc>
          <w:tcPr>
            <w:tcW w:w="2280" w:type="dxa"/>
            <w:vAlign w:val="bottom"/>
          </w:tcPr>
          <w:p>
            <w:pPr>
              <w:jc w:val="right"/>
              <w:ind w:right="101"/>
              <w:spacing w:after="0"/>
              <w:rPr>
                <w:sz w:val="20"/>
                <w:szCs w:val="20"/>
                <w:color w:val="auto"/>
              </w:rPr>
            </w:pPr>
            <w:r>
              <w:rPr>
                <w:rFonts w:ascii="Arial" w:cs="Arial" w:eastAsia="Arial" w:hAnsi="Arial"/>
                <w:sz w:val="16"/>
                <w:szCs w:val="16"/>
                <w:color w:val="auto"/>
              </w:rPr>
              <w:t>Guideline Met</w:t>
            </w:r>
          </w:p>
        </w:tc>
      </w:tr>
      <w:tr>
        <w:trPr>
          <w:trHeight w:val="189"/>
        </w:trPr>
        <w:tc>
          <w:tcPr>
            <w:tcW w:w="3220" w:type="dxa"/>
            <w:vAlign w:val="bottom"/>
            <w:shd w:val="clear" w:color="auto" w:fill="E6EDF3"/>
          </w:tcPr>
          <w:p>
            <w:pPr>
              <w:ind w:left="80"/>
              <w:spacing w:after="0"/>
              <w:rPr>
                <w:sz w:val="20"/>
                <w:szCs w:val="20"/>
                <w:color w:val="auto"/>
              </w:rPr>
            </w:pPr>
            <w:r>
              <w:rPr>
                <w:rFonts w:ascii="Arial" w:cs="Arial" w:eastAsia="Arial" w:hAnsi="Arial"/>
                <w:sz w:val="16"/>
                <w:szCs w:val="16"/>
                <w:color w:val="auto"/>
              </w:rPr>
              <w:t>Mara E. Swan</w:t>
            </w:r>
          </w:p>
        </w:tc>
        <w:tc>
          <w:tcPr>
            <w:tcW w:w="1500" w:type="dxa"/>
            <w:vAlign w:val="bottom"/>
            <w:shd w:val="clear" w:color="auto" w:fill="E6EDF3"/>
          </w:tcPr>
          <w:p>
            <w:pPr>
              <w:jc w:val="right"/>
              <w:ind w:right="262"/>
              <w:spacing w:after="0"/>
              <w:rPr>
                <w:sz w:val="20"/>
                <w:szCs w:val="20"/>
                <w:color w:val="auto"/>
              </w:rPr>
            </w:pPr>
            <w:r>
              <w:rPr>
                <w:rFonts w:ascii="Arial" w:cs="Arial" w:eastAsia="Arial" w:hAnsi="Arial"/>
                <w:sz w:val="16"/>
                <w:szCs w:val="16"/>
                <w:color w:val="auto"/>
              </w:rPr>
              <w:t>3</w:t>
            </w:r>
          </w:p>
        </w:tc>
        <w:tc>
          <w:tcPr>
            <w:tcW w:w="1380" w:type="dxa"/>
            <w:vAlign w:val="bottom"/>
            <w:shd w:val="clear" w:color="auto" w:fill="E6EDF3"/>
          </w:tcPr>
          <w:p>
            <w:pPr>
              <w:jc w:val="right"/>
              <w:ind w:right="241"/>
              <w:spacing w:after="0"/>
              <w:rPr>
                <w:sz w:val="20"/>
                <w:szCs w:val="20"/>
                <w:color w:val="auto"/>
              </w:rPr>
            </w:pPr>
            <w:r>
              <w:rPr>
                <w:rFonts w:ascii="Arial" w:cs="Arial" w:eastAsia="Arial" w:hAnsi="Arial"/>
                <w:sz w:val="16"/>
                <w:szCs w:val="16"/>
                <w:color w:val="auto"/>
              </w:rPr>
              <w:t>1,680,000</w:t>
            </w:r>
          </w:p>
        </w:tc>
        <w:tc>
          <w:tcPr>
            <w:tcW w:w="1360" w:type="dxa"/>
            <w:vAlign w:val="bottom"/>
            <w:shd w:val="clear" w:color="auto" w:fill="E6EDF3"/>
          </w:tcPr>
          <w:p>
            <w:pPr>
              <w:jc w:val="right"/>
              <w:ind w:right="242"/>
              <w:spacing w:after="0"/>
              <w:rPr>
                <w:sz w:val="20"/>
                <w:szCs w:val="20"/>
                <w:color w:val="auto"/>
              </w:rPr>
            </w:pPr>
            <w:r>
              <w:rPr>
                <w:rFonts w:ascii="Arial" w:cs="Arial" w:eastAsia="Arial" w:hAnsi="Arial"/>
                <w:sz w:val="16"/>
                <w:szCs w:val="16"/>
                <w:color w:val="auto"/>
              </w:rPr>
              <w:t>23,931</w:t>
            </w:r>
          </w:p>
        </w:tc>
        <w:tc>
          <w:tcPr>
            <w:tcW w:w="1680" w:type="dxa"/>
            <w:vAlign w:val="bottom"/>
            <w:shd w:val="clear" w:color="auto" w:fill="E6EDF3"/>
          </w:tcPr>
          <w:p>
            <w:pPr>
              <w:jc w:val="right"/>
              <w:ind w:right="163"/>
              <w:spacing w:after="0"/>
              <w:rPr>
                <w:sz w:val="20"/>
                <w:szCs w:val="20"/>
                <w:color w:val="auto"/>
              </w:rPr>
            </w:pPr>
            <w:r>
              <w:rPr>
                <w:rFonts w:ascii="Arial" w:cs="Arial" w:eastAsia="Arial" w:hAnsi="Arial"/>
                <w:sz w:val="16"/>
                <w:szCs w:val="16"/>
                <w:color w:val="auto"/>
              </w:rPr>
              <w:t>55,150</w:t>
            </w:r>
          </w:p>
        </w:tc>
        <w:tc>
          <w:tcPr>
            <w:tcW w:w="2280" w:type="dxa"/>
            <w:vAlign w:val="bottom"/>
            <w:shd w:val="clear" w:color="auto" w:fill="E6EDF3"/>
          </w:tcPr>
          <w:p>
            <w:pPr>
              <w:jc w:val="right"/>
              <w:ind w:right="101"/>
              <w:spacing w:after="0"/>
              <w:rPr>
                <w:sz w:val="20"/>
                <w:szCs w:val="20"/>
                <w:color w:val="auto"/>
              </w:rPr>
            </w:pPr>
            <w:r>
              <w:rPr>
                <w:rFonts w:ascii="Arial" w:cs="Arial" w:eastAsia="Arial" w:hAnsi="Arial"/>
                <w:sz w:val="16"/>
                <w:szCs w:val="16"/>
                <w:color w:val="auto"/>
              </w:rPr>
              <w:t>Guideline Met</w:t>
            </w:r>
          </w:p>
        </w:tc>
      </w:tr>
      <w:tr>
        <w:trPr>
          <w:trHeight w:val="189"/>
        </w:trPr>
        <w:tc>
          <w:tcPr>
            <w:tcW w:w="32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Michael J. Van Handel</w:t>
            </w:r>
          </w:p>
        </w:tc>
        <w:tc>
          <w:tcPr>
            <w:tcW w:w="150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4</w:t>
            </w:r>
          </w:p>
        </w:tc>
        <w:tc>
          <w:tcPr>
            <w:tcW w:w="13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2,640,000</w:t>
            </w:r>
          </w:p>
        </w:tc>
        <w:tc>
          <w:tcPr>
            <w:tcW w:w="13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37,604</w:t>
            </w:r>
          </w:p>
        </w:tc>
        <w:tc>
          <w:tcPr>
            <w:tcW w:w="168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93,985</w:t>
            </w:r>
          </w:p>
        </w:tc>
        <w:tc>
          <w:tcPr>
            <w:tcW w:w="2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Guideline Met</w:t>
            </w:r>
          </w:p>
        </w:tc>
      </w:tr>
    </w:tbl>
    <w:p>
      <w:pPr>
        <w:spacing w:after="0" w:line="126" w:lineRule="exact"/>
        <w:rPr>
          <w:sz w:val="20"/>
          <w:szCs w:val="20"/>
          <w:color w:val="auto"/>
        </w:rPr>
      </w:pPr>
    </w:p>
    <w:p>
      <w:pPr>
        <w:ind w:left="340" w:right="700" w:hanging="332"/>
        <w:spacing w:after="0" w:line="258"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target values were set as of May 1, 2014 for all NEOs except Mr. McGinnis. Under the policy, NEOs have five years from January 1, 2014 to attain the targeted ownership levels or five years from date of hire for NEOs that become NEOs after January 1, 2014.</w:t>
      </w:r>
    </w:p>
    <w:p>
      <w:pPr>
        <w:spacing w:after="0" w:line="99" w:lineRule="exact"/>
        <w:rPr>
          <w:rFonts w:ascii="Arial" w:cs="Arial" w:eastAsia="Arial" w:hAnsi="Arial"/>
          <w:sz w:val="14"/>
          <w:szCs w:val="14"/>
          <w:color w:val="auto"/>
        </w:rPr>
      </w:pPr>
    </w:p>
    <w:p>
      <w:pPr>
        <w:ind w:left="340" w:hanging="332"/>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target values for Mr. McGinnis is based on his base salary and stock price on his date of hire.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We Have Adopted a Clawback Policy</w:t>
      </w:r>
    </w:p>
    <w:p>
      <w:pPr>
        <w:spacing w:after="0" w:line="166"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Committee maintains a compensation recoupment (“clawback”) policy that is applicable to the members of the Company’s senior management. Under the policy, if the Committee determines an employee engaged in intentional misconduct that causes a financial restatement, the Committee may require the employee to forfeit any outstanding awards, including cash incentives or equity awards that were received as a result of the misconduct.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We Prohibit Hedging Transactions</w:t>
      </w:r>
    </w:p>
    <w:p>
      <w:pPr>
        <w:spacing w:after="0" w:line="16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ManpowerGroup has adopted a policy prohibiting designated individuals, including the NEOs, from engaging in short-selling of ManpowerGroup securities and buying and selling puts and calls on ManpowerGroup securities without advance approval. We also do not permit these designated individuals to pledge ManpowerGroup securities. To date, no designated individual has requested approval to engage in such transactions.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We Provide Limited Expatriate Benefits</w:t>
      </w:r>
    </w:p>
    <w:p>
      <w:pPr>
        <w:spacing w:after="0" w:line="15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Part of ManpowerGroup’s executive development strategy includes providing its executives the opportunity to acquire management experience outside of their home country. To facilitate this strategy and to induce the executives to make such a change, ManpowerGroup provides expatriate benefits to its executives who are assigned outside of their home country, which eliminate any tax disadvantages caused by relocation and compensate them for the disruption it causes to them and to their families.</w:t>
      </w:r>
    </w:p>
    <w:p>
      <w:pPr>
        <w:spacing w:after="0" w:line="94"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In connection with Mr. Chandrashekar’s role as Executive Vice President, Operational Excellence and IT, and President, Asia Pacific Middle East, Mr. Chandrashekar receives tax equalization payments related to any compensation earned for the time required to be spent in the United States as part of his role. He also receives certain other benefits, including a car and return visit expenses.</w:t>
      </w:r>
    </w:p>
    <w:p>
      <w:pPr>
        <w:spacing w:after="0" w:line="281"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Realizable Pay in 2016</w:t>
      </w:r>
    </w:p>
    <w:p>
      <w:pPr>
        <w:spacing w:after="0" w:line="14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We also calculate realizable pay for Mr. Prising. This is a measure of the value of compensation granted or awarded during the reporting year. It shows the impact of Company performance and stock price on potential pay values for Mr. Prising, and provides an alternative means to the Summary Compensation Table on page 54 to evaluate the alignment between pay and performance. In particular, our calculation of realizable pay does not value equity awards using the accounting grant date fair value metric, as required in the Summary Compensation Table under Topic 718. Instead, for realizable pay we measure equity awards at their period-end value, in this case using the year-end stock price on December 31, 2016, of $88.87. For realizable pay our method of calculating equity award values is as follows:</w:t>
      </w:r>
    </w:p>
    <w:p>
      <w:pPr>
        <w:spacing w:after="0" w:line="111" w:lineRule="exact"/>
        <w:rPr>
          <w:sz w:val="20"/>
          <w:szCs w:val="20"/>
          <w:color w:val="auto"/>
        </w:rPr>
      </w:pPr>
    </w:p>
    <w:p>
      <w:pPr>
        <w:ind w:left="440" w:right="100" w:hanging="324"/>
        <w:spacing w:after="0" w:line="246" w:lineRule="auto"/>
        <w:tabs>
          <w:tab w:leader="none" w:pos="440" w:val="left"/>
        </w:tabs>
        <w:numPr>
          <w:ilvl w:val="0"/>
          <w:numId w:val="58"/>
        </w:numPr>
        <w:rPr>
          <w:rFonts w:ascii="Arial" w:cs="Arial" w:eastAsia="Arial" w:hAnsi="Arial"/>
          <w:sz w:val="18"/>
          <w:szCs w:val="18"/>
          <w:color w:val="5D89B4"/>
        </w:rPr>
      </w:pPr>
      <w:r>
        <w:rPr>
          <w:rFonts w:ascii="Arial" w:cs="Arial" w:eastAsia="Arial" w:hAnsi="Arial"/>
          <w:sz w:val="18"/>
          <w:szCs w:val="18"/>
          <w:u w:val="single" w:color="auto"/>
          <w:color w:val="auto"/>
        </w:rPr>
        <w:t>Stock Options</w:t>
      </w:r>
      <w:r>
        <w:rPr>
          <w:rFonts w:ascii="Arial" w:cs="Arial" w:eastAsia="Arial" w:hAnsi="Arial"/>
          <w:sz w:val="18"/>
          <w:szCs w:val="18"/>
          <w:color w:val="auto"/>
        </w:rPr>
        <w:t>. We use the “intrinsic value” of the stock options granted to Mr. Prising in February 2016, meaning the spread between the grant price and the price of the underlying stock at year end.</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49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Compensation Discussion and Analysis</w:t>
      </w:r>
    </w:p>
    <w:p>
      <w:pPr>
        <w:spacing w:after="0" w:line="360" w:lineRule="exact"/>
        <w:rPr>
          <w:sz w:val="20"/>
          <w:szCs w:val="20"/>
          <w:color w:val="auto"/>
        </w:rPr>
      </w:pPr>
    </w:p>
    <w:p>
      <w:pPr>
        <w:ind w:left="440" w:right="200" w:hanging="324"/>
        <w:spacing w:after="0" w:line="246" w:lineRule="auto"/>
        <w:tabs>
          <w:tab w:leader="none" w:pos="440" w:val="left"/>
        </w:tabs>
        <w:numPr>
          <w:ilvl w:val="0"/>
          <w:numId w:val="59"/>
        </w:numPr>
        <w:rPr>
          <w:rFonts w:ascii="Arial" w:cs="Arial" w:eastAsia="Arial" w:hAnsi="Arial"/>
          <w:sz w:val="18"/>
          <w:szCs w:val="18"/>
          <w:color w:val="5D89B4"/>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 We use the year-end value of the restricted stock units awarded to Mr. Prising in February 2016 and value these shares using the year-end stock price on December 31, 2016.</w:t>
      </w:r>
    </w:p>
    <w:p>
      <w:pPr>
        <w:spacing w:after="0" w:line="102" w:lineRule="exact"/>
        <w:rPr>
          <w:rFonts w:ascii="Arial" w:cs="Arial" w:eastAsia="Arial" w:hAnsi="Arial"/>
          <w:sz w:val="18"/>
          <w:szCs w:val="18"/>
          <w:color w:val="5D89B4"/>
        </w:rPr>
      </w:pPr>
    </w:p>
    <w:p>
      <w:pPr>
        <w:ind w:left="440" w:right="280" w:hanging="324"/>
        <w:spacing w:after="0" w:line="246" w:lineRule="auto"/>
        <w:tabs>
          <w:tab w:leader="none" w:pos="440" w:val="left"/>
        </w:tabs>
        <w:numPr>
          <w:ilvl w:val="0"/>
          <w:numId w:val="59"/>
        </w:numPr>
        <w:rPr>
          <w:rFonts w:ascii="Arial" w:cs="Arial" w:eastAsia="Arial" w:hAnsi="Arial"/>
          <w:sz w:val="18"/>
          <w:szCs w:val="18"/>
          <w:color w:val="5D89B4"/>
        </w:rPr>
      </w:pPr>
      <w:r>
        <w:rPr>
          <w:rFonts w:ascii="Arial" w:cs="Arial" w:eastAsia="Arial" w:hAnsi="Arial"/>
          <w:sz w:val="18"/>
          <w:szCs w:val="18"/>
          <w:u w:val="single" w:color="auto"/>
          <w:color w:val="auto"/>
        </w:rPr>
        <w:t>Performance Share Units</w:t>
      </w:r>
      <w:r>
        <w:rPr>
          <w:rFonts w:ascii="Arial" w:cs="Arial" w:eastAsia="Arial" w:hAnsi="Arial"/>
          <w:sz w:val="18"/>
          <w:szCs w:val="18"/>
          <w:color w:val="auto"/>
        </w:rPr>
        <w:t>. We calculate performance share units using the target performance shares granted in 2016 and value these shares using the year-end stock price on December 31, 2016.</w:t>
      </w:r>
    </w:p>
    <w:p>
      <w:pPr>
        <w:spacing w:after="0" w:line="89"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Our realizable pay calculation reflects the significant equity component of Mr. Prising’s total compensation, and illustrates how the value of Mr. Prising’s 2016 compensation is sensitive to movements in our stock price. The Company enjoyed strong operating performance in 2016 and stock price appreciation with a year-end price of $88.87 as of December 31, 2016 compared to $84.29 as of January 1, 2016. In addition, the December 31, 2016 stock price was greater than the fair market value used to value the equity grants of $75.07 as of February 16, 2016 (the closing stock price on the date of grant). However, Mr. Prising’s realizable pay calculated for 2016 is slightly less than his total compensation shown in the Summary Compensation Table using SEC reporting methodology because despite strong operating performance and stock appreciation, the instrinsic value of his stock options at the end of the year was less than the fair value of the options at the date of grant as reported in the Summary Compensation Table. In 2015, Mr. Prising’s realizable pay was also less than his reported compensation, despite strong operating performance, due to the intrinsic value of his stock options. See page 54 for further details.</w:t>
      </w:r>
    </w:p>
    <w:p>
      <w:pPr>
        <w:spacing w:after="0" w:line="99"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 table below shows realizable pay for Mr. Prising in 2016 as compared to his compensation as reported in the Summary Compensation Table on page 54.</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Table of CEO Realizable Compensation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120" w:type="dxa"/>
            <w:vAlign w:val="bottom"/>
            <w:tcBorders>
              <w:top w:val="single" w:sz="8" w:color="auto"/>
            </w:tcBorders>
            <w:shd w:val="clear" w:color="auto" w:fill="9DB8D2"/>
          </w:tcPr>
          <w:p>
            <w:pPr>
              <w:spacing w:after="0"/>
              <w:rPr>
                <w:sz w:val="22"/>
                <w:szCs w:val="22"/>
                <w:color w:val="auto"/>
              </w:rPr>
            </w:pPr>
          </w:p>
        </w:tc>
        <w:tc>
          <w:tcPr>
            <w:tcW w:w="1040" w:type="dxa"/>
            <w:vAlign w:val="bottom"/>
            <w:tcBorders>
              <w:top w:val="single" w:sz="8" w:color="auto"/>
            </w:tcBorders>
            <w:shd w:val="clear" w:color="auto" w:fill="9DB8D2"/>
          </w:tcPr>
          <w:p>
            <w:pPr>
              <w:spacing w:after="0"/>
              <w:rPr>
                <w:sz w:val="22"/>
                <w:szCs w:val="22"/>
                <w:color w:val="auto"/>
              </w:rPr>
            </w:pPr>
          </w:p>
        </w:tc>
        <w:tc>
          <w:tcPr>
            <w:tcW w:w="1580" w:type="dxa"/>
            <w:vAlign w:val="bottom"/>
            <w:tcBorders>
              <w:top w:val="single" w:sz="8" w:color="auto"/>
            </w:tcBorders>
            <w:gridSpan w:val="2"/>
            <w:shd w:val="clear" w:color="auto" w:fill="9DB8D2"/>
          </w:tcPr>
          <w:p>
            <w:pPr>
              <w:jc w:val="center"/>
              <w:spacing w:after="0"/>
              <w:rPr>
                <w:sz w:val="20"/>
                <w:szCs w:val="20"/>
                <w:color w:val="auto"/>
              </w:rPr>
            </w:pPr>
            <w:r>
              <w:rPr>
                <w:rFonts w:ascii="Arial" w:cs="Arial" w:eastAsia="Arial" w:hAnsi="Arial"/>
                <w:sz w:val="14"/>
                <w:szCs w:val="14"/>
                <w:b w:val="1"/>
                <w:bCs w:val="1"/>
                <w:color w:val="auto"/>
              </w:rPr>
              <w:t>2016 Compensation As</w:t>
            </w:r>
          </w:p>
        </w:tc>
        <w:tc>
          <w:tcPr>
            <w:tcW w:w="940" w:type="dxa"/>
            <w:vAlign w:val="bottom"/>
            <w:tcBorders>
              <w:top w:val="single" w:sz="8" w:color="auto"/>
            </w:tcBorders>
            <w:shd w:val="clear" w:color="auto" w:fill="9DB8D2"/>
          </w:tcPr>
          <w:p>
            <w:pPr>
              <w:spacing w:after="0"/>
              <w:rPr>
                <w:sz w:val="22"/>
                <w:szCs w:val="22"/>
                <w:color w:val="auto"/>
              </w:rPr>
            </w:pPr>
          </w:p>
        </w:tc>
        <w:tc>
          <w:tcPr>
            <w:tcW w:w="160" w:type="dxa"/>
            <w:vAlign w:val="bottom"/>
            <w:tcBorders>
              <w:top w:val="single" w:sz="8" w:color="auto"/>
            </w:tcBorders>
            <w:shd w:val="clear" w:color="auto" w:fill="9DB8D2"/>
          </w:tcPr>
          <w:p>
            <w:pPr>
              <w:spacing w:after="0"/>
              <w:rPr>
                <w:sz w:val="22"/>
                <w:szCs w:val="22"/>
                <w:color w:val="auto"/>
              </w:rPr>
            </w:pPr>
          </w:p>
        </w:tc>
        <w:tc>
          <w:tcPr>
            <w:tcW w:w="1280" w:type="dxa"/>
            <w:vAlign w:val="bottom"/>
            <w:tcBorders>
              <w:top w:val="single" w:sz="8" w:color="auto"/>
            </w:tcBorders>
            <w:shd w:val="clear" w:color="auto" w:fill="9DB8D2"/>
          </w:tcPr>
          <w:p>
            <w:pPr>
              <w:spacing w:after="0"/>
              <w:rPr>
                <w:sz w:val="22"/>
                <w:szCs w:val="22"/>
                <w:color w:val="auto"/>
              </w:rPr>
            </w:pPr>
          </w:p>
        </w:tc>
        <w:tc>
          <w:tcPr>
            <w:tcW w:w="300" w:type="dxa"/>
            <w:vAlign w:val="bottom"/>
            <w:tcBorders>
              <w:top w:val="single" w:sz="8" w:color="auto"/>
            </w:tcBorders>
            <w:shd w:val="clear" w:color="auto" w:fill="9DB8D2"/>
          </w:tcPr>
          <w:p>
            <w:pPr>
              <w:spacing w:after="0"/>
              <w:rPr>
                <w:sz w:val="22"/>
                <w:szCs w:val="22"/>
                <w:color w:val="auto"/>
              </w:rPr>
            </w:pPr>
          </w:p>
        </w:tc>
      </w:tr>
      <w:tr>
        <w:trPr>
          <w:trHeight w:val="162"/>
        </w:trPr>
        <w:tc>
          <w:tcPr>
            <w:tcW w:w="6120" w:type="dxa"/>
            <w:vAlign w:val="bottom"/>
            <w:shd w:val="clear" w:color="auto" w:fill="9DB8D2"/>
          </w:tcPr>
          <w:p>
            <w:pPr>
              <w:spacing w:after="0"/>
              <w:rPr>
                <w:sz w:val="14"/>
                <w:szCs w:val="14"/>
                <w:color w:val="auto"/>
              </w:rPr>
            </w:pPr>
          </w:p>
        </w:tc>
        <w:tc>
          <w:tcPr>
            <w:tcW w:w="1040" w:type="dxa"/>
            <w:vAlign w:val="bottom"/>
            <w:shd w:val="clear" w:color="auto" w:fill="9DB8D2"/>
          </w:tcPr>
          <w:p>
            <w:pPr>
              <w:spacing w:after="0"/>
              <w:rPr>
                <w:sz w:val="14"/>
                <w:szCs w:val="14"/>
                <w:color w:val="auto"/>
              </w:rPr>
            </w:pPr>
          </w:p>
        </w:tc>
        <w:tc>
          <w:tcPr>
            <w:tcW w:w="160" w:type="dxa"/>
            <w:vAlign w:val="bottom"/>
            <w:shd w:val="clear" w:color="auto" w:fill="9DB8D2"/>
          </w:tcPr>
          <w:p>
            <w:pPr>
              <w:spacing w:after="0"/>
              <w:rPr>
                <w:sz w:val="14"/>
                <w:szCs w:val="14"/>
                <w:color w:val="auto"/>
              </w:rPr>
            </w:pPr>
          </w:p>
        </w:tc>
        <w:tc>
          <w:tcPr>
            <w:tcW w:w="1420" w:type="dxa"/>
            <w:vAlign w:val="bottom"/>
            <w:shd w:val="clear" w:color="auto" w:fill="9DB8D2"/>
          </w:tcPr>
          <w:p>
            <w:pPr>
              <w:jc w:val="center"/>
              <w:ind w:right="81"/>
              <w:spacing w:after="0"/>
              <w:rPr>
                <w:sz w:val="20"/>
                <w:szCs w:val="20"/>
                <w:color w:val="auto"/>
              </w:rPr>
            </w:pPr>
            <w:r>
              <w:rPr>
                <w:rFonts w:ascii="Arial" w:cs="Arial" w:eastAsia="Arial" w:hAnsi="Arial"/>
                <w:sz w:val="14"/>
                <w:szCs w:val="14"/>
                <w:b w:val="1"/>
                <w:bCs w:val="1"/>
                <w:color w:val="auto"/>
              </w:rPr>
              <w:t>Reported in the</w:t>
            </w:r>
          </w:p>
        </w:tc>
        <w:tc>
          <w:tcPr>
            <w:tcW w:w="940" w:type="dxa"/>
            <w:vAlign w:val="bottom"/>
            <w:shd w:val="clear" w:color="auto" w:fill="9DB8D2"/>
          </w:tcPr>
          <w:p>
            <w:pPr>
              <w:spacing w:after="0"/>
              <w:rPr>
                <w:sz w:val="14"/>
                <w:szCs w:val="14"/>
                <w:color w:val="auto"/>
              </w:rPr>
            </w:pPr>
          </w:p>
        </w:tc>
        <w:tc>
          <w:tcPr>
            <w:tcW w:w="160" w:type="dxa"/>
            <w:vAlign w:val="bottom"/>
            <w:shd w:val="clear" w:color="auto" w:fill="9DB8D2"/>
          </w:tcPr>
          <w:p>
            <w:pPr>
              <w:spacing w:after="0"/>
              <w:rPr>
                <w:sz w:val="14"/>
                <w:szCs w:val="14"/>
                <w:color w:val="auto"/>
              </w:rPr>
            </w:pPr>
          </w:p>
        </w:tc>
        <w:tc>
          <w:tcPr>
            <w:tcW w:w="1280" w:type="dxa"/>
            <w:vAlign w:val="bottom"/>
            <w:shd w:val="clear" w:color="auto" w:fill="9DB8D2"/>
          </w:tcPr>
          <w:p>
            <w:pPr>
              <w:spacing w:after="0"/>
              <w:rPr>
                <w:sz w:val="14"/>
                <w:szCs w:val="14"/>
                <w:color w:val="auto"/>
              </w:rPr>
            </w:pPr>
          </w:p>
        </w:tc>
        <w:tc>
          <w:tcPr>
            <w:tcW w:w="300" w:type="dxa"/>
            <w:vAlign w:val="bottom"/>
            <w:shd w:val="clear" w:color="auto" w:fill="9DB8D2"/>
          </w:tcPr>
          <w:p>
            <w:pPr>
              <w:spacing w:after="0"/>
              <w:rPr>
                <w:sz w:val="14"/>
                <w:szCs w:val="14"/>
                <w:color w:val="auto"/>
              </w:rPr>
            </w:pPr>
          </w:p>
        </w:tc>
      </w:tr>
      <w:tr>
        <w:trPr>
          <w:trHeight w:val="162"/>
        </w:trPr>
        <w:tc>
          <w:tcPr>
            <w:tcW w:w="6120" w:type="dxa"/>
            <w:vAlign w:val="bottom"/>
            <w:shd w:val="clear" w:color="auto" w:fill="9DB8D2"/>
          </w:tcPr>
          <w:p>
            <w:pPr>
              <w:spacing w:after="0"/>
              <w:rPr>
                <w:sz w:val="14"/>
                <w:szCs w:val="14"/>
                <w:color w:val="auto"/>
              </w:rPr>
            </w:pPr>
          </w:p>
        </w:tc>
        <w:tc>
          <w:tcPr>
            <w:tcW w:w="1040" w:type="dxa"/>
            <w:vAlign w:val="bottom"/>
            <w:shd w:val="clear" w:color="auto" w:fill="9DB8D2"/>
          </w:tcPr>
          <w:p>
            <w:pPr>
              <w:spacing w:after="0"/>
              <w:rPr>
                <w:sz w:val="14"/>
                <w:szCs w:val="14"/>
                <w:color w:val="auto"/>
              </w:rPr>
            </w:pPr>
          </w:p>
        </w:tc>
        <w:tc>
          <w:tcPr>
            <w:tcW w:w="160" w:type="dxa"/>
            <w:vAlign w:val="bottom"/>
            <w:shd w:val="clear" w:color="auto" w:fill="9DB8D2"/>
          </w:tcPr>
          <w:p>
            <w:pPr>
              <w:spacing w:after="0"/>
              <w:rPr>
                <w:sz w:val="14"/>
                <w:szCs w:val="14"/>
                <w:color w:val="auto"/>
              </w:rPr>
            </w:pPr>
          </w:p>
        </w:tc>
        <w:tc>
          <w:tcPr>
            <w:tcW w:w="1420" w:type="dxa"/>
            <w:vAlign w:val="bottom"/>
            <w:shd w:val="clear" w:color="auto" w:fill="9DB8D2"/>
          </w:tcPr>
          <w:p>
            <w:pPr>
              <w:jc w:val="center"/>
              <w:ind w:right="81"/>
              <w:spacing w:after="0"/>
              <w:rPr>
                <w:sz w:val="20"/>
                <w:szCs w:val="20"/>
                <w:color w:val="auto"/>
              </w:rPr>
            </w:pPr>
            <w:r>
              <w:rPr>
                <w:rFonts w:ascii="Arial" w:cs="Arial" w:eastAsia="Arial" w:hAnsi="Arial"/>
                <w:sz w:val="14"/>
                <w:szCs w:val="14"/>
                <w:b w:val="1"/>
                <w:bCs w:val="1"/>
                <w:color w:val="auto"/>
              </w:rPr>
              <w:t>Summary</w:t>
            </w:r>
          </w:p>
        </w:tc>
        <w:tc>
          <w:tcPr>
            <w:tcW w:w="940" w:type="dxa"/>
            <w:vAlign w:val="bottom"/>
            <w:shd w:val="clear" w:color="auto" w:fill="9DB8D2"/>
          </w:tcPr>
          <w:p>
            <w:pPr>
              <w:spacing w:after="0"/>
              <w:rPr>
                <w:sz w:val="14"/>
                <w:szCs w:val="14"/>
                <w:color w:val="auto"/>
              </w:rPr>
            </w:pPr>
          </w:p>
        </w:tc>
        <w:tc>
          <w:tcPr>
            <w:tcW w:w="1740" w:type="dxa"/>
            <w:vAlign w:val="bottom"/>
            <w:gridSpan w:val="3"/>
            <w:shd w:val="clear" w:color="auto" w:fill="9DB8D2"/>
          </w:tcPr>
          <w:p>
            <w:pPr>
              <w:spacing w:after="0"/>
              <w:rPr>
                <w:sz w:val="20"/>
                <w:szCs w:val="20"/>
                <w:color w:val="auto"/>
              </w:rPr>
            </w:pPr>
            <w:r>
              <w:rPr>
                <w:rFonts w:ascii="Arial" w:cs="Arial" w:eastAsia="Arial" w:hAnsi="Arial"/>
                <w:sz w:val="14"/>
                <w:szCs w:val="14"/>
                <w:b w:val="1"/>
                <w:bCs w:val="1"/>
                <w:color w:val="auto"/>
              </w:rPr>
              <w:t>2016 Total Realizable</w:t>
            </w:r>
          </w:p>
        </w:tc>
      </w:tr>
      <w:tr>
        <w:trPr>
          <w:trHeight w:val="189"/>
        </w:trPr>
        <w:tc>
          <w:tcPr>
            <w:tcW w:w="6120" w:type="dxa"/>
            <w:vAlign w:val="bottom"/>
            <w:tcBorders>
              <w:bottom w:val="single" w:sz="8" w:color="auto"/>
            </w:tcBorders>
            <w:shd w:val="clear" w:color="auto" w:fill="9DB8D2"/>
          </w:tcPr>
          <w:p>
            <w:pPr>
              <w:spacing w:after="0"/>
              <w:rPr>
                <w:sz w:val="16"/>
                <w:szCs w:val="16"/>
                <w:color w:val="auto"/>
              </w:rPr>
            </w:pPr>
          </w:p>
        </w:tc>
        <w:tc>
          <w:tcPr>
            <w:tcW w:w="1040" w:type="dxa"/>
            <w:vAlign w:val="bottom"/>
            <w:tcBorders>
              <w:bottom w:val="single" w:sz="8" w:color="auto"/>
            </w:tcBorders>
            <w:shd w:val="clear" w:color="auto" w:fill="9DB8D2"/>
          </w:tcPr>
          <w:p>
            <w:pPr>
              <w:spacing w:after="0"/>
              <w:rPr>
                <w:sz w:val="16"/>
                <w:szCs w:val="16"/>
                <w:color w:val="auto"/>
              </w:rPr>
            </w:pPr>
          </w:p>
        </w:tc>
        <w:tc>
          <w:tcPr>
            <w:tcW w:w="1580" w:type="dxa"/>
            <w:vAlign w:val="bottom"/>
            <w:tcBorders>
              <w:bottom w:val="single" w:sz="8" w:color="auto"/>
            </w:tcBorders>
            <w:gridSpan w:val="2"/>
            <w:shd w:val="clear" w:color="auto" w:fill="9DB8D2"/>
          </w:tcPr>
          <w:p>
            <w:pPr>
              <w:jc w:val="center"/>
              <w:spacing w:after="0"/>
              <w:rPr>
                <w:sz w:val="20"/>
                <w:szCs w:val="20"/>
                <w:color w:val="auto"/>
              </w:rPr>
            </w:pPr>
            <w:r>
              <w:rPr>
                <w:rFonts w:ascii="Arial" w:cs="Arial" w:eastAsia="Arial" w:hAnsi="Arial"/>
                <w:sz w:val="14"/>
                <w:szCs w:val="14"/>
                <w:b w:val="1"/>
                <w:bCs w:val="1"/>
                <w:color w:val="auto"/>
              </w:rPr>
              <w:t>Compensation Table</w:t>
            </w:r>
          </w:p>
        </w:tc>
        <w:tc>
          <w:tcPr>
            <w:tcW w:w="940" w:type="dxa"/>
            <w:vAlign w:val="bottom"/>
            <w:tcBorders>
              <w:bottom w:val="single" w:sz="8" w:color="auto"/>
            </w:tcBorders>
            <w:shd w:val="clear" w:color="auto" w:fill="9DB8D2"/>
          </w:tcPr>
          <w:p>
            <w:pPr>
              <w:spacing w:after="0"/>
              <w:rPr>
                <w:sz w:val="16"/>
                <w:szCs w:val="16"/>
                <w:color w:val="auto"/>
              </w:rPr>
            </w:pPr>
          </w:p>
        </w:tc>
        <w:tc>
          <w:tcPr>
            <w:tcW w:w="160" w:type="dxa"/>
            <w:vAlign w:val="bottom"/>
            <w:tcBorders>
              <w:bottom w:val="single" w:sz="8" w:color="auto"/>
            </w:tcBorders>
            <w:shd w:val="clear" w:color="auto" w:fill="9DB8D2"/>
          </w:tcPr>
          <w:p>
            <w:pPr>
              <w:spacing w:after="0"/>
              <w:rPr>
                <w:sz w:val="16"/>
                <w:szCs w:val="16"/>
                <w:color w:val="auto"/>
              </w:rPr>
            </w:pPr>
          </w:p>
        </w:tc>
        <w:tc>
          <w:tcPr>
            <w:tcW w:w="1580" w:type="dxa"/>
            <w:vAlign w:val="bottom"/>
            <w:tcBorders>
              <w:bottom w:val="single" w:sz="8" w:color="auto"/>
            </w:tcBorders>
            <w:gridSpan w:val="2"/>
            <w:shd w:val="clear" w:color="auto" w:fill="9DB8D2"/>
          </w:tcPr>
          <w:p>
            <w:pPr>
              <w:ind w:left="60"/>
              <w:spacing w:after="0"/>
              <w:rPr>
                <w:sz w:val="20"/>
                <w:szCs w:val="20"/>
                <w:color w:val="auto"/>
              </w:rPr>
            </w:pPr>
            <w:r>
              <w:rPr>
                <w:rFonts w:ascii="Arial" w:cs="Arial" w:eastAsia="Arial" w:hAnsi="Arial"/>
                <w:sz w:val="14"/>
                <w:szCs w:val="14"/>
                <w:b w:val="1"/>
                <w:bCs w:val="1"/>
                <w:color w:val="auto"/>
              </w:rPr>
              <w:t>Compensation</w:t>
            </w:r>
          </w:p>
        </w:tc>
      </w:tr>
      <w:tr>
        <w:trPr>
          <w:trHeight w:val="183"/>
        </w:trPr>
        <w:tc>
          <w:tcPr>
            <w:tcW w:w="612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Base Salary</w:t>
            </w:r>
          </w:p>
        </w:tc>
        <w:tc>
          <w:tcPr>
            <w:tcW w:w="1200" w:type="dxa"/>
            <w:vAlign w:val="bottom"/>
            <w:gridSpan w:val="2"/>
            <w:shd w:val="clear" w:color="auto" w:fill="E6EDF3"/>
          </w:tcPr>
          <w:p>
            <w:pPr>
              <w:jc w:val="right"/>
              <w:ind w:right="8"/>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E6EDF3"/>
          </w:tcPr>
          <w:p>
            <w:pPr>
              <w:jc w:val="right"/>
              <w:spacing w:after="0" w:line="183" w:lineRule="exact"/>
              <w:rPr>
                <w:sz w:val="20"/>
                <w:szCs w:val="20"/>
                <w:color w:val="auto"/>
              </w:rPr>
            </w:pPr>
            <w:r>
              <w:rPr>
                <w:rFonts w:ascii="Arial" w:cs="Arial" w:eastAsia="Arial" w:hAnsi="Arial"/>
                <w:sz w:val="16"/>
                <w:szCs w:val="16"/>
                <w:color w:val="auto"/>
              </w:rPr>
              <w:t>1,200,000</w:t>
            </w:r>
          </w:p>
        </w:tc>
        <w:tc>
          <w:tcPr>
            <w:tcW w:w="1100" w:type="dxa"/>
            <w:vAlign w:val="bottom"/>
            <w:gridSpan w:val="2"/>
            <w:shd w:val="clear" w:color="auto" w:fill="E6EDF3"/>
          </w:tcPr>
          <w:p>
            <w:pPr>
              <w:ind w:left="940"/>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E6EDF3"/>
          </w:tcPr>
          <w:p>
            <w:pPr>
              <w:jc w:val="right"/>
              <w:spacing w:after="0" w:line="183" w:lineRule="exact"/>
              <w:rPr>
                <w:sz w:val="20"/>
                <w:szCs w:val="20"/>
                <w:color w:val="auto"/>
              </w:rPr>
            </w:pPr>
            <w:r>
              <w:rPr>
                <w:rFonts w:ascii="Arial" w:cs="Arial" w:eastAsia="Arial" w:hAnsi="Arial"/>
                <w:sz w:val="16"/>
                <w:szCs w:val="16"/>
                <w:color w:val="auto"/>
              </w:rPr>
              <w:t>1,200,000</w:t>
            </w:r>
          </w:p>
        </w:tc>
        <w:tc>
          <w:tcPr>
            <w:tcW w:w="300" w:type="dxa"/>
            <w:vAlign w:val="bottom"/>
            <w:shd w:val="clear" w:color="auto" w:fill="E6EDF3"/>
          </w:tcPr>
          <w:p>
            <w:pPr>
              <w:spacing w:after="0"/>
              <w:rPr>
                <w:sz w:val="15"/>
                <w:szCs w:val="15"/>
                <w:color w:val="auto"/>
              </w:rPr>
            </w:pPr>
          </w:p>
        </w:tc>
      </w:tr>
      <w:tr>
        <w:trPr>
          <w:trHeight w:val="196"/>
        </w:trPr>
        <w:tc>
          <w:tcPr>
            <w:tcW w:w="6120" w:type="dxa"/>
            <w:vAlign w:val="bottom"/>
          </w:tcPr>
          <w:p>
            <w:pPr>
              <w:ind w:left="80"/>
              <w:spacing w:after="0"/>
              <w:rPr>
                <w:sz w:val="20"/>
                <w:szCs w:val="20"/>
                <w:color w:val="auto"/>
              </w:rPr>
            </w:pPr>
            <w:r>
              <w:rPr>
                <w:rFonts w:ascii="Arial" w:cs="Arial" w:eastAsia="Arial" w:hAnsi="Arial"/>
                <w:sz w:val="16"/>
                <w:szCs w:val="16"/>
                <w:color w:val="auto"/>
              </w:rPr>
              <w:t>Annual Incentive</w:t>
            </w:r>
          </w:p>
        </w:tc>
        <w:tc>
          <w:tcPr>
            <w:tcW w:w="10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2,238,000</w:t>
            </w:r>
          </w:p>
        </w:tc>
        <w:tc>
          <w:tcPr>
            <w:tcW w:w="9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2,238,000</w:t>
            </w:r>
          </w:p>
        </w:tc>
        <w:tc>
          <w:tcPr>
            <w:tcW w:w="300" w:type="dxa"/>
            <w:vAlign w:val="bottom"/>
          </w:tcPr>
          <w:p>
            <w:pPr>
              <w:spacing w:after="0"/>
              <w:rPr>
                <w:sz w:val="17"/>
                <w:szCs w:val="17"/>
                <w:color w:val="auto"/>
              </w:rPr>
            </w:pPr>
          </w:p>
        </w:tc>
      </w:tr>
      <w:tr>
        <w:trPr>
          <w:trHeight w:val="189"/>
        </w:trPr>
        <w:tc>
          <w:tcPr>
            <w:tcW w:w="6120" w:type="dxa"/>
            <w:vAlign w:val="bottom"/>
            <w:shd w:val="clear" w:color="auto" w:fill="E6EDF3"/>
          </w:tcPr>
          <w:p>
            <w:pPr>
              <w:ind w:left="80"/>
              <w:spacing w:after="0"/>
              <w:rPr>
                <w:sz w:val="20"/>
                <w:szCs w:val="20"/>
                <w:color w:val="auto"/>
              </w:rPr>
            </w:pPr>
            <w:r>
              <w:rPr>
                <w:rFonts w:ascii="Arial" w:cs="Arial" w:eastAsia="Arial" w:hAnsi="Arial"/>
                <w:sz w:val="16"/>
                <w:szCs w:val="16"/>
                <w:color w:val="auto"/>
              </w:rPr>
              <w:t>Total Cash</w:t>
            </w:r>
          </w:p>
        </w:tc>
        <w:tc>
          <w:tcPr>
            <w:tcW w:w="1040" w:type="dxa"/>
            <w:vAlign w:val="bottom"/>
            <w:shd w:val="clear" w:color="auto" w:fill="E6EDF3"/>
          </w:tcPr>
          <w:p>
            <w:pPr>
              <w:spacing w:after="0"/>
              <w:rPr>
                <w:sz w:val="16"/>
                <w:szCs w:val="16"/>
                <w:color w:val="auto"/>
              </w:rPr>
            </w:pPr>
          </w:p>
        </w:tc>
        <w:tc>
          <w:tcPr>
            <w:tcW w:w="160" w:type="dxa"/>
            <w:vAlign w:val="bottom"/>
            <w:tcBorders>
              <w:bottom w:val="single" w:sz="8" w:color="auto"/>
            </w:tcBorders>
            <w:shd w:val="clear" w:color="auto" w:fill="E6EDF3"/>
          </w:tcPr>
          <w:p>
            <w:pPr>
              <w:spacing w:after="0"/>
              <w:rPr>
                <w:sz w:val="16"/>
                <w:szCs w:val="16"/>
                <w:color w:val="auto"/>
              </w:rPr>
            </w:pPr>
          </w:p>
        </w:tc>
        <w:tc>
          <w:tcPr>
            <w:tcW w:w="142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3,438,000</w:t>
            </w:r>
          </w:p>
        </w:tc>
        <w:tc>
          <w:tcPr>
            <w:tcW w:w="940" w:type="dxa"/>
            <w:vAlign w:val="bottom"/>
            <w:shd w:val="clear" w:color="auto" w:fill="E6EDF3"/>
          </w:tcPr>
          <w:p>
            <w:pPr>
              <w:spacing w:after="0"/>
              <w:rPr>
                <w:sz w:val="16"/>
                <w:szCs w:val="16"/>
                <w:color w:val="auto"/>
              </w:rPr>
            </w:pPr>
          </w:p>
        </w:tc>
        <w:tc>
          <w:tcPr>
            <w:tcW w:w="160" w:type="dxa"/>
            <w:vAlign w:val="bottom"/>
            <w:tcBorders>
              <w:bottom w:val="single" w:sz="8" w:color="auto"/>
            </w:tcBorders>
            <w:shd w:val="clear" w:color="auto" w:fill="E6EDF3"/>
          </w:tcPr>
          <w:p>
            <w:pPr>
              <w:spacing w:after="0"/>
              <w:rPr>
                <w:sz w:val="16"/>
                <w:szCs w:val="16"/>
                <w:color w:val="auto"/>
              </w:rPr>
            </w:pPr>
          </w:p>
        </w:tc>
        <w:tc>
          <w:tcPr>
            <w:tcW w:w="128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3,438,000</w:t>
            </w:r>
          </w:p>
        </w:tc>
        <w:tc>
          <w:tcPr>
            <w:tcW w:w="300" w:type="dxa"/>
            <w:vAlign w:val="bottom"/>
            <w:shd w:val="clear" w:color="auto" w:fill="E6EDF3"/>
          </w:tcPr>
          <w:p>
            <w:pPr>
              <w:spacing w:after="0"/>
              <w:rPr>
                <w:sz w:val="16"/>
                <w:szCs w:val="16"/>
                <w:color w:val="auto"/>
              </w:rPr>
            </w:pPr>
          </w:p>
        </w:tc>
      </w:tr>
      <w:tr>
        <w:trPr>
          <w:trHeight w:val="20"/>
        </w:trPr>
        <w:tc>
          <w:tcPr>
            <w:tcW w:w="6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3"/>
        </w:trPr>
        <w:tc>
          <w:tcPr>
            <w:tcW w:w="6120" w:type="dxa"/>
            <w:vAlign w:val="bottom"/>
          </w:tcPr>
          <w:p>
            <w:pPr>
              <w:ind w:left="80"/>
              <w:spacing w:after="0"/>
              <w:rPr>
                <w:sz w:val="20"/>
                <w:szCs w:val="20"/>
                <w:color w:val="auto"/>
              </w:rPr>
            </w:pPr>
            <w:r>
              <w:rPr>
                <w:rFonts w:ascii="Arial" w:cs="Arial" w:eastAsia="Arial" w:hAnsi="Arial"/>
                <w:sz w:val="16"/>
                <w:szCs w:val="16"/>
                <w:color w:val="auto"/>
              </w:rPr>
              <w:t>Stock Options</w:t>
            </w: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1,500,010</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349,088</w:t>
            </w:r>
          </w:p>
        </w:tc>
        <w:tc>
          <w:tcPr>
            <w:tcW w:w="300" w:type="dxa"/>
            <w:vAlign w:val="bottom"/>
          </w:tcPr>
          <w:p>
            <w:pPr>
              <w:spacing w:after="0"/>
              <w:rPr>
                <w:sz w:val="15"/>
                <w:szCs w:val="15"/>
                <w:color w:val="auto"/>
              </w:rPr>
            </w:pPr>
          </w:p>
        </w:tc>
      </w:tr>
      <w:tr>
        <w:trPr>
          <w:trHeight w:val="189"/>
        </w:trPr>
        <w:tc>
          <w:tcPr>
            <w:tcW w:w="6120" w:type="dxa"/>
            <w:vAlign w:val="bottom"/>
            <w:shd w:val="clear" w:color="auto" w:fill="E6EDF3"/>
          </w:tcPr>
          <w:p>
            <w:pPr>
              <w:ind w:left="80"/>
              <w:spacing w:after="0"/>
              <w:rPr>
                <w:sz w:val="20"/>
                <w:szCs w:val="20"/>
                <w:color w:val="auto"/>
              </w:rPr>
            </w:pPr>
            <w:r>
              <w:rPr>
                <w:rFonts w:ascii="Arial" w:cs="Arial" w:eastAsia="Arial" w:hAnsi="Arial"/>
                <w:sz w:val="16"/>
                <w:szCs w:val="16"/>
                <w:color w:val="auto"/>
              </w:rPr>
              <w:t>Restricted Stock Units</w:t>
            </w:r>
          </w:p>
        </w:tc>
        <w:tc>
          <w:tcPr>
            <w:tcW w:w="1040" w:type="dxa"/>
            <w:vAlign w:val="bottom"/>
            <w:shd w:val="clear" w:color="auto" w:fill="E6EDF3"/>
          </w:tcPr>
          <w:p>
            <w:pPr>
              <w:spacing w:after="0"/>
              <w:rPr>
                <w:sz w:val="16"/>
                <w:szCs w:val="16"/>
                <w:color w:val="auto"/>
              </w:rPr>
            </w:pPr>
          </w:p>
        </w:tc>
        <w:tc>
          <w:tcPr>
            <w:tcW w:w="160" w:type="dxa"/>
            <w:vAlign w:val="bottom"/>
            <w:shd w:val="clear" w:color="auto" w:fill="E6EDF3"/>
          </w:tcPr>
          <w:p>
            <w:pPr>
              <w:spacing w:after="0"/>
              <w:rPr>
                <w:sz w:val="16"/>
                <w:szCs w:val="16"/>
                <w:color w:val="auto"/>
              </w:rPr>
            </w:pPr>
          </w:p>
        </w:tc>
        <w:tc>
          <w:tcPr>
            <w:tcW w:w="14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1,500,049</w:t>
            </w:r>
          </w:p>
        </w:tc>
        <w:tc>
          <w:tcPr>
            <w:tcW w:w="940" w:type="dxa"/>
            <w:vAlign w:val="bottom"/>
            <w:shd w:val="clear" w:color="auto" w:fill="E6EDF3"/>
          </w:tcPr>
          <w:p>
            <w:pPr>
              <w:spacing w:after="0"/>
              <w:rPr>
                <w:sz w:val="16"/>
                <w:szCs w:val="16"/>
                <w:color w:val="auto"/>
              </w:rPr>
            </w:pPr>
          </w:p>
        </w:tc>
        <w:tc>
          <w:tcPr>
            <w:tcW w:w="160" w:type="dxa"/>
            <w:vAlign w:val="bottom"/>
            <w:shd w:val="clear" w:color="auto" w:fill="E6EDF3"/>
          </w:tcPr>
          <w:p>
            <w:pPr>
              <w:spacing w:after="0"/>
              <w:rPr>
                <w:sz w:val="16"/>
                <w:szCs w:val="16"/>
                <w:color w:val="auto"/>
              </w:rPr>
            </w:pPr>
          </w:p>
        </w:tc>
        <w:tc>
          <w:tcPr>
            <w:tcW w:w="1280" w:type="dxa"/>
            <w:vAlign w:val="bottom"/>
            <w:shd w:val="clear" w:color="auto" w:fill="E6EDF3"/>
          </w:tcPr>
          <w:p>
            <w:pPr>
              <w:jc w:val="right"/>
              <w:spacing w:after="0"/>
              <w:rPr>
                <w:sz w:val="20"/>
                <w:szCs w:val="20"/>
                <w:color w:val="auto"/>
              </w:rPr>
            </w:pPr>
            <w:r>
              <w:rPr>
                <w:rFonts w:ascii="Arial" w:cs="Arial" w:eastAsia="Arial" w:hAnsi="Arial"/>
                <w:sz w:val="16"/>
                <w:szCs w:val="16"/>
                <w:color w:val="auto"/>
              </w:rPr>
              <w:t>1,775,800</w:t>
            </w:r>
          </w:p>
        </w:tc>
        <w:tc>
          <w:tcPr>
            <w:tcW w:w="300" w:type="dxa"/>
            <w:vAlign w:val="bottom"/>
            <w:shd w:val="clear" w:color="auto" w:fill="E6EDF3"/>
          </w:tcPr>
          <w:p>
            <w:pPr>
              <w:spacing w:after="0"/>
              <w:rPr>
                <w:sz w:val="16"/>
                <w:szCs w:val="16"/>
                <w:color w:val="auto"/>
              </w:rPr>
            </w:pPr>
          </w:p>
        </w:tc>
      </w:tr>
      <w:tr>
        <w:trPr>
          <w:trHeight w:val="196"/>
        </w:trPr>
        <w:tc>
          <w:tcPr>
            <w:tcW w:w="6120" w:type="dxa"/>
            <w:vAlign w:val="bottom"/>
          </w:tcPr>
          <w:p>
            <w:pPr>
              <w:ind w:left="80"/>
              <w:spacing w:after="0"/>
              <w:rPr>
                <w:sz w:val="20"/>
                <w:szCs w:val="20"/>
                <w:color w:val="auto"/>
              </w:rPr>
            </w:pPr>
            <w:r>
              <w:rPr>
                <w:rFonts w:ascii="Arial" w:cs="Arial" w:eastAsia="Arial" w:hAnsi="Arial"/>
                <w:sz w:val="16"/>
                <w:szCs w:val="16"/>
                <w:color w:val="auto"/>
              </w:rPr>
              <w:t>Performance share units</w:t>
            </w:r>
          </w:p>
        </w:tc>
        <w:tc>
          <w:tcPr>
            <w:tcW w:w="10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4,500,071</w:t>
            </w:r>
          </w:p>
        </w:tc>
        <w:tc>
          <w:tcPr>
            <w:tcW w:w="9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5,327,312</w:t>
            </w:r>
          </w:p>
        </w:tc>
        <w:tc>
          <w:tcPr>
            <w:tcW w:w="300" w:type="dxa"/>
            <w:vAlign w:val="bottom"/>
          </w:tcPr>
          <w:p>
            <w:pPr>
              <w:spacing w:after="0"/>
              <w:rPr>
                <w:sz w:val="17"/>
                <w:szCs w:val="17"/>
                <w:color w:val="auto"/>
              </w:rPr>
            </w:pPr>
          </w:p>
        </w:tc>
      </w:tr>
      <w:tr>
        <w:trPr>
          <w:trHeight w:val="189"/>
        </w:trPr>
        <w:tc>
          <w:tcPr>
            <w:tcW w:w="6120" w:type="dxa"/>
            <w:vAlign w:val="bottom"/>
            <w:shd w:val="clear" w:color="auto" w:fill="E6EDF3"/>
          </w:tcPr>
          <w:p>
            <w:pPr>
              <w:ind w:left="80"/>
              <w:spacing w:after="0"/>
              <w:rPr>
                <w:sz w:val="20"/>
                <w:szCs w:val="20"/>
                <w:color w:val="auto"/>
              </w:rPr>
            </w:pPr>
            <w:r>
              <w:rPr>
                <w:rFonts w:ascii="Arial" w:cs="Arial" w:eastAsia="Arial" w:hAnsi="Arial"/>
                <w:sz w:val="16"/>
                <w:szCs w:val="16"/>
                <w:color w:val="auto"/>
              </w:rPr>
              <w:t>Total</w:t>
            </w:r>
          </w:p>
        </w:tc>
        <w:tc>
          <w:tcPr>
            <w:tcW w:w="1040" w:type="dxa"/>
            <w:vAlign w:val="bottom"/>
            <w:shd w:val="clear" w:color="auto" w:fill="E6EDF3"/>
          </w:tcPr>
          <w:p>
            <w:pPr>
              <w:spacing w:after="0"/>
              <w:rPr>
                <w:sz w:val="16"/>
                <w:szCs w:val="16"/>
                <w:color w:val="auto"/>
              </w:rPr>
            </w:pPr>
          </w:p>
        </w:tc>
        <w:tc>
          <w:tcPr>
            <w:tcW w:w="160" w:type="dxa"/>
            <w:vAlign w:val="bottom"/>
            <w:tcBorders>
              <w:bottom w:val="single" w:sz="8" w:color="auto"/>
            </w:tcBorders>
            <w:shd w:val="clear" w:color="auto" w:fill="E6EDF3"/>
          </w:tcPr>
          <w:p>
            <w:pPr>
              <w:spacing w:after="0"/>
              <w:rPr>
                <w:sz w:val="16"/>
                <w:szCs w:val="16"/>
                <w:color w:val="auto"/>
              </w:rPr>
            </w:pPr>
          </w:p>
        </w:tc>
        <w:tc>
          <w:tcPr>
            <w:tcW w:w="142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10,938,130</w:t>
            </w:r>
          </w:p>
        </w:tc>
        <w:tc>
          <w:tcPr>
            <w:tcW w:w="940" w:type="dxa"/>
            <w:vAlign w:val="bottom"/>
            <w:shd w:val="clear" w:color="auto" w:fill="E6EDF3"/>
          </w:tcPr>
          <w:p>
            <w:pPr>
              <w:spacing w:after="0"/>
              <w:rPr>
                <w:sz w:val="16"/>
                <w:szCs w:val="16"/>
                <w:color w:val="auto"/>
              </w:rPr>
            </w:pPr>
          </w:p>
        </w:tc>
        <w:tc>
          <w:tcPr>
            <w:tcW w:w="160" w:type="dxa"/>
            <w:vAlign w:val="bottom"/>
            <w:tcBorders>
              <w:bottom w:val="single" w:sz="8" w:color="auto"/>
            </w:tcBorders>
            <w:shd w:val="clear" w:color="auto" w:fill="E6EDF3"/>
          </w:tcPr>
          <w:p>
            <w:pPr>
              <w:spacing w:after="0"/>
              <w:rPr>
                <w:sz w:val="16"/>
                <w:szCs w:val="16"/>
                <w:color w:val="auto"/>
              </w:rPr>
            </w:pPr>
          </w:p>
        </w:tc>
        <w:tc>
          <w:tcPr>
            <w:tcW w:w="128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10,890,200</w:t>
            </w:r>
          </w:p>
        </w:tc>
        <w:tc>
          <w:tcPr>
            <w:tcW w:w="300" w:type="dxa"/>
            <w:vAlign w:val="bottom"/>
            <w:shd w:val="clear" w:color="auto" w:fill="E6EDF3"/>
          </w:tcPr>
          <w:p>
            <w:pPr>
              <w:spacing w:after="0"/>
              <w:rPr>
                <w:sz w:val="16"/>
                <w:szCs w:val="16"/>
                <w:color w:val="auto"/>
              </w:rPr>
            </w:pPr>
          </w:p>
        </w:tc>
      </w:tr>
      <w:tr>
        <w:trPr>
          <w:trHeight w:val="20"/>
        </w:trPr>
        <w:tc>
          <w:tcPr>
            <w:tcW w:w="6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Other Material Tax Implications of the Executive Compensation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Tax implications for ManpowerGroup</w:t>
      </w:r>
    </w:p>
    <w:p>
      <w:pPr>
        <w:spacing w:after="0" w:line="16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Section 162(m) of the Internal Revenue Code generally disallows a tax deduction to public corporations for compensation for any fiscal year over $1,000,000 paid to the corporation’s CEO and three most highly compensated NEOs (other than the CEO and CFO) in service as of the end of any fiscal year. However, Section 162(m) also provides that qualifying performance-based compensation will not be subject to the deduction limit if certain requirements are met. Where necessary for covered executives, the Committee generally seeks to structure compensation amounts and plans that meet the requirements for deductibility under this provision. Specifically, the Committee has taken steps to qualify the stock option awards, performance share unit awards and certain awards under the Corporate Senior Management Annual Incentive Pool Plan as performance-based compensation for this purpose. However, the Committee may implement compensation arrangements that do not satisfy these requirements for deductibility if it determines that such arrangements are appropriate under the circumstances. In addition, because of uncertainties as to the application and interpretation of Section 162(m) and the regulations issued thereunder, the Committee cannot assure that compensation intended by the Committee to satisfy the requirements for deductibility under Section 162(m) will in fact be deductible.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50</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8180"/>
        <w:spacing w:after="0"/>
        <w:rPr>
          <w:sz w:val="20"/>
          <w:szCs w:val="20"/>
          <w:color w:val="auto"/>
        </w:rPr>
      </w:pPr>
      <w:r>
        <w:rPr>
          <w:rFonts w:ascii="Arial" w:cs="Arial" w:eastAsia="Arial" w:hAnsi="Arial"/>
          <w:sz w:val="18"/>
          <w:szCs w:val="18"/>
          <w:color w:val="FFFFFF"/>
        </w:rPr>
        <w:t>Compensation Discussion and Analysis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Tax implications for NEOs</w:t>
      </w:r>
    </w:p>
    <w:p>
      <w:pPr>
        <w:spacing w:after="0" w:line="16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Committee generally seeks to structure compensation amounts and arrangements so that they do not result in penalties for the NEOs under the Internal Revenue Code. For example, Section 409A imposes substantial penalties and results in the loss of any tax deferral for nonqualified deferred compensation that does not meet the requirements of that section. The Committee has structured the elements of ManpowerGroup’s compensation program so that they are either not characterized as nonqualified deferred compensation under Section 409A or meet the distribution, timing and other requirements of Section 409A. Without these steps, certain elements of compensation could result in substantial tax liability for the NEOs. Section 280G and related provisions impose substantial excise taxes on so-called “excess parachute payments” payable to certain executives upon a change of control and results in the loss of the compensation deduction for such payments by the executive’s employer. The severance agreements with the NEOs limit the amount of the severance payment in the event that the severance payment will be subject to excise taxes imposed under Section 280G, but only where the after-tax amount received by the NEO would be greater than the after-tax amount without regard to such limitation.</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51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Report of the Executive Compensation and Human Resources Committee of the Board of Directors</w:t>
      </w:r>
    </w:p>
    <w:p>
      <w:pPr>
        <w:spacing w:after="0" w:line="241" w:lineRule="exact"/>
        <w:rPr>
          <w:sz w:val="20"/>
          <w:szCs w:val="20"/>
          <w:color w:val="auto"/>
        </w:rPr>
      </w:pPr>
    </w:p>
    <w:p>
      <w:pPr>
        <w:ind w:right="1940"/>
        <w:spacing w:after="0" w:line="255" w:lineRule="auto"/>
        <w:rPr>
          <w:sz w:val="20"/>
          <w:szCs w:val="20"/>
          <w:color w:val="auto"/>
        </w:rPr>
      </w:pPr>
      <w:r>
        <w:rPr>
          <w:rFonts w:ascii="Arial" w:cs="Arial" w:eastAsia="Arial" w:hAnsi="Arial"/>
          <w:sz w:val="41"/>
          <w:szCs w:val="41"/>
          <w:color w:val="5D89B4"/>
        </w:rPr>
        <w:t>Report of the Executive Compensation and Human Resources Committee of the Board of Directors</w:t>
      </w:r>
    </w:p>
    <w:p>
      <w:pPr>
        <w:spacing w:after="0" w:line="15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executive compensation and human resources committee of the board of directors of ManpowerGroup has reviewed and discussed with management the Compensation Discussion and Analysis included in this proxy statement. Based on this review and discussion, the executive compensation and human resources committee recommended to the board of directors that the Compensation Discussion and Analysis be included in this proxy statement.</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5D89B4"/>
        </w:rPr>
        <w:t>The Executive Compensation and Human Resources Committee</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Edward J. Zore, Chair</w:t>
      </w:r>
    </w:p>
    <w:p>
      <w:pPr>
        <w:jc w:val="center"/>
        <w:ind w:right="-139"/>
        <w:spacing w:after="0" w:line="234" w:lineRule="auto"/>
        <w:rPr>
          <w:sz w:val="20"/>
          <w:szCs w:val="20"/>
          <w:color w:val="auto"/>
        </w:rPr>
      </w:pPr>
      <w:r>
        <w:rPr>
          <w:rFonts w:ascii="Arial" w:cs="Arial" w:eastAsia="Arial" w:hAnsi="Arial"/>
          <w:sz w:val="18"/>
          <w:szCs w:val="18"/>
          <w:color w:val="auto"/>
        </w:rPr>
        <w:t>William Downe</w:t>
      </w:r>
    </w:p>
    <w:p>
      <w:pPr>
        <w:jc w:val="center"/>
        <w:ind w:right="-139"/>
        <w:spacing w:after="0" w:line="235" w:lineRule="auto"/>
        <w:rPr>
          <w:sz w:val="20"/>
          <w:szCs w:val="20"/>
          <w:color w:val="auto"/>
        </w:rPr>
      </w:pPr>
      <w:r>
        <w:rPr>
          <w:rFonts w:ascii="Arial" w:cs="Arial" w:eastAsia="Arial" w:hAnsi="Arial"/>
          <w:sz w:val="18"/>
          <w:szCs w:val="18"/>
          <w:color w:val="auto"/>
        </w:rPr>
        <w:t>Cari M. Dominguez</w:t>
      </w:r>
    </w:p>
    <w:p>
      <w:pPr>
        <w:jc w:val="center"/>
        <w:ind w:right="-139"/>
        <w:spacing w:after="0" w:line="235" w:lineRule="auto"/>
        <w:rPr>
          <w:sz w:val="20"/>
          <w:szCs w:val="20"/>
          <w:color w:val="auto"/>
        </w:rPr>
      </w:pPr>
      <w:r>
        <w:rPr>
          <w:rFonts w:ascii="Arial" w:cs="Arial" w:eastAsia="Arial" w:hAnsi="Arial"/>
          <w:sz w:val="18"/>
          <w:szCs w:val="18"/>
          <w:color w:val="auto"/>
        </w:rPr>
        <w:t>Elizabeth P. Sartain</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John R. Walter</w:t>
      </w:r>
    </w:p>
    <w:p>
      <w:pPr>
        <w:spacing w:after="0" w:line="322" w:lineRule="exact"/>
        <w:rPr>
          <w:sz w:val="20"/>
          <w:szCs w:val="20"/>
          <w:color w:val="auto"/>
        </w:rPr>
      </w:pPr>
    </w:p>
    <w:p>
      <w:pPr>
        <w:ind w:right="240"/>
        <w:spacing w:after="0" w:line="255" w:lineRule="auto"/>
        <w:rPr>
          <w:sz w:val="20"/>
          <w:szCs w:val="20"/>
          <w:color w:val="auto"/>
        </w:rPr>
      </w:pPr>
      <w:r>
        <w:rPr>
          <w:rFonts w:ascii="Arial" w:cs="Arial" w:eastAsia="Arial" w:hAnsi="Arial"/>
          <w:sz w:val="41"/>
          <w:szCs w:val="41"/>
          <w:color w:val="5D89B4"/>
        </w:rPr>
        <w:t>Executive Compensation and Human Resources Committee Interlocks and Insider Participation</w:t>
      </w:r>
    </w:p>
    <w:p>
      <w:pPr>
        <w:spacing w:after="0" w:line="157"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No member of the executive compensation and human resources committee has ever been an officer or employee of ManpowerGroup or any of our subsidiaries or had any relationships requiring disclosure under Item 404 of Regulation S-K. None of our executive officers has served on the compensation committee or board of directors of any company of which any of our other directors is an executive officer.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52</w:t>
      </w:r>
    </w:p>
    <w:p>
      <w:pPr>
        <w:sectPr>
          <w:pgSz w:w="11900" w:h="16838" w:orient="portrait"/>
          <w:cols w:equalWidth="0" w:num="1">
            <w:col w:w="11300"/>
          </w:cols>
          <w:pgMar w:left="240" w:top="459"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5380"/>
        <w:spacing w:after="0"/>
        <w:rPr>
          <w:sz w:val="20"/>
          <w:szCs w:val="20"/>
          <w:color w:val="auto"/>
        </w:rPr>
      </w:pPr>
      <w:r>
        <w:rPr>
          <w:rFonts w:ascii="Arial" w:cs="Arial" w:eastAsia="Arial" w:hAnsi="Arial"/>
          <w:sz w:val="18"/>
          <w:szCs w:val="18"/>
          <w:color w:val="FFFFFF"/>
        </w:rPr>
        <w:t>Compensation Policies and Practices as They Relate to Risk Management</w:t>
      </w:r>
    </w:p>
    <w:p>
      <w:pPr>
        <w:spacing w:after="0" w:line="241" w:lineRule="exact"/>
        <w:rPr>
          <w:sz w:val="20"/>
          <w:szCs w:val="20"/>
          <w:color w:val="auto"/>
        </w:rPr>
      </w:pPr>
    </w:p>
    <w:p>
      <w:pPr>
        <w:ind w:right="300"/>
        <w:spacing w:after="0" w:line="255" w:lineRule="auto"/>
        <w:rPr>
          <w:sz w:val="20"/>
          <w:szCs w:val="20"/>
          <w:color w:val="auto"/>
        </w:rPr>
      </w:pPr>
      <w:r>
        <w:rPr>
          <w:rFonts w:ascii="Arial" w:cs="Arial" w:eastAsia="Arial" w:hAnsi="Arial"/>
          <w:sz w:val="41"/>
          <w:szCs w:val="41"/>
          <w:color w:val="5D89B4"/>
        </w:rPr>
        <w:t>Compensation Policies and Practices as They Relate to Risk Management</w:t>
      </w:r>
    </w:p>
    <w:p>
      <w:pPr>
        <w:spacing w:after="0" w:line="15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Members of the Company’s senior management team have considered and discussed the Company’s compensation policies and practices and specifically whether these policies and practices create risks that are reasonably likely to have a material adverse effect on ManpowerGroup. Management has also discussed this issue with the executive compensation and human resources committee and has determined there are no risks arising from our compensation policies and practices that are reasonably likely to have a material adverse effect on ManpowerGroup.</w:t>
      </w:r>
    </w:p>
    <w:p>
      <w:pPr>
        <w:spacing w:after="0" w:line="13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As ManpowerGroup is located in various countries around the world, we have several incentive plans. Our plans use various financial performance growth metrics, generally relating to profitability. As a result, there is no common incentive driving behavior. We also have controls in place that mitigate any impact these plans might have on us as follows:</w:t>
      </w:r>
    </w:p>
    <w:p>
      <w:pPr>
        <w:spacing w:after="0" w:line="68" w:lineRule="exact"/>
        <w:rPr>
          <w:sz w:val="20"/>
          <w:szCs w:val="20"/>
          <w:color w:val="auto"/>
        </w:rPr>
      </w:pPr>
    </w:p>
    <w:p>
      <w:pPr>
        <w:ind w:left="440" w:right="140" w:hanging="324"/>
        <w:spacing w:after="0" w:line="246" w:lineRule="auto"/>
        <w:tabs>
          <w:tab w:leader="none" w:pos="440" w:val="left"/>
        </w:tabs>
        <w:numPr>
          <w:ilvl w:val="0"/>
          <w:numId w:val="60"/>
        </w:numPr>
        <w:rPr>
          <w:rFonts w:ascii="Arial" w:cs="Arial" w:eastAsia="Arial" w:hAnsi="Arial"/>
          <w:sz w:val="18"/>
          <w:szCs w:val="18"/>
          <w:color w:val="5D89B4"/>
        </w:rPr>
      </w:pPr>
      <w:r>
        <w:rPr>
          <w:rFonts w:ascii="Arial" w:cs="Arial" w:eastAsia="Arial" w:hAnsi="Arial"/>
          <w:sz w:val="18"/>
          <w:szCs w:val="18"/>
          <w:color w:val="auto"/>
        </w:rPr>
        <w:t>In general, each of our incentive plans has a threshold, target and outstanding payout level, which is not material to the Company, that is earned based on the results of the financial metrics.</w:t>
      </w:r>
    </w:p>
    <w:p>
      <w:pPr>
        <w:spacing w:after="0" w:line="61" w:lineRule="exact"/>
        <w:rPr>
          <w:rFonts w:ascii="Arial" w:cs="Arial" w:eastAsia="Arial" w:hAnsi="Arial"/>
          <w:sz w:val="18"/>
          <w:szCs w:val="18"/>
          <w:color w:val="5D89B4"/>
        </w:rPr>
      </w:pPr>
    </w:p>
    <w:p>
      <w:pPr>
        <w:ind w:left="440" w:right="380" w:hanging="324"/>
        <w:spacing w:after="0" w:line="246" w:lineRule="auto"/>
        <w:tabs>
          <w:tab w:leader="none" w:pos="440" w:val="left"/>
        </w:tabs>
        <w:numPr>
          <w:ilvl w:val="0"/>
          <w:numId w:val="60"/>
        </w:numPr>
        <w:rPr>
          <w:rFonts w:ascii="Arial" w:cs="Arial" w:eastAsia="Arial" w:hAnsi="Arial"/>
          <w:sz w:val="18"/>
          <w:szCs w:val="18"/>
          <w:color w:val="5D89B4"/>
        </w:rPr>
      </w:pPr>
      <w:r>
        <w:rPr>
          <w:rFonts w:ascii="Arial" w:cs="Arial" w:eastAsia="Arial" w:hAnsi="Arial"/>
          <w:sz w:val="18"/>
          <w:szCs w:val="18"/>
          <w:color w:val="auto"/>
        </w:rPr>
        <w:t>The annual incentive and PSU awards are capped at a maximum level such that employees cannot receive a bonus that is significant enough to create a significant risk to the Company.</w:t>
      </w:r>
    </w:p>
    <w:p>
      <w:pPr>
        <w:spacing w:after="0" w:line="61" w:lineRule="exact"/>
        <w:rPr>
          <w:rFonts w:ascii="Arial" w:cs="Arial" w:eastAsia="Arial" w:hAnsi="Arial"/>
          <w:sz w:val="18"/>
          <w:szCs w:val="18"/>
          <w:color w:val="5D89B4"/>
        </w:rPr>
      </w:pPr>
    </w:p>
    <w:p>
      <w:pPr>
        <w:ind w:left="440" w:right="40" w:hanging="324"/>
        <w:spacing w:after="0" w:line="246" w:lineRule="auto"/>
        <w:tabs>
          <w:tab w:leader="none" w:pos="440" w:val="left"/>
        </w:tabs>
        <w:numPr>
          <w:ilvl w:val="0"/>
          <w:numId w:val="60"/>
        </w:numPr>
        <w:rPr>
          <w:rFonts w:ascii="Arial" w:cs="Arial" w:eastAsia="Arial" w:hAnsi="Arial"/>
          <w:sz w:val="18"/>
          <w:szCs w:val="18"/>
          <w:color w:val="5D89B4"/>
        </w:rPr>
      </w:pPr>
      <w:r>
        <w:rPr>
          <w:rFonts w:ascii="Arial" w:cs="Arial" w:eastAsia="Arial" w:hAnsi="Arial"/>
          <w:sz w:val="18"/>
          <w:szCs w:val="18"/>
          <w:color w:val="auto"/>
        </w:rPr>
        <w:t>We have multiple financial metrics under the annual incentive which focus on company-wide and segment-wide goals and objectives, and the results of those metrics are reviewed and approved at multiple levels in the Company.</w:t>
      </w:r>
    </w:p>
    <w:p>
      <w:pPr>
        <w:spacing w:after="0" w:line="61" w:lineRule="exact"/>
        <w:rPr>
          <w:rFonts w:ascii="Arial" w:cs="Arial" w:eastAsia="Arial" w:hAnsi="Arial"/>
          <w:sz w:val="18"/>
          <w:szCs w:val="18"/>
          <w:color w:val="5D89B4"/>
        </w:rPr>
      </w:pPr>
    </w:p>
    <w:p>
      <w:pPr>
        <w:ind w:left="440" w:hanging="324"/>
        <w:spacing w:after="0"/>
        <w:tabs>
          <w:tab w:leader="none" w:pos="440" w:val="left"/>
        </w:tabs>
        <w:numPr>
          <w:ilvl w:val="0"/>
          <w:numId w:val="60"/>
        </w:numPr>
        <w:rPr>
          <w:rFonts w:ascii="Arial" w:cs="Arial" w:eastAsia="Arial" w:hAnsi="Arial"/>
          <w:sz w:val="18"/>
          <w:szCs w:val="18"/>
          <w:color w:val="5D89B4"/>
        </w:rPr>
      </w:pPr>
      <w:r>
        <w:rPr>
          <w:rFonts w:ascii="Arial" w:cs="Arial" w:eastAsia="Arial" w:hAnsi="Arial"/>
          <w:sz w:val="18"/>
          <w:szCs w:val="18"/>
          <w:color w:val="auto"/>
        </w:rPr>
        <w:t>Each of the NEOs is subject to stock ownership guidelines.</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60"/>
        </w:numPr>
        <w:rPr>
          <w:rFonts w:ascii="Arial" w:cs="Arial" w:eastAsia="Arial" w:hAnsi="Arial"/>
          <w:sz w:val="18"/>
          <w:szCs w:val="18"/>
          <w:color w:val="5D89B4"/>
        </w:rPr>
      </w:pPr>
      <w:r>
        <w:rPr>
          <w:rFonts w:ascii="Arial" w:cs="Arial" w:eastAsia="Arial" w:hAnsi="Arial"/>
          <w:sz w:val="18"/>
          <w:szCs w:val="18"/>
          <w:color w:val="auto"/>
        </w:rPr>
        <w:t>We have adopted a clawback policy.</w:t>
      </w:r>
    </w:p>
    <w:p>
      <w:pPr>
        <w:spacing w:after="0" w:line="76" w:lineRule="exact"/>
        <w:rPr>
          <w:rFonts w:ascii="Arial" w:cs="Arial" w:eastAsia="Arial" w:hAnsi="Arial"/>
          <w:sz w:val="18"/>
          <w:szCs w:val="18"/>
          <w:color w:val="5D89B4"/>
        </w:rPr>
      </w:pPr>
    </w:p>
    <w:p>
      <w:pPr>
        <w:ind w:left="440" w:right="460" w:hanging="324"/>
        <w:spacing w:after="0" w:line="246" w:lineRule="auto"/>
        <w:tabs>
          <w:tab w:leader="none" w:pos="440" w:val="left"/>
        </w:tabs>
        <w:numPr>
          <w:ilvl w:val="0"/>
          <w:numId w:val="60"/>
        </w:numPr>
        <w:rPr>
          <w:rFonts w:ascii="Arial" w:cs="Arial" w:eastAsia="Arial" w:hAnsi="Arial"/>
          <w:sz w:val="18"/>
          <w:szCs w:val="18"/>
          <w:color w:val="5D89B4"/>
        </w:rPr>
      </w:pPr>
      <w:r>
        <w:rPr>
          <w:rFonts w:ascii="Arial" w:cs="Arial" w:eastAsia="Arial" w:hAnsi="Arial"/>
          <w:sz w:val="18"/>
          <w:szCs w:val="18"/>
          <w:color w:val="auto"/>
        </w:rPr>
        <w:t>We do not permit executives to engage in short-selling of ManpowerGroup securities or trading in puts and calls on ManpowerGroup securities.</w:t>
      </w:r>
    </w:p>
    <w:p>
      <w:pPr>
        <w:spacing w:after="0" w:line="61" w:lineRule="exact"/>
        <w:rPr>
          <w:rFonts w:ascii="Arial" w:cs="Arial" w:eastAsia="Arial" w:hAnsi="Arial"/>
          <w:sz w:val="18"/>
          <w:szCs w:val="18"/>
          <w:color w:val="5D89B4"/>
        </w:rPr>
      </w:pPr>
    </w:p>
    <w:p>
      <w:pPr>
        <w:ind w:left="440" w:hanging="324"/>
        <w:spacing w:after="0"/>
        <w:tabs>
          <w:tab w:leader="none" w:pos="440" w:val="left"/>
        </w:tabs>
        <w:numPr>
          <w:ilvl w:val="0"/>
          <w:numId w:val="60"/>
        </w:numPr>
        <w:rPr>
          <w:rFonts w:ascii="Arial" w:cs="Arial" w:eastAsia="Arial" w:hAnsi="Arial"/>
          <w:sz w:val="18"/>
          <w:szCs w:val="18"/>
          <w:color w:val="5D89B4"/>
        </w:rPr>
      </w:pPr>
      <w:r>
        <w:rPr>
          <w:rFonts w:ascii="Arial" w:cs="Arial" w:eastAsia="Arial" w:hAnsi="Arial"/>
          <w:sz w:val="18"/>
          <w:szCs w:val="18"/>
          <w:color w:val="auto"/>
        </w:rPr>
        <w:t>We do not permit our NEOs to pledge shares of our common stock.</w:t>
      </w:r>
    </w:p>
    <w:p>
      <w:pPr>
        <w:spacing w:after="0" w:line="76" w:lineRule="exact"/>
        <w:rPr>
          <w:rFonts w:ascii="Arial" w:cs="Arial" w:eastAsia="Arial" w:hAnsi="Arial"/>
          <w:sz w:val="18"/>
          <w:szCs w:val="18"/>
          <w:color w:val="5D89B4"/>
        </w:rPr>
      </w:pPr>
    </w:p>
    <w:p>
      <w:pPr>
        <w:ind w:left="440" w:right="340" w:hanging="324"/>
        <w:spacing w:after="0" w:line="246" w:lineRule="auto"/>
        <w:tabs>
          <w:tab w:leader="none" w:pos="440" w:val="left"/>
        </w:tabs>
        <w:numPr>
          <w:ilvl w:val="0"/>
          <w:numId w:val="60"/>
        </w:numPr>
        <w:rPr>
          <w:rFonts w:ascii="Arial" w:cs="Arial" w:eastAsia="Arial" w:hAnsi="Arial"/>
          <w:sz w:val="18"/>
          <w:szCs w:val="18"/>
          <w:color w:val="5D89B4"/>
        </w:rPr>
      </w:pPr>
      <w:r>
        <w:rPr>
          <w:rFonts w:ascii="Arial" w:cs="Arial" w:eastAsia="Arial" w:hAnsi="Arial"/>
          <w:sz w:val="18"/>
          <w:szCs w:val="18"/>
          <w:color w:val="auto"/>
        </w:rPr>
        <w:t>There is an approval process of the various incentive plans in each country, which are approved by the general manager and financial manager in the respective country to ensure the growth metrics are based on company performance.</w:t>
      </w:r>
    </w:p>
    <w:p>
      <w:pPr>
        <w:spacing w:after="0" w:line="129"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Based on the above factors, we do not believe our compensation policies and practices create risks that are reasonably likely to have a material adverse effect on ManpowerGroup.</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53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Compensation Tables</w:t>
      </w:r>
    </w:p>
    <w:p>
      <w:pPr>
        <w:spacing w:after="0" w:line="241" w:lineRule="exact"/>
        <w:rPr>
          <w:sz w:val="20"/>
          <w:szCs w:val="20"/>
          <w:color w:val="auto"/>
        </w:rPr>
      </w:pPr>
    </w:p>
    <w:p>
      <w:pPr>
        <w:spacing w:after="0"/>
        <w:rPr>
          <w:sz w:val="20"/>
          <w:szCs w:val="20"/>
          <w:color w:val="auto"/>
        </w:rPr>
      </w:pPr>
      <w:r>
        <w:rPr>
          <w:rFonts w:ascii="Arial" w:cs="Arial" w:eastAsia="Arial" w:hAnsi="Arial"/>
          <w:sz w:val="41"/>
          <w:szCs w:val="41"/>
          <w:color w:val="5D89B4"/>
        </w:rPr>
        <w:t>Compensation Tables</w:t>
      </w:r>
    </w:p>
    <w:p>
      <w:pPr>
        <w:spacing w:after="0" w:line="77"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Summary Compensation Table</w:t>
      </w:r>
    </w:p>
    <w:p>
      <w:pPr>
        <w:spacing w:after="0" w:line="147"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table below sets forth the compensation information for our NEOs during the fiscal years ended December 31, 2016, December 31, 2015, and December 31, 2014. All amounts are calculated in accordance with SEC disclosure rules, including amounts with respect to our equity compensation plan awards, as further described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000" w:type="dxa"/>
            <w:vAlign w:val="bottom"/>
            <w:tcBorders>
              <w:top w:val="single" w:sz="8" w:color="auto"/>
            </w:tcBorders>
            <w:shd w:val="clear" w:color="auto" w:fill="9DB8D2"/>
          </w:tcPr>
          <w:p>
            <w:pPr>
              <w:spacing w:after="0"/>
              <w:rPr>
                <w:sz w:val="22"/>
                <w:szCs w:val="22"/>
                <w:color w:val="auto"/>
              </w:rPr>
            </w:pPr>
          </w:p>
        </w:tc>
        <w:tc>
          <w:tcPr>
            <w:tcW w:w="62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spacing w:after="0"/>
              <w:rPr>
                <w:sz w:val="22"/>
                <w:szCs w:val="22"/>
                <w:color w:val="auto"/>
              </w:rPr>
            </w:pPr>
          </w:p>
        </w:tc>
        <w:tc>
          <w:tcPr>
            <w:tcW w:w="68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spacing w:after="0"/>
              <w:rPr>
                <w:sz w:val="22"/>
                <w:szCs w:val="22"/>
                <w:color w:val="auto"/>
              </w:rPr>
            </w:pPr>
          </w:p>
        </w:tc>
        <w:tc>
          <w:tcPr>
            <w:tcW w:w="1200" w:type="dxa"/>
            <w:vAlign w:val="bottom"/>
            <w:tcBorders>
              <w:top w:val="single" w:sz="8" w:color="auto"/>
            </w:tcBorders>
            <w:shd w:val="clear" w:color="auto" w:fill="9DB8D2"/>
          </w:tcPr>
          <w:p>
            <w:pPr>
              <w:spacing w:after="0"/>
              <w:rPr>
                <w:sz w:val="22"/>
                <w:szCs w:val="22"/>
                <w:color w:val="auto"/>
              </w:rPr>
            </w:pPr>
          </w:p>
        </w:tc>
        <w:tc>
          <w:tcPr>
            <w:tcW w:w="126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Change in</w:t>
            </w:r>
          </w:p>
        </w:tc>
        <w:tc>
          <w:tcPr>
            <w:tcW w:w="1200" w:type="dxa"/>
            <w:vAlign w:val="bottom"/>
            <w:tcBorders>
              <w:top w:val="single" w:sz="8" w:color="auto"/>
            </w:tcBorders>
            <w:shd w:val="clear" w:color="auto" w:fill="9DB8D2"/>
          </w:tcPr>
          <w:p>
            <w:pPr>
              <w:spacing w:after="0"/>
              <w:rPr>
                <w:sz w:val="22"/>
                <w:szCs w:val="22"/>
                <w:color w:val="auto"/>
              </w:rPr>
            </w:pPr>
          </w:p>
        </w:tc>
        <w:tc>
          <w:tcPr>
            <w:tcW w:w="880" w:type="dxa"/>
            <w:vAlign w:val="bottom"/>
            <w:tcBorders>
              <w:top w:val="single" w:sz="8" w:color="auto"/>
            </w:tcBorders>
            <w:shd w:val="clear" w:color="auto" w:fill="9DB8D2"/>
          </w:tcPr>
          <w:p>
            <w:pPr>
              <w:spacing w:after="0"/>
              <w:rPr>
                <w:sz w:val="22"/>
                <w:szCs w:val="22"/>
                <w:color w:val="auto"/>
              </w:rPr>
            </w:pPr>
          </w:p>
        </w:tc>
      </w:tr>
      <w:tr>
        <w:trPr>
          <w:trHeight w:val="162"/>
        </w:trPr>
        <w:tc>
          <w:tcPr>
            <w:tcW w:w="3000" w:type="dxa"/>
            <w:vAlign w:val="bottom"/>
            <w:shd w:val="clear" w:color="auto" w:fill="9DB8D2"/>
          </w:tcPr>
          <w:p>
            <w:pPr>
              <w:spacing w:after="0"/>
              <w:rPr>
                <w:sz w:val="14"/>
                <w:szCs w:val="14"/>
                <w:color w:val="auto"/>
              </w:rPr>
            </w:pPr>
          </w:p>
        </w:tc>
        <w:tc>
          <w:tcPr>
            <w:tcW w:w="62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68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1200" w:type="dxa"/>
            <w:vAlign w:val="bottom"/>
            <w:shd w:val="clear" w:color="auto" w:fill="9DB8D2"/>
          </w:tcPr>
          <w:p>
            <w:pPr>
              <w:spacing w:after="0"/>
              <w:rPr>
                <w:sz w:val="14"/>
                <w:szCs w:val="14"/>
                <w:color w:val="auto"/>
              </w:rPr>
            </w:pPr>
          </w:p>
        </w:tc>
        <w:tc>
          <w:tcPr>
            <w:tcW w:w="12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Pension</w:t>
            </w:r>
          </w:p>
        </w:tc>
        <w:tc>
          <w:tcPr>
            <w:tcW w:w="120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r>
      <w:tr>
        <w:trPr>
          <w:trHeight w:val="162"/>
        </w:trPr>
        <w:tc>
          <w:tcPr>
            <w:tcW w:w="3000" w:type="dxa"/>
            <w:vAlign w:val="bottom"/>
            <w:shd w:val="clear" w:color="auto" w:fill="9DB8D2"/>
          </w:tcPr>
          <w:p>
            <w:pPr>
              <w:spacing w:after="0"/>
              <w:rPr>
                <w:sz w:val="14"/>
                <w:szCs w:val="14"/>
                <w:color w:val="auto"/>
              </w:rPr>
            </w:pPr>
          </w:p>
        </w:tc>
        <w:tc>
          <w:tcPr>
            <w:tcW w:w="62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68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1200" w:type="dxa"/>
            <w:vAlign w:val="bottom"/>
            <w:shd w:val="clear" w:color="auto" w:fill="9DB8D2"/>
          </w:tcPr>
          <w:p>
            <w:pPr>
              <w:spacing w:after="0"/>
              <w:rPr>
                <w:sz w:val="14"/>
                <w:szCs w:val="14"/>
                <w:color w:val="auto"/>
              </w:rPr>
            </w:pPr>
          </w:p>
        </w:tc>
        <w:tc>
          <w:tcPr>
            <w:tcW w:w="12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Value and</w:t>
            </w:r>
          </w:p>
        </w:tc>
        <w:tc>
          <w:tcPr>
            <w:tcW w:w="120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r>
      <w:tr>
        <w:trPr>
          <w:trHeight w:val="162"/>
        </w:trPr>
        <w:tc>
          <w:tcPr>
            <w:tcW w:w="3000" w:type="dxa"/>
            <w:vAlign w:val="bottom"/>
            <w:shd w:val="clear" w:color="auto" w:fill="9DB8D2"/>
          </w:tcPr>
          <w:p>
            <w:pPr>
              <w:spacing w:after="0"/>
              <w:rPr>
                <w:sz w:val="14"/>
                <w:szCs w:val="14"/>
                <w:color w:val="auto"/>
              </w:rPr>
            </w:pPr>
          </w:p>
        </w:tc>
        <w:tc>
          <w:tcPr>
            <w:tcW w:w="62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68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1200" w:type="dxa"/>
            <w:vAlign w:val="bottom"/>
            <w:shd w:val="clear" w:color="auto" w:fill="9DB8D2"/>
          </w:tcPr>
          <w:p>
            <w:pPr>
              <w:spacing w:after="0"/>
              <w:rPr>
                <w:sz w:val="14"/>
                <w:szCs w:val="14"/>
                <w:color w:val="auto"/>
              </w:rPr>
            </w:pPr>
          </w:p>
        </w:tc>
        <w:tc>
          <w:tcPr>
            <w:tcW w:w="12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Non-</w:t>
            </w:r>
          </w:p>
        </w:tc>
        <w:tc>
          <w:tcPr>
            <w:tcW w:w="120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r>
      <w:tr>
        <w:trPr>
          <w:trHeight w:val="162"/>
        </w:trPr>
        <w:tc>
          <w:tcPr>
            <w:tcW w:w="3000" w:type="dxa"/>
            <w:vAlign w:val="bottom"/>
            <w:shd w:val="clear" w:color="auto" w:fill="9DB8D2"/>
          </w:tcPr>
          <w:p>
            <w:pPr>
              <w:spacing w:after="0"/>
              <w:rPr>
                <w:sz w:val="14"/>
                <w:szCs w:val="14"/>
                <w:color w:val="auto"/>
              </w:rPr>
            </w:pPr>
          </w:p>
        </w:tc>
        <w:tc>
          <w:tcPr>
            <w:tcW w:w="62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68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12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Non-Equity</w:t>
            </w:r>
          </w:p>
        </w:tc>
        <w:tc>
          <w:tcPr>
            <w:tcW w:w="12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Qualified</w:t>
            </w:r>
          </w:p>
        </w:tc>
        <w:tc>
          <w:tcPr>
            <w:tcW w:w="120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r>
      <w:tr>
        <w:trPr>
          <w:trHeight w:val="162"/>
        </w:trPr>
        <w:tc>
          <w:tcPr>
            <w:tcW w:w="3000" w:type="dxa"/>
            <w:vAlign w:val="bottom"/>
            <w:shd w:val="clear" w:color="auto" w:fill="9DB8D2"/>
          </w:tcPr>
          <w:p>
            <w:pPr>
              <w:spacing w:after="0"/>
              <w:rPr>
                <w:sz w:val="14"/>
                <w:szCs w:val="14"/>
                <w:color w:val="auto"/>
              </w:rPr>
            </w:pPr>
          </w:p>
        </w:tc>
        <w:tc>
          <w:tcPr>
            <w:tcW w:w="62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68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12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Incentive</w:t>
            </w:r>
          </w:p>
        </w:tc>
        <w:tc>
          <w:tcPr>
            <w:tcW w:w="12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Deferred</w:t>
            </w:r>
          </w:p>
        </w:tc>
        <w:tc>
          <w:tcPr>
            <w:tcW w:w="12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All</w:t>
            </w:r>
          </w:p>
        </w:tc>
        <w:tc>
          <w:tcPr>
            <w:tcW w:w="880" w:type="dxa"/>
            <w:vAlign w:val="bottom"/>
            <w:shd w:val="clear" w:color="auto" w:fill="9DB8D2"/>
          </w:tcPr>
          <w:p>
            <w:pPr>
              <w:spacing w:after="0"/>
              <w:rPr>
                <w:sz w:val="14"/>
                <w:szCs w:val="14"/>
                <w:color w:val="auto"/>
              </w:rPr>
            </w:pPr>
          </w:p>
        </w:tc>
      </w:tr>
      <w:tr>
        <w:trPr>
          <w:trHeight w:val="162"/>
        </w:trPr>
        <w:tc>
          <w:tcPr>
            <w:tcW w:w="3000" w:type="dxa"/>
            <w:vAlign w:val="bottom"/>
            <w:shd w:val="clear" w:color="auto" w:fill="9DB8D2"/>
          </w:tcPr>
          <w:p>
            <w:pPr>
              <w:spacing w:after="0"/>
              <w:rPr>
                <w:sz w:val="14"/>
                <w:szCs w:val="14"/>
                <w:color w:val="auto"/>
              </w:rPr>
            </w:pPr>
          </w:p>
        </w:tc>
        <w:tc>
          <w:tcPr>
            <w:tcW w:w="62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c>
          <w:tcPr>
            <w:tcW w:w="680" w:type="dxa"/>
            <w:vAlign w:val="bottom"/>
            <w:shd w:val="clear" w:color="auto" w:fill="9DB8D2"/>
          </w:tcPr>
          <w:p>
            <w:pPr>
              <w:spacing w:after="0"/>
              <w:rPr>
                <w:sz w:val="14"/>
                <w:szCs w:val="14"/>
                <w:color w:val="auto"/>
              </w:rPr>
            </w:pP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Stock</w:t>
            </w: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Option</w:t>
            </w:r>
          </w:p>
        </w:tc>
        <w:tc>
          <w:tcPr>
            <w:tcW w:w="12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Plan</w:t>
            </w:r>
          </w:p>
        </w:tc>
        <w:tc>
          <w:tcPr>
            <w:tcW w:w="12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Compensation</w:t>
            </w:r>
          </w:p>
        </w:tc>
        <w:tc>
          <w:tcPr>
            <w:tcW w:w="12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Other</w:t>
            </w:r>
          </w:p>
        </w:tc>
        <w:tc>
          <w:tcPr>
            <w:tcW w:w="880" w:type="dxa"/>
            <w:vAlign w:val="bottom"/>
            <w:shd w:val="clear" w:color="auto" w:fill="9DB8D2"/>
          </w:tcPr>
          <w:p>
            <w:pPr>
              <w:spacing w:after="0"/>
              <w:rPr>
                <w:sz w:val="14"/>
                <w:szCs w:val="14"/>
                <w:color w:val="auto"/>
              </w:rPr>
            </w:pPr>
          </w:p>
        </w:tc>
      </w:tr>
      <w:tr>
        <w:trPr>
          <w:trHeight w:val="162"/>
        </w:trPr>
        <w:tc>
          <w:tcPr>
            <w:tcW w:w="3000" w:type="dxa"/>
            <w:vAlign w:val="bottom"/>
            <w:shd w:val="clear" w:color="auto" w:fill="9DB8D2"/>
          </w:tcPr>
          <w:p>
            <w:pPr>
              <w:ind w:left="80"/>
              <w:spacing w:after="0"/>
              <w:rPr>
                <w:sz w:val="20"/>
                <w:szCs w:val="20"/>
                <w:color w:val="auto"/>
              </w:rPr>
            </w:pPr>
            <w:r>
              <w:rPr>
                <w:rFonts w:ascii="Arial" w:cs="Arial" w:eastAsia="Arial" w:hAnsi="Arial"/>
                <w:sz w:val="14"/>
                <w:szCs w:val="14"/>
                <w:b w:val="1"/>
                <w:bCs w:val="1"/>
                <w:color w:val="auto"/>
              </w:rPr>
              <w:t>Name &amp;</w:t>
            </w:r>
          </w:p>
        </w:tc>
        <w:tc>
          <w:tcPr>
            <w:tcW w:w="620" w:type="dxa"/>
            <w:vAlign w:val="bottom"/>
            <w:shd w:val="clear" w:color="auto" w:fill="9DB8D2"/>
          </w:tcPr>
          <w:p>
            <w:pPr>
              <w:spacing w:after="0"/>
              <w:rPr>
                <w:sz w:val="14"/>
                <w:szCs w:val="14"/>
                <w:color w:val="auto"/>
              </w:rPr>
            </w:pPr>
          </w:p>
        </w:tc>
        <w:tc>
          <w:tcPr>
            <w:tcW w:w="860" w:type="dxa"/>
            <w:vAlign w:val="bottom"/>
            <w:shd w:val="clear" w:color="auto" w:fill="9DB8D2"/>
          </w:tcPr>
          <w:p>
            <w:pPr>
              <w:jc w:val="right"/>
              <w:ind w:right="148"/>
              <w:spacing w:after="0"/>
              <w:rPr>
                <w:sz w:val="20"/>
                <w:szCs w:val="20"/>
                <w:color w:val="auto"/>
              </w:rPr>
            </w:pPr>
            <w:r>
              <w:rPr>
                <w:rFonts w:ascii="Arial" w:cs="Arial" w:eastAsia="Arial" w:hAnsi="Arial"/>
                <w:sz w:val="14"/>
                <w:szCs w:val="14"/>
                <w:b w:val="1"/>
                <w:bCs w:val="1"/>
                <w:color w:val="auto"/>
              </w:rPr>
              <w:t>Salary</w:t>
            </w:r>
          </w:p>
        </w:tc>
        <w:tc>
          <w:tcPr>
            <w:tcW w:w="680" w:type="dxa"/>
            <w:vAlign w:val="bottom"/>
            <w:shd w:val="clear" w:color="auto" w:fill="9DB8D2"/>
          </w:tcPr>
          <w:p>
            <w:pPr>
              <w:jc w:val="right"/>
              <w:ind w:right="68"/>
              <w:spacing w:after="0"/>
              <w:rPr>
                <w:sz w:val="20"/>
                <w:szCs w:val="20"/>
                <w:color w:val="auto"/>
              </w:rPr>
            </w:pPr>
            <w:r>
              <w:rPr>
                <w:rFonts w:ascii="Arial" w:cs="Arial" w:eastAsia="Arial" w:hAnsi="Arial"/>
                <w:sz w:val="14"/>
                <w:szCs w:val="14"/>
                <w:b w:val="1"/>
                <w:bCs w:val="1"/>
                <w:color w:val="auto"/>
              </w:rPr>
              <w:t>Bonus</w:t>
            </w: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Awards</w:t>
            </w:r>
          </w:p>
        </w:tc>
        <w:tc>
          <w:tcPr>
            <w:tcW w:w="8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Awards</w:t>
            </w:r>
          </w:p>
        </w:tc>
        <w:tc>
          <w:tcPr>
            <w:tcW w:w="12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Compensation</w:t>
            </w:r>
          </w:p>
        </w:tc>
        <w:tc>
          <w:tcPr>
            <w:tcW w:w="126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Earnings</w:t>
            </w:r>
          </w:p>
        </w:tc>
        <w:tc>
          <w:tcPr>
            <w:tcW w:w="12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Compensation</w:t>
            </w:r>
          </w:p>
        </w:tc>
        <w:tc>
          <w:tcPr>
            <w:tcW w:w="880" w:type="dxa"/>
            <w:vAlign w:val="bottom"/>
            <w:shd w:val="clear" w:color="auto" w:fill="9DB8D2"/>
          </w:tcPr>
          <w:p>
            <w:pPr>
              <w:jc w:val="right"/>
              <w:ind w:right="228"/>
              <w:spacing w:after="0"/>
              <w:rPr>
                <w:sz w:val="20"/>
                <w:szCs w:val="20"/>
                <w:color w:val="auto"/>
              </w:rPr>
            </w:pPr>
            <w:r>
              <w:rPr>
                <w:rFonts w:ascii="Arial" w:cs="Arial" w:eastAsia="Arial" w:hAnsi="Arial"/>
                <w:sz w:val="14"/>
                <w:szCs w:val="14"/>
                <w:b w:val="1"/>
                <w:bCs w:val="1"/>
                <w:color w:val="auto"/>
              </w:rPr>
              <w:t>Total</w:t>
            </w:r>
          </w:p>
        </w:tc>
      </w:tr>
      <w:tr>
        <w:trPr>
          <w:trHeight w:val="189"/>
        </w:trPr>
        <w:tc>
          <w:tcPr>
            <w:tcW w:w="300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Principal Position</w:t>
            </w:r>
          </w:p>
        </w:tc>
        <w:tc>
          <w:tcPr>
            <w:tcW w:w="620" w:type="dxa"/>
            <w:vAlign w:val="bottom"/>
            <w:tcBorders>
              <w:bottom w:val="single" w:sz="8" w:color="auto"/>
            </w:tcBorders>
            <w:shd w:val="clear" w:color="auto" w:fill="9DB8D2"/>
          </w:tcPr>
          <w:p>
            <w:pPr>
              <w:ind w:left="180"/>
              <w:spacing w:after="0"/>
              <w:rPr>
                <w:sz w:val="20"/>
                <w:szCs w:val="20"/>
                <w:color w:val="auto"/>
              </w:rPr>
            </w:pPr>
            <w:r>
              <w:rPr>
                <w:rFonts w:ascii="Arial" w:cs="Arial" w:eastAsia="Arial" w:hAnsi="Arial"/>
                <w:sz w:val="14"/>
                <w:szCs w:val="14"/>
                <w:b w:val="1"/>
                <w:bCs w:val="1"/>
                <w:color w:val="auto"/>
              </w:rPr>
              <w:t>Year</w:t>
            </w:r>
          </w:p>
        </w:tc>
        <w:tc>
          <w:tcPr>
            <w:tcW w:w="860" w:type="dxa"/>
            <w:vAlign w:val="bottom"/>
            <w:tcBorders>
              <w:bottom w:val="single" w:sz="8" w:color="auto"/>
            </w:tcBorders>
            <w:shd w:val="clear" w:color="auto" w:fill="9DB8D2"/>
          </w:tcPr>
          <w:p>
            <w:pPr>
              <w:jc w:val="right"/>
              <w:ind w:right="28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9DB8D2"/>
          </w:tcPr>
          <w:p>
            <w:pPr>
              <w:jc w:val="right"/>
              <w:ind w:right="1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($)(1)</w:t>
            </w:r>
          </w:p>
        </w:tc>
        <w:tc>
          <w:tcPr>
            <w:tcW w:w="86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($)(2)</w:t>
            </w:r>
          </w:p>
        </w:tc>
        <w:tc>
          <w:tcPr>
            <w:tcW w:w="12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($)(3)</w:t>
            </w:r>
          </w:p>
        </w:tc>
        <w:tc>
          <w:tcPr>
            <w:tcW w:w="12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($)(4)</w:t>
            </w:r>
          </w:p>
        </w:tc>
        <w:tc>
          <w:tcPr>
            <w:tcW w:w="880" w:type="dxa"/>
            <w:vAlign w:val="bottom"/>
            <w:tcBorders>
              <w:bottom w:val="single" w:sz="8" w:color="auto"/>
            </w:tcBorders>
            <w:shd w:val="clear" w:color="auto" w:fill="9DB8D2"/>
          </w:tcPr>
          <w:p>
            <w:pPr>
              <w:jc w:val="right"/>
              <w:ind w:right="308"/>
              <w:spacing w:after="0"/>
              <w:rPr>
                <w:sz w:val="20"/>
                <w:szCs w:val="20"/>
                <w:color w:val="auto"/>
              </w:rPr>
            </w:pPr>
            <w:r>
              <w:rPr>
                <w:rFonts w:ascii="Arial" w:cs="Arial" w:eastAsia="Arial" w:hAnsi="Arial"/>
                <w:sz w:val="14"/>
                <w:szCs w:val="14"/>
                <w:b w:val="1"/>
                <w:bCs w:val="1"/>
                <w:color w:val="auto"/>
              </w:rPr>
              <w:t>($)</w:t>
            </w:r>
          </w:p>
        </w:tc>
      </w:tr>
      <w:tr>
        <w:trPr>
          <w:trHeight w:val="146"/>
        </w:trPr>
        <w:tc>
          <w:tcPr>
            <w:tcW w:w="3000" w:type="dxa"/>
            <w:vAlign w:val="bottom"/>
          </w:tcPr>
          <w:p>
            <w:pPr>
              <w:ind w:left="80"/>
              <w:spacing w:after="0" w:line="147" w:lineRule="exact"/>
              <w:rPr>
                <w:sz w:val="20"/>
                <w:szCs w:val="20"/>
                <w:color w:val="auto"/>
              </w:rPr>
            </w:pPr>
            <w:r>
              <w:rPr>
                <w:rFonts w:ascii="Arial" w:cs="Arial" w:eastAsia="Arial" w:hAnsi="Arial"/>
                <w:sz w:val="14"/>
                <w:szCs w:val="14"/>
                <w:color w:val="auto"/>
              </w:rPr>
              <w:t>Jonas Prising</w:t>
            </w:r>
          </w:p>
        </w:tc>
        <w:tc>
          <w:tcPr>
            <w:tcW w:w="620" w:type="dxa"/>
            <w:vAlign w:val="bottom"/>
          </w:tcPr>
          <w:p>
            <w:pPr>
              <w:ind w:left="180"/>
              <w:spacing w:after="0" w:line="147" w:lineRule="exact"/>
              <w:rPr>
                <w:sz w:val="20"/>
                <w:szCs w:val="20"/>
                <w:color w:val="auto"/>
              </w:rPr>
            </w:pPr>
            <w:r>
              <w:rPr>
                <w:rFonts w:ascii="Arial" w:cs="Arial" w:eastAsia="Arial" w:hAnsi="Arial"/>
                <w:sz w:val="14"/>
                <w:szCs w:val="14"/>
                <w:color w:val="auto"/>
              </w:rPr>
              <w:t>2016</w:t>
            </w:r>
          </w:p>
        </w:tc>
        <w:tc>
          <w:tcPr>
            <w:tcW w:w="860" w:type="dxa"/>
            <w:vAlign w:val="bottom"/>
          </w:tcPr>
          <w:p>
            <w:pPr>
              <w:jc w:val="right"/>
              <w:ind w:right="28"/>
              <w:spacing w:after="0" w:line="147" w:lineRule="exact"/>
              <w:rPr>
                <w:sz w:val="20"/>
                <w:szCs w:val="20"/>
                <w:color w:val="auto"/>
              </w:rPr>
            </w:pPr>
            <w:r>
              <w:rPr>
                <w:rFonts w:ascii="Arial" w:cs="Arial" w:eastAsia="Arial" w:hAnsi="Arial"/>
                <w:sz w:val="14"/>
                <w:szCs w:val="14"/>
                <w:color w:val="auto"/>
              </w:rPr>
              <w:t>1,200,000</w:t>
            </w:r>
          </w:p>
        </w:tc>
        <w:tc>
          <w:tcPr>
            <w:tcW w:w="680" w:type="dxa"/>
            <w:vAlign w:val="bottom"/>
          </w:tcPr>
          <w:p>
            <w:pPr>
              <w:jc w:val="right"/>
              <w:ind w:right="48"/>
              <w:spacing w:after="0" w:line="147"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line="147" w:lineRule="exact"/>
              <w:rPr>
                <w:sz w:val="20"/>
                <w:szCs w:val="20"/>
                <w:color w:val="auto"/>
              </w:rPr>
            </w:pPr>
            <w:r>
              <w:rPr>
                <w:rFonts w:ascii="Arial" w:cs="Arial" w:eastAsia="Arial" w:hAnsi="Arial"/>
                <w:sz w:val="14"/>
                <w:szCs w:val="14"/>
                <w:color w:val="auto"/>
              </w:rPr>
              <w:t>6,000,120</w:t>
            </w:r>
          </w:p>
        </w:tc>
        <w:tc>
          <w:tcPr>
            <w:tcW w:w="860" w:type="dxa"/>
            <w:vAlign w:val="bottom"/>
          </w:tcPr>
          <w:p>
            <w:pPr>
              <w:jc w:val="right"/>
              <w:ind w:right="28"/>
              <w:spacing w:after="0" w:line="147" w:lineRule="exact"/>
              <w:rPr>
                <w:sz w:val="20"/>
                <w:szCs w:val="20"/>
                <w:color w:val="auto"/>
              </w:rPr>
            </w:pPr>
            <w:r>
              <w:rPr>
                <w:rFonts w:ascii="Arial" w:cs="Arial" w:eastAsia="Arial" w:hAnsi="Arial"/>
                <w:sz w:val="14"/>
                <w:szCs w:val="14"/>
                <w:color w:val="auto"/>
              </w:rPr>
              <w:t>1,500,010</w:t>
            </w:r>
          </w:p>
        </w:tc>
        <w:tc>
          <w:tcPr>
            <w:tcW w:w="1200" w:type="dxa"/>
            <w:vAlign w:val="bottom"/>
          </w:tcPr>
          <w:p>
            <w:pPr>
              <w:jc w:val="right"/>
              <w:ind w:right="28"/>
              <w:spacing w:after="0" w:line="147" w:lineRule="exact"/>
              <w:rPr>
                <w:sz w:val="20"/>
                <w:szCs w:val="20"/>
                <w:color w:val="auto"/>
              </w:rPr>
            </w:pPr>
            <w:r>
              <w:rPr>
                <w:rFonts w:ascii="Arial" w:cs="Arial" w:eastAsia="Arial" w:hAnsi="Arial"/>
                <w:sz w:val="14"/>
                <w:szCs w:val="14"/>
                <w:color w:val="auto"/>
              </w:rPr>
              <w:t>2,238,000</w:t>
            </w:r>
          </w:p>
        </w:tc>
        <w:tc>
          <w:tcPr>
            <w:tcW w:w="1260" w:type="dxa"/>
            <w:vAlign w:val="bottom"/>
          </w:tcPr>
          <w:p>
            <w:pPr>
              <w:jc w:val="right"/>
              <w:ind w:right="68"/>
              <w:spacing w:after="0" w:line="147"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line="147" w:lineRule="exact"/>
              <w:rPr>
                <w:sz w:val="20"/>
                <w:szCs w:val="20"/>
                <w:color w:val="auto"/>
              </w:rPr>
            </w:pPr>
            <w:r>
              <w:rPr>
                <w:rFonts w:ascii="Arial" w:cs="Arial" w:eastAsia="Arial" w:hAnsi="Arial"/>
                <w:sz w:val="14"/>
                <w:szCs w:val="14"/>
                <w:color w:val="auto"/>
              </w:rPr>
              <w:t>52,010</w:t>
            </w:r>
          </w:p>
        </w:tc>
        <w:tc>
          <w:tcPr>
            <w:tcW w:w="880" w:type="dxa"/>
            <w:vAlign w:val="bottom"/>
          </w:tcPr>
          <w:p>
            <w:pPr>
              <w:jc w:val="right"/>
              <w:ind w:right="8"/>
              <w:spacing w:after="0" w:line="147" w:lineRule="exact"/>
              <w:rPr>
                <w:sz w:val="20"/>
                <w:szCs w:val="20"/>
                <w:color w:val="auto"/>
              </w:rPr>
            </w:pPr>
            <w:r>
              <w:rPr>
                <w:rFonts w:ascii="Arial" w:cs="Arial" w:eastAsia="Arial" w:hAnsi="Arial"/>
                <w:sz w:val="14"/>
                <w:szCs w:val="14"/>
                <w:color w:val="auto"/>
              </w:rPr>
              <w:t>10,990,140</w:t>
            </w:r>
          </w:p>
        </w:tc>
      </w:tr>
      <w:tr>
        <w:trPr>
          <w:trHeight w:val="176"/>
        </w:trPr>
        <w:tc>
          <w:tcPr>
            <w:tcW w:w="3000" w:type="dxa"/>
            <w:vAlign w:val="bottom"/>
          </w:tcPr>
          <w:p>
            <w:pPr>
              <w:ind w:left="220"/>
              <w:spacing w:after="0"/>
              <w:rPr>
                <w:sz w:val="20"/>
                <w:szCs w:val="20"/>
                <w:color w:val="auto"/>
              </w:rPr>
            </w:pPr>
            <w:r>
              <w:rPr>
                <w:rFonts w:ascii="Arial" w:cs="Arial" w:eastAsia="Arial" w:hAnsi="Arial"/>
                <w:sz w:val="14"/>
                <w:szCs w:val="14"/>
                <w:i w:val="1"/>
                <w:iCs w:val="1"/>
                <w:color w:val="auto"/>
              </w:rPr>
              <w:t>CEO</w:t>
            </w:r>
          </w:p>
        </w:tc>
        <w:tc>
          <w:tcPr>
            <w:tcW w:w="620" w:type="dxa"/>
            <w:vAlign w:val="bottom"/>
          </w:tcPr>
          <w:p>
            <w:pPr>
              <w:ind w:left="180"/>
              <w:spacing w:after="0"/>
              <w:rPr>
                <w:sz w:val="20"/>
                <w:szCs w:val="20"/>
                <w:color w:val="auto"/>
              </w:rPr>
            </w:pPr>
            <w:r>
              <w:rPr>
                <w:rFonts w:ascii="Arial" w:cs="Arial" w:eastAsia="Arial" w:hAnsi="Arial"/>
                <w:sz w:val="14"/>
                <w:szCs w:val="14"/>
                <w:color w:val="auto"/>
              </w:rPr>
              <w:t>2015</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1,100,000</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4,512,135</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1,128,009</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2,300,000</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74,742</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9,114,886</w:t>
            </w:r>
          </w:p>
        </w:tc>
      </w:tr>
      <w:tr>
        <w:trPr>
          <w:trHeight w:val="157"/>
        </w:trPr>
        <w:tc>
          <w:tcPr>
            <w:tcW w:w="30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180"/>
              <w:spacing w:after="0" w:line="157" w:lineRule="exact"/>
              <w:rPr>
                <w:sz w:val="20"/>
                <w:szCs w:val="20"/>
                <w:color w:val="auto"/>
              </w:rPr>
            </w:pPr>
            <w:r>
              <w:rPr>
                <w:rFonts w:ascii="Arial" w:cs="Arial" w:eastAsia="Arial" w:hAnsi="Arial"/>
                <w:sz w:val="14"/>
                <w:szCs w:val="14"/>
                <w:color w:val="auto"/>
              </w:rPr>
              <w:t>2014</w:t>
            </w:r>
          </w:p>
        </w:tc>
        <w:tc>
          <w:tcPr>
            <w:tcW w:w="86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950,000</w:t>
            </w:r>
          </w:p>
        </w:tc>
        <w:tc>
          <w:tcPr>
            <w:tcW w:w="68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4,480,145</w:t>
            </w:r>
          </w:p>
        </w:tc>
        <w:tc>
          <w:tcPr>
            <w:tcW w:w="86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1,120,034</w:t>
            </w:r>
          </w:p>
        </w:tc>
        <w:tc>
          <w:tcPr>
            <w:tcW w:w="120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2,015,000</w:t>
            </w:r>
          </w:p>
        </w:tc>
        <w:tc>
          <w:tcPr>
            <w:tcW w:w="126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55,484</w:t>
            </w:r>
          </w:p>
        </w:tc>
        <w:tc>
          <w:tcPr>
            <w:tcW w:w="88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8,620,663</w:t>
            </w:r>
          </w:p>
        </w:tc>
      </w:tr>
      <w:tr>
        <w:trPr>
          <w:trHeight w:val="156"/>
        </w:trPr>
        <w:tc>
          <w:tcPr>
            <w:tcW w:w="3000" w:type="dxa"/>
            <w:vAlign w:val="bottom"/>
            <w:shd w:val="clear" w:color="auto" w:fill="E6EDF3"/>
          </w:tcPr>
          <w:p>
            <w:pPr>
              <w:ind w:left="80"/>
              <w:spacing w:after="0" w:line="155" w:lineRule="exact"/>
              <w:rPr>
                <w:sz w:val="20"/>
                <w:szCs w:val="20"/>
                <w:color w:val="auto"/>
              </w:rPr>
            </w:pPr>
            <w:r>
              <w:rPr>
                <w:rFonts w:ascii="Arial" w:cs="Arial" w:eastAsia="Arial" w:hAnsi="Arial"/>
                <w:sz w:val="14"/>
                <w:szCs w:val="14"/>
                <w:color w:val="auto"/>
              </w:rPr>
              <w:t>John T. McGinnis(5)</w:t>
            </w:r>
          </w:p>
        </w:tc>
        <w:tc>
          <w:tcPr>
            <w:tcW w:w="620" w:type="dxa"/>
            <w:vAlign w:val="bottom"/>
            <w:shd w:val="clear" w:color="auto" w:fill="E6EDF3"/>
          </w:tcPr>
          <w:p>
            <w:pPr>
              <w:ind w:left="180"/>
              <w:spacing w:after="0" w:line="155" w:lineRule="exact"/>
              <w:rPr>
                <w:sz w:val="20"/>
                <w:szCs w:val="20"/>
                <w:color w:val="auto"/>
              </w:rPr>
            </w:pPr>
            <w:r>
              <w:rPr>
                <w:rFonts w:ascii="Arial" w:cs="Arial" w:eastAsia="Arial" w:hAnsi="Arial"/>
                <w:sz w:val="14"/>
                <w:szCs w:val="14"/>
                <w:color w:val="auto"/>
              </w:rPr>
              <w:t>2016</w:t>
            </w:r>
          </w:p>
        </w:tc>
        <w:tc>
          <w:tcPr>
            <w:tcW w:w="860" w:type="dxa"/>
            <w:vAlign w:val="bottom"/>
            <w:shd w:val="clear" w:color="auto" w:fill="E6EDF3"/>
          </w:tcPr>
          <w:p>
            <w:pPr>
              <w:jc w:val="right"/>
              <w:ind w:right="28"/>
              <w:spacing w:after="0" w:line="155" w:lineRule="exact"/>
              <w:rPr>
                <w:sz w:val="20"/>
                <w:szCs w:val="20"/>
                <w:color w:val="auto"/>
              </w:rPr>
            </w:pPr>
            <w:r>
              <w:rPr>
                <w:rFonts w:ascii="Arial" w:cs="Arial" w:eastAsia="Arial" w:hAnsi="Arial"/>
                <w:sz w:val="14"/>
                <w:szCs w:val="14"/>
                <w:color w:val="auto"/>
              </w:rPr>
              <w:t>519,231</w:t>
            </w:r>
          </w:p>
        </w:tc>
        <w:tc>
          <w:tcPr>
            <w:tcW w:w="680" w:type="dxa"/>
            <w:vAlign w:val="bottom"/>
            <w:shd w:val="clear" w:color="auto" w:fill="E6EDF3"/>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E6EDF3"/>
          </w:tcPr>
          <w:p>
            <w:pPr>
              <w:jc w:val="right"/>
              <w:ind w:right="48"/>
              <w:spacing w:after="0" w:line="155" w:lineRule="exact"/>
              <w:rPr>
                <w:sz w:val="20"/>
                <w:szCs w:val="20"/>
                <w:color w:val="auto"/>
              </w:rPr>
            </w:pPr>
            <w:r>
              <w:rPr>
                <w:rFonts w:ascii="Arial" w:cs="Arial" w:eastAsia="Arial" w:hAnsi="Arial"/>
                <w:sz w:val="14"/>
                <w:szCs w:val="14"/>
                <w:color w:val="auto"/>
              </w:rPr>
              <w:t>2,600,125</w:t>
            </w:r>
          </w:p>
        </w:tc>
        <w:tc>
          <w:tcPr>
            <w:tcW w:w="860" w:type="dxa"/>
            <w:vAlign w:val="bottom"/>
            <w:shd w:val="clear" w:color="auto" w:fill="E6EDF3"/>
          </w:tcPr>
          <w:p>
            <w:pPr>
              <w:jc w:val="right"/>
              <w:ind w:right="28"/>
              <w:spacing w:after="0" w:line="155" w:lineRule="exact"/>
              <w:rPr>
                <w:sz w:val="20"/>
                <w:szCs w:val="20"/>
                <w:color w:val="auto"/>
              </w:rPr>
            </w:pPr>
            <w:r>
              <w:rPr>
                <w:rFonts w:ascii="Arial" w:cs="Arial" w:eastAsia="Arial" w:hAnsi="Arial"/>
                <w:sz w:val="14"/>
                <w:szCs w:val="14"/>
                <w:color w:val="auto"/>
              </w:rPr>
              <w:t>400,016</w:t>
            </w:r>
          </w:p>
        </w:tc>
        <w:tc>
          <w:tcPr>
            <w:tcW w:w="1200" w:type="dxa"/>
            <w:vAlign w:val="bottom"/>
            <w:shd w:val="clear" w:color="auto" w:fill="E6EDF3"/>
          </w:tcPr>
          <w:p>
            <w:pPr>
              <w:jc w:val="right"/>
              <w:ind w:right="28"/>
              <w:spacing w:after="0" w:line="155" w:lineRule="exact"/>
              <w:rPr>
                <w:sz w:val="20"/>
                <w:szCs w:val="20"/>
                <w:color w:val="auto"/>
              </w:rPr>
            </w:pPr>
            <w:r>
              <w:rPr>
                <w:rFonts w:ascii="Arial" w:cs="Arial" w:eastAsia="Arial" w:hAnsi="Arial"/>
                <w:sz w:val="14"/>
                <w:szCs w:val="14"/>
                <w:color w:val="auto"/>
              </w:rPr>
              <w:t>712,680</w:t>
            </w:r>
          </w:p>
        </w:tc>
        <w:tc>
          <w:tcPr>
            <w:tcW w:w="1260" w:type="dxa"/>
            <w:vAlign w:val="bottom"/>
            <w:shd w:val="clear" w:color="auto" w:fill="E6EDF3"/>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200" w:type="dxa"/>
            <w:vAlign w:val="bottom"/>
            <w:shd w:val="clear" w:color="auto" w:fill="E6EDF3"/>
          </w:tcPr>
          <w:p>
            <w:pPr>
              <w:jc w:val="right"/>
              <w:ind w:right="28"/>
              <w:spacing w:after="0" w:line="155" w:lineRule="exact"/>
              <w:rPr>
                <w:sz w:val="20"/>
                <w:szCs w:val="20"/>
                <w:color w:val="auto"/>
              </w:rPr>
            </w:pPr>
            <w:r>
              <w:rPr>
                <w:rFonts w:ascii="Arial" w:cs="Arial" w:eastAsia="Arial" w:hAnsi="Arial"/>
                <w:sz w:val="14"/>
                <w:szCs w:val="14"/>
                <w:color w:val="auto"/>
              </w:rPr>
              <w:t>309,047</w:t>
            </w:r>
          </w:p>
        </w:tc>
        <w:tc>
          <w:tcPr>
            <w:tcW w:w="880" w:type="dxa"/>
            <w:vAlign w:val="bottom"/>
            <w:shd w:val="clear" w:color="auto" w:fill="E6EDF3"/>
          </w:tcPr>
          <w:p>
            <w:pPr>
              <w:jc w:val="right"/>
              <w:ind w:right="8"/>
              <w:spacing w:after="0" w:line="155" w:lineRule="exact"/>
              <w:rPr>
                <w:sz w:val="20"/>
                <w:szCs w:val="20"/>
                <w:color w:val="auto"/>
              </w:rPr>
            </w:pPr>
            <w:r>
              <w:rPr>
                <w:rFonts w:ascii="Arial" w:cs="Arial" w:eastAsia="Arial" w:hAnsi="Arial"/>
                <w:sz w:val="14"/>
                <w:szCs w:val="14"/>
                <w:color w:val="auto"/>
              </w:rPr>
              <w:t>4,541,099</w:t>
            </w:r>
          </w:p>
        </w:tc>
      </w:tr>
      <w:tr>
        <w:trPr>
          <w:trHeight w:val="162"/>
        </w:trPr>
        <w:tc>
          <w:tcPr>
            <w:tcW w:w="3000" w:type="dxa"/>
            <w:vAlign w:val="bottom"/>
            <w:tcBorders>
              <w:bottom w:val="single" w:sz="8" w:color="auto"/>
            </w:tcBorders>
            <w:shd w:val="clear" w:color="auto" w:fill="E6EDF3"/>
          </w:tcPr>
          <w:p>
            <w:pPr>
              <w:ind w:left="220"/>
              <w:spacing w:after="0"/>
              <w:rPr>
                <w:sz w:val="20"/>
                <w:szCs w:val="20"/>
                <w:color w:val="auto"/>
              </w:rPr>
            </w:pPr>
            <w:r>
              <w:rPr>
                <w:rFonts w:ascii="Arial" w:cs="Arial" w:eastAsia="Arial" w:hAnsi="Arial"/>
                <w:sz w:val="14"/>
                <w:szCs w:val="14"/>
                <w:i w:val="1"/>
                <w:iCs w:val="1"/>
                <w:color w:val="auto"/>
              </w:rPr>
              <w:t>CFO</w:t>
            </w:r>
          </w:p>
        </w:tc>
        <w:tc>
          <w:tcPr>
            <w:tcW w:w="620" w:type="dxa"/>
            <w:vAlign w:val="bottom"/>
            <w:tcBorders>
              <w:bottom w:val="single" w:sz="8" w:color="auto"/>
            </w:tcBorders>
            <w:shd w:val="clear" w:color="auto" w:fill="E6EDF3"/>
          </w:tcPr>
          <w:p>
            <w:pPr>
              <w:spacing w:after="0"/>
              <w:rPr>
                <w:sz w:val="14"/>
                <w:szCs w:val="14"/>
                <w:color w:val="auto"/>
              </w:rPr>
            </w:pPr>
          </w:p>
        </w:tc>
        <w:tc>
          <w:tcPr>
            <w:tcW w:w="860" w:type="dxa"/>
            <w:vAlign w:val="bottom"/>
            <w:tcBorders>
              <w:bottom w:val="single" w:sz="8" w:color="auto"/>
            </w:tcBorders>
            <w:shd w:val="clear" w:color="auto" w:fill="E6EDF3"/>
          </w:tcPr>
          <w:p>
            <w:pPr>
              <w:spacing w:after="0"/>
              <w:rPr>
                <w:sz w:val="14"/>
                <w:szCs w:val="14"/>
                <w:color w:val="auto"/>
              </w:rPr>
            </w:pPr>
          </w:p>
        </w:tc>
        <w:tc>
          <w:tcPr>
            <w:tcW w:w="680" w:type="dxa"/>
            <w:vAlign w:val="bottom"/>
            <w:tcBorders>
              <w:bottom w:val="single" w:sz="8" w:color="auto"/>
            </w:tcBorders>
            <w:shd w:val="clear" w:color="auto" w:fill="E6EDF3"/>
          </w:tcPr>
          <w:p>
            <w:pPr>
              <w:spacing w:after="0"/>
              <w:rPr>
                <w:sz w:val="14"/>
                <w:szCs w:val="14"/>
                <w:color w:val="auto"/>
              </w:rPr>
            </w:pPr>
          </w:p>
        </w:tc>
        <w:tc>
          <w:tcPr>
            <w:tcW w:w="860" w:type="dxa"/>
            <w:vAlign w:val="bottom"/>
            <w:tcBorders>
              <w:bottom w:val="single" w:sz="8" w:color="auto"/>
            </w:tcBorders>
            <w:shd w:val="clear" w:color="auto" w:fill="E6EDF3"/>
          </w:tcPr>
          <w:p>
            <w:pPr>
              <w:spacing w:after="0"/>
              <w:rPr>
                <w:sz w:val="14"/>
                <w:szCs w:val="14"/>
                <w:color w:val="auto"/>
              </w:rPr>
            </w:pPr>
          </w:p>
        </w:tc>
        <w:tc>
          <w:tcPr>
            <w:tcW w:w="860" w:type="dxa"/>
            <w:vAlign w:val="bottom"/>
            <w:tcBorders>
              <w:bottom w:val="single" w:sz="8" w:color="auto"/>
            </w:tcBorders>
            <w:shd w:val="clear" w:color="auto" w:fill="E6EDF3"/>
          </w:tcPr>
          <w:p>
            <w:pPr>
              <w:spacing w:after="0"/>
              <w:rPr>
                <w:sz w:val="14"/>
                <w:szCs w:val="14"/>
                <w:color w:val="auto"/>
              </w:rPr>
            </w:pPr>
          </w:p>
        </w:tc>
        <w:tc>
          <w:tcPr>
            <w:tcW w:w="1200" w:type="dxa"/>
            <w:vAlign w:val="bottom"/>
            <w:tcBorders>
              <w:bottom w:val="single" w:sz="8" w:color="auto"/>
            </w:tcBorders>
            <w:shd w:val="clear" w:color="auto" w:fill="E6EDF3"/>
          </w:tcPr>
          <w:p>
            <w:pPr>
              <w:spacing w:after="0"/>
              <w:rPr>
                <w:sz w:val="14"/>
                <w:szCs w:val="14"/>
                <w:color w:val="auto"/>
              </w:rPr>
            </w:pPr>
          </w:p>
        </w:tc>
        <w:tc>
          <w:tcPr>
            <w:tcW w:w="1260" w:type="dxa"/>
            <w:vAlign w:val="bottom"/>
            <w:tcBorders>
              <w:bottom w:val="single" w:sz="8" w:color="auto"/>
            </w:tcBorders>
            <w:shd w:val="clear" w:color="auto" w:fill="E6EDF3"/>
          </w:tcPr>
          <w:p>
            <w:pPr>
              <w:spacing w:after="0"/>
              <w:rPr>
                <w:sz w:val="14"/>
                <w:szCs w:val="14"/>
                <w:color w:val="auto"/>
              </w:rPr>
            </w:pPr>
          </w:p>
        </w:tc>
        <w:tc>
          <w:tcPr>
            <w:tcW w:w="1200" w:type="dxa"/>
            <w:vAlign w:val="bottom"/>
            <w:tcBorders>
              <w:bottom w:val="single" w:sz="8" w:color="auto"/>
            </w:tcBorders>
            <w:shd w:val="clear" w:color="auto" w:fill="E6EDF3"/>
          </w:tcPr>
          <w:p>
            <w:pPr>
              <w:spacing w:after="0"/>
              <w:rPr>
                <w:sz w:val="14"/>
                <w:szCs w:val="14"/>
                <w:color w:val="auto"/>
              </w:rPr>
            </w:pPr>
          </w:p>
        </w:tc>
        <w:tc>
          <w:tcPr>
            <w:tcW w:w="880" w:type="dxa"/>
            <w:vAlign w:val="bottom"/>
            <w:tcBorders>
              <w:bottom w:val="single" w:sz="8" w:color="auto"/>
            </w:tcBorders>
            <w:shd w:val="clear" w:color="auto" w:fill="E6EDF3"/>
          </w:tcPr>
          <w:p>
            <w:pPr>
              <w:spacing w:after="0"/>
              <w:rPr>
                <w:sz w:val="14"/>
                <w:szCs w:val="14"/>
                <w:color w:val="auto"/>
              </w:rPr>
            </w:pPr>
          </w:p>
        </w:tc>
      </w:tr>
      <w:tr>
        <w:trPr>
          <w:trHeight w:val="146"/>
        </w:trPr>
        <w:tc>
          <w:tcPr>
            <w:tcW w:w="3000" w:type="dxa"/>
            <w:vAlign w:val="bottom"/>
          </w:tcPr>
          <w:p>
            <w:pPr>
              <w:ind w:left="80"/>
              <w:spacing w:after="0" w:line="147" w:lineRule="exact"/>
              <w:rPr>
                <w:sz w:val="20"/>
                <w:szCs w:val="20"/>
                <w:color w:val="auto"/>
              </w:rPr>
            </w:pPr>
            <w:r>
              <w:rPr>
                <w:rFonts w:ascii="Arial" w:cs="Arial" w:eastAsia="Arial" w:hAnsi="Arial"/>
                <w:sz w:val="14"/>
                <w:szCs w:val="14"/>
                <w:color w:val="auto"/>
              </w:rPr>
              <w:t>Darryl Green</w:t>
            </w:r>
          </w:p>
        </w:tc>
        <w:tc>
          <w:tcPr>
            <w:tcW w:w="620" w:type="dxa"/>
            <w:vAlign w:val="bottom"/>
          </w:tcPr>
          <w:p>
            <w:pPr>
              <w:ind w:left="180"/>
              <w:spacing w:after="0" w:line="147" w:lineRule="exact"/>
              <w:rPr>
                <w:sz w:val="20"/>
                <w:szCs w:val="20"/>
                <w:color w:val="auto"/>
              </w:rPr>
            </w:pPr>
            <w:r>
              <w:rPr>
                <w:rFonts w:ascii="Arial" w:cs="Arial" w:eastAsia="Arial" w:hAnsi="Arial"/>
                <w:sz w:val="14"/>
                <w:szCs w:val="14"/>
                <w:color w:val="auto"/>
              </w:rPr>
              <w:t>2016</w:t>
            </w:r>
          </w:p>
        </w:tc>
        <w:tc>
          <w:tcPr>
            <w:tcW w:w="860" w:type="dxa"/>
            <w:vAlign w:val="bottom"/>
          </w:tcPr>
          <w:p>
            <w:pPr>
              <w:jc w:val="right"/>
              <w:ind w:right="28"/>
              <w:spacing w:after="0" w:line="147" w:lineRule="exact"/>
              <w:rPr>
                <w:sz w:val="20"/>
                <w:szCs w:val="20"/>
                <w:color w:val="auto"/>
              </w:rPr>
            </w:pPr>
            <w:r>
              <w:rPr>
                <w:rFonts w:ascii="Arial" w:cs="Arial" w:eastAsia="Arial" w:hAnsi="Arial"/>
                <w:sz w:val="14"/>
                <w:szCs w:val="14"/>
                <w:color w:val="auto"/>
              </w:rPr>
              <w:t>800,000</w:t>
            </w:r>
          </w:p>
        </w:tc>
        <w:tc>
          <w:tcPr>
            <w:tcW w:w="680" w:type="dxa"/>
            <w:vAlign w:val="bottom"/>
          </w:tcPr>
          <w:p>
            <w:pPr>
              <w:jc w:val="right"/>
              <w:ind w:right="48"/>
              <w:spacing w:after="0" w:line="147"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line="147" w:lineRule="exact"/>
              <w:rPr>
                <w:sz w:val="20"/>
                <w:szCs w:val="20"/>
                <w:color w:val="auto"/>
              </w:rPr>
            </w:pPr>
            <w:r>
              <w:rPr>
                <w:rFonts w:ascii="Arial" w:cs="Arial" w:eastAsia="Arial" w:hAnsi="Arial"/>
                <w:sz w:val="14"/>
                <w:szCs w:val="14"/>
                <w:color w:val="auto"/>
              </w:rPr>
              <w:t>2,800,036</w:t>
            </w:r>
          </w:p>
        </w:tc>
        <w:tc>
          <w:tcPr>
            <w:tcW w:w="860" w:type="dxa"/>
            <w:vAlign w:val="bottom"/>
          </w:tcPr>
          <w:p>
            <w:pPr>
              <w:jc w:val="right"/>
              <w:ind w:right="28"/>
              <w:spacing w:after="0" w:line="147" w:lineRule="exact"/>
              <w:rPr>
                <w:sz w:val="20"/>
                <w:szCs w:val="20"/>
                <w:color w:val="auto"/>
              </w:rPr>
            </w:pPr>
            <w:r>
              <w:rPr>
                <w:rFonts w:ascii="Arial" w:cs="Arial" w:eastAsia="Arial" w:hAnsi="Arial"/>
                <w:sz w:val="14"/>
                <w:szCs w:val="14"/>
                <w:color w:val="auto"/>
              </w:rPr>
              <w:t>700,018</w:t>
            </w:r>
          </w:p>
        </w:tc>
        <w:tc>
          <w:tcPr>
            <w:tcW w:w="1200" w:type="dxa"/>
            <w:vAlign w:val="bottom"/>
          </w:tcPr>
          <w:p>
            <w:pPr>
              <w:jc w:val="right"/>
              <w:ind w:right="28"/>
              <w:spacing w:after="0" w:line="147" w:lineRule="exact"/>
              <w:rPr>
                <w:sz w:val="20"/>
                <w:szCs w:val="20"/>
                <w:color w:val="auto"/>
              </w:rPr>
            </w:pPr>
            <w:r>
              <w:rPr>
                <w:rFonts w:ascii="Arial" w:cs="Arial" w:eastAsia="Arial" w:hAnsi="Arial"/>
                <w:sz w:val="14"/>
                <w:szCs w:val="14"/>
                <w:color w:val="auto"/>
              </w:rPr>
              <w:t>990,240</w:t>
            </w:r>
          </w:p>
        </w:tc>
        <w:tc>
          <w:tcPr>
            <w:tcW w:w="1260" w:type="dxa"/>
            <w:vAlign w:val="bottom"/>
          </w:tcPr>
          <w:p>
            <w:pPr>
              <w:jc w:val="right"/>
              <w:ind w:right="68"/>
              <w:spacing w:after="0" w:line="147"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line="147" w:lineRule="exact"/>
              <w:rPr>
                <w:sz w:val="20"/>
                <w:szCs w:val="20"/>
                <w:color w:val="auto"/>
              </w:rPr>
            </w:pPr>
            <w:r>
              <w:rPr>
                <w:rFonts w:ascii="Arial" w:cs="Arial" w:eastAsia="Arial" w:hAnsi="Arial"/>
                <w:sz w:val="14"/>
                <w:szCs w:val="14"/>
                <w:color w:val="auto"/>
              </w:rPr>
              <w:t>55,499</w:t>
            </w:r>
          </w:p>
        </w:tc>
        <w:tc>
          <w:tcPr>
            <w:tcW w:w="880" w:type="dxa"/>
            <w:vAlign w:val="bottom"/>
          </w:tcPr>
          <w:p>
            <w:pPr>
              <w:jc w:val="right"/>
              <w:ind w:right="8"/>
              <w:spacing w:after="0" w:line="147" w:lineRule="exact"/>
              <w:rPr>
                <w:sz w:val="20"/>
                <w:szCs w:val="20"/>
                <w:color w:val="auto"/>
              </w:rPr>
            </w:pPr>
            <w:r>
              <w:rPr>
                <w:rFonts w:ascii="Arial" w:cs="Arial" w:eastAsia="Arial" w:hAnsi="Arial"/>
                <w:sz w:val="14"/>
                <w:szCs w:val="14"/>
                <w:color w:val="auto"/>
              </w:rPr>
              <w:t>5,345,793</w:t>
            </w:r>
          </w:p>
        </w:tc>
      </w:tr>
      <w:tr>
        <w:trPr>
          <w:trHeight w:val="176"/>
        </w:trPr>
        <w:tc>
          <w:tcPr>
            <w:tcW w:w="3000" w:type="dxa"/>
            <w:vAlign w:val="bottom"/>
          </w:tcPr>
          <w:p>
            <w:pPr>
              <w:ind w:left="220"/>
              <w:spacing w:after="0"/>
              <w:rPr>
                <w:sz w:val="20"/>
                <w:szCs w:val="20"/>
                <w:color w:val="auto"/>
              </w:rPr>
            </w:pPr>
            <w:r>
              <w:rPr>
                <w:rFonts w:ascii="Arial" w:cs="Arial" w:eastAsia="Arial" w:hAnsi="Arial"/>
                <w:sz w:val="14"/>
                <w:szCs w:val="14"/>
                <w:i w:val="1"/>
                <w:iCs w:val="1"/>
                <w:color w:val="auto"/>
              </w:rPr>
              <w:t>President &amp; COO</w:t>
            </w:r>
          </w:p>
        </w:tc>
        <w:tc>
          <w:tcPr>
            <w:tcW w:w="620" w:type="dxa"/>
            <w:vAlign w:val="bottom"/>
          </w:tcPr>
          <w:p>
            <w:pPr>
              <w:ind w:left="180"/>
              <w:spacing w:after="0"/>
              <w:rPr>
                <w:sz w:val="20"/>
                <w:szCs w:val="20"/>
                <w:color w:val="auto"/>
              </w:rPr>
            </w:pPr>
            <w:r>
              <w:rPr>
                <w:rFonts w:ascii="Arial" w:cs="Arial" w:eastAsia="Arial" w:hAnsi="Arial"/>
                <w:sz w:val="14"/>
                <w:szCs w:val="14"/>
                <w:color w:val="auto"/>
              </w:rPr>
              <w:t>2015</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800,000</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2,800,091</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700,008</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1,105,000</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47,429</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5,452,528</w:t>
            </w:r>
          </w:p>
        </w:tc>
      </w:tr>
      <w:tr>
        <w:trPr>
          <w:trHeight w:val="157"/>
        </w:trPr>
        <w:tc>
          <w:tcPr>
            <w:tcW w:w="30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180"/>
              <w:spacing w:after="0" w:line="157" w:lineRule="exact"/>
              <w:rPr>
                <w:sz w:val="20"/>
                <w:szCs w:val="20"/>
                <w:color w:val="auto"/>
              </w:rPr>
            </w:pPr>
            <w:r>
              <w:rPr>
                <w:rFonts w:ascii="Arial" w:cs="Arial" w:eastAsia="Arial" w:hAnsi="Arial"/>
                <w:sz w:val="14"/>
                <w:szCs w:val="14"/>
                <w:color w:val="auto"/>
              </w:rPr>
              <w:t>2014</w:t>
            </w:r>
          </w:p>
        </w:tc>
        <w:tc>
          <w:tcPr>
            <w:tcW w:w="86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750,000</w:t>
            </w:r>
          </w:p>
        </w:tc>
        <w:tc>
          <w:tcPr>
            <w:tcW w:w="68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2,800,146</w:t>
            </w:r>
          </w:p>
        </w:tc>
        <w:tc>
          <w:tcPr>
            <w:tcW w:w="86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700,032</w:t>
            </w:r>
          </w:p>
        </w:tc>
        <w:tc>
          <w:tcPr>
            <w:tcW w:w="120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1,104,953</w:t>
            </w:r>
          </w:p>
        </w:tc>
        <w:tc>
          <w:tcPr>
            <w:tcW w:w="126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124,179</w:t>
            </w:r>
          </w:p>
        </w:tc>
        <w:tc>
          <w:tcPr>
            <w:tcW w:w="88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5,479,310</w:t>
            </w:r>
          </w:p>
        </w:tc>
      </w:tr>
      <w:tr>
        <w:trPr>
          <w:trHeight w:val="156"/>
        </w:trPr>
        <w:tc>
          <w:tcPr>
            <w:tcW w:w="3000" w:type="dxa"/>
            <w:vAlign w:val="bottom"/>
            <w:shd w:val="clear" w:color="auto" w:fill="E6EDF3"/>
          </w:tcPr>
          <w:p>
            <w:pPr>
              <w:ind w:left="80"/>
              <w:spacing w:after="0" w:line="155" w:lineRule="exact"/>
              <w:rPr>
                <w:sz w:val="20"/>
                <w:szCs w:val="20"/>
                <w:color w:val="auto"/>
              </w:rPr>
            </w:pPr>
            <w:r>
              <w:rPr>
                <w:rFonts w:ascii="Arial" w:cs="Arial" w:eastAsia="Arial" w:hAnsi="Arial"/>
                <w:sz w:val="14"/>
                <w:szCs w:val="14"/>
                <w:color w:val="auto"/>
              </w:rPr>
              <w:t>Ram Chandrashekar(6)</w:t>
            </w:r>
          </w:p>
        </w:tc>
        <w:tc>
          <w:tcPr>
            <w:tcW w:w="620" w:type="dxa"/>
            <w:vAlign w:val="bottom"/>
            <w:shd w:val="clear" w:color="auto" w:fill="E6EDF3"/>
          </w:tcPr>
          <w:p>
            <w:pPr>
              <w:ind w:left="180"/>
              <w:spacing w:after="0" w:line="155" w:lineRule="exact"/>
              <w:rPr>
                <w:sz w:val="20"/>
                <w:szCs w:val="20"/>
                <w:color w:val="auto"/>
              </w:rPr>
            </w:pPr>
            <w:r>
              <w:rPr>
                <w:rFonts w:ascii="Arial" w:cs="Arial" w:eastAsia="Arial" w:hAnsi="Arial"/>
                <w:sz w:val="14"/>
                <w:szCs w:val="14"/>
                <w:color w:val="auto"/>
              </w:rPr>
              <w:t>2016</w:t>
            </w:r>
          </w:p>
        </w:tc>
        <w:tc>
          <w:tcPr>
            <w:tcW w:w="860" w:type="dxa"/>
            <w:vAlign w:val="bottom"/>
            <w:shd w:val="clear" w:color="auto" w:fill="E6EDF3"/>
          </w:tcPr>
          <w:p>
            <w:pPr>
              <w:jc w:val="right"/>
              <w:ind w:right="28"/>
              <w:spacing w:after="0" w:line="155" w:lineRule="exact"/>
              <w:rPr>
                <w:sz w:val="20"/>
                <w:szCs w:val="20"/>
                <w:color w:val="auto"/>
              </w:rPr>
            </w:pPr>
            <w:r>
              <w:rPr>
                <w:rFonts w:ascii="Arial" w:cs="Arial" w:eastAsia="Arial" w:hAnsi="Arial"/>
                <w:sz w:val="14"/>
                <w:szCs w:val="14"/>
                <w:color w:val="auto"/>
              </w:rPr>
              <w:t>568,035</w:t>
            </w:r>
          </w:p>
        </w:tc>
        <w:tc>
          <w:tcPr>
            <w:tcW w:w="680" w:type="dxa"/>
            <w:vAlign w:val="bottom"/>
            <w:shd w:val="clear" w:color="auto" w:fill="E6EDF3"/>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E6EDF3"/>
          </w:tcPr>
          <w:p>
            <w:pPr>
              <w:jc w:val="right"/>
              <w:ind w:right="48"/>
              <w:spacing w:after="0" w:line="155" w:lineRule="exact"/>
              <w:rPr>
                <w:sz w:val="20"/>
                <w:szCs w:val="20"/>
                <w:color w:val="auto"/>
              </w:rPr>
            </w:pPr>
            <w:r>
              <w:rPr>
                <w:rFonts w:ascii="Arial" w:cs="Arial" w:eastAsia="Arial" w:hAnsi="Arial"/>
                <w:sz w:val="14"/>
                <w:szCs w:val="14"/>
                <w:color w:val="auto"/>
              </w:rPr>
              <w:t>1,620,086</w:t>
            </w:r>
          </w:p>
        </w:tc>
        <w:tc>
          <w:tcPr>
            <w:tcW w:w="860" w:type="dxa"/>
            <w:vAlign w:val="bottom"/>
            <w:shd w:val="clear" w:color="auto" w:fill="E6EDF3"/>
          </w:tcPr>
          <w:p>
            <w:pPr>
              <w:jc w:val="right"/>
              <w:ind w:right="28"/>
              <w:spacing w:after="0" w:line="155" w:lineRule="exact"/>
              <w:rPr>
                <w:sz w:val="20"/>
                <w:szCs w:val="20"/>
                <w:color w:val="auto"/>
              </w:rPr>
            </w:pPr>
            <w:r>
              <w:rPr>
                <w:rFonts w:ascii="Arial" w:cs="Arial" w:eastAsia="Arial" w:hAnsi="Arial"/>
                <w:sz w:val="14"/>
                <w:szCs w:val="14"/>
                <w:color w:val="auto"/>
              </w:rPr>
              <w:t>280,007</w:t>
            </w:r>
          </w:p>
        </w:tc>
        <w:tc>
          <w:tcPr>
            <w:tcW w:w="1200" w:type="dxa"/>
            <w:vAlign w:val="bottom"/>
            <w:shd w:val="clear" w:color="auto" w:fill="E6EDF3"/>
          </w:tcPr>
          <w:p>
            <w:pPr>
              <w:jc w:val="right"/>
              <w:ind w:right="28"/>
              <w:spacing w:after="0" w:line="155" w:lineRule="exact"/>
              <w:rPr>
                <w:sz w:val="20"/>
                <w:szCs w:val="20"/>
                <w:color w:val="auto"/>
              </w:rPr>
            </w:pPr>
            <w:r>
              <w:rPr>
                <w:rFonts w:ascii="Arial" w:cs="Arial" w:eastAsia="Arial" w:hAnsi="Arial"/>
                <w:sz w:val="14"/>
                <w:szCs w:val="14"/>
                <w:color w:val="auto"/>
              </w:rPr>
              <w:t>370,188</w:t>
            </w:r>
          </w:p>
        </w:tc>
        <w:tc>
          <w:tcPr>
            <w:tcW w:w="1260" w:type="dxa"/>
            <w:vAlign w:val="bottom"/>
            <w:shd w:val="clear" w:color="auto" w:fill="E6EDF3"/>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200" w:type="dxa"/>
            <w:vAlign w:val="bottom"/>
            <w:shd w:val="clear" w:color="auto" w:fill="E6EDF3"/>
          </w:tcPr>
          <w:p>
            <w:pPr>
              <w:jc w:val="right"/>
              <w:ind w:right="28"/>
              <w:spacing w:after="0" w:line="155" w:lineRule="exact"/>
              <w:rPr>
                <w:sz w:val="20"/>
                <w:szCs w:val="20"/>
                <w:color w:val="auto"/>
              </w:rPr>
            </w:pPr>
            <w:r>
              <w:rPr>
                <w:rFonts w:ascii="Arial" w:cs="Arial" w:eastAsia="Arial" w:hAnsi="Arial"/>
                <w:sz w:val="14"/>
                <w:szCs w:val="14"/>
                <w:color w:val="auto"/>
              </w:rPr>
              <w:t>294,960</w:t>
            </w:r>
          </w:p>
        </w:tc>
        <w:tc>
          <w:tcPr>
            <w:tcW w:w="880" w:type="dxa"/>
            <w:vAlign w:val="bottom"/>
            <w:shd w:val="clear" w:color="auto" w:fill="E6EDF3"/>
          </w:tcPr>
          <w:p>
            <w:pPr>
              <w:jc w:val="right"/>
              <w:ind w:right="8"/>
              <w:spacing w:after="0" w:line="155" w:lineRule="exact"/>
              <w:rPr>
                <w:sz w:val="20"/>
                <w:szCs w:val="20"/>
                <w:color w:val="auto"/>
              </w:rPr>
            </w:pPr>
            <w:r>
              <w:rPr>
                <w:rFonts w:ascii="Arial" w:cs="Arial" w:eastAsia="Arial" w:hAnsi="Arial"/>
                <w:sz w:val="14"/>
                <w:szCs w:val="14"/>
                <w:color w:val="auto"/>
              </w:rPr>
              <w:t>3,133,276</w:t>
            </w:r>
          </w:p>
        </w:tc>
      </w:tr>
      <w:tr>
        <w:trPr>
          <w:trHeight w:val="153"/>
        </w:trPr>
        <w:tc>
          <w:tcPr>
            <w:tcW w:w="3000" w:type="dxa"/>
            <w:vAlign w:val="bottom"/>
            <w:shd w:val="clear" w:color="auto" w:fill="E6EDF3"/>
          </w:tcPr>
          <w:p>
            <w:pPr>
              <w:ind w:left="220"/>
              <w:spacing w:after="0" w:line="153" w:lineRule="exact"/>
              <w:rPr>
                <w:sz w:val="20"/>
                <w:szCs w:val="20"/>
                <w:color w:val="auto"/>
              </w:rPr>
            </w:pPr>
            <w:r>
              <w:rPr>
                <w:rFonts w:ascii="Arial" w:cs="Arial" w:eastAsia="Arial" w:hAnsi="Arial"/>
                <w:sz w:val="14"/>
                <w:szCs w:val="14"/>
                <w:i w:val="1"/>
                <w:iCs w:val="1"/>
                <w:color w:val="auto"/>
              </w:rPr>
              <w:t>EVP, Operational Excellence &amp; IT and</w:t>
            </w:r>
          </w:p>
        </w:tc>
        <w:tc>
          <w:tcPr>
            <w:tcW w:w="620" w:type="dxa"/>
            <w:vAlign w:val="bottom"/>
            <w:shd w:val="clear" w:color="auto" w:fill="E6EDF3"/>
          </w:tcPr>
          <w:p>
            <w:pPr>
              <w:ind w:left="180"/>
              <w:spacing w:after="0" w:line="153" w:lineRule="exact"/>
              <w:rPr>
                <w:sz w:val="20"/>
                <w:szCs w:val="20"/>
                <w:color w:val="auto"/>
              </w:rPr>
            </w:pPr>
            <w:r>
              <w:rPr>
                <w:rFonts w:ascii="Arial" w:cs="Arial" w:eastAsia="Arial" w:hAnsi="Arial"/>
                <w:sz w:val="14"/>
                <w:szCs w:val="14"/>
                <w:color w:val="auto"/>
              </w:rPr>
              <w:t>2015</w:t>
            </w:r>
          </w:p>
        </w:tc>
        <w:tc>
          <w:tcPr>
            <w:tcW w:w="860" w:type="dxa"/>
            <w:vAlign w:val="bottom"/>
            <w:shd w:val="clear" w:color="auto" w:fill="E6EDF3"/>
          </w:tcPr>
          <w:p>
            <w:pPr>
              <w:jc w:val="right"/>
              <w:ind w:right="28"/>
              <w:spacing w:after="0" w:line="153" w:lineRule="exact"/>
              <w:rPr>
                <w:sz w:val="20"/>
                <w:szCs w:val="20"/>
                <w:color w:val="auto"/>
              </w:rPr>
            </w:pPr>
            <w:r>
              <w:rPr>
                <w:rFonts w:ascii="Arial" w:cs="Arial" w:eastAsia="Arial" w:hAnsi="Arial"/>
                <w:sz w:val="14"/>
                <w:szCs w:val="14"/>
                <w:color w:val="auto"/>
              </w:rPr>
              <w:t>568,035</w:t>
            </w:r>
          </w:p>
        </w:tc>
        <w:tc>
          <w:tcPr>
            <w:tcW w:w="680" w:type="dxa"/>
            <w:vAlign w:val="bottom"/>
            <w:shd w:val="clear" w:color="auto" w:fill="E6EDF3"/>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860" w:type="dxa"/>
            <w:vAlign w:val="bottom"/>
            <w:shd w:val="clear" w:color="auto" w:fill="E6EDF3"/>
          </w:tcPr>
          <w:p>
            <w:pPr>
              <w:jc w:val="right"/>
              <w:ind w:right="48"/>
              <w:spacing w:after="0" w:line="153" w:lineRule="exact"/>
              <w:rPr>
                <w:sz w:val="20"/>
                <w:szCs w:val="20"/>
                <w:color w:val="auto"/>
              </w:rPr>
            </w:pPr>
            <w:r>
              <w:rPr>
                <w:rFonts w:ascii="Arial" w:cs="Arial" w:eastAsia="Arial" w:hAnsi="Arial"/>
                <w:sz w:val="14"/>
                <w:szCs w:val="14"/>
                <w:color w:val="auto"/>
              </w:rPr>
              <w:t>1,120,068</w:t>
            </w:r>
          </w:p>
        </w:tc>
        <w:tc>
          <w:tcPr>
            <w:tcW w:w="860" w:type="dxa"/>
            <w:vAlign w:val="bottom"/>
            <w:shd w:val="clear" w:color="auto" w:fill="E6EDF3"/>
          </w:tcPr>
          <w:p>
            <w:pPr>
              <w:jc w:val="right"/>
              <w:ind w:right="28"/>
              <w:spacing w:after="0" w:line="153" w:lineRule="exact"/>
              <w:rPr>
                <w:sz w:val="20"/>
                <w:szCs w:val="20"/>
                <w:color w:val="auto"/>
              </w:rPr>
            </w:pPr>
            <w:r>
              <w:rPr>
                <w:rFonts w:ascii="Arial" w:cs="Arial" w:eastAsia="Arial" w:hAnsi="Arial"/>
                <w:sz w:val="14"/>
                <w:szCs w:val="14"/>
                <w:color w:val="auto"/>
              </w:rPr>
              <w:t>280,020</w:t>
            </w:r>
          </w:p>
        </w:tc>
        <w:tc>
          <w:tcPr>
            <w:tcW w:w="1200" w:type="dxa"/>
            <w:vAlign w:val="bottom"/>
            <w:shd w:val="clear" w:color="auto" w:fill="E6EDF3"/>
          </w:tcPr>
          <w:p>
            <w:pPr>
              <w:jc w:val="right"/>
              <w:ind w:right="28"/>
              <w:spacing w:after="0" w:line="153" w:lineRule="exact"/>
              <w:rPr>
                <w:sz w:val="20"/>
                <w:szCs w:val="20"/>
                <w:color w:val="auto"/>
              </w:rPr>
            </w:pPr>
            <w:r>
              <w:rPr>
                <w:rFonts w:ascii="Arial" w:cs="Arial" w:eastAsia="Arial" w:hAnsi="Arial"/>
                <w:sz w:val="14"/>
                <w:szCs w:val="14"/>
                <w:color w:val="auto"/>
              </w:rPr>
              <w:t>460,108</w:t>
            </w:r>
          </w:p>
        </w:tc>
        <w:tc>
          <w:tcPr>
            <w:tcW w:w="1260" w:type="dxa"/>
            <w:vAlign w:val="bottom"/>
            <w:shd w:val="clear" w:color="auto" w:fill="E6EDF3"/>
          </w:tcPr>
          <w:p>
            <w:pPr>
              <w:jc w:val="right"/>
              <w:ind w:right="68"/>
              <w:spacing w:after="0" w:line="153" w:lineRule="exact"/>
              <w:rPr>
                <w:sz w:val="20"/>
                <w:szCs w:val="20"/>
                <w:color w:val="auto"/>
              </w:rPr>
            </w:pPr>
            <w:r>
              <w:rPr>
                <w:rFonts w:ascii="Arial" w:cs="Arial" w:eastAsia="Arial" w:hAnsi="Arial"/>
                <w:sz w:val="14"/>
                <w:szCs w:val="14"/>
                <w:color w:val="auto"/>
              </w:rPr>
              <w:t>—</w:t>
            </w:r>
          </w:p>
        </w:tc>
        <w:tc>
          <w:tcPr>
            <w:tcW w:w="1200" w:type="dxa"/>
            <w:vAlign w:val="bottom"/>
            <w:shd w:val="clear" w:color="auto" w:fill="E6EDF3"/>
          </w:tcPr>
          <w:p>
            <w:pPr>
              <w:jc w:val="right"/>
              <w:ind w:right="28"/>
              <w:spacing w:after="0" w:line="153" w:lineRule="exact"/>
              <w:rPr>
                <w:sz w:val="20"/>
                <w:szCs w:val="20"/>
                <w:color w:val="auto"/>
              </w:rPr>
            </w:pPr>
            <w:r>
              <w:rPr>
                <w:rFonts w:ascii="Arial" w:cs="Arial" w:eastAsia="Arial" w:hAnsi="Arial"/>
                <w:sz w:val="14"/>
                <w:szCs w:val="14"/>
                <w:color w:val="auto"/>
              </w:rPr>
              <w:t>101,760</w:t>
            </w:r>
          </w:p>
        </w:tc>
        <w:tc>
          <w:tcPr>
            <w:tcW w:w="880" w:type="dxa"/>
            <w:vAlign w:val="bottom"/>
            <w:shd w:val="clear" w:color="auto" w:fill="E6EDF3"/>
          </w:tcPr>
          <w:p>
            <w:pPr>
              <w:jc w:val="right"/>
              <w:ind w:right="8"/>
              <w:spacing w:after="0" w:line="153" w:lineRule="exact"/>
              <w:rPr>
                <w:sz w:val="20"/>
                <w:szCs w:val="20"/>
                <w:color w:val="auto"/>
              </w:rPr>
            </w:pPr>
            <w:r>
              <w:rPr>
                <w:rFonts w:ascii="Arial" w:cs="Arial" w:eastAsia="Arial" w:hAnsi="Arial"/>
                <w:sz w:val="14"/>
                <w:szCs w:val="14"/>
                <w:color w:val="auto"/>
              </w:rPr>
              <w:t>2,529,991</w:t>
            </w:r>
          </w:p>
        </w:tc>
      </w:tr>
      <w:tr>
        <w:trPr>
          <w:trHeight w:val="185"/>
        </w:trPr>
        <w:tc>
          <w:tcPr>
            <w:tcW w:w="3000" w:type="dxa"/>
            <w:vAlign w:val="bottom"/>
            <w:tcBorders>
              <w:bottom w:val="single" w:sz="8" w:color="auto"/>
            </w:tcBorders>
            <w:shd w:val="clear" w:color="auto" w:fill="E6EDF3"/>
          </w:tcPr>
          <w:p>
            <w:pPr>
              <w:ind w:left="360"/>
              <w:spacing w:after="0"/>
              <w:rPr>
                <w:sz w:val="20"/>
                <w:szCs w:val="20"/>
                <w:color w:val="auto"/>
              </w:rPr>
            </w:pPr>
            <w:r>
              <w:rPr>
                <w:rFonts w:ascii="Arial" w:cs="Arial" w:eastAsia="Arial" w:hAnsi="Arial"/>
                <w:sz w:val="14"/>
                <w:szCs w:val="14"/>
                <w:i w:val="1"/>
                <w:iCs w:val="1"/>
                <w:color w:val="auto"/>
              </w:rPr>
              <w:t>President, Asia Pacific Middle East</w:t>
            </w:r>
          </w:p>
        </w:tc>
        <w:tc>
          <w:tcPr>
            <w:tcW w:w="620" w:type="dxa"/>
            <w:vAlign w:val="bottom"/>
            <w:tcBorders>
              <w:bottom w:val="single" w:sz="8" w:color="auto"/>
            </w:tcBorders>
            <w:shd w:val="clear" w:color="auto" w:fill="E6EDF3"/>
          </w:tcPr>
          <w:p>
            <w:pPr>
              <w:ind w:left="180"/>
              <w:spacing w:after="0"/>
              <w:rPr>
                <w:sz w:val="20"/>
                <w:szCs w:val="20"/>
                <w:color w:val="auto"/>
              </w:rPr>
            </w:pPr>
            <w:r>
              <w:rPr>
                <w:rFonts w:ascii="Arial" w:cs="Arial" w:eastAsia="Arial" w:hAnsi="Arial"/>
                <w:sz w:val="14"/>
                <w:szCs w:val="14"/>
                <w:color w:val="auto"/>
              </w:rPr>
              <w:t>2014</w:t>
            </w:r>
          </w:p>
        </w:tc>
        <w:tc>
          <w:tcPr>
            <w:tcW w:w="860" w:type="dxa"/>
            <w:vAlign w:val="bottom"/>
            <w:tcBorders>
              <w:bottom w:val="single" w:sz="8" w:color="auto"/>
            </w:tcBorders>
            <w:shd w:val="clear" w:color="auto" w:fill="E6EDF3"/>
          </w:tcPr>
          <w:p>
            <w:pPr>
              <w:jc w:val="right"/>
              <w:ind w:right="28"/>
              <w:spacing w:after="0"/>
              <w:rPr>
                <w:sz w:val="20"/>
                <w:szCs w:val="20"/>
                <w:color w:val="auto"/>
              </w:rPr>
            </w:pPr>
            <w:r>
              <w:rPr>
                <w:rFonts w:ascii="Arial" w:cs="Arial" w:eastAsia="Arial" w:hAnsi="Arial"/>
                <w:sz w:val="14"/>
                <w:szCs w:val="14"/>
                <w:color w:val="auto"/>
              </w:rPr>
              <w:t>568,035</w:t>
            </w:r>
          </w:p>
        </w:tc>
        <w:tc>
          <w:tcPr>
            <w:tcW w:w="680" w:type="dxa"/>
            <w:vAlign w:val="bottom"/>
            <w:tcBorders>
              <w:bottom w:val="single" w:sz="8" w:color="auto"/>
            </w:tcBorders>
            <w:shd w:val="clear" w:color="auto" w:fill="E6EDF3"/>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E6EDF3"/>
          </w:tcPr>
          <w:p>
            <w:pPr>
              <w:jc w:val="right"/>
              <w:ind w:right="48"/>
              <w:spacing w:after="0"/>
              <w:rPr>
                <w:sz w:val="20"/>
                <w:szCs w:val="20"/>
                <w:color w:val="auto"/>
              </w:rPr>
            </w:pPr>
            <w:r>
              <w:rPr>
                <w:rFonts w:ascii="Arial" w:cs="Arial" w:eastAsia="Arial" w:hAnsi="Arial"/>
                <w:sz w:val="14"/>
                <w:szCs w:val="14"/>
                <w:color w:val="auto"/>
              </w:rPr>
              <w:t>1,620,046</w:t>
            </w:r>
          </w:p>
        </w:tc>
        <w:tc>
          <w:tcPr>
            <w:tcW w:w="860" w:type="dxa"/>
            <w:vAlign w:val="bottom"/>
            <w:tcBorders>
              <w:bottom w:val="single" w:sz="8" w:color="auto"/>
            </w:tcBorders>
            <w:shd w:val="clear" w:color="auto" w:fill="E6EDF3"/>
          </w:tcPr>
          <w:p>
            <w:pPr>
              <w:jc w:val="right"/>
              <w:ind w:right="28"/>
              <w:spacing w:after="0"/>
              <w:rPr>
                <w:sz w:val="20"/>
                <w:szCs w:val="20"/>
                <w:color w:val="auto"/>
              </w:rPr>
            </w:pPr>
            <w:r>
              <w:rPr>
                <w:rFonts w:ascii="Arial" w:cs="Arial" w:eastAsia="Arial" w:hAnsi="Arial"/>
                <w:sz w:val="14"/>
                <w:szCs w:val="14"/>
                <w:color w:val="auto"/>
              </w:rPr>
              <w:t>280,023</w:t>
            </w:r>
          </w:p>
        </w:tc>
        <w:tc>
          <w:tcPr>
            <w:tcW w:w="1200" w:type="dxa"/>
            <w:vAlign w:val="bottom"/>
            <w:tcBorders>
              <w:bottom w:val="single" w:sz="8" w:color="auto"/>
            </w:tcBorders>
            <w:shd w:val="clear" w:color="auto" w:fill="E6EDF3"/>
          </w:tcPr>
          <w:p>
            <w:pPr>
              <w:jc w:val="right"/>
              <w:ind w:right="28"/>
              <w:spacing w:after="0"/>
              <w:rPr>
                <w:sz w:val="20"/>
                <w:szCs w:val="20"/>
                <w:color w:val="auto"/>
              </w:rPr>
            </w:pPr>
            <w:r>
              <w:rPr>
                <w:rFonts w:ascii="Arial" w:cs="Arial" w:eastAsia="Arial" w:hAnsi="Arial"/>
                <w:sz w:val="14"/>
                <w:szCs w:val="14"/>
                <w:color w:val="auto"/>
              </w:rPr>
              <w:t>621,089</w:t>
            </w:r>
          </w:p>
        </w:tc>
        <w:tc>
          <w:tcPr>
            <w:tcW w:w="1260" w:type="dxa"/>
            <w:vAlign w:val="bottom"/>
            <w:tcBorders>
              <w:bottom w:val="single" w:sz="8" w:color="auto"/>
            </w:tcBorders>
            <w:shd w:val="clear" w:color="auto" w:fill="E6EDF3"/>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E6EDF3"/>
          </w:tcPr>
          <w:p>
            <w:pPr>
              <w:jc w:val="right"/>
              <w:ind w:right="28"/>
              <w:spacing w:after="0"/>
              <w:rPr>
                <w:sz w:val="20"/>
                <w:szCs w:val="20"/>
                <w:color w:val="auto"/>
              </w:rPr>
            </w:pPr>
            <w:r>
              <w:rPr>
                <w:rFonts w:ascii="Arial" w:cs="Arial" w:eastAsia="Arial" w:hAnsi="Arial"/>
                <w:sz w:val="14"/>
                <w:szCs w:val="14"/>
                <w:color w:val="auto"/>
              </w:rPr>
              <w:t>97,532</w:t>
            </w:r>
          </w:p>
        </w:tc>
        <w:tc>
          <w:tcPr>
            <w:tcW w:w="880" w:type="dxa"/>
            <w:vAlign w:val="bottom"/>
            <w:tcBorders>
              <w:bottom w:val="single" w:sz="8" w:color="auto"/>
            </w:tcBorders>
            <w:shd w:val="clear" w:color="auto" w:fill="E6EDF3"/>
          </w:tcPr>
          <w:p>
            <w:pPr>
              <w:jc w:val="right"/>
              <w:ind w:right="8"/>
              <w:spacing w:after="0"/>
              <w:rPr>
                <w:sz w:val="20"/>
                <w:szCs w:val="20"/>
                <w:color w:val="auto"/>
              </w:rPr>
            </w:pPr>
            <w:r>
              <w:rPr>
                <w:rFonts w:ascii="Arial" w:cs="Arial" w:eastAsia="Arial" w:hAnsi="Arial"/>
                <w:sz w:val="14"/>
                <w:szCs w:val="14"/>
                <w:color w:val="auto"/>
              </w:rPr>
              <w:t>3,186,725</w:t>
            </w:r>
          </w:p>
        </w:tc>
      </w:tr>
      <w:tr>
        <w:trPr>
          <w:trHeight w:val="146"/>
        </w:trPr>
        <w:tc>
          <w:tcPr>
            <w:tcW w:w="3000" w:type="dxa"/>
            <w:vAlign w:val="bottom"/>
          </w:tcPr>
          <w:p>
            <w:pPr>
              <w:ind w:left="80"/>
              <w:spacing w:after="0" w:line="147" w:lineRule="exact"/>
              <w:rPr>
                <w:sz w:val="20"/>
                <w:szCs w:val="20"/>
                <w:color w:val="auto"/>
              </w:rPr>
            </w:pPr>
            <w:r>
              <w:rPr>
                <w:rFonts w:ascii="Arial" w:cs="Arial" w:eastAsia="Arial" w:hAnsi="Arial"/>
                <w:sz w:val="14"/>
                <w:szCs w:val="14"/>
                <w:color w:val="auto"/>
              </w:rPr>
              <w:t>Mara E. Swan</w:t>
            </w:r>
          </w:p>
        </w:tc>
        <w:tc>
          <w:tcPr>
            <w:tcW w:w="620" w:type="dxa"/>
            <w:vAlign w:val="bottom"/>
          </w:tcPr>
          <w:p>
            <w:pPr>
              <w:ind w:left="180"/>
              <w:spacing w:after="0" w:line="147" w:lineRule="exact"/>
              <w:rPr>
                <w:sz w:val="20"/>
                <w:szCs w:val="20"/>
                <w:color w:val="auto"/>
              </w:rPr>
            </w:pPr>
            <w:r>
              <w:rPr>
                <w:rFonts w:ascii="Arial" w:cs="Arial" w:eastAsia="Arial" w:hAnsi="Arial"/>
                <w:sz w:val="14"/>
                <w:szCs w:val="14"/>
                <w:color w:val="auto"/>
              </w:rPr>
              <w:t>2016</w:t>
            </w:r>
          </w:p>
        </w:tc>
        <w:tc>
          <w:tcPr>
            <w:tcW w:w="860" w:type="dxa"/>
            <w:vAlign w:val="bottom"/>
          </w:tcPr>
          <w:p>
            <w:pPr>
              <w:jc w:val="right"/>
              <w:ind w:right="28"/>
              <w:spacing w:after="0" w:line="147" w:lineRule="exact"/>
              <w:rPr>
                <w:sz w:val="20"/>
                <w:szCs w:val="20"/>
                <w:color w:val="auto"/>
              </w:rPr>
            </w:pPr>
            <w:r>
              <w:rPr>
                <w:rFonts w:ascii="Arial" w:cs="Arial" w:eastAsia="Arial" w:hAnsi="Arial"/>
                <w:sz w:val="14"/>
                <w:szCs w:val="14"/>
                <w:color w:val="auto"/>
              </w:rPr>
              <w:t>560,000</w:t>
            </w:r>
          </w:p>
        </w:tc>
        <w:tc>
          <w:tcPr>
            <w:tcW w:w="680" w:type="dxa"/>
            <w:vAlign w:val="bottom"/>
          </w:tcPr>
          <w:p>
            <w:pPr>
              <w:jc w:val="right"/>
              <w:ind w:right="48"/>
              <w:spacing w:after="0" w:line="147"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line="147" w:lineRule="exact"/>
              <w:rPr>
                <w:sz w:val="20"/>
                <w:szCs w:val="20"/>
                <w:color w:val="auto"/>
              </w:rPr>
            </w:pPr>
            <w:r>
              <w:rPr>
                <w:rFonts w:ascii="Arial" w:cs="Arial" w:eastAsia="Arial" w:hAnsi="Arial"/>
                <w:sz w:val="14"/>
                <w:szCs w:val="14"/>
                <w:color w:val="auto"/>
              </w:rPr>
              <w:t>960,145</w:t>
            </w:r>
          </w:p>
        </w:tc>
        <w:tc>
          <w:tcPr>
            <w:tcW w:w="860" w:type="dxa"/>
            <w:vAlign w:val="bottom"/>
          </w:tcPr>
          <w:p>
            <w:pPr>
              <w:jc w:val="right"/>
              <w:ind w:right="28"/>
              <w:spacing w:after="0" w:line="147" w:lineRule="exact"/>
              <w:rPr>
                <w:sz w:val="20"/>
                <w:szCs w:val="20"/>
                <w:color w:val="auto"/>
              </w:rPr>
            </w:pPr>
            <w:r>
              <w:rPr>
                <w:rFonts w:ascii="Arial" w:cs="Arial" w:eastAsia="Arial" w:hAnsi="Arial"/>
                <w:sz w:val="14"/>
                <w:szCs w:val="14"/>
                <w:color w:val="auto"/>
              </w:rPr>
              <w:t>240,017</w:t>
            </w:r>
          </w:p>
        </w:tc>
        <w:tc>
          <w:tcPr>
            <w:tcW w:w="1200" w:type="dxa"/>
            <w:vAlign w:val="bottom"/>
          </w:tcPr>
          <w:p>
            <w:pPr>
              <w:jc w:val="right"/>
              <w:ind w:right="28"/>
              <w:spacing w:after="0" w:line="147" w:lineRule="exact"/>
              <w:rPr>
                <w:sz w:val="20"/>
                <w:szCs w:val="20"/>
                <w:color w:val="auto"/>
              </w:rPr>
            </w:pPr>
            <w:r>
              <w:rPr>
                <w:rFonts w:ascii="Arial" w:cs="Arial" w:eastAsia="Arial" w:hAnsi="Arial"/>
                <w:sz w:val="14"/>
                <w:szCs w:val="14"/>
                <w:color w:val="auto"/>
              </w:rPr>
              <w:t>522,648</w:t>
            </w:r>
          </w:p>
        </w:tc>
        <w:tc>
          <w:tcPr>
            <w:tcW w:w="1260" w:type="dxa"/>
            <w:vAlign w:val="bottom"/>
          </w:tcPr>
          <w:p>
            <w:pPr>
              <w:jc w:val="right"/>
              <w:ind w:right="68"/>
              <w:spacing w:after="0" w:line="147"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line="147" w:lineRule="exact"/>
              <w:rPr>
                <w:sz w:val="20"/>
                <w:szCs w:val="20"/>
                <w:color w:val="auto"/>
              </w:rPr>
            </w:pPr>
            <w:r>
              <w:rPr>
                <w:rFonts w:ascii="Arial" w:cs="Arial" w:eastAsia="Arial" w:hAnsi="Arial"/>
                <w:sz w:val="14"/>
                <w:szCs w:val="14"/>
                <w:color w:val="auto"/>
              </w:rPr>
              <w:t>83,271</w:t>
            </w:r>
          </w:p>
        </w:tc>
        <w:tc>
          <w:tcPr>
            <w:tcW w:w="880" w:type="dxa"/>
            <w:vAlign w:val="bottom"/>
          </w:tcPr>
          <w:p>
            <w:pPr>
              <w:jc w:val="right"/>
              <w:ind w:right="8"/>
              <w:spacing w:after="0" w:line="147" w:lineRule="exact"/>
              <w:rPr>
                <w:sz w:val="20"/>
                <w:szCs w:val="20"/>
                <w:color w:val="auto"/>
              </w:rPr>
            </w:pPr>
            <w:r>
              <w:rPr>
                <w:rFonts w:ascii="Arial" w:cs="Arial" w:eastAsia="Arial" w:hAnsi="Arial"/>
                <w:sz w:val="14"/>
                <w:szCs w:val="14"/>
                <w:color w:val="auto"/>
              </w:rPr>
              <w:t>2,366,081</w:t>
            </w:r>
          </w:p>
        </w:tc>
      </w:tr>
      <w:tr>
        <w:trPr>
          <w:trHeight w:val="162"/>
        </w:trPr>
        <w:tc>
          <w:tcPr>
            <w:tcW w:w="3000" w:type="dxa"/>
            <w:vAlign w:val="bottom"/>
          </w:tcPr>
          <w:p>
            <w:pPr>
              <w:ind w:left="220"/>
              <w:spacing w:after="0"/>
              <w:rPr>
                <w:sz w:val="20"/>
                <w:szCs w:val="20"/>
                <w:color w:val="auto"/>
              </w:rPr>
            </w:pPr>
            <w:r>
              <w:rPr>
                <w:rFonts w:ascii="Arial" w:cs="Arial" w:eastAsia="Arial" w:hAnsi="Arial"/>
                <w:sz w:val="14"/>
                <w:szCs w:val="14"/>
                <w:i w:val="1"/>
                <w:iCs w:val="1"/>
                <w:color w:val="auto"/>
              </w:rPr>
              <w:t>EVP, Global Strategy</w:t>
            </w:r>
          </w:p>
        </w:tc>
        <w:tc>
          <w:tcPr>
            <w:tcW w:w="620" w:type="dxa"/>
            <w:vAlign w:val="bottom"/>
          </w:tcPr>
          <w:p>
            <w:pPr>
              <w:ind w:left="180"/>
              <w:spacing w:after="0"/>
              <w:rPr>
                <w:sz w:val="20"/>
                <w:szCs w:val="20"/>
                <w:color w:val="auto"/>
              </w:rPr>
            </w:pPr>
            <w:r>
              <w:rPr>
                <w:rFonts w:ascii="Arial" w:cs="Arial" w:eastAsia="Arial" w:hAnsi="Arial"/>
                <w:sz w:val="14"/>
                <w:szCs w:val="14"/>
                <w:color w:val="auto"/>
              </w:rPr>
              <w:t>2015</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560,000</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960,123</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240,014</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580,000</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71,432</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2,411,569</w:t>
            </w:r>
          </w:p>
        </w:tc>
      </w:tr>
      <w:tr>
        <w:trPr>
          <w:trHeight w:val="171"/>
        </w:trPr>
        <w:tc>
          <w:tcPr>
            <w:tcW w:w="3000" w:type="dxa"/>
            <w:vAlign w:val="bottom"/>
            <w:tcBorders>
              <w:bottom w:val="single" w:sz="8" w:color="auto"/>
            </w:tcBorders>
          </w:tcPr>
          <w:p>
            <w:pPr>
              <w:ind w:left="220"/>
              <w:spacing w:after="0"/>
              <w:rPr>
                <w:sz w:val="20"/>
                <w:szCs w:val="20"/>
                <w:color w:val="auto"/>
              </w:rPr>
            </w:pPr>
            <w:r>
              <w:rPr>
                <w:rFonts w:ascii="Arial" w:cs="Arial" w:eastAsia="Arial" w:hAnsi="Arial"/>
                <w:sz w:val="14"/>
                <w:szCs w:val="14"/>
                <w:i w:val="1"/>
                <w:iCs w:val="1"/>
                <w:color w:val="auto"/>
              </w:rPr>
              <w:t>&amp; Talent</w:t>
            </w: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2014</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560,000</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1,460,097</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240,024</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653,632</w:t>
            </w: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65,284</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2,979,037</w:t>
            </w:r>
          </w:p>
        </w:tc>
      </w:tr>
      <w:tr>
        <w:trPr>
          <w:trHeight w:val="156"/>
        </w:trPr>
        <w:tc>
          <w:tcPr>
            <w:tcW w:w="3000" w:type="dxa"/>
            <w:vAlign w:val="bottom"/>
            <w:shd w:val="clear" w:color="auto" w:fill="E6EDF3"/>
          </w:tcPr>
          <w:p>
            <w:pPr>
              <w:ind w:left="80"/>
              <w:spacing w:after="0" w:line="155" w:lineRule="exact"/>
              <w:rPr>
                <w:sz w:val="20"/>
                <w:szCs w:val="20"/>
                <w:color w:val="auto"/>
              </w:rPr>
            </w:pPr>
            <w:r>
              <w:rPr>
                <w:rFonts w:ascii="Arial" w:cs="Arial" w:eastAsia="Arial" w:hAnsi="Arial"/>
                <w:sz w:val="14"/>
                <w:szCs w:val="14"/>
                <w:color w:val="auto"/>
              </w:rPr>
              <w:t>Michael J. Van Handel</w:t>
            </w:r>
          </w:p>
        </w:tc>
        <w:tc>
          <w:tcPr>
            <w:tcW w:w="620" w:type="dxa"/>
            <w:vAlign w:val="bottom"/>
            <w:shd w:val="clear" w:color="auto" w:fill="E6EDF3"/>
          </w:tcPr>
          <w:p>
            <w:pPr>
              <w:ind w:left="180"/>
              <w:spacing w:after="0" w:line="155" w:lineRule="exact"/>
              <w:rPr>
                <w:sz w:val="20"/>
                <w:szCs w:val="20"/>
                <w:color w:val="auto"/>
              </w:rPr>
            </w:pPr>
            <w:r>
              <w:rPr>
                <w:rFonts w:ascii="Arial" w:cs="Arial" w:eastAsia="Arial" w:hAnsi="Arial"/>
                <w:sz w:val="14"/>
                <w:szCs w:val="14"/>
                <w:color w:val="auto"/>
              </w:rPr>
              <w:t>2016</w:t>
            </w:r>
          </w:p>
        </w:tc>
        <w:tc>
          <w:tcPr>
            <w:tcW w:w="860" w:type="dxa"/>
            <w:vAlign w:val="bottom"/>
            <w:shd w:val="clear" w:color="auto" w:fill="E6EDF3"/>
          </w:tcPr>
          <w:p>
            <w:pPr>
              <w:jc w:val="right"/>
              <w:ind w:right="28"/>
              <w:spacing w:after="0" w:line="155" w:lineRule="exact"/>
              <w:rPr>
                <w:sz w:val="20"/>
                <w:szCs w:val="20"/>
                <w:color w:val="auto"/>
              </w:rPr>
            </w:pPr>
            <w:r>
              <w:rPr>
                <w:rFonts w:ascii="Arial" w:cs="Arial" w:eastAsia="Arial" w:hAnsi="Arial"/>
                <w:sz w:val="14"/>
                <w:szCs w:val="14"/>
                <w:color w:val="auto"/>
              </w:rPr>
              <w:t>660,000</w:t>
            </w:r>
          </w:p>
        </w:tc>
        <w:tc>
          <w:tcPr>
            <w:tcW w:w="680" w:type="dxa"/>
            <w:vAlign w:val="bottom"/>
            <w:shd w:val="clear" w:color="auto" w:fill="E6EDF3"/>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E6EDF3"/>
          </w:tcPr>
          <w:p>
            <w:pPr>
              <w:jc w:val="right"/>
              <w:ind w:right="48"/>
              <w:spacing w:after="0" w:line="155" w:lineRule="exact"/>
              <w:rPr>
                <w:sz w:val="20"/>
                <w:szCs w:val="20"/>
                <w:color w:val="auto"/>
              </w:rPr>
            </w:pPr>
            <w:r>
              <w:rPr>
                <w:rFonts w:ascii="Arial" w:cs="Arial" w:eastAsia="Arial" w:hAnsi="Arial"/>
                <w:sz w:val="14"/>
                <w:szCs w:val="14"/>
                <w:color w:val="auto"/>
              </w:rPr>
              <w:t>2,600,049</w:t>
            </w:r>
          </w:p>
        </w:tc>
        <w:tc>
          <w:tcPr>
            <w:tcW w:w="860" w:type="dxa"/>
            <w:vAlign w:val="bottom"/>
            <w:shd w:val="clear" w:color="auto" w:fill="E6EDF3"/>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200" w:type="dxa"/>
            <w:vAlign w:val="bottom"/>
            <w:shd w:val="clear" w:color="auto" w:fill="E6EDF3"/>
          </w:tcPr>
          <w:p>
            <w:pPr>
              <w:jc w:val="right"/>
              <w:ind w:right="28"/>
              <w:spacing w:after="0" w:line="155" w:lineRule="exact"/>
              <w:rPr>
                <w:sz w:val="20"/>
                <w:szCs w:val="20"/>
                <w:color w:val="auto"/>
              </w:rPr>
            </w:pPr>
            <w:r>
              <w:rPr>
                <w:rFonts w:ascii="Arial" w:cs="Arial" w:eastAsia="Arial" w:hAnsi="Arial"/>
                <w:sz w:val="14"/>
                <w:szCs w:val="14"/>
                <w:color w:val="auto"/>
              </w:rPr>
              <w:t>816,948</w:t>
            </w:r>
          </w:p>
        </w:tc>
        <w:tc>
          <w:tcPr>
            <w:tcW w:w="1260" w:type="dxa"/>
            <w:vAlign w:val="bottom"/>
            <w:shd w:val="clear" w:color="auto" w:fill="E6EDF3"/>
          </w:tcPr>
          <w:p>
            <w:pPr>
              <w:jc w:val="right"/>
              <w:ind w:right="68"/>
              <w:spacing w:after="0" w:line="155" w:lineRule="exact"/>
              <w:rPr>
                <w:sz w:val="20"/>
                <w:szCs w:val="20"/>
                <w:color w:val="auto"/>
              </w:rPr>
            </w:pPr>
            <w:r>
              <w:rPr>
                <w:rFonts w:ascii="Arial" w:cs="Arial" w:eastAsia="Arial" w:hAnsi="Arial"/>
                <w:sz w:val="14"/>
                <w:szCs w:val="14"/>
                <w:color w:val="auto"/>
              </w:rPr>
              <w:t>8,558</w:t>
            </w:r>
          </w:p>
        </w:tc>
        <w:tc>
          <w:tcPr>
            <w:tcW w:w="1200" w:type="dxa"/>
            <w:vAlign w:val="bottom"/>
            <w:shd w:val="clear" w:color="auto" w:fill="E6EDF3"/>
          </w:tcPr>
          <w:p>
            <w:pPr>
              <w:jc w:val="right"/>
              <w:ind w:right="28"/>
              <w:spacing w:after="0" w:line="155" w:lineRule="exact"/>
              <w:rPr>
                <w:sz w:val="20"/>
                <w:szCs w:val="20"/>
                <w:color w:val="auto"/>
              </w:rPr>
            </w:pPr>
            <w:r>
              <w:rPr>
                <w:rFonts w:ascii="Arial" w:cs="Arial" w:eastAsia="Arial" w:hAnsi="Arial"/>
                <w:sz w:val="14"/>
                <w:szCs w:val="14"/>
                <w:color w:val="auto"/>
              </w:rPr>
              <w:t>80,081</w:t>
            </w:r>
          </w:p>
        </w:tc>
        <w:tc>
          <w:tcPr>
            <w:tcW w:w="880" w:type="dxa"/>
            <w:vAlign w:val="bottom"/>
            <w:shd w:val="clear" w:color="auto" w:fill="E6EDF3"/>
          </w:tcPr>
          <w:p>
            <w:pPr>
              <w:jc w:val="right"/>
              <w:ind w:right="8"/>
              <w:spacing w:after="0" w:line="155" w:lineRule="exact"/>
              <w:rPr>
                <w:sz w:val="20"/>
                <w:szCs w:val="20"/>
                <w:color w:val="auto"/>
              </w:rPr>
            </w:pPr>
            <w:r>
              <w:rPr>
                <w:rFonts w:ascii="Arial" w:cs="Arial" w:eastAsia="Arial" w:hAnsi="Arial"/>
                <w:sz w:val="14"/>
                <w:szCs w:val="14"/>
                <w:color w:val="auto"/>
              </w:rPr>
              <w:t>4,165,636</w:t>
            </w:r>
          </w:p>
        </w:tc>
      </w:tr>
      <w:tr>
        <w:trPr>
          <w:trHeight w:val="162"/>
        </w:trPr>
        <w:tc>
          <w:tcPr>
            <w:tcW w:w="3000" w:type="dxa"/>
            <w:vAlign w:val="bottom"/>
            <w:shd w:val="clear" w:color="auto" w:fill="E6EDF3"/>
          </w:tcPr>
          <w:p>
            <w:pPr>
              <w:ind w:left="220"/>
              <w:spacing w:after="0"/>
              <w:rPr>
                <w:sz w:val="20"/>
                <w:szCs w:val="20"/>
                <w:color w:val="auto"/>
              </w:rPr>
            </w:pPr>
            <w:r>
              <w:rPr>
                <w:rFonts w:ascii="Arial" w:cs="Arial" w:eastAsia="Arial" w:hAnsi="Arial"/>
                <w:sz w:val="14"/>
                <w:szCs w:val="14"/>
                <w:i w:val="1"/>
                <w:iCs w:val="1"/>
                <w:color w:val="auto"/>
              </w:rPr>
              <w:t>Senior EVP and Former</w:t>
            </w:r>
          </w:p>
        </w:tc>
        <w:tc>
          <w:tcPr>
            <w:tcW w:w="620" w:type="dxa"/>
            <w:vAlign w:val="bottom"/>
            <w:shd w:val="clear" w:color="auto" w:fill="E6EDF3"/>
          </w:tcPr>
          <w:p>
            <w:pPr>
              <w:ind w:left="180"/>
              <w:spacing w:after="0"/>
              <w:rPr>
                <w:sz w:val="20"/>
                <w:szCs w:val="20"/>
                <w:color w:val="auto"/>
              </w:rPr>
            </w:pPr>
            <w:r>
              <w:rPr>
                <w:rFonts w:ascii="Arial" w:cs="Arial" w:eastAsia="Arial" w:hAnsi="Arial"/>
                <w:sz w:val="14"/>
                <w:szCs w:val="14"/>
                <w:color w:val="auto"/>
              </w:rPr>
              <w:t>2015</w:t>
            </w:r>
          </w:p>
        </w:tc>
        <w:tc>
          <w:tcPr>
            <w:tcW w:w="860" w:type="dxa"/>
            <w:vAlign w:val="bottom"/>
            <w:shd w:val="clear" w:color="auto" w:fill="E6EDF3"/>
          </w:tcPr>
          <w:p>
            <w:pPr>
              <w:jc w:val="right"/>
              <w:ind w:right="28"/>
              <w:spacing w:after="0"/>
              <w:rPr>
                <w:sz w:val="20"/>
                <w:szCs w:val="20"/>
                <w:color w:val="auto"/>
              </w:rPr>
            </w:pPr>
            <w:r>
              <w:rPr>
                <w:rFonts w:ascii="Arial" w:cs="Arial" w:eastAsia="Arial" w:hAnsi="Arial"/>
                <w:sz w:val="14"/>
                <w:szCs w:val="14"/>
                <w:color w:val="auto"/>
              </w:rPr>
              <w:t>660,000</w:t>
            </w:r>
          </w:p>
        </w:tc>
        <w:tc>
          <w:tcPr>
            <w:tcW w:w="680" w:type="dxa"/>
            <w:vAlign w:val="bottom"/>
            <w:shd w:val="clear" w:color="auto" w:fill="E6EDF3"/>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E6EDF3"/>
          </w:tcPr>
          <w:p>
            <w:pPr>
              <w:jc w:val="right"/>
              <w:ind w:right="48"/>
              <w:spacing w:after="0"/>
              <w:rPr>
                <w:sz w:val="20"/>
                <w:szCs w:val="20"/>
                <w:color w:val="auto"/>
              </w:rPr>
            </w:pPr>
            <w:r>
              <w:rPr>
                <w:rFonts w:ascii="Arial" w:cs="Arial" w:eastAsia="Arial" w:hAnsi="Arial"/>
                <w:sz w:val="14"/>
                <w:szCs w:val="14"/>
                <w:color w:val="auto"/>
              </w:rPr>
              <w:t>2,080,037</w:t>
            </w:r>
          </w:p>
        </w:tc>
        <w:tc>
          <w:tcPr>
            <w:tcW w:w="860" w:type="dxa"/>
            <w:vAlign w:val="bottom"/>
            <w:shd w:val="clear" w:color="auto" w:fill="E6EDF3"/>
          </w:tcPr>
          <w:p>
            <w:pPr>
              <w:jc w:val="right"/>
              <w:ind w:right="28"/>
              <w:spacing w:after="0"/>
              <w:rPr>
                <w:sz w:val="20"/>
                <w:szCs w:val="20"/>
                <w:color w:val="auto"/>
              </w:rPr>
            </w:pPr>
            <w:r>
              <w:rPr>
                <w:rFonts w:ascii="Arial" w:cs="Arial" w:eastAsia="Arial" w:hAnsi="Arial"/>
                <w:sz w:val="14"/>
                <w:szCs w:val="14"/>
                <w:color w:val="auto"/>
              </w:rPr>
              <w:t>520,013</w:t>
            </w:r>
          </w:p>
        </w:tc>
        <w:tc>
          <w:tcPr>
            <w:tcW w:w="1200" w:type="dxa"/>
            <w:vAlign w:val="bottom"/>
            <w:shd w:val="clear" w:color="auto" w:fill="E6EDF3"/>
          </w:tcPr>
          <w:p>
            <w:pPr>
              <w:jc w:val="right"/>
              <w:ind w:right="28"/>
              <w:spacing w:after="0"/>
              <w:rPr>
                <w:sz w:val="20"/>
                <w:szCs w:val="20"/>
                <w:color w:val="auto"/>
              </w:rPr>
            </w:pPr>
            <w:r>
              <w:rPr>
                <w:rFonts w:ascii="Arial" w:cs="Arial" w:eastAsia="Arial" w:hAnsi="Arial"/>
                <w:sz w:val="14"/>
                <w:szCs w:val="14"/>
                <w:color w:val="auto"/>
              </w:rPr>
              <w:t>920,000</w:t>
            </w:r>
          </w:p>
        </w:tc>
        <w:tc>
          <w:tcPr>
            <w:tcW w:w="1260" w:type="dxa"/>
            <w:vAlign w:val="bottom"/>
            <w:shd w:val="clear" w:color="auto" w:fill="E6EDF3"/>
          </w:tcPr>
          <w:p>
            <w:pPr>
              <w:jc w:val="right"/>
              <w:ind w:right="28"/>
              <w:spacing w:after="0"/>
              <w:rPr>
                <w:sz w:val="20"/>
                <w:szCs w:val="20"/>
                <w:color w:val="auto"/>
              </w:rPr>
            </w:pPr>
            <w:r>
              <w:rPr>
                <w:rFonts w:ascii="Arial" w:cs="Arial" w:eastAsia="Arial" w:hAnsi="Arial"/>
                <w:sz w:val="14"/>
                <w:szCs w:val="14"/>
                <w:color w:val="auto"/>
              </w:rPr>
              <w:t>(1,709)</w:t>
            </w:r>
          </w:p>
        </w:tc>
        <w:tc>
          <w:tcPr>
            <w:tcW w:w="1200" w:type="dxa"/>
            <w:vAlign w:val="bottom"/>
            <w:shd w:val="clear" w:color="auto" w:fill="E6EDF3"/>
          </w:tcPr>
          <w:p>
            <w:pPr>
              <w:jc w:val="right"/>
              <w:ind w:right="28"/>
              <w:spacing w:after="0"/>
              <w:rPr>
                <w:sz w:val="20"/>
                <w:szCs w:val="20"/>
                <w:color w:val="auto"/>
              </w:rPr>
            </w:pPr>
            <w:r>
              <w:rPr>
                <w:rFonts w:ascii="Arial" w:cs="Arial" w:eastAsia="Arial" w:hAnsi="Arial"/>
                <w:sz w:val="14"/>
                <w:szCs w:val="14"/>
                <w:color w:val="auto"/>
              </w:rPr>
              <w:t>74,820</w:t>
            </w:r>
          </w:p>
        </w:tc>
        <w:tc>
          <w:tcPr>
            <w:tcW w:w="880" w:type="dxa"/>
            <w:vAlign w:val="bottom"/>
            <w:shd w:val="clear" w:color="auto" w:fill="E6EDF3"/>
          </w:tcPr>
          <w:p>
            <w:pPr>
              <w:jc w:val="right"/>
              <w:ind w:right="8"/>
              <w:spacing w:after="0"/>
              <w:rPr>
                <w:sz w:val="20"/>
                <w:szCs w:val="20"/>
                <w:color w:val="auto"/>
              </w:rPr>
            </w:pPr>
            <w:r>
              <w:rPr>
                <w:rFonts w:ascii="Arial" w:cs="Arial" w:eastAsia="Arial" w:hAnsi="Arial"/>
                <w:sz w:val="14"/>
                <w:szCs w:val="14"/>
                <w:color w:val="auto"/>
              </w:rPr>
              <w:t>4,253,161</w:t>
            </w:r>
          </w:p>
        </w:tc>
      </w:tr>
      <w:tr>
        <w:trPr>
          <w:trHeight w:val="162"/>
        </w:trPr>
        <w:tc>
          <w:tcPr>
            <w:tcW w:w="3000" w:type="dxa"/>
            <w:vAlign w:val="bottom"/>
            <w:tcBorders>
              <w:bottom w:val="single" w:sz="8" w:color="auto"/>
            </w:tcBorders>
            <w:shd w:val="clear" w:color="auto" w:fill="E6EDF3"/>
          </w:tcPr>
          <w:p>
            <w:pPr>
              <w:ind w:left="220"/>
              <w:spacing w:after="0"/>
              <w:rPr>
                <w:sz w:val="20"/>
                <w:szCs w:val="20"/>
                <w:color w:val="auto"/>
              </w:rPr>
            </w:pPr>
            <w:r>
              <w:rPr>
                <w:rFonts w:ascii="Arial" w:cs="Arial" w:eastAsia="Arial" w:hAnsi="Arial"/>
                <w:sz w:val="14"/>
                <w:szCs w:val="14"/>
                <w:i w:val="1"/>
                <w:iCs w:val="1"/>
                <w:color w:val="auto"/>
              </w:rPr>
              <w:t>CFO</w:t>
            </w:r>
          </w:p>
        </w:tc>
        <w:tc>
          <w:tcPr>
            <w:tcW w:w="620" w:type="dxa"/>
            <w:vAlign w:val="bottom"/>
            <w:tcBorders>
              <w:bottom w:val="single" w:sz="8" w:color="auto"/>
            </w:tcBorders>
            <w:shd w:val="clear" w:color="auto" w:fill="E6EDF3"/>
          </w:tcPr>
          <w:p>
            <w:pPr>
              <w:ind w:left="180"/>
              <w:spacing w:after="0"/>
              <w:rPr>
                <w:sz w:val="20"/>
                <w:szCs w:val="20"/>
                <w:color w:val="auto"/>
              </w:rPr>
            </w:pPr>
            <w:r>
              <w:rPr>
                <w:rFonts w:ascii="Arial" w:cs="Arial" w:eastAsia="Arial" w:hAnsi="Arial"/>
                <w:sz w:val="14"/>
                <w:szCs w:val="14"/>
                <w:color w:val="auto"/>
              </w:rPr>
              <w:t>2014</w:t>
            </w:r>
          </w:p>
        </w:tc>
        <w:tc>
          <w:tcPr>
            <w:tcW w:w="860" w:type="dxa"/>
            <w:vAlign w:val="bottom"/>
            <w:tcBorders>
              <w:bottom w:val="single" w:sz="8" w:color="auto"/>
            </w:tcBorders>
            <w:shd w:val="clear" w:color="auto" w:fill="E6EDF3"/>
          </w:tcPr>
          <w:p>
            <w:pPr>
              <w:jc w:val="right"/>
              <w:ind w:right="28"/>
              <w:spacing w:after="0"/>
              <w:rPr>
                <w:sz w:val="20"/>
                <w:szCs w:val="20"/>
                <w:color w:val="auto"/>
              </w:rPr>
            </w:pPr>
            <w:r>
              <w:rPr>
                <w:rFonts w:ascii="Arial" w:cs="Arial" w:eastAsia="Arial" w:hAnsi="Arial"/>
                <w:sz w:val="14"/>
                <w:szCs w:val="14"/>
                <w:color w:val="auto"/>
              </w:rPr>
              <w:t>660,000</w:t>
            </w:r>
          </w:p>
        </w:tc>
        <w:tc>
          <w:tcPr>
            <w:tcW w:w="680" w:type="dxa"/>
            <w:vAlign w:val="bottom"/>
            <w:tcBorders>
              <w:bottom w:val="single" w:sz="8" w:color="auto"/>
            </w:tcBorders>
            <w:shd w:val="clear" w:color="auto" w:fill="E6EDF3"/>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E6EDF3"/>
          </w:tcPr>
          <w:p>
            <w:pPr>
              <w:jc w:val="right"/>
              <w:ind w:right="48"/>
              <w:spacing w:after="0"/>
              <w:rPr>
                <w:sz w:val="20"/>
                <w:szCs w:val="20"/>
                <w:color w:val="auto"/>
              </w:rPr>
            </w:pPr>
            <w:r>
              <w:rPr>
                <w:rFonts w:ascii="Arial" w:cs="Arial" w:eastAsia="Arial" w:hAnsi="Arial"/>
                <w:sz w:val="14"/>
                <w:szCs w:val="14"/>
                <w:color w:val="auto"/>
              </w:rPr>
              <w:t>2,080,100</w:t>
            </w:r>
          </w:p>
        </w:tc>
        <w:tc>
          <w:tcPr>
            <w:tcW w:w="860" w:type="dxa"/>
            <w:vAlign w:val="bottom"/>
            <w:tcBorders>
              <w:bottom w:val="single" w:sz="8" w:color="auto"/>
            </w:tcBorders>
            <w:shd w:val="clear" w:color="auto" w:fill="E6EDF3"/>
          </w:tcPr>
          <w:p>
            <w:pPr>
              <w:jc w:val="right"/>
              <w:ind w:right="28"/>
              <w:spacing w:after="0"/>
              <w:rPr>
                <w:sz w:val="20"/>
                <w:szCs w:val="20"/>
                <w:color w:val="auto"/>
              </w:rPr>
            </w:pPr>
            <w:r>
              <w:rPr>
                <w:rFonts w:ascii="Arial" w:cs="Arial" w:eastAsia="Arial" w:hAnsi="Arial"/>
                <w:sz w:val="14"/>
                <w:szCs w:val="14"/>
                <w:color w:val="auto"/>
              </w:rPr>
              <w:t>520,021</w:t>
            </w:r>
          </w:p>
        </w:tc>
        <w:tc>
          <w:tcPr>
            <w:tcW w:w="1200" w:type="dxa"/>
            <w:vAlign w:val="bottom"/>
            <w:tcBorders>
              <w:bottom w:val="single" w:sz="8" w:color="auto"/>
            </w:tcBorders>
            <w:shd w:val="clear" w:color="auto" w:fill="E6EDF3"/>
          </w:tcPr>
          <w:p>
            <w:pPr>
              <w:jc w:val="right"/>
              <w:ind w:right="28"/>
              <w:spacing w:after="0"/>
              <w:rPr>
                <w:sz w:val="20"/>
                <w:szCs w:val="20"/>
                <w:color w:val="auto"/>
              </w:rPr>
            </w:pPr>
            <w:r>
              <w:rPr>
                <w:rFonts w:ascii="Arial" w:cs="Arial" w:eastAsia="Arial" w:hAnsi="Arial"/>
                <w:sz w:val="14"/>
                <w:szCs w:val="14"/>
                <w:color w:val="auto"/>
              </w:rPr>
              <w:t>1,029,600</w:t>
            </w:r>
          </w:p>
        </w:tc>
        <w:tc>
          <w:tcPr>
            <w:tcW w:w="1260" w:type="dxa"/>
            <w:vAlign w:val="bottom"/>
            <w:tcBorders>
              <w:bottom w:val="single" w:sz="8" w:color="auto"/>
            </w:tcBorders>
            <w:shd w:val="clear" w:color="auto" w:fill="E6EDF3"/>
          </w:tcPr>
          <w:p>
            <w:pPr>
              <w:jc w:val="right"/>
              <w:ind w:right="68"/>
              <w:spacing w:after="0"/>
              <w:rPr>
                <w:sz w:val="20"/>
                <w:szCs w:val="20"/>
                <w:color w:val="auto"/>
              </w:rPr>
            </w:pPr>
            <w:r>
              <w:rPr>
                <w:rFonts w:ascii="Arial" w:cs="Arial" w:eastAsia="Arial" w:hAnsi="Arial"/>
                <w:sz w:val="14"/>
                <w:szCs w:val="14"/>
                <w:color w:val="auto"/>
              </w:rPr>
              <w:t>20,135</w:t>
            </w:r>
          </w:p>
        </w:tc>
        <w:tc>
          <w:tcPr>
            <w:tcW w:w="1200" w:type="dxa"/>
            <w:vAlign w:val="bottom"/>
            <w:tcBorders>
              <w:bottom w:val="single" w:sz="8" w:color="auto"/>
            </w:tcBorders>
            <w:shd w:val="clear" w:color="auto" w:fill="E6EDF3"/>
          </w:tcPr>
          <w:p>
            <w:pPr>
              <w:jc w:val="right"/>
              <w:ind w:right="28"/>
              <w:spacing w:after="0"/>
              <w:rPr>
                <w:sz w:val="20"/>
                <w:szCs w:val="20"/>
                <w:color w:val="auto"/>
              </w:rPr>
            </w:pPr>
            <w:r>
              <w:rPr>
                <w:rFonts w:ascii="Arial" w:cs="Arial" w:eastAsia="Arial" w:hAnsi="Arial"/>
                <w:sz w:val="14"/>
                <w:szCs w:val="14"/>
                <w:color w:val="auto"/>
              </w:rPr>
              <w:t>62,010</w:t>
            </w:r>
          </w:p>
        </w:tc>
        <w:tc>
          <w:tcPr>
            <w:tcW w:w="880" w:type="dxa"/>
            <w:vAlign w:val="bottom"/>
            <w:tcBorders>
              <w:bottom w:val="single" w:sz="8" w:color="auto"/>
            </w:tcBorders>
            <w:shd w:val="clear" w:color="auto" w:fill="E6EDF3"/>
          </w:tcPr>
          <w:p>
            <w:pPr>
              <w:jc w:val="right"/>
              <w:ind w:right="8"/>
              <w:spacing w:after="0"/>
              <w:rPr>
                <w:sz w:val="20"/>
                <w:szCs w:val="20"/>
                <w:color w:val="auto"/>
              </w:rPr>
            </w:pPr>
            <w:r>
              <w:rPr>
                <w:rFonts w:ascii="Arial" w:cs="Arial" w:eastAsia="Arial" w:hAnsi="Arial"/>
                <w:sz w:val="14"/>
                <w:szCs w:val="14"/>
                <w:color w:val="auto"/>
              </w:rPr>
              <w:t>4,371,866</w:t>
            </w:r>
          </w:p>
        </w:tc>
      </w:tr>
    </w:tbl>
    <w:p>
      <w:pPr>
        <w:spacing w:after="0" w:line="72" w:lineRule="exact"/>
        <w:rPr>
          <w:sz w:val="20"/>
          <w:szCs w:val="20"/>
          <w:color w:val="auto"/>
        </w:rPr>
      </w:pPr>
    </w:p>
    <w:p>
      <w:pPr>
        <w:jc w:val="both"/>
        <w:ind w:left="340" w:right="380" w:hanging="332"/>
        <w:spacing w:after="0" w:line="250" w:lineRule="auto"/>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value of stock awards in this table for all years includes the grant date fair value (calculated at the target level) for performance share units and restricted stock units (including career shares) as computed in accordance with Financial Accounting Standards Board (“FASB”) Accounting Standards Codification (“ASC”) Topic 718, “Stock Compensation.” See page 56 for the breakout in the grant date fair value of performance share units and restricted stock units.</w:t>
      </w:r>
    </w:p>
    <w:p>
      <w:pPr>
        <w:spacing w:after="0" w:line="50"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The grant date fair value of the 2016 performance share unit awards at the outstanding level for each executive officer was: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160" w:type="dxa"/>
            <w:vAlign w:val="bottom"/>
            <w:tcBorders>
              <w:top w:val="single" w:sz="8" w:color="auto"/>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Name</w:t>
            </w:r>
          </w:p>
        </w:tc>
        <w:tc>
          <w:tcPr>
            <w:tcW w:w="1260" w:type="dxa"/>
            <w:vAlign w:val="bottom"/>
            <w:tcBorders>
              <w:top w:val="single" w:sz="8" w:color="auto"/>
              <w:bottom w:val="single" w:sz="8" w:color="auto"/>
            </w:tcBorders>
            <w:shd w:val="clear" w:color="auto" w:fill="9DB8D2"/>
          </w:tcPr>
          <w:p>
            <w:pPr>
              <w:jc w:val="right"/>
              <w:ind w:right="340"/>
              <w:spacing w:after="0"/>
              <w:rPr>
                <w:sz w:val="20"/>
                <w:szCs w:val="20"/>
                <w:color w:val="auto"/>
              </w:rPr>
            </w:pPr>
            <w:r>
              <w:rPr>
                <w:rFonts w:ascii="Arial" w:cs="Arial" w:eastAsia="Arial" w:hAnsi="Arial"/>
                <w:sz w:val="14"/>
                <w:szCs w:val="14"/>
                <w:b w:val="1"/>
                <w:bCs w:val="1"/>
                <w:color w:val="auto"/>
              </w:rPr>
              <w:t>2016</w:t>
            </w:r>
          </w:p>
        </w:tc>
      </w:tr>
      <w:tr>
        <w:trPr>
          <w:trHeight w:val="183"/>
        </w:trPr>
        <w:tc>
          <w:tcPr>
            <w:tcW w:w="10160" w:type="dxa"/>
            <w:vAlign w:val="bottom"/>
          </w:tcPr>
          <w:p>
            <w:pPr>
              <w:ind w:left="80"/>
              <w:spacing w:after="0" w:line="183" w:lineRule="exact"/>
              <w:rPr>
                <w:sz w:val="20"/>
                <w:szCs w:val="20"/>
                <w:color w:val="auto"/>
              </w:rPr>
            </w:pPr>
            <w:r>
              <w:rPr>
                <w:rFonts w:ascii="Arial" w:cs="Arial" w:eastAsia="Arial" w:hAnsi="Arial"/>
                <w:sz w:val="16"/>
                <w:szCs w:val="16"/>
                <w:color w:val="auto"/>
              </w:rPr>
              <w:t>Jonas Prising</w:t>
            </w:r>
          </w:p>
        </w:tc>
        <w:tc>
          <w:tcPr>
            <w:tcW w:w="1260" w:type="dxa"/>
            <w:vAlign w:val="bottom"/>
          </w:tcPr>
          <w:p>
            <w:pPr>
              <w:jc w:val="right"/>
              <w:ind w:right="20"/>
              <w:spacing w:after="0" w:line="183" w:lineRule="exact"/>
              <w:rPr>
                <w:sz w:val="20"/>
                <w:szCs w:val="20"/>
                <w:color w:val="auto"/>
              </w:rPr>
            </w:pPr>
            <w:r>
              <w:rPr>
                <w:rFonts w:ascii="Arial" w:cs="Arial" w:eastAsia="Arial" w:hAnsi="Arial"/>
                <w:sz w:val="16"/>
                <w:szCs w:val="16"/>
                <w:color w:val="auto"/>
              </w:rPr>
              <w:t>$  9,000,142</w:t>
            </w:r>
          </w:p>
        </w:tc>
      </w:tr>
      <w:tr>
        <w:trPr>
          <w:trHeight w:val="189"/>
        </w:trPr>
        <w:tc>
          <w:tcPr>
            <w:tcW w:w="10160" w:type="dxa"/>
            <w:vAlign w:val="bottom"/>
            <w:shd w:val="clear" w:color="auto" w:fill="E6EDF3"/>
          </w:tcPr>
          <w:p>
            <w:pPr>
              <w:ind w:left="80"/>
              <w:spacing w:after="0"/>
              <w:rPr>
                <w:sz w:val="20"/>
                <w:szCs w:val="20"/>
                <w:color w:val="auto"/>
              </w:rPr>
            </w:pPr>
            <w:r>
              <w:rPr>
                <w:rFonts w:ascii="Arial" w:cs="Arial" w:eastAsia="Arial" w:hAnsi="Arial"/>
                <w:sz w:val="16"/>
                <w:szCs w:val="16"/>
                <w:color w:val="auto"/>
              </w:rPr>
              <w:t>John T. McGinnis</w:t>
            </w:r>
          </w:p>
        </w:tc>
        <w:tc>
          <w:tcPr>
            <w:tcW w:w="1260" w:type="dxa"/>
            <w:vAlign w:val="bottom"/>
            <w:shd w:val="clear" w:color="auto" w:fill="E6EDF3"/>
          </w:tcPr>
          <w:p>
            <w:pPr>
              <w:jc w:val="right"/>
              <w:ind w:right="20"/>
              <w:spacing w:after="0"/>
              <w:rPr>
                <w:sz w:val="20"/>
                <w:szCs w:val="20"/>
                <w:color w:val="auto"/>
              </w:rPr>
            </w:pPr>
            <w:r>
              <w:rPr>
                <w:rFonts w:ascii="Arial" w:cs="Arial" w:eastAsia="Arial" w:hAnsi="Arial"/>
                <w:sz w:val="16"/>
                <w:szCs w:val="16"/>
                <w:color w:val="auto"/>
              </w:rPr>
              <w:t>2,400,138</w:t>
            </w:r>
          </w:p>
        </w:tc>
      </w:tr>
      <w:tr>
        <w:trPr>
          <w:trHeight w:val="189"/>
        </w:trPr>
        <w:tc>
          <w:tcPr>
            <w:tcW w:w="10160" w:type="dxa"/>
            <w:vAlign w:val="bottom"/>
          </w:tcPr>
          <w:p>
            <w:pPr>
              <w:ind w:left="80"/>
              <w:spacing w:after="0"/>
              <w:rPr>
                <w:sz w:val="20"/>
                <w:szCs w:val="20"/>
                <w:color w:val="auto"/>
              </w:rPr>
            </w:pPr>
            <w:r>
              <w:rPr>
                <w:rFonts w:ascii="Arial" w:cs="Arial" w:eastAsia="Arial" w:hAnsi="Arial"/>
                <w:sz w:val="16"/>
                <w:szCs w:val="16"/>
                <w:color w:val="auto"/>
              </w:rPr>
              <w:t>Darryl Green</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4,200,016</w:t>
            </w:r>
          </w:p>
        </w:tc>
      </w:tr>
      <w:tr>
        <w:trPr>
          <w:trHeight w:val="189"/>
        </w:trPr>
        <w:tc>
          <w:tcPr>
            <w:tcW w:w="10160" w:type="dxa"/>
            <w:vAlign w:val="bottom"/>
            <w:shd w:val="clear" w:color="auto" w:fill="E6EDF3"/>
          </w:tcPr>
          <w:p>
            <w:pPr>
              <w:ind w:left="80"/>
              <w:spacing w:after="0"/>
              <w:rPr>
                <w:sz w:val="20"/>
                <w:szCs w:val="20"/>
                <w:color w:val="auto"/>
              </w:rPr>
            </w:pPr>
            <w:r>
              <w:rPr>
                <w:rFonts w:ascii="Arial" w:cs="Arial" w:eastAsia="Arial" w:hAnsi="Arial"/>
                <w:sz w:val="16"/>
                <w:szCs w:val="16"/>
                <w:color w:val="auto"/>
              </w:rPr>
              <w:t>Ram Chandrashekar</w:t>
            </w:r>
          </w:p>
        </w:tc>
        <w:tc>
          <w:tcPr>
            <w:tcW w:w="1260" w:type="dxa"/>
            <w:vAlign w:val="bottom"/>
            <w:shd w:val="clear" w:color="auto" w:fill="E6EDF3"/>
          </w:tcPr>
          <w:p>
            <w:pPr>
              <w:jc w:val="right"/>
              <w:ind w:right="20"/>
              <w:spacing w:after="0"/>
              <w:rPr>
                <w:sz w:val="20"/>
                <w:szCs w:val="20"/>
                <w:color w:val="auto"/>
              </w:rPr>
            </w:pPr>
            <w:r>
              <w:rPr>
                <w:rFonts w:ascii="Arial" w:cs="Arial" w:eastAsia="Arial" w:hAnsi="Arial"/>
                <w:sz w:val="16"/>
                <w:szCs w:val="16"/>
                <w:color w:val="auto"/>
              </w:rPr>
              <w:t>1,680,067</w:t>
            </w:r>
          </w:p>
        </w:tc>
      </w:tr>
      <w:tr>
        <w:trPr>
          <w:trHeight w:val="189"/>
        </w:trPr>
        <w:tc>
          <w:tcPr>
            <w:tcW w:w="10160" w:type="dxa"/>
            <w:vAlign w:val="bottom"/>
          </w:tcPr>
          <w:p>
            <w:pPr>
              <w:ind w:left="80"/>
              <w:spacing w:after="0"/>
              <w:rPr>
                <w:sz w:val="20"/>
                <w:szCs w:val="20"/>
                <w:color w:val="auto"/>
              </w:rPr>
            </w:pPr>
            <w:r>
              <w:rPr>
                <w:rFonts w:ascii="Arial" w:cs="Arial" w:eastAsia="Arial" w:hAnsi="Arial"/>
                <w:sz w:val="16"/>
                <w:szCs w:val="16"/>
                <w:color w:val="auto"/>
              </w:rPr>
              <w:t>Mara E. Swan</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1,440,143</w:t>
            </w:r>
          </w:p>
        </w:tc>
      </w:tr>
      <w:tr>
        <w:trPr>
          <w:trHeight w:val="189"/>
        </w:trPr>
        <w:tc>
          <w:tcPr>
            <w:tcW w:w="10160" w:type="dxa"/>
            <w:vAlign w:val="bottom"/>
            <w:tcBorders>
              <w:bottom w:val="single" w:sz="8" w:color="auto"/>
            </w:tcBorders>
            <w:shd w:val="clear" w:color="auto" w:fill="E6EDF3"/>
          </w:tcPr>
          <w:p>
            <w:pPr>
              <w:ind w:left="80"/>
              <w:spacing w:after="0"/>
              <w:rPr>
                <w:sz w:val="20"/>
                <w:szCs w:val="20"/>
                <w:color w:val="auto"/>
              </w:rPr>
            </w:pPr>
            <w:r>
              <w:rPr>
                <w:rFonts w:ascii="Arial" w:cs="Arial" w:eastAsia="Arial" w:hAnsi="Arial"/>
                <w:sz w:val="16"/>
                <w:szCs w:val="16"/>
                <w:color w:val="auto"/>
              </w:rPr>
              <w:t>Michael J. Van Handel</w:t>
            </w:r>
          </w:p>
        </w:tc>
        <w:tc>
          <w:tcPr>
            <w:tcW w:w="1260" w:type="dxa"/>
            <w:vAlign w:val="bottom"/>
            <w:tcBorders>
              <w:bottom w:val="single" w:sz="8" w:color="auto"/>
            </w:tcBorders>
            <w:shd w:val="clear" w:color="auto" w:fill="E6EDF3"/>
          </w:tcPr>
          <w:p>
            <w:pPr>
              <w:jc w:val="right"/>
              <w:ind w:right="20"/>
              <w:spacing w:after="0"/>
              <w:rPr>
                <w:sz w:val="20"/>
                <w:szCs w:val="20"/>
                <w:color w:val="auto"/>
              </w:rPr>
            </w:pPr>
            <w:r>
              <w:rPr>
                <w:rFonts w:ascii="Arial" w:cs="Arial" w:eastAsia="Arial" w:hAnsi="Arial"/>
                <w:sz w:val="16"/>
                <w:szCs w:val="16"/>
                <w:color w:val="auto"/>
              </w:rPr>
              <w:t>—</w:t>
            </w:r>
          </w:p>
        </w:tc>
      </w:tr>
    </w:tbl>
    <w:p>
      <w:pPr>
        <w:spacing w:after="0" w:line="126"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value of options in this table represents the grant date fair value of the stock options as computed in accordance with FASB ASC Topic 718.</w:t>
      </w:r>
    </w:p>
    <w:p>
      <w:pPr>
        <w:spacing w:after="0" w:line="68" w:lineRule="exact"/>
        <w:rPr>
          <w:rFonts w:ascii="Arial" w:cs="Arial" w:eastAsia="Arial" w:hAnsi="Arial"/>
          <w:sz w:val="14"/>
          <w:szCs w:val="14"/>
          <w:color w:val="auto"/>
        </w:rPr>
      </w:pPr>
    </w:p>
    <w:p>
      <w:pPr>
        <w:ind w:left="340" w:right="280" w:hanging="332"/>
        <w:spacing w:after="0" w:line="258"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Although the amount of benefits for each executive officer under the U.S. pension plans was frozen in 2000, the change in actuarial value is due to the change in actuarial assumptions from year to year, as calculated under the rules governing financial reporting for U.S. pension plans.</w:t>
      </w:r>
    </w:p>
    <w:p>
      <w:pPr>
        <w:spacing w:after="0" w:line="45" w:lineRule="exact"/>
        <w:rPr>
          <w:rFonts w:ascii="Arial" w:cs="Arial" w:eastAsia="Arial" w:hAnsi="Arial"/>
          <w:sz w:val="14"/>
          <w:szCs w:val="14"/>
          <w:color w:val="auto"/>
        </w:rPr>
      </w:pP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These amounts are described in further detail in the All Other Compensation in 2016 Table.</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54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9600"/>
        <w:spacing w:after="0"/>
        <w:rPr>
          <w:sz w:val="20"/>
          <w:szCs w:val="20"/>
          <w:color w:val="auto"/>
        </w:rPr>
      </w:pPr>
      <w:r>
        <w:rPr>
          <w:rFonts w:ascii="Arial" w:cs="Arial" w:eastAsia="Arial" w:hAnsi="Arial"/>
          <w:sz w:val="18"/>
          <w:szCs w:val="18"/>
          <w:color w:val="FFFFFF"/>
        </w:rPr>
        <w:t>Compensation Tables</w:t>
      </w:r>
    </w:p>
    <w:p>
      <w:pPr>
        <w:spacing w:after="0" w:line="244" w:lineRule="exact"/>
        <w:rPr>
          <w:sz w:val="20"/>
          <w:szCs w:val="20"/>
          <w:color w:val="auto"/>
        </w:rPr>
      </w:pPr>
    </w:p>
    <w:p>
      <w:pPr>
        <w:ind w:left="340" w:right="340" w:hanging="332"/>
        <w:spacing w:after="0" w:line="258" w:lineRule="auto"/>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Mr. McGinnis’ annual salary is $600,000. The amount in the Salary column represents the pro-rata annual salary for Mr. McGinnis based on his start date of February 15, 2016. His amount in the Non-Equity Incentive Plan Column was calculated based on his full annual salary.</w:t>
      </w:r>
    </w:p>
    <w:p>
      <w:pPr>
        <w:spacing w:after="0" w:line="45" w:lineRule="exact"/>
        <w:rPr>
          <w:rFonts w:ascii="Arial" w:cs="Arial" w:eastAsia="Arial" w:hAnsi="Arial"/>
          <w:sz w:val="14"/>
          <w:szCs w:val="14"/>
          <w:color w:val="auto"/>
        </w:rPr>
      </w:pPr>
    </w:p>
    <w:p>
      <w:pPr>
        <w:ind w:left="340" w:right="20" w:hanging="332"/>
        <w:spacing w:after="0" w:line="245" w:lineRule="auto"/>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Mr. Chandrashekar’s annual salary is 719,927 Singapore Dollars (“SGD”). Mr. Chandrashekar’s salary and incentive payment are paid in SGD. His salary has been translated at an exchange rate of 0.789017 (in U.S. Dollars), which was the exchange rate on February 11, 2014, the date Mr. Chandrashekar was promoted to Executive Vice President, Operational Excellence &amp; IT and President, Asia Pacific Middle East. The amount of all other compensation has been translated at an exchange rate of 0.6905 (in U.S. Dollars), the rate in effect on December 31, 2016. Based on the exchange rate of 0.6905 (in U.S. Dollars), as of December 31, 2016, Mr. Chandrashekar’s salary was $497,110 and incentive compensation was $323,966.</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All Other Compensation in 2016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480" w:type="dxa"/>
            <w:vAlign w:val="bottom"/>
            <w:tcBorders>
              <w:top w:val="single" w:sz="8" w:color="auto"/>
            </w:tcBorders>
            <w:shd w:val="clear" w:color="auto" w:fill="9DB8D2"/>
          </w:tcPr>
          <w:p>
            <w:pPr>
              <w:spacing w:after="0"/>
              <w:rPr>
                <w:sz w:val="22"/>
                <w:szCs w:val="22"/>
                <w:color w:val="auto"/>
              </w:rPr>
            </w:pPr>
          </w:p>
        </w:tc>
        <w:tc>
          <w:tcPr>
            <w:tcW w:w="1780" w:type="dxa"/>
            <w:vAlign w:val="bottom"/>
            <w:tcBorders>
              <w:top w:val="single" w:sz="8" w:color="auto"/>
            </w:tcBorders>
            <w:shd w:val="clear" w:color="auto" w:fill="9DB8D2"/>
          </w:tcPr>
          <w:p>
            <w:pPr>
              <w:spacing w:after="0"/>
              <w:rPr>
                <w:sz w:val="22"/>
                <w:szCs w:val="22"/>
                <w:color w:val="auto"/>
              </w:rPr>
            </w:pPr>
          </w:p>
        </w:tc>
        <w:tc>
          <w:tcPr>
            <w:tcW w:w="1920" w:type="dxa"/>
            <w:vAlign w:val="bottom"/>
            <w:tcBorders>
              <w:top w:val="single" w:sz="8" w:color="auto"/>
            </w:tcBorders>
            <w:shd w:val="clear" w:color="auto" w:fill="9DB8D2"/>
          </w:tcPr>
          <w:p>
            <w:pPr>
              <w:spacing w:after="0"/>
              <w:rPr>
                <w:sz w:val="22"/>
                <w:szCs w:val="22"/>
                <w:color w:val="auto"/>
              </w:rPr>
            </w:pPr>
          </w:p>
        </w:tc>
        <w:tc>
          <w:tcPr>
            <w:tcW w:w="138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Payments/</w:t>
            </w:r>
          </w:p>
        </w:tc>
        <w:tc>
          <w:tcPr>
            <w:tcW w:w="1460" w:type="dxa"/>
            <w:vAlign w:val="bottom"/>
            <w:tcBorders>
              <w:top w:val="single" w:sz="8" w:color="auto"/>
            </w:tcBorders>
            <w:shd w:val="clear" w:color="auto" w:fill="9DB8D2"/>
          </w:tcPr>
          <w:p>
            <w:pPr>
              <w:jc w:val="center"/>
              <w:ind w:left="3"/>
              <w:spacing w:after="0"/>
              <w:rPr>
                <w:sz w:val="20"/>
                <w:szCs w:val="20"/>
                <w:color w:val="auto"/>
              </w:rPr>
            </w:pPr>
            <w:r>
              <w:rPr>
                <w:rFonts w:ascii="Arial" w:cs="Arial" w:eastAsia="Arial" w:hAnsi="Arial"/>
                <w:sz w:val="14"/>
                <w:szCs w:val="14"/>
                <w:b w:val="1"/>
                <w:bCs w:val="1"/>
                <w:color w:val="auto"/>
              </w:rPr>
              <w:t>Company</w:t>
            </w:r>
          </w:p>
        </w:tc>
        <w:tc>
          <w:tcPr>
            <w:tcW w:w="1400" w:type="dxa"/>
            <w:vAlign w:val="bottom"/>
            <w:tcBorders>
              <w:top w:val="single" w:sz="8" w:color="auto"/>
            </w:tcBorders>
            <w:shd w:val="clear" w:color="auto" w:fill="9DB8D2"/>
          </w:tcPr>
          <w:p>
            <w:pPr>
              <w:spacing w:after="0"/>
              <w:rPr>
                <w:sz w:val="22"/>
                <w:szCs w:val="22"/>
                <w:color w:val="auto"/>
              </w:rPr>
            </w:pPr>
          </w:p>
        </w:tc>
      </w:tr>
      <w:tr>
        <w:trPr>
          <w:trHeight w:val="162"/>
        </w:trPr>
        <w:tc>
          <w:tcPr>
            <w:tcW w:w="3480" w:type="dxa"/>
            <w:vAlign w:val="bottom"/>
            <w:shd w:val="clear" w:color="auto" w:fill="9DB8D2"/>
          </w:tcPr>
          <w:p>
            <w:pPr>
              <w:spacing w:after="0"/>
              <w:rPr>
                <w:sz w:val="14"/>
                <w:szCs w:val="14"/>
                <w:color w:val="auto"/>
              </w:rPr>
            </w:pPr>
          </w:p>
        </w:tc>
        <w:tc>
          <w:tcPr>
            <w:tcW w:w="17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Perquisites</w:t>
            </w:r>
          </w:p>
        </w:tc>
        <w:tc>
          <w:tcPr>
            <w:tcW w:w="1920" w:type="dxa"/>
            <w:vAlign w:val="bottom"/>
            <w:shd w:val="clear" w:color="auto" w:fill="9DB8D2"/>
          </w:tcPr>
          <w:p>
            <w:pPr>
              <w:spacing w:after="0"/>
              <w:rPr>
                <w:sz w:val="14"/>
                <w:szCs w:val="14"/>
                <w:color w:val="auto"/>
              </w:rPr>
            </w:pPr>
          </w:p>
        </w:tc>
        <w:tc>
          <w:tcPr>
            <w:tcW w:w="13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Accruals</w:t>
            </w:r>
          </w:p>
        </w:tc>
        <w:tc>
          <w:tcPr>
            <w:tcW w:w="1460" w:type="dxa"/>
            <w:vAlign w:val="bottom"/>
            <w:shd w:val="clear" w:color="auto" w:fill="9DB8D2"/>
          </w:tcPr>
          <w:p>
            <w:pPr>
              <w:jc w:val="center"/>
              <w:ind w:left="3"/>
              <w:spacing w:after="0"/>
              <w:rPr>
                <w:sz w:val="20"/>
                <w:szCs w:val="20"/>
                <w:color w:val="auto"/>
              </w:rPr>
            </w:pPr>
            <w:r>
              <w:rPr>
                <w:rFonts w:ascii="Arial" w:cs="Arial" w:eastAsia="Arial" w:hAnsi="Arial"/>
                <w:sz w:val="14"/>
                <w:szCs w:val="14"/>
                <w:b w:val="1"/>
                <w:bCs w:val="1"/>
                <w:color w:val="auto"/>
              </w:rPr>
              <w:t>Contributions</w:t>
            </w:r>
          </w:p>
        </w:tc>
        <w:tc>
          <w:tcPr>
            <w:tcW w:w="1400" w:type="dxa"/>
            <w:vAlign w:val="bottom"/>
            <w:shd w:val="clear" w:color="auto" w:fill="9DB8D2"/>
          </w:tcPr>
          <w:p>
            <w:pPr>
              <w:spacing w:after="0"/>
              <w:rPr>
                <w:sz w:val="14"/>
                <w:szCs w:val="14"/>
                <w:color w:val="auto"/>
              </w:rPr>
            </w:pPr>
          </w:p>
        </w:tc>
      </w:tr>
      <w:tr>
        <w:trPr>
          <w:trHeight w:val="162"/>
        </w:trPr>
        <w:tc>
          <w:tcPr>
            <w:tcW w:w="3480" w:type="dxa"/>
            <w:vAlign w:val="bottom"/>
            <w:shd w:val="clear" w:color="auto" w:fill="9DB8D2"/>
          </w:tcPr>
          <w:p>
            <w:pPr>
              <w:spacing w:after="0"/>
              <w:rPr>
                <w:sz w:val="14"/>
                <w:szCs w:val="14"/>
                <w:color w:val="auto"/>
              </w:rPr>
            </w:pPr>
          </w:p>
        </w:tc>
        <w:tc>
          <w:tcPr>
            <w:tcW w:w="17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&amp; Other</w:t>
            </w:r>
          </w:p>
        </w:tc>
        <w:tc>
          <w:tcPr>
            <w:tcW w:w="1920" w:type="dxa"/>
            <w:vAlign w:val="bottom"/>
            <w:shd w:val="clear" w:color="auto" w:fill="9DB8D2"/>
          </w:tcPr>
          <w:p>
            <w:pPr>
              <w:spacing w:after="0"/>
              <w:rPr>
                <w:sz w:val="14"/>
                <w:szCs w:val="14"/>
                <w:color w:val="auto"/>
              </w:rPr>
            </w:pPr>
          </w:p>
        </w:tc>
        <w:tc>
          <w:tcPr>
            <w:tcW w:w="13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3"/>
              </w:rPr>
              <w:t>on</w:t>
            </w:r>
          </w:p>
        </w:tc>
        <w:tc>
          <w:tcPr>
            <w:tcW w:w="1460" w:type="dxa"/>
            <w:vAlign w:val="bottom"/>
            <w:shd w:val="clear" w:color="auto" w:fill="9DB8D2"/>
          </w:tcPr>
          <w:p>
            <w:pPr>
              <w:jc w:val="center"/>
              <w:ind w:left="3"/>
              <w:spacing w:after="0"/>
              <w:rPr>
                <w:sz w:val="20"/>
                <w:szCs w:val="20"/>
                <w:color w:val="auto"/>
              </w:rPr>
            </w:pPr>
            <w:r>
              <w:rPr>
                <w:rFonts w:ascii="Arial" w:cs="Arial" w:eastAsia="Arial" w:hAnsi="Arial"/>
                <w:sz w:val="14"/>
                <w:szCs w:val="14"/>
                <w:b w:val="1"/>
                <w:bCs w:val="1"/>
                <w:color w:val="auto"/>
              </w:rPr>
              <w:t>to Defined</w:t>
            </w:r>
          </w:p>
        </w:tc>
        <w:tc>
          <w:tcPr>
            <w:tcW w:w="1400" w:type="dxa"/>
            <w:vAlign w:val="bottom"/>
            <w:shd w:val="clear" w:color="auto" w:fill="9DB8D2"/>
          </w:tcPr>
          <w:p>
            <w:pPr>
              <w:spacing w:after="0"/>
              <w:rPr>
                <w:sz w:val="14"/>
                <w:szCs w:val="14"/>
                <w:color w:val="auto"/>
              </w:rPr>
            </w:pPr>
          </w:p>
        </w:tc>
      </w:tr>
      <w:tr>
        <w:trPr>
          <w:trHeight w:val="162"/>
        </w:trPr>
        <w:tc>
          <w:tcPr>
            <w:tcW w:w="3480" w:type="dxa"/>
            <w:vAlign w:val="bottom"/>
            <w:shd w:val="clear" w:color="auto" w:fill="9DB8D2"/>
          </w:tcPr>
          <w:p>
            <w:pPr>
              <w:spacing w:after="0"/>
              <w:rPr>
                <w:sz w:val="14"/>
                <w:szCs w:val="14"/>
                <w:color w:val="auto"/>
              </w:rPr>
            </w:pPr>
          </w:p>
        </w:tc>
        <w:tc>
          <w:tcPr>
            <w:tcW w:w="17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Personal</w:t>
            </w:r>
          </w:p>
        </w:tc>
        <w:tc>
          <w:tcPr>
            <w:tcW w:w="1920" w:type="dxa"/>
            <w:vAlign w:val="bottom"/>
            <w:shd w:val="clear" w:color="auto" w:fill="9DB8D2"/>
          </w:tcPr>
          <w:p>
            <w:pPr>
              <w:jc w:val="center"/>
              <w:ind w:right="122"/>
              <w:spacing w:after="0"/>
              <w:rPr>
                <w:sz w:val="20"/>
                <w:szCs w:val="20"/>
                <w:color w:val="auto"/>
              </w:rPr>
            </w:pPr>
            <w:r>
              <w:rPr>
                <w:rFonts w:ascii="Arial" w:cs="Arial" w:eastAsia="Arial" w:hAnsi="Arial"/>
                <w:sz w:val="14"/>
                <w:szCs w:val="14"/>
                <w:b w:val="1"/>
                <w:bCs w:val="1"/>
                <w:color w:val="auto"/>
                <w:w w:val="99"/>
              </w:rPr>
              <w:t>Tax</w:t>
            </w:r>
          </w:p>
        </w:tc>
        <w:tc>
          <w:tcPr>
            <w:tcW w:w="1380" w:type="dxa"/>
            <w:vAlign w:val="bottom"/>
            <w:shd w:val="clear" w:color="auto" w:fill="9DB8D2"/>
          </w:tcPr>
          <w:p>
            <w:pPr>
              <w:jc w:val="right"/>
              <w:ind w:right="223"/>
              <w:spacing w:after="0"/>
              <w:rPr>
                <w:sz w:val="20"/>
                <w:szCs w:val="20"/>
                <w:color w:val="auto"/>
              </w:rPr>
            </w:pPr>
            <w:r>
              <w:rPr>
                <w:rFonts w:ascii="Arial" w:cs="Arial" w:eastAsia="Arial" w:hAnsi="Arial"/>
                <w:sz w:val="14"/>
                <w:szCs w:val="14"/>
                <w:b w:val="1"/>
                <w:bCs w:val="1"/>
                <w:color w:val="auto"/>
              </w:rPr>
              <w:t>Termination</w:t>
            </w:r>
          </w:p>
        </w:tc>
        <w:tc>
          <w:tcPr>
            <w:tcW w:w="1460" w:type="dxa"/>
            <w:vAlign w:val="bottom"/>
            <w:shd w:val="clear" w:color="auto" w:fill="9DB8D2"/>
          </w:tcPr>
          <w:p>
            <w:pPr>
              <w:jc w:val="center"/>
              <w:ind w:left="3"/>
              <w:spacing w:after="0"/>
              <w:rPr>
                <w:sz w:val="20"/>
                <w:szCs w:val="20"/>
                <w:color w:val="auto"/>
              </w:rPr>
            </w:pPr>
            <w:r>
              <w:rPr>
                <w:rFonts w:ascii="Arial" w:cs="Arial" w:eastAsia="Arial" w:hAnsi="Arial"/>
                <w:sz w:val="14"/>
                <w:szCs w:val="14"/>
                <w:b w:val="1"/>
                <w:bCs w:val="1"/>
                <w:color w:val="auto"/>
              </w:rPr>
              <w:t>Contribution</w:t>
            </w:r>
          </w:p>
        </w:tc>
        <w:tc>
          <w:tcPr>
            <w:tcW w:w="1400" w:type="dxa"/>
            <w:vAlign w:val="bottom"/>
            <w:shd w:val="clear" w:color="auto" w:fill="9DB8D2"/>
          </w:tcPr>
          <w:p>
            <w:pPr>
              <w:jc w:val="center"/>
              <w:ind w:left="2"/>
              <w:spacing w:after="0"/>
              <w:rPr>
                <w:sz w:val="20"/>
                <w:szCs w:val="20"/>
                <w:color w:val="auto"/>
              </w:rPr>
            </w:pPr>
            <w:r>
              <w:rPr>
                <w:rFonts w:ascii="Arial" w:cs="Arial" w:eastAsia="Arial" w:hAnsi="Arial"/>
                <w:sz w:val="14"/>
                <w:szCs w:val="14"/>
                <w:b w:val="1"/>
                <w:bCs w:val="1"/>
                <w:color w:val="auto"/>
              </w:rPr>
              <w:t>Total Other</w:t>
            </w:r>
          </w:p>
        </w:tc>
      </w:tr>
      <w:tr>
        <w:trPr>
          <w:trHeight w:val="162"/>
        </w:trPr>
        <w:tc>
          <w:tcPr>
            <w:tcW w:w="3480" w:type="dxa"/>
            <w:vAlign w:val="bottom"/>
            <w:shd w:val="clear" w:color="auto" w:fill="9DB8D2"/>
          </w:tcPr>
          <w:p>
            <w:pPr>
              <w:spacing w:after="0"/>
              <w:rPr>
                <w:sz w:val="14"/>
                <w:szCs w:val="14"/>
                <w:color w:val="auto"/>
              </w:rPr>
            </w:pPr>
          </w:p>
        </w:tc>
        <w:tc>
          <w:tcPr>
            <w:tcW w:w="17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Benefits</w:t>
            </w:r>
          </w:p>
        </w:tc>
        <w:tc>
          <w:tcPr>
            <w:tcW w:w="1920" w:type="dxa"/>
            <w:vAlign w:val="bottom"/>
            <w:shd w:val="clear" w:color="auto" w:fill="9DB8D2"/>
          </w:tcPr>
          <w:p>
            <w:pPr>
              <w:jc w:val="center"/>
              <w:ind w:right="122"/>
              <w:spacing w:after="0"/>
              <w:rPr>
                <w:sz w:val="20"/>
                <w:szCs w:val="20"/>
                <w:color w:val="auto"/>
              </w:rPr>
            </w:pPr>
            <w:r>
              <w:rPr>
                <w:rFonts w:ascii="Arial" w:cs="Arial" w:eastAsia="Arial" w:hAnsi="Arial"/>
                <w:sz w:val="14"/>
                <w:szCs w:val="14"/>
                <w:b w:val="1"/>
                <w:bCs w:val="1"/>
                <w:color w:val="auto"/>
              </w:rPr>
              <w:t>Reimbursements</w:t>
            </w:r>
          </w:p>
        </w:tc>
        <w:tc>
          <w:tcPr>
            <w:tcW w:w="13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Plans</w:t>
            </w:r>
          </w:p>
        </w:tc>
        <w:tc>
          <w:tcPr>
            <w:tcW w:w="1460" w:type="dxa"/>
            <w:vAlign w:val="bottom"/>
            <w:shd w:val="clear" w:color="auto" w:fill="9DB8D2"/>
          </w:tcPr>
          <w:p>
            <w:pPr>
              <w:jc w:val="center"/>
              <w:ind w:left="3"/>
              <w:spacing w:after="0"/>
              <w:rPr>
                <w:sz w:val="20"/>
                <w:szCs w:val="20"/>
                <w:color w:val="auto"/>
              </w:rPr>
            </w:pPr>
            <w:r>
              <w:rPr>
                <w:rFonts w:ascii="Arial" w:cs="Arial" w:eastAsia="Arial" w:hAnsi="Arial"/>
                <w:sz w:val="14"/>
                <w:szCs w:val="14"/>
                <w:b w:val="1"/>
                <w:bCs w:val="1"/>
                <w:color w:val="auto"/>
              </w:rPr>
              <w:t>Plans</w:t>
            </w:r>
          </w:p>
        </w:tc>
        <w:tc>
          <w:tcPr>
            <w:tcW w:w="1400" w:type="dxa"/>
            <w:vAlign w:val="bottom"/>
            <w:shd w:val="clear" w:color="auto" w:fill="9DB8D2"/>
          </w:tcPr>
          <w:p>
            <w:pPr>
              <w:jc w:val="center"/>
              <w:ind w:left="2"/>
              <w:spacing w:after="0"/>
              <w:rPr>
                <w:sz w:val="20"/>
                <w:szCs w:val="20"/>
                <w:color w:val="auto"/>
              </w:rPr>
            </w:pPr>
            <w:r>
              <w:rPr>
                <w:rFonts w:ascii="Arial" w:cs="Arial" w:eastAsia="Arial" w:hAnsi="Arial"/>
                <w:sz w:val="14"/>
                <w:szCs w:val="14"/>
                <w:b w:val="1"/>
                <w:bCs w:val="1"/>
                <w:color w:val="auto"/>
              </w:rPr>
              <w:t>Compensation</w:t>
            </w:r>
          </w:p>
        </w:tc>
      </w:tr>
      <w:tr>
        <w:trPr>
          <w:trHeight w:val="189"/>
        </w:trPr>
        <w:tc>
          <w:tcPr>
            <w:tcW w:w="348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Name &amp; Principal Position</w:t>
            </w:r>
          </w:p>
        </w:tc>
        <w:tc>
          <w:tcPr>
            <w:tcW w:w="17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($)(1)</w:t>
            </w:r>
          </w:p>
        </w:tc>
        <w:tc>
          <w:tcPr>
            <w:tcW w:w="1920" w:type="dxa"/>
            <w:vAlign w:val="bottom"/>
            <w:tcBorders>
              <w:bottom w:val="single" w:sz="8" w:color="auto"/>
            </w:tcBorders>
            <w:shd w:val="clear" w:color="auto" w:fill="9DB8D2"/>
          </w:tcPr>
          <w:p>
            <w:pPr>
              <w:jc w:val="center"/>
              <w:ind w:right="122"/>
              <w:spacing w:after="0"/>
              <w:rPr>
                <w:sz w:val="20"/>
                <w:szCs w:val="20"/>
                <w:color w:val="auto"/>
              </w:rPr>
            </w:pPr>
            <w:r>
              <w:rPr>
                <w:rFonts w:ascii="Arial" w:cs="Arial" w:eastAsia="Arial" w:hAnsi="Arial"/>
                <w:sz w:val="14"/>
                <w:szCs w:val="14"/>
                <w:b w:val="1"/>
                <w:bCs w:val="1"/>
                <w:color w:val="auto"/>
              </w:rPr>
              <w:t>($)(2)</w:t>
            </w:r>
          </w:p>
        </w:tc>
        <w:tc>
          <w:tcPr>
            <w:tcW w:w="13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w w:val="93"/>
              </w:rPr>
              <w:t>($)</w:t>
            </w:r>
          </w:p>
        </w:tc>
        <w:tc>
          <w:tcPr>
            <w:tcW w:w="1460" w:type="dxa"/>
            <w:vAlign w:val="bottom"/>
            <w:tcBorders>
              <w:bottom w:val="single" w:sz="8" w:color="auto"/>
            </w:tcBorders>
            <w:shd w:val="clear" w:color="auto" w:fill="9DB8D2"/>
          </w:tcPr>
          <w:p>
            <w:pPr>
              <w:jc w:val="center"/>
              <w:ind w:left="3"/>
              <w:spacing w:after="0"/>
              <w:rPr>
                <w:sz w:val="20"/>
                <w:szCs w:val="20"/>
                <w:color w:val="auto"/>
              </w:rPr>
            </w:pPr>
            <w:r>
              <w:rPr>
                <w:rFonts w:ascii="Arial" w:cs="Arial" w:eastAsia="Arial" w:hAnsi="Arial"/>
                <w:sz w:val="14"/>
                <w:szCs w:val="14"/>
                <w:b w:val="1"/>
                <w:bCs w:val="1"/>
                <w:color w:val="auto"/>
                <w:w w:val="99"/>
              </w:rPr>
              <w:t>($)(3)</w:t>
            </w:r>
          </w:p>
        </w:tc>
        <w:tc>
          <w:tcPr>
            <w:tcW w:w="14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w:t>
            </w:r>
          </w:p>
        </w:tc>
      </w:tr>
      <w:tr>
        <w:trPr>
          <w:trHeight w:val="168"/>
        </w:trPr>
        <w:tc>
          <w:tcPr>
            <w:tcW w:w="3480" w:type="dxa"/>
            <w:vAlign w:val="bottom"/>
            <w:shd w:val="clear" w:color="auto" w:fill="E6EDF3"/>
          </w:tcPr>
          <w:p>
            <w:pPr>
              <w:ind w:left="80"/>
              <w:spacing w:after="0" w:line="168" w:lineRule="exact"/>
              <w:rPr>
                <w:sz w:val="20"/>
                <w:szCs w:val="20"/>
                <w:color w:val="auto"/>
              </w:rPr>
            </w:pPr>
            <w:r>
              <w:rPr>
                <w:rFonts w:ascii="Arial" w:cs="Arial" w:eastAsia="Arial" w:hAnsi="Arial"/>
                <w:sz w:val="16"/>
                <w:szCs w:val="16"/>
                <w:color w:val="auto"/>
              </w:rPr>
              <w:t>Jonas Prising</w:t>
            </w:r>
          </w:p>
        </w:tc>
        <w:tc>
          <w:tcPr>
            <w:tcW w:w="1780" w:type="dxa"/>
            <w:vAlign w:val="bottom"/>
            <w:shd w:val="clear" w:color="auto" w:fill="E6EDF3"/>
          </w:tcPr>
          <w:p>
            <w:pPr>
              <w:jc w:val="right"/>
              <w:ind w:right="403"/>
              <w:spacing w:after="0" w:line="168" w:lineRule="exact"/>
              <w:rPr>
                <w:sz w:val="20"/>
                <w:szCs w:val="20"/>
                <w:color w:val="auto"/>
              </w:rPr>
            </w:pPr>
            <w:r>
              <w:rPr>
                <w:rFonts w:ascii="Arial" w:cs="Arial" w:eastAsia="Arial" w:hAnsi="Arial"/>
                <w:sz w:val="16"/>
                <w:szCs w:val="16"/>
                <w:color w:val="auto"/>
              </w:rPr>
              <w:t>14,510</w:t>
            </w:r>
          </w:p>
        </w:tc>
        <w:tc>
          <w:tcPr>
            <w:tcW w:w="1920" w:type="dxa"/>
            <w:vAlign w:val="bottom"/>
            <w:shd w:val="clear" w:color="auto" w:fill="E6EDF3"/>
          </w:tcPr>
          <w:p>
            <w:pPr>
              <w:jc w:val="right"/>
              <w:ind w:right="402"/>
              <w:spacing w:after="0" w:line="168" w:lineRule="exact"/>
              <w:rPr>
                <w:sz w:val="20"/>
                <w:szCs w:val="20"/>
                <w:color w:val="auto"/>
              </w:rPr>
            </w:pPr>
            <w:r>
              <w:rPr>
                <w:rFonts w:ascii="Arial" w:cs="Arial" w:eastAsia="Arial" w:hAnsi="Arial"/>
                <w:sz w:val="16"/>
                <w:szCs w:val="16"/>
                <w:color w:val="auto"/>
              </w:rPr>
              <w:t>—</w:t>
            </w:r>
          </w:p>
        </w:tc>
        <w:tc>
          <w:tcPr>
            <w:tcW w:w="1380" w:type="dxa"/>
            <w:vAlign w:val="bottom"/>
            <w:shd w:val="clear" w:color="auto" w:fill="E6EDF3"/>
          </w:tcPr>
          <w:p>
            <w:pPr>
              <w:jc w:val="right"/>
              <w:ind w:right="203"/>
              <w:spacing w:after="0" w:line="168" w:lineRule="exact"/>
              <w:rPr>
                <w:sz w:val="20"/>
                <w:szCs w:val="20"/>
                <w:color w:val="auto"/>
              </w:rPr>
            </w:pPr>
            <w:r>
              <w:rPr>
                <w:rFonts w:ascii="Arial" w:cs="Arial" w:eastAsia="Arial" w:hAnsi="Arial"/>
                <w:sz w:val="16"/>
                <w:szCs w:val="16"/>
                <w:color w:val="auto"/>
              </w:rPr>
              <w:t>—</w:t>
            </w:r>
          </w:p>
        </w:tc>
        <w:tc>
          <w:tcPr>
            <w:tcW w:w="1460" w:type="dxa"/>
            <w:vAlign w:val="bottom"/>
            <w:shd w:val="clear" w:color="auto" w:fill="E6EDF3"/>
          </w:tcPr>
          <w:p>
            <w:pPr>
              <w:jc w:val="right"/>
              <w:ind w:right="143"/>
              <w:spacing w:after="0" w:line="168" w:lineRule="exact"/>
              <w:rPr>
                <w:sz w:val="20"/>
                <w:szCs w:val="20"/>
                <w:color w:val="auto"/>
              </w:rPr>
            </w:pPr>
            <w:r>
              <w:rPr>
                <w:rFonts w:ascii="Arial" w:cs="Arial" w:eastAsia="Arial" w:hAnsi="Arial"/>
                <w:sz w:val="16"/>
                <w:szCs w:val="16"/>
                <w:color w:val="auto"/>
              </w:rPr>
              <w:t>37,500</w:t>
            </w:r>
          </w:p>
        </w:tc>
        <w:tc>
          <w:tcPr>
            <w:tcW w:w="1400" w:type="dxa"/>
            <w:vAlign w:val="bottom"/>
            <w:shd w:val="clear" w:color="auto" w:fill="E6EDF3"/>
          </w:tcPr>
          <w:p>
            <w:pPr>
              <w:jc w:val="right"/>
              <w:ind w:right="82"/>
              <w:spacing w:after="0" w:line="168" w:lineRule="exact"/>
              <w:rPr>
                <w:sz w:val="20"/>
                <w:szCs w:val="20"/>
                <w:color w:val="auto"/>
              </w:rPr>
            </w:pPr>
            <w:r>
              <w:rPr>
                <w:rFonts w:ascii="Arial" w:cs="Arial" w:eastAsia="Arial" w:hAnsi="Arial"/>
                <w:sz w:val="16"/>
                <w:szCs w:val="16"/>
                <w:color w:val="auto"/>
              </w:rPr>
              <w:t>52,010</w:t>
            </w:r>
          </w:p>
        </w:tc>
      </w:tr>
      <w:tr>
        <w:trPr>
          <w:trHeight w:val="217"/>
        </w:trPr>
        <w:tc>
          <w:tcPr>
            <w:tcW w:w="3480" w:type="dxa"/>
            <w:vAlign w:val="bottom"/>
            <w:shd w:val="clear" w:color="auto" w:fill="E6EDF3"/>
          </w:tcPr>
          <w:p>
            <w:pPr>
              <w:ind w:left="200"/>
              <w:spacing w:after="0"/>
              <w:rPr>
                <w:sz w:val="20"/>
                <w:szCs w:val="20"/>
                <w:color w:val="auto"/>
              </w:rPr>
            </w:pPr>
            <w:r>
              <w:rPr>
                <w:rFonts w:ascii="Arial" w:cs="Arial" w:eastAsia="Arial" w:hAnsi="Arial"/>
                <w:sz w:val="16"/>
                <w:szCs w:val="16"/>
                <w:i w:val="1"/>
                <w:iCs w:val="1"/>
                <w:color w:val="auto"/>
              </w:rPr>
              <w:t>CEO</w:t>
            </w:r>
          </w:p>
        </w:tc>
        <w:tc>
          <w:tcPr>
            <w:tcW w:w="1780" w:type="dxa"/>
            <w:vAlign w:val="bottom"/>
            <w:shd w:val="clear" w:color="auto" w:fill="E6EDF3"/>
          </w:tcPr>
          <w:p>
            <w:pPr>
              <w:spacing w:after="0"/>
              <w:rPr>
                <w:sz w:val="18"/>
                <w:szCs w:val="18"/>
                <w:color w:val="auto"/>
              </w:rPr>
            </w:pPr>
          </w:p>
        </w:tc>
        <w:tc>
          <w:tcPr>
            <w:tcW w:w="1920" w:type="dxa"/>
            <w:vAlign w:val="bottom"/>
            <w:shd w:val="clear" w:color="auto" w:fill="E6EDF3"/>
          </w:tcPr>
          <w:p>
            <w:pPr>
              <w:spacing w:after="0"/>
              <w:rPr>
                <w:sz w:val="18"/>
                <w:szCs w:val="18"/>
                <w:color w:val="auto"/>
              </w:rPr>
            </w:pPr>
          </w:p>
        </w:tc>
        <w:tc>
          <w:tcPr>
            <w:tcW w:w="1380" w:type="dxa"/>
            <w:vAlign w:val="bottom"/>
            <w:shd w:val="clear" w:color="auto" w:fill="E6EDF3"/>
          </w:tcPr>
          <w:p>
            <w:pPr>
              <w:spacing w:after="0"/>
              <w:rPr>
                <w:sz w:val="18"/>
                <w:szCs w:val="18"/>
                <w:color w:val="auto"/>
              </w:rPr>
            </w:pPr>
          </w:p>
        </w:tc>
        <w:tc>
          <w:tcPr>
            <w:tcW w:w="1460" w:type="dxa"/>
            <w:vAlign w:val="bottom"/>
            <w:shd w:val="clear" w:color="auto" w:fill="E6EDF3"/>
          </w:tcPr>
          <w:p>
            <w:pPr>
              <w:spacing w:after="0"/>
              <w:rPr>
                <w:sz w:val="18"/>
                <w:szCs w:val="18"/>
                <w:color w:val="auto"/>
              </w:rPr>
            </w:pPr>
          </w:p>
        </w:tc>
        <w:tc>
          <w:tcPr>
            <w:tcW w:w="1400" w:type="dxa"/>
            <w:vAlign w:val="bottom"/>
            <w:shd w:val="clear" w:color="auto" w:fill="E6EDF3"/>
          </w:tcPr>
          <w:p>
            <w:pPr>
              <w:spacing w:after="0"/>
              <w:rPr>
                <w:sz w:val="18"/>
                <w:szCs w:val="18"/>
                <w:color w:val="auto"/>
              </w:rPr>
            </w:pPr>
          </w:p>
        </w:tc>
      </w:tr>
      <w:tr>
        <w:trPr>
          <w:trHeight w:val="175"/>
        </w:trPr>
        <w:tc>
          <w:tcPr>
            <w:tcW w:w="3480" w:type="dxa"/>
            <w:vAlign w:val="bottom"/>
          </w:tcPr>
          <w:p>
            <w:pPr>
              <w:ind w:left="80"/>
              <w:spacing w:after="0" w:line="175" w:lineRule="exact"/>
              <w:rPr>
                <w:sz w:val="20"/>
                <w:szCs w:val="20"/>
                <w:color w:val="auto"/>
              </w:rPr>
            </w:pPr>
            <w:r>
              <w:rPr>
                <w:rFonts w:ascii="Arial" w:cs="Arial" w:eastAsia="Arial" w:hAnsi="Arial"/>
                <w:sz w:val="16"/>
                <w:szCs w:val="16"/>
                <w:color w:val="auto"/>
              </w:rPr>
              <w:t>John T. McGinnis</w:t>
            </w:r>
          </w:p>
        </w:tc>
        <w:tc>
          <w:tcPr>
            <w:tcW w:w="1780" w:type="dxa"/>
            <w:vAlign w:val="bottom"/>
          </w:tcPr>
          <w:p>
            <w:pPr>
              <w:jc w:val="right"/>
              <w:ind w:right="203"/>
              <w:spacing w:after="0" w:line="175" w:lineRule="exact"/>
              <w:rPr>
                <w:sz w:val="20"/>
                <w:szCs w:val="20"/>
                <w:color w:val="auto"/>
              </w:rPr>
            </w:pPr>
            <w:r>
              <w:rPr>
                <w:rFonts w:ascii="Arial" w:cs="Arial" w:eastAsia="Arial" w:hAnsi="Arial"/>
                <w:sz w:val="16"/>
                <w:szCs w:val="16"/>
                <w:color w:val="auto"/>
              </w:rPr>
              <w:t>309,047(4)</w:t>
            </w:r>
          </w:p>
        </w:tc>
        <w:tc>
          <w:tcPr>
            <w:tcW w:w="1920" w:type="dxa"/>
            <w:vAlign w:val="bottom"/>
          </w:tcPr>
          <w:p>
            <w:pPr>
              <w:jc w:val="right"/>
              <w:ind w:right="402"/>
              <w:spacing w:after="0" w:line="175" w:lineRule="exact"/>
              <w:rPr>
                <w:sz w:val="20"/>
                <w:szCs w:val="20"/>
                <w:color w:val="auto"/>
              </w:rPr>
            </w:pPr>
            <w:r>
              <w:rPr>
                <w:rFonts w:ascii="Arial" w:cs="Arial" w:eastAsia="Arial" w:hAnsi="Arial"/>
                <w:sz w:val="16"/>
                <w:szCs w:val="16"/>
                <w:color w:val="auto"/>
              </w:rPr>
              <w:t>—</w:t>
            </w:r>
          </w:p>
        </w:tc>
        <w:tc>
          <w:tcPr>
            <w:tcW w:w="1380" w:type="dxa"/>
            <w:vAlign w:val="bottom"/>
          </w:tcPr>
          <w:p>
            <w:pPr>
              <w:jc w:val="right"/>
              <w:ind w:right="203"/>
              <w:spacing w:after="0" w:line="175" w:lineRule="exact"/>
              <w:rPr>
                <w:sz w:val="20"/>
                <w:szCs w:val="20"/>
                <w:color w:val="auto"/>
              </w:rPr>
            </w:pPr>
            <w:r>
              <w:rPr>
                <w:rFonts w:ascii="Arial" w:cs="Arial" w:eastAsia="Arial" w:hAnsi="Arial"/>
                <w:sz w:val="16"/>
                <w:szCs w:val="16"/>
                <w:color w:val="auto"/>
              </w:rPr>
              <w:t>—</w:t>
            </w:r>
          </w:p>
        </w:tc>
        <w:tc>
          <w:tcPr>
            <w:tcW w:w="1460" w:type="dxa"/>
            <w:vAlign w:val="bottom"/>
          </w:tcPr>
          <w:p>
            <w:pPr>
              <w:jc w:val="right"/>
              <w:ind w:right="143"/>
              <w:spacing w:after="0" w:line="175"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82"/>
              <w:spacing w:after="0" w:line="175" w:lineRule="exact"/>
              <w:rPr>
                <w:sz w:val="20"/>
                <w:szCs w:val="20"/>
                <w:color w:val="auto"/>
              </w:rPr>
            </w:pPr>
            <w:r>
              <w:rPr>
                <w:rFonts w:ascii="Arial" w:cs="Arial" w:eastAsia="Arial" w:hAnsi="Arial"/>
                <w:sz w:val="16"/>
                <w:szCs w:val="16"/>
                <w:color w:val="auto"/>
              </w:rPr>
              <w:t>309,047</w:t>
            </w:r>
          </w:p>
        </w:tc>
      </w:tr>
      <w:tr>
        <w:trPr>
          <w:trHeight w:val="214"/>
        </w:trPr>
        <w:tc>
          <w:tcPr>
            <w:tcW w:w="3480" w:type="dxa"/>
            <w:vAlign w:val="bottom"/>
          </w:tcPr>
          <w:p>
            <w:pPr>
              <w:ind w:left="200"/>
              <w:spacing w:after="0"/>
              <w:rPr>
                <w:sz w:val="20"/>
                <w:szCs w:val="20"/>
                <w:color w:val="auto"/>
              </w:rPr>
            </w:pPr>
            <w:r>
              <w:rPr>
                <w:rFonts w:ascii="Arial" w:cs="Arial" w:eastAsia="Arial" w:hAnsi="Arial"/>
                <w:sz w:val="16"/>
                <w:szCs w:val="16"/>
                <w:i w:val="1"/>
                <w:iCs w:val="1"/>
                <w:color w:val="auto"/>
              </w:rPr>
              <w:t>CFO</w:t>
            </w:r>
          </w:p>
        </w:tc>
        <w:tc>
          <w:tcPr>
            <w:tcW w:w="1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78"/>
        </w:trPr>
        <w:tc>
          <w:tcPr>
            <w:tcW w:w="3480" w:type="dxa"/>
            <w:vAlign w:val="bottom"/>
            <w:shd w:val="clear" w:color="auto" w:fill="E6EDF3"/>
          </w:tcPr>
          <w:p>
            <w:pPr>
              <w:ind w:left="80"/>
              <w:spacing w:after="0" w:line="178" w:lineRule="exact"/>
              <w:rPr>
                <w:sz w:val="20"/>
                <w:szCs w:val="20"/>
                <w:color w:val="auto"/>
              </w:rPr>
            </w:pPr>
            <w:r>
              <w:rPr>
                <w:rFonts w:ascii="Arial" w:cs="Arial" w:eastAsia="Arial" w:hAnsi="Arial"/>
                <w:sz w:val="16"/>
                <w:szCs w:val="16"/>
                <w:color w:val="auto"/>
              </w:rPr>
              <w:t>Darryl Green</w:t>
            </w:r>
          </w:p>
        </w:tc>
        <w:tc>
          <w:tcPr>
            <w:tcW w:w="1780" w:type="dxa"/>
            <w:vAlign w:val="bottom"/>
            <w:shd w:val="clear" w:color="auto" w:fill="E6EDF3"/>
          </w:tcPr>
          <w:p>
            <w:pPr>
              <w:jc w:val="right"/>
              <w:ind w:right="203"/>
              <w:spacing w:after="0" w:line="178" w:lineRule="exact"/>
              <w:rPr>
                <w:sz w:val="20"/>
                <w:szCs w:val="20"/>
                <w:color w:val="auto"/>
              </w:rPr>
            </w:pPr>
            <w:r>
              <w:rPr>
                <w:rFonts w:ascii="Arial" w:cs="Arial" w:eastAsia="Arial" w:hAnsi="Arial"/>
                <w:sz w:val="16"/>
                <w:szCs w:val="16"/>
                <w:color w:val="auto"/>
              </w:rPr>
              <w:t>55,499(5)</w:t>
            </w:r>
          </w:p>
        </w:tc>
        <w:tc>
          <w:tcPr>
            <w:tcW w:w="1920" w:type="dxa"/>
            <w:vAlign w:val="bottom"/>
            <w:shd w:val="clear" w:color="auto" w:fill="E6EDF3"/>
          </w:tcPr>
          <w:p>
            <w:pPr>
              <w:jc w:val="right"/>
              <w:ind w:right="402"/>
              <w:spacing w:after="0" w:line="178" w:lineRule="exact"/>
              <w:rPr>
                <w:sz w:val="20"/>
                <w:szCs w:val="20"/>
                <w:color w:val="auto"/>
              </w:rPr>
            </w:pPr>
            <w:r>
              <w:rPr>
                <w:rFonts w:ascii="Arial" w:cs="Arial" w:eastAsia="Arial" w:hAnsi="Arial"/>
                <w:sz w:val="16"/>
                <w:szCs w:val="16"/>
                <w:color w:val="auto"/>
              </w:rPr>
              <w:t>—</w:t>
            </w:r>
          </w:p>
        </w:tc>
        <w:tc>
          <w:tcPr>
            <w:tcW w:w="1380" w:type="dxa"/>
            <w:vAlign w:val="bottom"/>
            <w:shd w:val="clear" w:color="auto" w:fill="E6EDF3"/>
          </w:tcPr>
          <w:p>
            <w:pPr>
              <w:jc w:val="right"/>
              <w:ind w:right="203"/>
              <w:spacing w:after="0" w:line="178" w:lineRule="exact"/>
              <w:rPr>
                <w:sz w:val="20"/>
                <w:szCs w:val="20"/>
                <w:color w:val="auto"/>
              </w:rPr>
            </w:pPr>
            <w:r>
              <w:rPr>
                <w:rFonts w:ascii="Arial" w:cs="Arial" w:eastAsia="Arial" w:hAnsi="Arial"/>
                <w:sz w:val="16"/>
                <w:szCs w:val="16"/>
                <w:color w:val="auto"/>
              </w:rPr>
              <w:t>—</w:t>
            </w:r>
          </w:p>
        </w:tc>
        <w:tc>
          <w:tcPr>
            <w:tcW w:w="1460" w:type="dxa"/>
            <w:vAlign w:val="bottom"/>
            <w:shd w:val="clear" w:color="auto" w:fill="E6EDF3"/>
          </w:tcPr>
          <w:p>
            <w:pPr>
              <w:jc w:val="right"/>
              <w:ind w:right="143"/>
              <w:spacing w:after="0" w:line="178" w:lineRule="exact"/>
              <w:rPr>
                <w:sz w:val="20"/>
                <w:szCs w:val="20"/>
                <w:color w:val="auto"/>
              </w:rPr>
            </w:pPr>
            <w:r>
              <w:rPr>
                <w:rFonts w:ascii="Arial" w:cs="Arial" w:eastAsia="Arial" w:hAnsi="Arial"/>
                <w:sz w:val="16"/>
                <w:szCs w:val="16"/>
                <w:color w:val="auto"/>
              </w:rPr>
              <w:t>—</w:t>
            </w:r>
          </w:p>
        </w:tc>
        <w:tc>
          <w:tcPr>
            <w:tcW w:w="1400" w:type="dxa"/>
            <w:vAlign w:val="bottom"/>
            <w:shd w:val="clear" w:color="auto" w:fill="E6EDF3"/>
          </w:tcPr>
          <w:p>
            <w:pPr>
              <w:jc w:val="right"/>
              <w:ind w:right="82"/>
              <w:spacing w:after="0" w:line="178" w:lineRule="exact"/>
              <w:rPr>
                <w:sz w:val="20"/>
                <w:szCs w:val="20"/>
                <w:color w:val="auto"/>
              </w:rPr>
            </w:pPr>
            <w:r>
              <w:rPr>
                <w:rFonts w:ascii="Arial" w:cs="Arial" w:eastAsia="Arial" w:hAnsi="Arial"/>
                <w:sz w:val="16"/>
                <w:szCs w:val="16"/>
                <w:color w:val="auto"/>
              </w:rPr>
              <w:t>55,499</w:t>
            </w:r>
          </w:p>
        </w:tc>
      </w:tr>
      <w:tr>
        <w:trPr>
          <w:trHeight w:val="217"/>
        </w:trPr>
        <w:tc>
          <w:tcPr>
            <w:tcW w:w="3480" w:type="dxa"/>
            <w:vAlign w:val="bottom"/>
            <w:shd w:val="clear" w:color="auto" w:fill="E6EDF3"/>
          </w:tcPr>
          <w:p>
            <w:pPr>
              <w:ind w:left="200"/>
              <w:spacing w:after="0"/>
              <w:rPr>
                <w:sz w:val="20"/>
                <w:szCs w:val="20"/>
                <w:color w:val="auto"/>
              </w:rPr>
            </w:pPr>
            <w:r>
              <w:rPr>
                <w:rFonts w:ascii="Arial" w:cs="Arial" w:eastAsia="Arial" w:hAnsi="Arial"/>
                <w:sz w:val="16"/>
                <w:szCs w:val="16"/>
                <w:i w:val="1"/>
                <w:iCs w:val="1"/>
                <w:color w:val="auto"/>
              </w:rPr>
              <w:t>President &amp; COO</w:t>
            </w:r>
          </w:p>
        </w:tc>
        <w:tc>
          <w:tcPr>
            <w:tcW w:w="1780" w:type="dxa"/>
            <w:vAlign w:val="bottom"/>
            <w:shd w:val="clear" w:color="auto" w:fill="E6EDF3"/>
          </w:tcPr>
          <w:p>
            <w:pPr>
              <w:spacing w:after="0"/>
              <w:rPr>
                <w:sz w:val="18"/>
                <w:szCs w:val="18"/>
                <w:color w:val="auto"/>
              </w:rPr>
            </w:pPr>
          </w:p>
        </w:tc>
        <w:tc>
          <w:tcPr>
            <w:tcW w:w="1920" w:type="dxa"/>
            <w:vAlign w:val="bottom"/>
            <w:shd w:val="clear" w:color="auto" w:fill="E6EDF3"/>
          </w:tcPr>
          <w:p>
            <w:pPr>
              <w:spacing w:after="0"/>
              <w:rPr>
                <w:sz w:val="18"/>
                <w:szCs w:val="18"/>
                <w:color w:val="auto"/>
              </w:rPr>
            </w:pPr>
          </w:p>
        </w:tc>
        <w:tc>
          <w:tcPr>
            <w:tcW w:w="1380" w:type="dxa"/>
            <w:vAlign w:val="bottom"/>
            <w:shd w:val="clear" w:color="auto" w:fill="E6EDF3"/>
          </w:tcPr>
          <w:p>
            <w:pPr>
              <w:spacing w:after="0"/>
              <w:rPr>
                <w:sz w:val="18"/>
                <w:szCs w:val="18"/>
                <w:color w:val="auto"/>
              </w:rPr>
            </w:pPr>
          </w:p>
        </w:tc>
        <w:tc>
          <w:tcPr>
            <w:tcW w:w="1460" w:type="dxa"/>
            <w:vAlign w:val="bottom"/>
            <w:shd w:val="clear" w:color="auto" w:fill="E6EDF3"/>
          </w:tcPr>
          <w:p>
            <w:pPr>
              <w:spacing w:after="0"/>
              <w:rPr>
                <w:sz w:val="18"/>
                <w:szCs w:val="18"/>
                <w:color w:val="auto"/>
              </w:rPr>
            </w:pPr>
          </w:p>
        </w:tc>
        <w:tc>
          <w:tcPr>
            <w:tcW w:w="1400" w:type="dxa"/>
            <w:vAlign w:val="bottom"/>
            <w:shd w:val="clear" w:color="auto" w:fill="E6EDF3"/>
          </w:tcPr>
          <w:p>
            <w:pPr>
              <w:spacing w:after="0"/>
              <w:rPr>
                <w:sz w:val="18"/>
                <w:szCs w:val="18"/>
                <w:color w:val="auto"/>
              </w:rPr>
            </w:pPr>
          </w:p>
        </w:tc>
      </w:tr>
      <w:tr>
        <w:trPr>
          <w:trHeight w:val="175"/>
        </w:trPr>
        <w:tc>
          <w:tcPr>
            <w:tcW w:w="3480" w:type="dxa"/>
            <w:vAlign w:val="bottom"/>
          </w:tcPr>
          <w:p>
            <w:pPr>
              <w:ind w:left="80"/>
              <w:spacing w:after="0" w:line="175" w:lineRule="exact"/>
              <w:rPr>
                <w:sz w:val="20"/>
                <w:szCs w:val="20"/>
                <w:color w:val="auto"/>
              </w:rPr>
            </w:pPr>
            <w:r>
              <w:rPr>
                <w:rFonts w:ascii="Arial" w:cs="Arial" w:eastAsia="Arial" w:hAnsi="Arial"/>
                <w:sz w:val="16"/>
                <w:szCs w:val="16"/>
                <w:color w:val="auto"/>
              </w:rPr>
              <w:t>Ram Chandrashekar</w:t>
            </w:r>
          </w:p>
        </w:tc>
        <w:tc>
          <w:tcPr>
            <w:tcW w:w="1780" w:type="dxa"/>
            <w:vAlign w:val="bottom"/>
          </w:tcPr>
          <w:p>
            <w:pPr>
              <w:jc w:val="right"/>
              <w:ind w:right="203"/>
              <w:spacing w:after="0" w:line="175" w:lineRule="exact"/>
              <w:rPr>
                <w:sz w:val="20"/>
                <w:szCs w:val="20"/>
                <w:color w:val="auto"/>
              </w:rPr>
            </w:pPr>
            <w:r>
              <w:rPr>
                <w:rFonts w:ascii="Arial" w:cs="Arial" w:eastAsia="Arial" w:hAnsi="Arial"/>
                <w:sz w:val="16"/>
                <w:szCs w:val="16"/>
                <w:color w:val="auto"/>
              </w:rPr>
              <w:t>88,406(6)</w:t>
            </w:r>
          </w:p>
        </w:tc>
        <w:tc>
          <w:tcPr>
            <w:tcW w:w="1920" w:type="dxa"/>
            <w:vAlign w:val="bottom"/>
          </w:tcPr>
          <w:p>
            <w:pPr>
              <w:jc w:val="right"/>
              <w:ind w:right="202"/>
              <w:spacing w:after="0" w:line="175" w:lineRule="exact"/>
              <w:rPr>
                <w:sz w:val="20"/>
                <w:szCs w:val="20"/>
                <w:color w:val="auto"/>
              </w:rPr>
            </w:pPr>
            <w:r>
              <w:rPr>
                <w:rFonts w:ascii="Arial" w:cs="Arial" w:eastAsia="Arial" w:hAnsi="Arial"/>
                <w:sz w:val="16"/>
                <w:szCs w:val="16"/>
                <w:color w:val="auto"/>
              </w:rPr>
              <w:t>194,581(7)</w:t>
            </w:r>
          </w:p>
        </w:tc>
        <w:tc>
          <w:tcPr>
            <w:tcW w:w="1380" w:type="dxa"/>
            <w:vAlign w:val="bottom"/>
          </w:tcPr>
          <w:p>
            <w:pPr>
              <w:jc w:val="right"/>
              <w:ind w:right="203"/>
              <w:spacing w:after="0" w:line="175" w:lineRule="exact"/>
              <w:rPr>
                <w:sz w:val="20"/>
                <w:szCs w:val="20"/>
                <w:color w:val="auto"/>
              </w:rPr>
            </w:pPr>
            <w:r>
              <w:rPr>
                <w:rFonts w:ascii="Arial" w:cs="Arial" w:eastAsia="Arial" w:hAnsi="Arial"/>
                <w:sz w:val="16"/>
                <w:szCs w:val="16"/>
                <w:color w:val="auto"/>
              </w:rPr>
              <w:t>—</w:t>
            </w:r>
          </w:p>
        </w:tc>
        <w:tc>
          <w:tcPr>
            <w:tcW w:w="1460" w:type="dxa"/>
            <w:vAlign w:val="bottom"/>
          </w:tcPr>
          <w:p>
            <w:pPr>
              <w:jc w:val="right"/>
              <w:ind w:right="143"/>
              <w:spacing w:after="0" w:line="175" w:lineRule="exact"/>
              <w:rPr>
                <w:sz w:val="20"/>
                <w:szCs w:val="20"/>
                <w:color w:val="auto"/>
              </w:rPr>
            </w:pPr>
            <w:r>
              <w:rPr>
                <w:rFonts w:ascii="Arial" w:cs="Arial" w:eastAsia="Arial" w:hAnsi="Arial"/>
                <w:sz w:val="16"/>
                <w:szCs w:val="16"/>
                <w:color w:val="auto"/>
              </w:rPr>
              <w:t>11,973</w:t>
            </w:r>
          </w:p>
        </w:tc>
        <w:tc>
          <w:tcPr>
            <w:tcW w:w="1400" w:type="dxa"/>
            <w:vAlign w:val="bottom"/>
          </w:tcPr>
          <w:p>
            <w:pPr>
              <w:jc w:val="right"/>
              <w:ind w:right="82"/>
              <w:spacing w:after="0" w:line="175" w:lineRule="exact"/>
              <w:rPr>
                <w:sz w:val="20"/>
                <w:szCs w:val="20"/>
                <w:color w:val="auto"/>
              </w:rPr>
            </w:pPr>
            <w:r>
              <w:rPr>
                <w:rFonts w:ascii="Arial" w:cs="Arial" w:eastAsia="Arial" w:hAnsi="Arial"/>
                <w:sz w:val="16"/>
                <w:szCs w:val="16"/>
                <w:color w:val="auto"/>
              </w:rPr>
              <w:t>294,960</w:t>
            </w:r>
          </w:p>
        </w:tc>
      </w:tr>
      <w:tr>
        <w:trPr>
          <w:trHeight w:val="189"/>
        </w:trPr>
        <w:tc>
          <w:tcPr>
            <w:tcW w:w="3480" w:type="dxa"/>
            <w:vAlign w:val="bottom"/>
          </w:tcPr>
          <w:p>
            <w:pPr>
              <w:ind w:left="200"/>
              <w:spacing w:after="0"/>
              <w:rPr>
                <w:sz w:val="20"/>
                <w:szCs w:val="20"/>
                <w:color w:val="auto"/>
              </w:rPr>
            </w:pPr>
            <w:r>
              <w:rPr>
                <w:rFonts w:ascii="Arial" w:cs="Arial" w:eastAsia="Arial" w:hAnsi="Arial"/>
                <w:sz w:val="16"/>
                <w:szCs w:val="16"/>
                <w:i w:val="1"/>
                <w:iCs w:val="1"/>
                <w:color w:val="auto"/>
              </w:rPr>
              <w:t>EVP, Operational Excellence &amp; IT and</w:t>
            </w:r>
          </w:p>
        </w:tc>
        <w:tc>
          <w:tcPr>
            <w:tcW w:w="17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4"/>
        </w:trPr>
        <w:tc>
          <w:tcPr>
            <w:tcW w:w="3480" w:type="dxa"/>
            <w:vAlign w:val="bottom"/>
          </w:tcPr>
          <w:p>
            <w:pPr>
              <w:ind w:left="200"/>
              <w:spacing w:after="0"/>
              <w:rPr>
                <w:sz w:val="20"/>
                <w:szCs w:val="20"/>
                <w:color w:val="auto"/>
              </w:rPr>
            </w:pPr>
            <w:r>
              <w:rPr>
                <w:rFonts w:ascii="Arial" w:cs="Arial" w:eastAsia="Arial" w:hAnsi="Arial"/>
                <w:sz w:val="16"/>
                <w:szCs w:val="16"/>
                <w:i w:val="1"/>
                <w:iCs w:val="1"/>
                <w:color w:val="auto"/>
              </w:rPr>
              <w:t>President, Asia Pacific Middle East</w:t>
            </w:r>
          </w:p>
        </w:tc>
        <w:tc>
          <w:tcPr>
            <w:tcW w:w="1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78"/>
        </w:trPr>
        <w:tc>
          <w:tcPr>
            <w:tcW w:w="3480" w:type="dxa"/>
            <w:vAlign w:val="bottom"/>
            <w:shd w:val="clear" w:color="auto" w:fill="E6EDF3"/>
          </w:tcPr>
          <w:p>
            <w:pPr>
              <w:ind w:left="80"/>
              <w:spacing w:after="0" w:line="178" w:lineRule="exact"/>
              <w:rPr>
                <w:sz w:val="20"/>
                <w:szCs w:val="20"/>
                <w:color w:val="auto"/>
              </w:rPr>
            </w:pPr>
            <w:r>
              <w:rPr>
                <w:rFonts w:ascii="Arial" w:cs="Arial" w:eastAsia="Arial" w:hAnsi="Arial"/>
                <w:sz w:val="16"/>
                <w:szCs w:val="16"/>
                <w:color w:val="auto"/>
              </w:rPr>
              <w:t>Mara E. Swan</w:t>
            </w:r>
          </w:p>
        </w:tc>
        <w:tc>
          <w:tcPr>
            <w:tcW w:w="1780" w:type="dxa"/>
            <w:vAlign w:val="bottom"/>
            <w:shd w:val="clear" w:color="auto" w:fill="E6EDF3"/>
          </w:tcPr>
          <w:p>
            <w:pPr>
              <w:jc w:val="right"/>
              <w:ind w:right="203"/>
              <w:spacing w:after="0" w:line="178" w:lineRule="exact"/>
              <w:rPr>
                <w:sz w:val="20"/>
                <w:szCs w:val="20"/>
                <w:color w:val="auto"/>
              </w:rPr>
            </w:pPr>
            <w:r>
              <w:rPr>
                <w:rFonts w:ascii="Arial" w:cs="Arial" w:eastAsia="Arial" w:hAnsi="Arial"/>
                <w:sz w:val="16"/>
                <w:szCs w:val="16"/>
                <w:color w:val="auto"/>
              </w:rPr>
              <w:t>45,771(8)</w:t>
            </w:r>
          </w:p>
        </w:tc>
        <w:tc>
          <w:tcPr>
            <w:tcW w:w="1920" w:type="dxa"/>
            <w:vAlign w:val="bottom"/>
            <w:shd w:val="clear" w:color="auto" w:fill="E6EDF3"/>
          </w:tcPr>
          <w:p>
            <w:pPr>
              <w:jc w:val="right"/>
              <w:ind w:right="402"/>
              <w:spacing w:after="0" w:line="178" w:lineRule="exact"/>
              <w:rPr>
                <w:sz w:val="20"/>
                <w:szCs w:val="20"/>
                <w:color w:val="auto"/>
              </w:rPr>
            </w:pPr>
            <w:r>
              <w:rPr>
                <w:rFonts w:ascii="Arial" w:cs="Arial" w:eastAsia="Arial" w:hAnsi="Arial"/>
                <w:sz w:val="16"/>
                <w:szCs w:val="16"/>
                <w:color w:val="auto"/>
              </w:rPr>
              <w:t>—</w:t>
            </w:r>
          </w:p>
        </w:tc>
        <w:tc>
          <w:tcPr>
            <w:tcW w:w="1380" w:type="dxa"/>
            <w:vAlign w:val="bottom"/>
            <w:shd w:val="clear" w:color="auto" w:fill="E6EDF3"/>
          </w:tcPr>
          <w:p>
            <w:pPr>
              <w:jc w:val="right"/>
              <w:ind w:right="203"/>
              <w:spacing w:after="0" w:line="178" w:lineRule="exact"/>
              <w:rPr>
                <w:sz w:val="20"/>
                <w:szCs w:val="20"/>
                <w:color w:val="auto"/>
              </w:rPr>
            </w:pPr>
            <w:r>
              <w:rPr>
                <w:rFonts w:ascii="Arial" w:cs="Arial" w:eastAsia="Arial" w:hAnsi="Arial"/>
                <w:sz w:val="16"/>
                <w:szCs w:val="16"/>
                <w:color w:val="auto"/>
              </w:rPr>
              <w:t>—</w:t>
            </w:r>
          </w:p>
        </w:tc>
        <w:tc>
          <w:tcPr>
            <w:tcW w:w="1460" w:type="dxa"/>
            <w:vAlign w:val="bottom"/>
            <w:shd w:val="clear" w:color="auto" w:fill="E6EDF3"/>
          </w:tcPr>
          <w:p>
            <w:pPr>
              <w:jc w:val="right"/>
              <w:ind w:right="143"/>
              <w:spacing w:after="0" w:line="178" w:lineRule="exact"/>
              <w:rPr>
                <w:sz w:val="20"/>
                <w:szCs w:val="20"/>
                <w:color w:val="auto"/>
              </w:rPr>
            </w:pPr>
            <w:r>
              <w:rPr>
                <w:rFonts w:ascii="Arial" w:cs="Arial" w:eastAsia="Arial" w:hAnsi="Arial"/>
                <w:sz w:val="16"/>
                <w:szCs w:val="16"/>
                <w:color w:val="auto"/>
              </w:rPr>
              <w:t>37,500</w:t>
            </w:r>
          </w:p>
        </w:tc>
        <w:tc>
          <w:tcPr>
            <w:tcW w:w="1400" w:type="dxa"/>
            <w:vAlign w:val="bottom"/>
            <w:shd w:val="clear" w:color="auto" w:fill="E6EDF3"/>
          </w:tcPr>
          <w:p>
            <w:pPr>
              <w:jc w:val="right"/>
              <w:ind w:right="82"/>
              <w:spacing w:after="0" w:line="178" w:lineRule="exact"/>
              <w:rPr>
                <w:sz w:val="20"/>
                <w:szCs w:val="20"/>
                <w:color w:val="auto"/>
              </w:rPr>
            </w:pPr>
            <w:r>
              <w:rPr>
                <w:rFonts w:ascii="Arial" w:cs="Arial" w:eastAsia="Arial" w:hAnsi="Arial"/>
                <w:sz w:val="16"/>
                <w:szCs w:val="16"/>
                <w:color w:val="auto"/>
              </w:rPr>
              <w:t>83,271</w:t>
            </w:r>
          </w:p>
        </w:tc>
      </w:tr>
      <w:tr>
        <w:trPr>
          <w:trHeight w:val="217"/>
        </w:trPr>
        <w:tc>
          <w:tcPr>
            <w:tcW w:w="3480" w:type="dxa"/>
            <w:vAlign w:val="bottom"/>
            <w:shd w:val="clear" w:color="auto" w:fill="E6EDF3"/>
          </w:tcPr>
          <w:p>
            <w:pPr>
              <w:ind w:left="200"/>
              <w:spacing w:after="0"/>
              <w:rPr>
                <w:sz w:val="20"/>
                <w:szCs w:val="20"/>
                <w:color w:val="auto"/>
              </w:rPr>
            </w:pPr>
            <w:r>
              <w:rPr>
                <w:rFonts w:ascii="Arial" w:cs="Arial" w:eastAsia="Arial" w:hAnsi="Arial"/>
                <w:sz w:val="16"/>
                <w:szCs w:val="16"/>
                <w:i w:val="1"/>
                <w:iCs w:val="1"/>
                <w:color w:val="auto"/>
              </w:rPr>
              <w:t>EVP, Global Strategy and Talent</w:t>
            </w:r>
          </w:p>
        </w:tc>
        <w:tc>
          <w:tcPr>
            <w:tcW w:w="1780" w:type="dxa"/>
            <w:vAlign w:val="bottom"/>
            <w:shd w:val="clear" w:color="auto" w:fill="E6EDF3"/>
          </w:tcPr>
          <w:p>
            <w:pPr>
              <w:spacing w:after="0"/>
              <w:rPr>
                <w:sz w:val="18"/>
                <w:szCs w:val="18"/>
                <w:color w:val="auto"/>
              </w:rPr>
            </w:pPr>
          </w:p>
        </w:tc>
        <w:tc>
          <w:tcPr>
            <w:tcW w:w="1920" w:type="dxa"/>
            <w:vAlign w:val="bottom"/>
            <w:shd w:val="clear" w:color="auto" w:fill="E6EDF3"/>
          </w:tcPr>
          <w:p>
            <w:pPr>
              <w:spacing w:after="0"/>
              <w:rPr>
                <w:sz w:val="18"/>
                <w:szCs w:val="18"/>
                <w:color w:val="auto"/>
              </w:rPr>
            </w:pPr>
          </w:p>
        </w:tc>
        <w:tc>
          <w:tcPr>
            <w:tcW w:w="1380" w:type="dxa"/>
            <w:vAlign w:val="bottom"/>
            <w:shd w:val="clear" w:color="auto" w:fill="E6EDF3"/>
          </w:tcPr>
          <w:p>
            <w:pPr>
              <w:spacing w:after="0"/>
              <w:rPr>
                <w:sz w:val="18"/>
                <w:szCs w:val="18"/>
                <w:color w:val="auto"/>
              </w:rPr>
            </w:pPr>
          </w:p>
        </w:tc>
        <w:tc>
          <w:tcPr>
            <w:tcW w:w="1460" w:type="dxa"/>
            <w:vAlign w:val="bottom"/>
            <w:shd w:val="clear" w:color="auto" w:fill="E6EDF3"/>
          </w:tcPr>
          <w:p>
            <w:pPr>
              <w:spacing w:after="0"/>
              <w:rPr>
                <w:sz w:val="18"/>
                <w:szCs w:val="18"/>
                <w:color w:val="auto"/>
              </w:rPr>
            </w:pPr>
          </w:p>
        </w:tc>
        <w:tc>
          <w:tcPr>
            <w:tcW w:w="1400" w:type="dxa"/>
            <w:vAlign w:val="bottom"/>
            <w:shd w:val="clear" w:color="auto" w:fill="E6EDF3"/>
          </w:tcPr>
          <w:p>
            <w:pPr>
              <w:spacing w:after="0"/>
              <w:rPr>
                <w:sz w:val="18"/>
                <w:szCs w:val="18"/>
                <w:color w:val="auto"/>
              </w:rPr>
            </w:pPr>
          </w:p>
        </w:tc>
      </w:tr>
      <w:tr>
        <w:trPr>
          <w:trHeight w:val="175"/>
        </w:trPr>
        <w:tc>
          <w:tcPr>
            <w:tcW w:w="3480" w:type="dxa"/>
            <w:vAlign w:val="bottom"/>
          </w:tcPr>
          <w:p>
            <w:pPr>
              <w:ind w:left="80"/>
              <w:spacing w:after="0" w:line="175" w:lineRule="exact"/>
              <w:rPr>
                <w:sz w:val="20"/>
                <w:szCs w:val="20"/>
                <w:color w:val="auto"/>
              </w:rPr>
            </w:pPr>
            <w:r>
              <w:rPr>
                <w:rFonts w:ascii="Arial" w:cs="Arial" w:eastAsia="Arial" w:hAnsi="Arial"/>
                <w:sz w:val="16"/>
                <w:szCs w:val="16"/>
                <w:color w:val="auto"/>
              </w:rPr>
              <w:t>Michael J. Van Handel</w:t>
            </w:r>
          </w:p>
        </w:tc>
        <w:tc>
          <w:tcPr>
            <w:tcW w:w="1780" w:type="dxa"/>
            <w:vAlign w:val="bottom"/>
          </w:tcPr>
          <w:p>
            <w:pPr>
              <w:jc w:val="right"/>
              <w:ind w:right="403"/>
              <w:spacing w:after="0" w:line="175" w:lineRule="exact"/>
              <w:rPr>
                <w:sz w:val="20"/>
                <w:szCs w:val="20"/>
                <w:color w:val="auto"/>
              </w:rPr>
            </w:pPr>
            <w:r>
              <w:rPr>
                <w:rFonts w:ascii="Arial" w:cs="Arial" w:eastAsia="Arial" w:hAnsi="Arial"/>
                <w:sz w:val="16"/>
                <w:szCs w:val="16"/>
                <w:color w:val="auto"/>
              </w:rPr>
              <w:t>42,581</w:t>
            </w:r>
          </w:p>
        </w:tc>
        <w:tc>
          <w:tcPr>
            <w:tcW w:w="1920" w:type="dxa"/>
            <w:vAlign w:val="bottom"/>
          </w:tcPr>
          <w:p>
            <w:pPr>
              <w:jc w:val="right"/>
              <w:ind w:right="402"/>
              <w:spacing w:after="0" w:line="175" w:lineRule="exact"/>
              <w:rPr>
                <w:sz w:val="20"/>
                <w:szCs w:val="20"/>
                <w:color w:val="auto"/>
              </w:rPr>
            </w:pPr>
            <w:r>
              <w:rPr>
                <w:rFonts w:ascii="Arial" w:cs="Arial" w:eastAsia="Arial" w:hAnsi="Arial"/>
                <w:sz w:val="16"/>
                <w:szCs w:val="16"/>
                <w:color w:val="auto"/>
              </w:rPr>
              <w:t>—</w:t>
            </w:r>
          </w:p>
        </w:tc>
        <w:tc>
          <w:tcPr>
            <w:tcW w:w="1380" w:type="dxa"/>
            <w:vAlign w:val="bottom"/>
          </w:tcPr>
          <w:p>
            <w:pPr>
              <w:jc w:val="right"/>
              <w:ind w:right="203"/>
              <w:spacing w:after="0" w:line="175" w:lineRule="exact"/>
              <w:rPr>
                <w:sz w:val="20"/>
                <w:szCs w:val="20"/>
                <w:color w:val="auto"/>
              </w:rPr>
            </w:pPr>
            <w:r>
              <w:rPr>
                <w:rFonts w:ascii="Arial" w:cs="Arial" w:eastAsia="Arial" w:hAnsi="Arial"/>
                <w:sz w:val="16"/>
                <w:szCs w:val="16"/>
                <w:color w:val="auto"/>
              </w:rPr>
              <w:t>—</w:t>
            </w:r>
          </w:p>
        </w:tc>
        <w:tc>
          <w:tcPr>
            <w:tcW w:w="1460" w:type="dxa"/>
            <w:vAlign w:val="bottom"/>
          </w:tcPr>
          <w:p>
            <w:pPr>
              <w:jc w:val="right"/>
              <w:ind w:right="143"/>
              <w:spacing w:after="0" w:line="175" w:lineRule="exact"/>
              <w:rPr>
                <w:sz w:val="20"/>
                <w:szCs w:val="20"/>
                <w:color w:val="auto"/>
              </w:rPr>
            </w:pPr>
            <w:r>
              <w:rPr>
                <w:rFonts w:ascii="Arial" w:cs="Arial" w:eastAsia="Arial" w:hAnsi="Arial"/>
                <w:sz w:val="16"/>
                <w:szCs w:val="16"/>
                <w:color w:val="auto"/>
              </w:rPr>
              <w:t>37,500</w:t>
            </w:r>
          </w:p>
        </w:tc>
        <w:tc>
          <w:tcPr>
            <w:tcW w:w="1400" w:type="dxa"/>
            <w:vAlign w:val="bottom"/>
          </w:tcPr>
          <w:p>
            <w:pPr>
              <w:jc w:val="right"/>
              <w:ind w:right="82"/>
              <w:spacing w:after="0" w:line="175" w:lineRule="exact"/>
              <w:rPr>
                <w:sz w:val="20"/>
                <w:szCs w:val="20"/>
                <w:color w:val="auto"/>
              </w:rPr>
            </w:pPr>
            <w:r>
              <w:rPr>
                <w:rFonts w:ascii="Arial" w:cs="Arial" w:eastAsia="Arial" w:hAnsi="Arial"/>
                <w:sz w:val="16"/>
                <w:szCs w:val="16"/>
                <w:color w:val="auto"/>
              </w:rPr>
              <w:t>80,081</w:t>
            </w:r>
          </w:p>
        </w:tc>
      </w:tr>
      <w:tr>
        <w:trPr>
          <w:trHeight w:val="214"/>
        </w:trPr>
        <w:tc>
          <w:tcPr>
            <w:tcW w:w="3480" w:type="dxa"/>
            <w:vAlign w:val="bottom"/>
            <w:tcBorders>
              <w:bottom w:val="single" w:sz="8" w:color="auto"/>
            </w:tcBorders>
          </w:tcPr>
          <w:p>
            <w:pPr>
              <w:ind w:left="200"/>
              <w:spacing w:after="0"/>
              <w:rPr>
                <w:sz w:val="20"/>
                <w:szCs w:val="20"/>
                <w:color w:val="auto"/>
              </w:rPr>
            </w:pPr>
            <w:r>
              <w:rPr>
                <w:rFonts w:ascii="Arial" w:cs="Arial" w:eastAsia="Arial" w:hAnsi="Arial"/>
                <w:sz w:val="16"/>
                <w:szCs w:val="16"/>
                <w:i w:val="1"/>
                <w:iCs w:val="1"/>
                <w:color w:val="auto"/>
              </w:rPr>
              <w:t>Senior EVP and Former CFO</w:t>
            </w:r>
          </w:p>
        </w:tc>
        <w:tc>
          <w:tcPr>
            <w:tcW w:w="17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r>
    </w:tbl>
    <w:p>
      <w:pPr>
        <w:spacing w:after="0" w:line="72" w:lineRule="exact"/>
        <w:rPr>
          <w:sz w:val="20"/>
          <w:szCs w:val="20"/>
          <w:color w:val="auto"/>
        </w:rPr>
      </w:pPr>
    </w:p>
    <w:p>
      <w:pPr>
        <w:ind w:left="340" w:right="100" w:hanging="332"/>
        <w:spacing w:after="0" w:line="253" w:lineRule="auto"/>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Except as otherwise indicated, these amounts include the value attributable to each executive’s participation in ManpowerGroup’s company car program, auto insurance, life insurance premiums paid and/or the value of financial services paid for by ManpowerGroup. Any of these items with a value greater than $25,000 are separately disclosed below.</w:t>
      </w:r>
    </w:p>
    <w:p>
      <w:pPr>
        <w:spacing w:after="0" w:line="281" w:lineRule="exact"/>
        <w:rPr>
          <w:rFonts w:ascii="Arial" w:cs="Arial" w:eastAsia="Arial" w:hAnsi="Arial"/>
          <w:sz w:val="14"/>
          <w:szCs w:val="14"/>
          <w:color w:val="auto"/>
        </w:rPr>
      </w:pPr>
    </w:p>
    <w:p>
      <w:pPr>
        <w:ind w:left="340" w:right="340" w:hanging="332"/>
        <w:spacing w:after="0" w:line="258" w:lineRule="auto"/>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Due to the complex nature of calculating these tax reimbursements, in certain cases the amounts are paid to the executive officers one or more years after the income to which they relate was earned by the executive officer.</w:t>
      </w:r>
    </w:p>
    <w:p>
      <w:pPr>
        <w:spacing w:after="0" w:line="45" w:lineRule="exact"/>
        <w:rPr>
          <w:rFonts w:ascii="Arial" w:cs="Arial" w:eastAsia="Arial" w:hAnsi="Arial"/>
          <w:sz w:val="14"/>
          <w:szCs w:val="14"/>
          <w:color w:val="auto"/>
        </w:rPr>
      </w:pPr>
    </w:p>
    <w:p>
      <w:pPr>
        <w:jc w:val="both"/>
        <w:ind w:left="340" w:right="140" w:hanging="332"/>
        <w:spacing w:after="0" w:line="250" w:lineRule="auto"/>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These contributions were made by ManpowerGroup on behalf of the executive officers under the terms of the Nonqualified Savings Plan, other than Mr. Chandrashekar. For Mr. Chandrashekar, the amount represents our contributions to the Central Provident Fund of Singapore (CPF). Further information regarding the Nonqualified Savings Plan can be found in the Nonqualified Deferred Compensation Table and accompanying narrative.</w:t>
      </w:r>
    </w:p>
    <w:p>
      <w:pPr>
        <w:spacing w:after="0" w:line="50" w:lineRule="exact"/>
        <w:rPr>
          <w:rFonts w:ascii="Arial" w:cs="Arial" w:eastAsia="Arial" w:hAnsi="Arial"/>
          <w:sz w:val="14"/>
          <w:szCs w:val="14"/>
          <w:color w:val="auto"/>
        </w:rPr>
      </w:pPr>
    </w:p>
    <w:p>
      <w:pPr>
        <w:jc w:val="both"/>
        <w:ind w:left="340" w:right="20" w:hanging="332"/>
        <w:spacing w:after="0" w:line="250" w:lineRule="auto"/>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 addition to the amounts described above in footnote (1), $289,277 of this amount reflects relocation costs paid for Mr. McGinnis to relocate from New York to Wisconsin. Of this amount, $227,130 represents costs related to the sale of his prior house, $32,496 was for the shipment of his household goods and the remaining amount includes travel, temporary housing costs and a tax gross up on any costs associated with the relocation that are considered taxable income to Mr. McGinnis.</w:t>
      </w:r>
    </w:p>
    <w:p>
      <w:pPr>
        <w:spacing w:after="0" w:line="50" w:lineRule="exact"/>
        <w:rPr>
          <w:rFonts w:ascii="Arial" w:cs="Arial" w:eastAsia="Arial" w:hAnsi="Arial"/>
          <w:sz w:val="14"/>
          <w:szCs w:val="14"/>
          <w:color w:val="auto"/>
        </w:rPr>
      </w:pPr>
    </w:p>
    <w:p>
      <w:pPr>
        <w:ind w:left="340" w:hanging="332"/>
        <w:spacing w:after="0"/>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$31,361 of this amount reflects the lease and maintenance payments associated with Mr. Green’s automobile.</w:t>
      </w:r>
    </w:p>
    <w:p>
      <w:pPr>
        <w:spacing w:after="0" w:line="68" w:lineRule="exact"/>
        <w:rPr>
          <w:rFonts w:ascii="Arial" w:cs="Arial" w:eastAsia="Arial" w:hAnsi="Arial"/>
          <w:sz w:val="14"/>
          <w:szCs w:val="14"/>
          <w:color w:val="auto"/>
        </w:rPr>
      </w:pPr>
    </w:p>
    <w:p>
      <w:pPr>
        <w:ind w:left="340" w:right="300" w:hanging="332"/>
        <w:spacing w:after="0" w:line="247" w:lineRule="auto"/>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 addition to the amounts described above in footnote (1), this amount reflects $28,175 for tax preparation services, $40,008 for the lease and maintenance payments associated with Mr. Chandrashekar’s car and $14,028 for round-trip airfare from Singapore to India and the U.S. for members of Mr. Chandrashekar’s family. These items have been translated at an exchange rate for SGD of 0.6905 (in U.S. Dollars) which was the exchange rate in effect on December 31, 2016. These benefits are paid to Mr. Chandrashekar in connection with his assignment to Singapore.</w:t>
      </w:r>
    </w:p>
    <w:p>
      <w:pPr>
        <w:spacing w:after="0" w:line="53" w:lineRule="exact"/>
        <w:rPr>
          <w:rFonts w:ascii="Arial" w:cs="Arial" w:eastAsia="Arial" w:hAnsi="Arial"/>
          <w:sz w:val="14"/>
          <w:szCs w:val="14"/>
          <w:color w:val="auto"/>
        </w:rPr>
      </w:pPr>
    </w:p>
    <w:p>
      <w:pPr>
        <w:ind w:left="340" w:right="60" w:hanging="332"/>
        <w:spacing w:after="0" w:line="241" w:lineRule="auto"/>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This amount reflects tax payments paid on Mr. Chandrashekar’s behalf for compensation he received in 2015 and 2016 in connection with the time spent in the United States as part of his roles and responsibilities. The number shown in the table above has been reduced by actual and estimated repayments owed to the company from</w:t>
      </w:r>
    </w:p>
    <w:p>
      <w:pPr>
        <w:ind w:left="340" w:right="120"/>
        <w:spacing w:after="0" w:line="258" w:lineRule="auto"/>
        <w:rPr>
          <w:rFonts w:ascii="Arial" w:cs="Arial" w:eastAsia="Arial" w:hAnsi="Arial"/>
          <w:sz w:val="14"/>
          <w:szCs w:val="14"/>
          <w:color w:val="auto"/>
        </w:rPr>
      </w:pPr>
      <w:r>
        <w:rPr>
          <w:rFonts w:ascii="Arial" w:cs="Arial" w:eastAsia="Arial" w:hAnsi="Arial"/>
          <w:sz w:val="14"/>
          <w:szCs w:val="14"/>
          <w:color w:val="auto"/>
        </w:rPr>
        <w:t>Mr. Chandrashekar after final calculations of his taxes were completed. The amount paid without taking into account the repayments was $282,328. For 2016, the amount of these taxes are subject to future adjustment after calculation of the final taxes due by Mr. Chandrashekar.</w:t>
      </w:r>
    </w:p>
    <w:p>
      <w:pPr>
        <w:spacing w:after="0" w:line="45" w:lineRule="exact"/>
        <w:rPr>
          <w:rFonts w:ascii="Arial" w:cs="Arial" w:eastAsia="Arial" w:hAnsi="Arial"/>
          <w:sz w:val="14"/>
          <w:szCs w:val="14"/>
          <w:color w:val="auto"/>
        </w:rPr>
      </w:pPr>
    </w:p>
    <w:p>
      <w:pPr>
        <w:ind w:left="340" w:hanging="332"/>
        <w:spacing w:after="0"/>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$27,583 of this amount reflects the lease and maintenance payments associated with Ms. Swan’s automobile.</w:t>
      </w:r>
    </w:p>
    <w:p>
      <w:pPr>
        <w:spacing w:after="0" w:line="138" w:lineRule="exact"/>
        <w:rPr>
          <w:sz w:val="20"/>
          <w:szCs w:val="20"/>
          <w:color w:val="auto"/>
        </w:rPr>
      </w:pPr>
    </w:p>
    <w:p>
      <w:pPr>
        <w:ind w:left="9880"/>
        <w:spacing w:after="0"/>
        <w:rPr>
          <w:sz w:val="20"/>
          <w:szCs w:val="20"/>
          <w:color w:val="auto"/>
        </w:rPr>
      </w:pPr>
      <w:r>
        <w:rPr>
          <w:rFonts w:ascii="Arial" w:cs="Arial" w:eastAsia="Arial" w:hAnsi="Arial"/>
          <w:sz w:val="16"/>
          <w:szCs w:val="16"/>
          <w:b w:val="1"/>
          <w:bCs w:val="1"/>
          <w:color w:val="5D89B4"/>
        </w:rPr>
        <w:t xml:space="preserve">55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Compensation Tables</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Grants of Plan-Based Awards in 2016</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080" w:type="dxa"/>
            <w:vAlign w:val="bottom"/>
            <w:tcBorders>
              <w:top w:val="single" w:sz="8" w:color="auto"/>
            </w:tcBorders>
            <w:shd w:val="clear" w:color="auto" w:fill="9DB8D2"/>
          </w:tcPr>
          <w:p>
            <w:pPr>
              <w:spacing w:after="0"/>
              <w:rPr>
                <w:sz w:val="19"/>
                <w:szCs w:val="19"/>
                <w:color w:val="auto"/>
              </w:rPr>
            </w:pPr>
          </w:p>
        </w:tc>
        <w:tc>
          <w:tcPr>
            <w:tcW w:w="140" w:type="dxa"/>
            <w:vAlign w:val="bottom"/>
            <w:tcBorders>
              <w:top w:val="single" w:sz="8" w:color="auto"/>
            </w:tcBorders>
            <w:shd w:val="clear" w:color="auto" w:fill="9DB8D2"/>
          </w:tcPr>
          <w:p>
            <w:pPr>
              <w:spacing w:after="0"/>
              <w:rPr>
                <w:sz w:val="19"/>
                <w:szCs w:val="19"/>
                <w:color w:val="auto"/>
              </w:rPr>
            </w:pPr>
          </w:p>
        </w:tc>
        <w:tc>
          <w:tcPr>
            <w:tcW w:w="780" w:type="dxa"/>
            <w:vAlign w:val="bottom"/>
            <w:tcBorders>
              <w:top w:val="single" w:sz="8" w:color="auto"/>
            </w:tcBorders>
            <w:shd w:val="clear" w:color="auto" w:fill="9DB8D2"/>
          </w:tcPr>
          <w:p>
            <w:pPr>
              <w:spacing w:after="0"/>
              <w:rPr>
                <w:sz w:val="19"/>
                <w:szCs w:val="19"/>
                <w:color w:val="auto"/>
              </w:rPr>
            </w:pPr>
          </w:p>
        </w:tc>
        <w:tc>
          <w:tcPr>
            <w:tcW w:w="660" w:type="dxa"/>
            <w:vAlign w:val="bottom"/>
            <w:tcBorders>
              <w:top w:val="single" w:sz="8" w:color="auto"/>
            </w:tcBorders>
            <w:shd w:val="clear" w:color="auto" w:fill="9DB8D2"/>
          </w:tcPr>
          <w:p>
            <w:pPr>
              <w:spacing w:after="0"/>
              <w:rPr>
                <w:sz w:val="19"/>
                <w:szCs w:val="19"/>
                <w:color w:val="auto"/>
              </w:rPr>
            </w:pPr>
          </w:p>
        </w:tc>
        <w:tc>
          <w:tcPr>
            <w:tcW w:w="960" w:type="dxa"/>
            <w:vAlign w:val="bottom"/>
            <w:tcBorders>
              <w:top w:val="single" w:sz="8" w:color="auto"/>
            </w:tcBorders>
            <w:shd w:val="clear" w:color="auto" w:fill="9DB8D2"/>
          </w:tcPr>
          <w:p>
            <w:pPr>
              <w:spacing w:after="0"/>
              <w:rPr>
                <w:sz w:val="19"/>
                <w:szCs w:val="19"/>
                <w:color w:val="auto"/>
              </w:rPr>
            </w:pPr>
          </w:p>
        </w:tc>
        <w:tc>
          <w:tcPr>
            <w:tcW w:w="660" w:type="dxa"/>
            <w:vAlign w:val="bottom"/>
            <w:tcBorders>
              <w:top w:val="single" w:sz="8" w:color="auto"/>
            </w:tcBorders>
            <w:shd w:val="clear" w:color="auto" w:fill="9DB8D2"/>
          </w:tcPr>
          <w:p>
            <w:pPr>
              <w:spacing w:after="0"/>
              <w:rPr>
                <w:sz w:val="19"/>
                <w:szCs w:val="19"/>
                <w:color w:val="auto"/>
              </w:rPr>
            </w:pPr>
          </w:p>
        </w:tc>
        <w:tc>
          <w:tcPr>
            <w:tcW w:w="120" w:type="dxa"/>
            <w:vAlign w:val="bottom"/>
            <w:tcBorders>
              <w:top w:val="single" w:sz="8" w:color="auto"/>
            </w:tcBorders>
            <w:shd w:val="clear" w:color="auto" w:fill="9DB8D2"/>
          </w:tcPr>
          <w:p>
            <w:pPr>
              <w:spacing w:after="0"/>
              <w:rPr>
                <w:sz w:val="19"/>
                <w:szCs w:val="19"/>
                <w:color w:val="auto"/>
              </w:rPr>
            </w:pPr>
          </w:p>
        </w:tc>
        <w:tc>
          <w:tcPr>
            <w:tcW w:w="720" w:type="dxa"/>
            <w:vAlign w:val="bottom"/>
            <w:tcBorders>
              <w:top w:val="single" w:sz="8" w:color="auto"/>
            </w:tcBorders>
            <w:shd w:val="clear" w:color="auto" w:fill="9DB8D2"/>
          </w:tcPr>
          <w:p>
            <w:pPr>
              <w:spacing w:after="0"/>
              <w:rPr>
                <w:sz w:val="19"/>
                <w:szCs w:val="19"/>
                <w:color w:val="auto"/>
              </w:rPr>
            </w:pPr>
          </w:p>
        </w:tc>
        <w:tc>
          <w:tcPr>
            <w:tcW w:w="600" w:type="dxa"/>
            <w:vAlign w:val="bottom"/>
            <w:tcBorders>
              <w:top w:val="single" w:sz="8" w:color="auto"/>
            </w:tcBorders>
            <w:shd w:val="clear" w:color="auto" w:fill="9DB8D2"/>
          </w:tcPr>
          <w:p>
            <w:pPr>
              <w:spacing w:after="0"/>
              <w:rPr>
                <w:sz w:val="19"/>
                <w:szCs w:val="19"/>
                <w:color w:val="auto"/>
              </w:rPr>
            </w:pPr>
          </w:p>
        </w:tc>
        <w:tc>
          <w:tcPr>
            <w:tcW w:w="660" w:type="dxa"/>
            <w:vAlign w:val="bottom"/>
            <w:tcBorders>
              <w:top w:val="single" w:sz="8" w:color="auto"/>
            </w:tcBorders>
            <w:shd w:val="clear" w:color="auto" w:fill="9DB8D2"/>
          </w:tcPr>
          <w:p>
            <w:pPr>
              <w:spacing w:after="0"/>
              <w:rPr>
                <w:sz w:val="19"/>
                <w:szCs w:val="19"/>
                <w:color w:val="auto"/>
              </w:rPr>
            </w:pPr>
          </w:p>
        </w:tc>
        <w:tc>
          <w:tcPr>
            <w:tcW w:w="140" w:type="dxa"/>
            <w:vAlign w:val="bottom"/>
            <w:tcBorders>
              <w:top w:val="single" w:sz="8" w:color="auto"/>
            </w:tcBorders>
            <w:shd w:val="clear" w:color="auto" w:fill="9DB8D2"/>
          </w:tcPr>
          <w:p>
            <w:pPr>
              <w:spacing w:after="0"/>
              <w:rPr>
                <w:sz w:val="19"/>
                <w:szCs w:val="19"/>
                <w:color w:val="auto"/>
              </w:rPr>
            </w:pPr>
          </w:p>
        </w:tc>
        <w:tc>
          <w:tcPr>
            <w:tcW w:w="620" w:type="dxa"/>
            <w:vAlign w:val="bottom"/>
            <w:tcBorders>
              <w:top w:val="single" w:sz="8" w:color="auto"/>
            </w:tcBorders>
            <w:gridSpan w:val="2"/>
            <w:shd w:val="clear" w:color="auto" w:fill="9DB8D2"/>
          </w:tcPr>
          <w:p>
            <w:pPr>
              <w:jc w:val="center"/>
              <w:ind w:right="60"/>
              <w:spacing w:after="0"/>
              <w:rPr>
                <w:sz w:val="20"/>
                <w:szCs w:val="20"/>
                <w:color w:val="auto"/>
              </w:rPr>
            </w:pPr>
            <w:r>
              <w:rPr>
                <w:rFonts w:ascii="Arial" w:cs="Arial" w:eastAsia="Arial" w:hAnsi="Arial"/>
                <w:sz w:val="13"/>
                <w:szCs w:val="13"/>
                <w:b w:val="1"/>
                <w:bCs w:val="1"/>
                <w:color w:val="auto"/>
                <w:w w:val="96"/>
              </w:rPr>
              <w:t>All</w:t>
            </w:r>
          </w:p>
        </w:tc>
        <w:tc>
          <w:tcPr>
            <w:tcW w:w="760" w:type="dxa"/>
            <w:vAlign w:val="bottom"/>
            <w:tcBorders>
              <w:top w:val="single" w:sz="8" w:color="auto"/>
            </w:tcBorders>
            <w:shd w:val="clear" w:color="auto" w:fill="9DB8D2"/>
          </w:tcPr>
          <w:p>
            <w:pPr>
              <w:spacing w:after="0"/>
              <w:rPr>
                <w:sz w:val="19"/>
                <w:szCs w:val="19"/>
                <w:color w:val="auto"/>
              </w:rPr>
            </w:pPr>
          </w:p>
        </w:tc>
        <w:tc>
          <w:tcPr>
            <w:tcW w:w="40" w:type="dxa"/>
            <w:vAlign w:val="bottom"/>
            <w:tcBorders>
              <w:top w:val="single" w:sz="8" w:color="auto"/>
            </w:tcBorders>
            <w:shd w:val="clear" w:color="auto" w:fill="9DB8D2"/>
          </w:tcPr>
          <w:p>
            <w:pPr>
              <w:spacing w:after="0"/>
              <w:rPr>
                <w:sz w:val="19"/>
                <w:szCs w:val="19"/>
                <w:color w:val="auto"/>
              </w:rPr>
            </w:pPr>
          </w:p>
        </w:tc>
        <w:tc>
          <w:tcPr>
            <w:tcW w:w="620" w:type="dxa"/>
            <w:vAlign w:val="bottom"/>
            <w:tcBorders>
              <w:top w:val="single" w:sz="8" w:color="auto"/>
            </w:tcBorders>
            <w:shd w:val="clear" w:color="auto" w:fill="9DB8D2"/>
          </w:tcPr>
          <w:p>
            <w:pPr>
              <w:spacing w:after="0"/>
              <w:rPr>
                <w:sz w:val="19"/>
                <w:szCs w:val="19"/>
                <w:color w:val="auto"/>
              </w:rPr>
            </w:pPr>
          </w:p>
        </w:tc>
        <w:tc>
          <w:tcPr>
            <w:tcW w:w="40" w:type="dxa"/>
            <w:vAlign w:val="bottom"/>
            <w:tcBorders>
              <w:top w:val="single" w:sz="8" w:color="auto"/>
            </w:tcBorders>
            <w:shd w:val="clear" w:color="auto" w:fill="9DB8D2"/>
          </w:tcPr>
          <w:p>
            <w:pPr>
              <w:spacing w:after="0"/>
              <w:rPr>
                <w:sz w:val="19"/>
                <w:szCs w:val="19"/>
                <w:color w:val="auto"/>
              </w:rPr>
            </w:pPr>
          </w:p>
        </w:tc>
        <w:tc>
          <w:tcPr>
            <w:tcW w:w="820" w:type="dxa"/>
            <w:vAlign w:val="bottom"/>
            <w:tcBorders>
              <w:top w:val="single" w:sz="8" w:color="auto"/>
            </w:tcBorders>
            <w:gridSpan w:val="2"/>
            <w:shd w:val="clear" w:color="auto" w:fill="9DB8D2"/>
          </w:tcPr>
          <w:p>
            <w:pPr>
              <w:jc w:val="center"/>
              <w:ind w:right="60"/>
              <w:spacing w:after="0"/>
              <w:rPr>
                <w:sz w:val="20"/>
                <w:szCs w:val="20"/>
                <w:color w:val="auto"/>
              </w:rPr>
            </w:pPr>
            <w:r>
              <w:rPr>
                <w:rFonts w:ascii="Arial" w:cs="Arial" w:eastAsia="Arial" w:hAnsi="Arial"/>
                <w:sz w:val="13"/>
                <w:szCs w:val="13"/>
                <w:b w:val="1"/>
                <w:bCs w:val="1"/>
                <w:color w:val="auto"/>
                <w:w w:val="92"/>
              </w:rPr>
              <w:t>Grant</w:t>
            </w:r>
          </w:p>
        </w:tc>
        <w:tc>
          <w:tcPr>
            <w:tcW w:w="0" w:type="dxa"/>
            <w:vAlign w:val="bottom"/>
          </w:tcPr>
          <w:p>
            <w:pPr>
              <w:spacing w:after="0"/>
              <w:rPr>
                <w:sz w:val="1"/>
                <w:szCs w:val="1"/>
                <w:color w:val="auto"/>
              </w:rPr>
            </w:pPr>
          </w:p>
        </w:tc>
      </w:tr>
      <w:tr>
        <w:trPr>
          <w:trHeight w:val="135"/>
        </w:trPr>
        <w:tc>
          <w:tcPr>
            <w:tcW w:w="3080" w:type="dxa"/>
            <w:vAlign w:val="bottom"/>
            <w:shd w:val="clear" w:color="auto" w:fill="9DB8D2"/>
          </w:tcPr>
          <w:p>
            <w:pPr>
              <w:spacing w:after="0"/>
              <w:rPr>
                <w:sz w:val="11"/>
                <w:szCs w:val="11"/>
                <w:color w:val="auto"/>
              </w:rPr>
            </w:pPr>
          </w:p>
        </w:tc>
        <w:tc>
          <w:tcPr>
            <w:tcW w:w="140" w:type="dxa"/>
            <w:vAlign w:val="bottom"/>
            <w:shd w:val="clear" w:color="auto" w:fill="9DB8D2"/>
          </w:tcPr>
          <w:p>
            <w:pPr>
              <w:spacing w:after="0"/>
              <w:rPr>
                <w:sz w:val="11"/>
                <w:szCs w:val="11"/>
                <w:color w:val="auto"/>
              </w:rPr>
            </w:pPr>
          </w:p>
        </w:tc>
        <w:tc>
          <w:tcPr>
            <w:tcW w:w="780" w:type="dxa"/>
            <w:vAlign w:val="bottom"/>
            <w:shd w:val="clear" w:color="auto" w:fill="9DB8D2"/>
          </w:tcPr>
          <w:p>
            <w:pPr>
              <w:spacing w:after="0"/>
              <w:rPr>
                <w:sz w:val="11"/>
                <w:szCs w:val="11"/>
                <w:color w:val="auto"/>
              </w:rPr>
            </w:pPr>
          </w:p>
        </w:tc>
        <w:tc>
          <w:tcPr>
            <w:tcW w:w="660" w:type="dxa"/>
            <w:vAlign w:val="bottom"/>
            <w:shd w:val="clear" w:color="auto" w:fill="9DB8D2"/>
          </w:tcPr>
          <w:p>
            <w:pPr>
              <w:spacing w:after="0"/>
              <w:rPr>
                <w:sz w:val="11"/>
                <w:szCs w:val="11"/>
                <w:color w:val="auto"/>
              </w:rPr>
            </w:pPr>
          </w:p>
        </w:tc>
        <w:tc>
          <w:tcPr>
            <w:tcW w:w="960" w:type="dxa"/>
            <w:vAlign w:val="bottom"/>
            <w:shd w:val="clear" w:color="auto" w:fill="9DB8D2"/>
          </w:tcPr>
          <w:p>
            <w:pPr>
              <w:spacing w:after="0"/>
              <w:rPr>
                <w:sz w:val="11"/>
                <w:szCs w:val="11"/>
                <w:color w:val="auto"/>
              </w:rPr>
            </w:pPr>
          </w:p>
        </w:tc>
        <w:tc>
          <w:tcPr>
            <w:tcW w:w="66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720" w:type="dxa"/>
            <w:vAlign w:val="bottom"/>
            <w:shd w:val="clear" w:color="auto" w:fill="9DB8D2"/>
          </w:tcPr>
          <w:p>
            <w:pPr>
              <w:spacing w:after="0"/>
              <w:rPr>
                <w:sz w:val="11"/>
                <w:szCs w:val="11"/>
                <w:color w:val="auto"/>
              </w:rPr>
            </w:pPr>
          </w:p>
        </w:tc>
        <w:tc>
          <w:tcPr>
            <w:tcW w:w="600" w:type="dxa"/>
            <w:vAlign w:val="bottom"/>
            <w:shd w:val="clear" w:color="auto" w:fill="9DB8D2"/>
          </w:tcPr>
          <w:p>
            <w:pPr>
              <w:spacing w:after="0"/>
              <w:rPr>
                <w:sz w:val="11"/>
                <w:szCs w:val="11"/>
                <w:color w:val="auto"/>
              </w:rPr>
            </w:pPr>
          </w:p>
        </w:tc>
        <w:tc>
          <w:tcPr>
            <w:tcW w:w="660" w:type="dxa"/>
            <w:vAlign w:val="bottom"/>
            <w:shd w:val="clear" w:color="auto" w:fill="9DB8D2"/>
          </w:tcPr>
          <w:p>
            <w:pPr>
              <w:spacing w:after="0"/>
              <w:rPr>
                <w:sz w:val="11"/>
                <w:szCs w:val="11"/>
                <w:color w:val="auto"/>
              </w:rPr>
            </w:pPr>
          </w:p>
        </w:tc>
        <w:tc>
          <w:tcPr>
            <w:tcW w:w="140" w:type="dxa"/>
            <w:vAlign w:val="bottom"/>
            <w:shd w:val="clear" w:color="auto" w:fill="9DB8D2"/>
          </w:tcPr>
          <w:p>
            <w:pPr>
              <w:spacing w:after="0"/>
              <w:rPr>
                <w:sz w:val="11"/>
                <w:szCs w:val="11"/>
                <w:color w:val="auto"/>
              </w:rPr>
            </w:pPr>
          </w:p>
        </w:tc>
        <w:tc>
          <w:tcPr>
            <w:tcW w:w="620" w:type="dxa"/>
            <w:vAlign w:val="bottom"/>
            <w:gridSpan w:val="2"/>
            <w:shd w:val="clear" w:color="auto" w:fill="9DB8D2"/>
          </w:tcPr>
          <w:p>
            <w:pPr>
              <w:jc w:val="center"/>
              <w:ind w:right="40"/>
              <w:spacing w:after="0" w:line="135" w:lineRule="exact"/>
              <w:rPr>
                <w:sz w:val="20"/>
                <w:szCs w:val="20"/>
                <w:color w:val="auto"/>
              </w:rPr>
            </w:pPr>
            <w:r>
              <w:rPr>
                <w:rFonts w:ascii="Arial" w:cs="Arial" w:eastAsia="Arial" w:hAnsi="Arial"/>
                <w:sz w:val="13"/>
                <w:szCs w:val="13"/>
                <w:b w:val="1"/>
                <w:bCs w:val="1"/>
                <w:color w:val="auto"/>
                <w:w w:val="97"/>
              </w:rPr>
              <w:t>Other</w:t>
            </w:r>
          </w:p>
        </w:tc>
        <w:tc>
          <w:tcPr>
            <w:tcW w:w="800" w:type="dxa"/>
            <w:vAlign w:val="bottom"/>
            <w:gridSpan w:val="2"/>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4"/>
              </w:rPr>
              <w:t>All Other</w:t>
            </w:r>
          </w:p>
        </w:tc>
        <w:tc>
          <w:tcPr>
            <w:tcW w:w="62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820" w:type="dxa"/>
            <w:vAlign w:val="bottom"/>
            <w:gridSpan w:val="2"/>
            <w:shd w:val="clear" w:color="auto" w:fill="9DB8D2"/>
          </w:tcPr>
          <w:p>
            <w:pPr>
              <w:jc w:val="center"/>
              <w:ind w:right="60"/>
              <w:spacing w:after="0" w:line="135" w:lineRule="exact"/>
              <w:rPr>
                <w:sz w:val="20"/>
                <w:szCs w:val="20"/>
                <w:color w:val="auto"/>
              </w:rPr>
            </w:pPr>
            <w:r>
              <w:rPr>
                <w:rFonts w:ascii="Arial" w:cs="Arial" w:eastAsia="Arial" w:hAnsi="Arial"/>
                <w:sz w:val="13"/>
                <w:szCs w:val="13"/>
                <w:b w:val="1"/>
                <w:bCs w:val="1"/>
                <w:color w:val="auto"/>
                <w:w w:val="99"/>
              </w:rPr>
              <w:t>Date</w:t>
            </w:r>
          </w:p>
        </w:tc>
        <w:tc>
          <w:tcPr>
            <w:tcW w:w="0" w:type="dxa"/>
            <w:vAlign w:val="bottom"/>
          </w:tcPr>
          <w:p>
            <w:pPr>
              <w:spacing w:after="0"/>
              <w:rPr>
                <w:sz w:val="1"/>
                <w:szCs w:val="1"/>
                <w:color w:val="auto"/>
              </w:rPr>
            </w:pPr>
          </w:p>
        </w:tc>
      </w:tr>
      <w:tr>
        <w:trPr>
          <w:trHeight w:val="135"/>
        </w:trPr>
        <w:tc>
          <w:tcPr>
            <w:tcW w:w="3080" w:type="dxa"/>
            <w:vAlign w:val="bottom"/>
            <w:shd w:val="clear" w:color="auto" w:fill="9DB8D2"/>
          </w:tcPr>
          <w:p>
            <w:pPr>
              <w:spacing w:after="0"/>
              <w:rPr>
                <w:sz w:val="11"/>
                <w:szCs w:val="11"/>
                <w:color w:val="auto"/>
              </w:rPr>
            </w:pPr>
          </w:p>
        </w:tc>
        <w:tc>
          <w:tcPr>
            <w:tcW w:w="140" w:type="dxa"/>
            <w:vAlign w:val="bottom"/>
            <w:shd w:val="clear" w:color="auto" w:fill="9DB8D2"/>
          </w:tcPr>
          <w:p>
            <w:pPr>
              <w:spacing w:after="0"/>
              <w:rPr>
                <w:sz w:val="11"/>
                <w:szCs w:val="11"/>
                <w:color w:val="auto"/>
              </w:rPr>
            </w:pPr>
          </w:p>
        </w:tc>
        <w:tc>
          <w:tcPr>
            <w:tcW w:w="780" w:type="dxa"/>
            <w:vAlign w:val="bottom"/>
            <w:shd w:val="clear" w:color="auto" w:fill="9DB8D2"/>
          </w:tcPr>
          <w:p>
            <w:pPr>
              <w:spacing w:after="0"/>
              <w:rPr>
                <w:sz w:val="11"/>
                <w:szCs w:val="11"/>
                <w:color w:val="auto"/>
              </w:rPr>
            </w:pPr>
          </w:p>
        </w:tc>
        <w:tc>
          <w:tcPr>
            <w:tcW w:w="660" w:type="dxa"/>
            <w:vAlign w:val="bottom"/>
            <w:shd w:val="clear" w:color="auto" w:fill="9DB8D2"/>
          </w:tcPr>
          <w:p>
            <w:pPr>
              <w:spacing w:after="0"/>
              <w:rPr>
                <w:sz w:val="11"/>
                <w:szCs w:val="11"/>
                <w:color w:val="auto"/>
              </w:rPr>
            </w:pPr>
          </w:p>
        </w:tc>
        <w:tc>
          <w:tcPr>
            <w:tcW w:w="960" w:type="dxa"/>
            <w:vAlign w:val="bottom"/>
            <w:shd w:val="clear" w:color="auto" w:fill="9DB8D2"/>
          </w:tcPr>
          <w:p>
            <w:pPr>
              <w:spacing w:after="0"/>
              <w:rPr>
                <w:sz w:val="11"/>
                <w:szCs w:val="11"/>
                <w:color w:val="auto"/>
              </w:rPr>
            </w:pPr>
          </w:p>
        </w:tc>
        <w:tc>
          <w:tcPr>
            <w:tcW w:w="66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720" w:type="dxa"/>
            <w:vAlign w:val="bottom"/>
            <w:shd w:val="clear" w:color="auto" w:fill="9DB8D2"/>
          </w:tcPr>
          <w:p>
            <w:pPr>
              <w:spacing w:after="0"/>
              <w:rPr>
                <w:sz w:val="11"/>
                <w:szCs w:val="11"/>
                <w:color w:val="auto"/>
              </w:rPr>
            </w:pPr>
          </w:p>
        </w:tc>
        <w:tc>
          <w:tcPr>
            <w:tcW w:w="600" w:type="dxa"/>
            <w:vAlign w:val="bottom"/>
            <w:shd w:val="clear" w:color="auto" w:fill="9DB8D2"/>
          </w:tcPr>
          <w:p>
            <w:pPr>
              <w:spacing w:after="0"/>
              <w:rPr>
                <w:sz w:val="11"/>
                <w:szCs w:val="11"/>
                <w:color w:val="auto"/>
              </w:rPr>
            </w:pPr>
          </w:p>
        </w:tc>
        <w:tc>
          <w:tcPr>
            <w:tcW w:w="660" w:type="dxa"/>
            <w:vAlign w:val="bottom"/>
            <w:shd w:val="clear" w:color="auto" w:fill="9DB8D2"/>
          </w:tcPr>
          <w:p>
            <w:pPr>
              <w:spacing w:after="0"/>
              <w:rPr>
                <w:sz w:val="11"/>
                <w:szCs w:val="11"/>
                <w:color w:val="auto"/>
              </w:rPr>
            </w:pPr>
          </w:p>
        </w:tc>
        <w:tc>
          <w:tcPr>
            <w:tcW w:w="140" w:type="dxa"/>
            <w:vAlign w:val="bottom"/>
            <w:shd w:val="clear" w:color="auto" w:fill="9DB8D2"/>
          </w:tcPr>
          <w:p>
            <w:pPr>
              <w:spacing w:after="0"/>
              <w:rPr>
                <w:sz w:val="11"/>
                <w:szCs w:val="11"/>
                <w:color w:val="auto"/>
              </w:rPr>
            </w:pPr>
          </w:p>
        </w:tc>
        <w:tc>
          <w:tcPr>
            <w:tcW w:w="620" w:type="dxa"/>
            <w:vAlign w:val="bottom"/>
            <w:gridSpan w:val="2"/>
            <w:shd w:val="clear" w:color="auto" w:fill="9DB8D2"/>
          </w:tcPr>
          <w:p>
            <w:pPr>
              <w:jc w:val="center"/>
              <w:ind w:right="40"/>
              <w:spacing w:after="0" w:line="135" w:lineRule="exact"/>
              <w:rPr>
                <w:sz w:val="20"/>
                <w:szCs w:val="20"/>
                <w:color w:val="auto"/>
              </w:rPr>
            </w:pPr>
            <w:r>
              <w:rPr>
                <w:rFonts w:ascii="Arial" w:cs="Arial" w:eastAsia="Arial" w:hAnsi="Arial"/>
                <w:sz w:val="13"/>
                <w:szCs w:val="13"/>
                <w:b w:val="1"/>
                <w:bCs w:val="1"/>
                <w:color w:val="auto"/>
                <w:w w:val="95"/>
              </w:rPr>
              <w:t>Stock</w:t>
            </w:r>
          </w:p>
        </w:tc>
        <w:tc>
          <w:tcPr>
            <w:tcW w:w="800" w:type="dxa"/>
            <w:vAlign w:val="bottom"/>
            <w:gridSpan w:val="2"/>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5"/>
              </w:rPr>
              <w:t>Option</w:t>
            </w:r>
          </w:p>
        </w:tc>
        <w:tc>
          <w:tcPr>
            <w:tcW w:w="620" w:type="dxa"/>
            <w:vAlign w:val="bottom"/>
            <w:shd w:val="clear" w:color="auto" w:fill="9DB8D2"/>
          </w:tcPr>
          <w:p>
            <w:pPr>
              <w:spacing w:after="0"/>
              <w:rPr>
                <w:sz w:val="11"/>
                <w:szCs w:val="11"/>
                <w:color w:val="auto"/>
              </w:rPr>
            </w:pPr>
          </w:p>
        </w:tc>
        <w:tc>
          <w:tcPr>
            <w:tcW w:w="40" w:type="dxa"/>
            <w:vAlign w:val="bottom"/>
            <w:shd w:val="clear" w:color="auto" w:fill="9DB8D2"/>
          </w:tcPr>
          <w:p>
            <w:pPr>
              <w:spacing w:after="0"/>
              <w:rPr>
                <w:sz w:val="11"/>
                <w:szCs w:val="11"/>
                <w:color w:val="auto"/>
              </w:rPr>
            </w:pPr>
          </w:p>
        </w:tc>
        <w:tc>
          <w:tcPr>
            <w:tcW w:w="820" w:type="dxa"/>
            <w:vAlign w:val="bottom"/>
            <w:gridSpan w:val="2"/>
            <w:shd w:val="clear" w:color="auto" w:fill="9DB8D2"/>
          </w:tcPr>
          <w:p>
            <w:pPr>
              <w:jc w:val="center"/>
              <w:ind w:right="60"/>
              <w:spacing w:after="0" w:line="135"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35"/>
        </w:trPr>
        <w:tc>
          <w:tcPr>
            <w:tcW w:w="3080" w:type="dxa"/>
            <w:vAlign w:val="bottom"/>
            <w:shd w:val="clear" w:color="auto" w:fill="9DB8D2"/>
          </w:tcPr>
          <w:p>
            <w:pPr>
              <w:spacing w:after="0"/>
              <w:rPr>
                <w:sz w:val="11"/>
                <w:szCs w:val="11"/>
                <w:color w:val="auto"/>
              </w:rPr>
            </w:pPr>
          </w:p>
        </w:tc>
        <w:tc>
          <w:tcPr>
            <w:tcW w:w="140" w:type="dxa"/>
            <w:vAlign w:val="bottom"/>
            <w:shd w:val="clear" w:color="auto" w:fill="9DB8D2"/>
          </w:tcPr>
          <w:p>
            <w:pPr>
              <w:spacing w:after="0"/>
              <w:rPr>
                <w:sz w:val="11"/>
                <w:szCs w:val="11"/>
                <w:color w:val="auto"/>
              </w:rPr>
            </w:pPr>
          </w:p>
        </w:tc>
        <w:tc>
          <w:tcPr>
            <w:tcW w:w="780" w:type="dxa"/>
            <w:vAlign w:val="bottom"/>
            <w:shd w:val="clear" w:color="auto" w:fill="9DB8D2"/>
          </w:tcPr>
          <w:p>
            <w:pPr>
              <w:spacing w:after="0"/>
              <w:rPr>
                <w:sz w:val="11"/>
                <w:szCs w:val="11"/>
                <w:color w:val="auto"/>
              </w:rPr>
            </w:pPr>
          </w:p>
        </w:tc>
        <w:tc>
          <w:tcPr>
            <w:tcW w:w="660" w:type="dxa"/>
            <w:vAlign w:val="bottom"/>
            <w:shd w:val="clear" w:color="auto" w:fill="9DB8D2"/>
          </w:tcPr>
          <w:p>
            <w:pPr>
              <w:spacing w:after="0"/>
              <w:rPr>
                <w:sz w:val="11"/>
                <w:szCs w:val="11"/>
                <w:color w:val="auto"/>
              </w:rPr>
            </w:pPr>
          </w:p>
        </w:tc>
        <w:tc>
          <w:tcPr>
            <w:tcW w:w="960" w:type="dxa"/>
            <w:vAlign w:val="bottom"/>
            <w:shd w:val="clear" w:color="auto" w:fill="9DB8D2"/>
          </w:tcPr>
          <w:p>
            <w:pPr>
              <w:spacing w:after="0"/>
              <w:rPr>
                <w:sz w:val="11"/>
                <w:szCs w:val="11"/>
                <w:color w:val="auto"/>
              </w:rPr>
            </w:pPr>
          </w:p>
        </w:tc>
        <w:tc>
          <w:tcPr>
            <w:tcW w:w="66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720" w:type="dxa"/>
            <w:vAlign w:val="bottom"/>
            <w:shd w:val="clear" w:color="auto" w:fill="9DB8D2"/>
          </w:tcPr>
          <w:p>
            <w:pPr>
              <w:spacing w:after="0"/>
              <w:rPr>
                <w:sz w:val="11"/>
                <w:szCs w:val="11"/>
                <w:color w:val="auto"/>
              </w:rPr>
            </w:pPr>
          </w:p>
        </w:tc>
        <w:tc>
          <w:tcPr>
            <w:tcW w:w="600" w:type="dxa"/>
            <w:vAlign w:val="bottom"/>
            <w:shd w:val="clear" w:color="auto" w:fill="9DB8D2"/>
          </w:tcPr>
          <w:p>
            <w:pPr>
              <w:spacing w:after="0"/>
              <w:rPr>
                <w:sz w:val="11"/>
                <w:szCs w:val="11"/>
                <w:color w:val="auto"/>
              </w:rPr>
            </w:pPr>
          </w:p>
        </w:tc>
        <w:tc>
          <w:tcPr>
            <w:tcW w:w="660" w:type="dxa"/>
            <w:vAlign w:val="bottom"/>
            <w:shd w:val="clear" w:color="auto" w:fill="9DB8D2"/>
          </w:tcPr>
          <w:p>
            <w:pPr>
              <w:spacing w:after="0"/>
              <w:rPr>
                <w:sz w:val="11"/>
                <w:szCs w:val="11"/>
                <w:color w:val="auto"/>
              </w:rPr>
            </w:pPr>
          </w:p>
        </w:tc>
        <w:tc>
          <w:tcPr>
            <w:tcW w:w="140" w:type="dxa"/>
            <w:vAlign w:val="bottom"/>
            <w:shd w:val="clear" w:color="auto" w:fill="9DB8D2"/>
          </w:tcPr>
          <w:p>
            <w:pPr>
              <w:spacing w:after="0"/>
              <w:rPr>
                <w:sz w:val="11"/>
                <w:szCs w:val="11"/>
                <w:color w:val="auto"/>
              </w:rPr>
            </w:pPr>
          </w:p>
        </w:tc>
        <w:tc>
          <w:tcPr>
            <w:tcW w:w="620" w:type="dxa"/>
            <w:vAlign w:val="bottom"/>
            <w:gridSpan w:val="2"/>
            <w:shd w:val="clear" w:color="auto" w:fill="9DB8D2"/>
          </w:tcPr>
          <w:p>
            <w:pPr>
              <w:jc w:val="center"/>
              <w:ind w:right="40"/>
              <w:spacing w:after="0" w:line="135" w:lineRule="exact"/>
              <w:rPr>
                <w:sz w:val="20"/>
                <w:szCs w:val="20"/>
                <w:color w:val="auto"/>
              </w:rPr>
            </w:pPr>
            <w:r>
              <w:rPr>
                <w:rFonts w:ascii="Arial" w:cs="Arial" w:eastAsia="Arial" w:hAnsi="Arial"/>
                <w:sz w:val="13"/>
                <w:szCs w:val="13"/>
                <w:b w:val="1"/>
                <w:bCs w:val="1"/>
                <w:color w:val="auto"/>
                <w:w w:val="97"/>
              </w:rPr>
              <w:t>Awards:</w:t>
            </w:r>
          </w:p>
        </w:tc>
        <w:tc>
          <w:tcPr>
            <w:tcW w:w="800" w:type="dxa"/>
            <w:vAlign w:val="bottom"/>
            <w:gridSpan w:val="2"/>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660" w:type="dxa"/>
            <w:vAlign w:val="bottom"/>
            <w:gridSpan w:val="2"/>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Exercise</w:t>
            </w:r>
          </w:p>
        </w:tc>
        <w:tc>
          <w:tcPr>
            <w:tcW w:w="820" w:type="dxa"/>
            <w:vAlign w:val="bottom"/>
            <w:gridSpan w:val="2"/>
            <w:shd w:val="clear" w:color="auto" w:fill="9DB8D2"/>
          </w:tcPr>
          <w:p>
            <w:pPr>
              <w:jc w:val="center"/>
              <w:ind w:right="60"/>
              <w:spacing w:after="0" w:line="135" w:lineRule="exact"/>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135"/>
        </w:trPr>
        <w:tc>
          <w:tcPr>
            <w:tcW w:w="3080" w:type="dxa"/>
            <w:vAlign w:val="bottom"/>
            <w:shd w:val="clear" w:color="auto" w:fill="9DB8D2"/>
          </w:tcPr>
          <w:p>
            <w:pPr>
              <w:spacing w:after="0"/>
              <w:rPr>
                <w:sz w:val="11"/>
                <w:szCs w:val="11"/>
                <w:color w:val="auto"/>
              </w:rPr>
            </w:pPr>
          </w:p>
        </w:tc>
        <w:tc>
          <w:tcPr>
            <w:tcW w:w="140" w:type="dxa"/>
            <w:vAlign w:val="bottom"/>
            <w:shd w:val="clear" w:color="auto" w:fill="9DB8D2"/>
          </w:tcPr>
          <w:p>
            <w:pPr>
              <w:spacing w:after="0"/>
              <w:rPr>
                <w:sz w:val="11"/>
                <w:szCs w:val="11"/>
                <w:color w:val="auto"/>
              </w:rPr>
            </w:pPr>
          </w:p>
        </w:tc>
        <w:tc>
          <w:tcPr>
            <w:tcW w:w="780" w:type="dxa"/>
            <w:vAlign w:val="bottom"/>
            <w:shd w:val="clear" w:color="auto" w:fill="9DB8D2"/>
          </w:tcPr>
          <w:p>
            <w:pPr>
              <w:spacing w:after="0"/>
              <w:rPr>
                <w:sz w:val="11"/>
                <w:szCs w:val="11"/>
                <w:color w:val="auto"/>
              </w:rPr>
            </w:pPr>
          </w:p>
        </w:tc>
        <w:tc>
          <w:tcPr>
            <w:tcW w:w="2400" w:type="dxa"/>
            <w:vAlign w:val="bottom"/>
            <w:gridSpan w:val="4"/>
            <w:shd w:val="clear" w:color="auto" w:fill="9DB8D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Estimated Future Payouts</w:t>
            </w:r>
          </w:p>
        </w:tc>
        <w:tc>
          <w:tcPr>
            <w:tcW w:w="2120" w:type="dxa"/>
            <w:vAlign w:val="bottom"/>
            <w:gridSpan w:val="4"/>
            <w:shd w:val="clear" w:color="auto" w:fill="9DB8D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Estimated Future Payouts</w:t>
            </w:r>
          </w:p>
        </w:tc>
        <w:tc>
          <w:tcPr>
            <w:tcW w:w="620" w:type="dxa"/>
            <w:vAlign w:val="bottom"/>
            <w:gridSpan w:val="2"/>
            <w:shd w:val="clear" w:color="auto" w:fill="9DB8D2"/>
          </w:tcPr>
          <w:p>
            <w:pPr>
              <w:jc w:val="center"/>
              <w:ind w:right="60"/>
              <w:spacing w:after="0" w:line="135" w:lineRule="exact"/>
              <w:rPr>
                <w:sz w:val="20"/>
                <w:szCs w:val="20"/>
                <w:color w:val="auto"/>
              </w:rPr>
            </w:pPr>
            <w:r>
              <w:rPr>
                <w:rFonts w:ascii="Arial" w:cs="Arial" w:eastAsia="Arial" w:hAnsi="Arial"/>
                <w:sz w:val="13"/>
                <w:szCs w:val="13"/>
                <w:b w:val="1"/>
                <w:bCs w:val="1"/>
                <w:color w:val="auto"/>
                <w:w w:val="97"/>
              </w:rPr>
              <w:t>Number</w:t>
            </w:r>
          </w:p>
        </w:tc>
        <w:tc>
          <w:tcPr>
            <w:tcW w:w="800" w:type="dxa"/>
            <w:vAlign w:val="bottom"/>
            <w:gridSpan w:val="2"/>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8"/>
              </w:rPr>
              <w:t>Number of</w:t>
            </w:r>
          </w:p>
        </w:tc>
        <w:tc>
          <w:tcPr>
            <w:tcW w:w="660" w:type="dxa"/>
            <w:vAlign w:val="bottom"/>
            <w:gridSpan w:val="2"/>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6"/>
              </w:rPr>
              <w:t>or Base</w:t>
            </w:r>
          </w:p>
        </w:tc>
        <w:tc>
          <w:tcPr>
            <w:tcW w:w="820" w:type="dxa"/>
            <w:vAlign w:val="bottom"/>
            <w:gridSpan w:val="2"/>
            <w:shd w:val="clear" w:color="auto" w:fill="9DB8D2"/>
          </w:tcPr>
          <w:p>
            <w:pPr>
              <w:jc w:val="center"/>
              <w:ind w:right="60"/>
              <w:spacing w:after="0" w:line="135" w:lineRule="exact"/>
              <w:rPr>
                <w:sz w:val="20"/>
                <w:szCs w:val="20"/>
                <w:color w:val="auto"/>
              </w:rPr>
            </w:pPr>
            <w:r>
              <w:rPr>
                <w:rFonts w:ascii="Arial" w:cs="Arial" w:eastAsia="Arial" w:hAnsi="Arial"/>
                <w:sz w:val="13"/>
                <w:szCs w:val="13"/>
                <w:b w:val="1"/>
                <w:bCs w:val="1"/>
                <w:color w:val="auto"/>
              </w:rPr>
              <w:t>Stock</w:t>
            </w:r>
          </w:p>
        </w:tc>
        <w:tc>
          <w:tcPr>
            <w:tcW w:w="0" w:type="dxa"/>
            <w:vAlign w:val="bottom"/>
          </w:tcPr>
          <w:p>
            <w:pPr>
              <w:spacing w:after="0"/>
              <w:rPr>
                <w:sz w:val="1"/>
                <w:szCs w:val="1"/>
                <w:color w:val="auto"/>
              </w:rPr>
            </w:pPr>
          </w:p>
        </w:tc>
      </w:tr>
      <w:tr>
        <w:trPr>
          <w:trHeight w:val="135"/>
        </w:trPr>
        <w:tc>
          <w:tcPr>
            <w:tcW w:w="3080" w:type="dxa"/>
            <w:vAlign w:val="bottom"/>
            <w:shd w:val="clear" w:color="auto" w:fill="9DB8D2"/>
          </w:tcPr>
          <w:p>
            <w:pPr>
              <w:spacing w:after="0"/>
              <w:rPr>
                <w:sz w:val="11"/>
                <w:szCs w:val="11"/>
                <w:color w:val="auto"/>
              </w:rPr>
            </w:pPr>
          </w:p>
        </w:tc>
        <w:tc>
          <w:tcPr>
            <w:tcW w:w="140" w:type="dxa"/>
            <w:vAlign w:val="bottom"/>
            <w:shd w:val="clear" w:color="auto" w:fill="9DB8D2"/>
          </w:tcPr>
          <w:p>
            <w:pPr>
              <w:spacing w:after="0"/>
              <w:rPr>
                <w:sz w:val="11"/>
                <w:szCs w:val="11"/>
                <w:color w:val="auto"/>
              </w:rPr>
            </w:pPr>
          </w:p>
        </w:tc>
        <w:tc>
          <w:tcPr>
            <w:tcW w:w="780" w:type="dxa"/>
            <w:vAlign w:val="bottom"/>
            <w:shd w:val="clear" w:color="auto" w:fill="9DB8D2"/>
          </w:tcPr>
          <w:p>
            <w:pPr>
              <w:spacing w:after="0"/>
              <w:rPr>
                <w:sz w:val="11"/>
                <w:szCs w:val="11"/>
                <w:color w:val="auto"/>
              </w:rPr>
            </w:pPr>
          </w:p>
        </w:tc>
        <w:tc>
          <w:tcPr>
            <w:tcW w:w="2400" w:type="dxa"/>
            <w:vAlign w:val="bottom"/>
            <w:gridSpan w:val="4"/>
            <w:shd w:val="clear" w:color="auto" w:fill="9DB8D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Under Non-Equity Incentive</w:t>
            </w:r>
          </w:p>
        </w:tc>
        <w:tc>
          <w:tcPr>
            <w:tcW w:w="2120" w:type="dxa"/>
            <w:vAlign w:val="bottom"/>
            <w:gridSpan w:val="4"/>
            <w:shd w:val="clear" w:color="auto" w:fill="9DB8D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Under Equity Incentive</w:t>
            </w:r>
          </w:p>
        </w:tc>
        <w:tc>
          <w:tcPr>
            <w:tcW w:w="620" w:type="dxa"/>
            <w:vAlign w:val="bottom"/>
            <w:gridSpan w:val="2"/>
            <w:shd w:val="clear" w:color="auto" w:fill="9DB8D2"/>
          </w:tcPr>
          <w:p>
            <w:pPr>
              <w:jc w:val="center"/>
              <w:ind w:right="40"/>
              <w:spacing w:after="0" w:line="135" w:lineRule="exact"/>
              <w:rPr>
                <w:sz w:val="20"/>
                <w:szCs w:val="20"/>
                <w:color w:val="auto"/>
              </w:rPr>
            </w:pPr>
            <w:r>
              <w:rPr>
                <w:rFonts w:ascii="Arial" w:cs="Arial" w:eastAsia="Arial" w:hAnsi="Arial"/>
                <w:sz w:val="13"/>
                <w:szCs w:val="13"/>
                <w:b w:val="1"/>
                <w:bCs w:val="1"/>
                <w:color w:val="auto"/>
                <w:w w:val="97"/>
              </w:rPr>
              <w:t>of Shares</w:t>
            </w:r>
          </w:p>
        </w:tc>
        <w:tc>
          <w:tcPr>
            <w:tcW w:w="800" w:type="dxa"/>
            <w:vAlign w:val="bottom"/>
            <w:gridSpan w:val="2"/>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660" w:type="dxa"/>
            <w:vAlign w:val="bottom"/>
            <w:gridSpan w:val="2"/>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6"/>
              </w:rPr>
              <w:t>Price of</w:t>
            </w:r>
          </w:p>
        </w:tc>
        <w:tc>
          <w:tcPr>
            <w:tcW w:w="820" w:type="dxa"/>
            <w:vAlign w:val="bottom"/>
            <w:gridSpan w:val="2"/>
            <w:shd w:val="clear" w:color="auto" w:fill="9DB8D2"/>
          </w:tcPr>
          <w:p>
            <w:pPr>
              <w:jc w:val="center"/>
              <w:ind w:right="60"/>
              <w:spacing w:after="0" w:line="135" w:lineRule="exact"/>
              <w:rPr>
                <w:sz w:val="20"/>
                <w:szCs w:val="20"/>
                <w:color w:val="auto"/>
              </w:rPr>
            </w:pPr>
            <w:r>
              <w:rPr>
                <w:rFonts w:ascii="Arial" w:cs="Arial" w:eastAsia="Arial" w:hAnsi="Arial"/>
                <w:sz w:val="13"/>
                <w:szCs w:val="13"/>
                <w:b w:val="1"/>
                <w:bCs w:val="1"/>
                <w:color w:val="auto"/>
              </w:rPr>
              <w:t>and</w:t>
            </w:r>
          </w:p>
        </w:tc>
        <w:tc>
          <w:tcPr>
            <w:tcW w:w="0" w:type="dxa"/>
            <w:vAlign w:val="bottom"/>
          </w:tcPr>
          <w:p>
            <w:pPr>
              <w:spacing w:after="0"/>
              <w:rPr>
                <w:sz w:val="1"/>
                <w:szCs w:val="1"/>
                <w:color w:val="auto"/>
              </w:rPr>
            </w:pPr>
          </w:p>
        </w:tc>
      </w:tr>
      <w:tr>
        <w:trPr>
          <w:trHeight w:val="162"/>
        </w:trPr>
        <w:tc>
          <w:tcPr>
            <w:tcW w:w="3080" w:type="dxa"/>
            <w:vAlign w:val="bottom"/>
            <w:tcBorders>
              <w:bottom w:val="single" w:sz="8" w:color="9DB8D2"/>
            </w:tcBorders>
            <w:shd w:val="clear" w:color="auto" w:fill="9DB8D2"/>
          </w:tcPr>
          <w:p>
            <w:pPr>
              <w:spacing w:after="0"/>
              <w:rPr>
                <w:sz w:val="13"/>
                <w:szCs w:val="13"/>
                <w:color w:val="auto"/>
              </w:rPr>
            </w:pPr>
          </w:p>
        </w:tc>
        <w:tc>
          <w:tcPr>
            <w:tcW w:w="140" w:type="dxa"/>
            <w:vAlign w:val="bottom"/>
            <w:tcBorders>
              <w:bottom w:val="single" w:sz="8" w:color="9DB8D2"/>
            </w:tcBorders>
            <w:shd w:val="clear" w:color="auto" w:fill="9DB8D2"/>
          </w:tcPr>
          <w:p>
            <w:pPr>
              <w:spacing w:after="0"/>
              <w:rPr>
                <w:sz w:val="13"/>
                <w:szCs w:val="13"/>
                <w:color w:val="auto"/>
              </w:rPr>
            </w:pPr>
          </w:p>
        </w:tc>
        <w:tc>
          <w:tcPr>
            <w:tcW w:w="780" w:type="dxa"/>
            <w:vAlign w:val="bottom"/>
            <w:tcBorders>
              <w:bottom w:val="single" w:sz="8" w:color="9DB8D2"/>
            </w:tcBorders>
            <w:shd w:val="clear" w:color="auto" w:fill="9DB8D2"/>
          </w:tcPr>
          <w:p>
            <w:pPr>
              <w:spacing w:after="0"/>
              <w:rPr>
                <w:sz w:val="13"/>
                <w:szCs w:val="13"/>
                <w:color w:val="auto"/>
              </w:rPr>
            </w:pPr>
          </w:p>
        </w:tc>
        <w:tc>
          <w:tcPr>
            <w:tcW w:w="660" w:type="dxa"/>
            <w:vAlign w:val="bottom"/>
            <w:tcBorders>
              <w:bottom w:val="single" w:sz="8" w:color="9DB8D2"/>
            </w:tcBorders>
            <w:shd w:val="clear" w:color="auto" w:fill="9DB8D2"/>
          </w:tcPr>
          <w:p>
            <w:pPr>
              <w:spacing w:after="0"/>
              <w:rPr>
                <w:sz w:val="13"/>
                <w:szCs w:val="13"/>
                <w:color w:val="auto"/>
              </w:rPr>
            </w:pPr>
          </w:p>
        </w:tc>
        <w:tc>
          <w:tcPr>
            <w:tcW w:w="960" w:type="dxa"/>
            <w:vAlign w:val="bottom"/>
            <w:tcBorders>
              <w:bottom w:val="single" w:sz="8" w:color="9DB8D2"/>
            </w:tcBorders>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Plan Awards(1)</w:t>
            </w:r>
          </w:p>
        </w:tc>
        <w:tc>
          <w:tcPr>
            <w:tcW w:w="660" w:type="dxa"/>
            <w:vAlign w:val="bottom"/>
            <w:tcBorders>
              <w:bottom w:val="single" w:sz="8" w:color="9DB8D2"/>
            </w:tcBorders>
            <w:shd w:val="clear" w:color="auto" w:fill="9DB8D2"/>
          </w:tcPr>
          <w:p>
            <w:pPr>
              <w:spacing w:after="0"/>
              <w:rPr>
                <w:sz w:val="13"/>
                <w:szCs w:val="13"/>
                <w:color w:val="auto"/>
              </w:rPr>
            </w:pPr>
          </w:p>
        </w:tc>
        <w:tc>
          <w:tcPr>
            <w:tcW w:w="120" w:type="dxa"/>
            <w:vAlign w:val="bottom"/>
            <w:tcBorders>
              <w:bottom w:val="single" w:sz="8" w:color="9DB8D2"/>
            </w:tcBorders>
            <w:shd w:val="clear" w:color="auto" w:fill="9DB8D2"/>
          </w:tcPr>
          <w:p>
            <w:pPr>
              <w:spacing w:after="0"/>
              <w:rPr>
                <w:sz w:val="13"/>
                <w:szCs w:val="13"/>
                <w:color w:val="auto"/>
              </w:rPr>
            </w:pPr>
          </w:p>
        </w:tc>
        <w:tc>
          <w:tcPr>
            <w:tcW w:w="2120" w:type="dxa"/>
            <w:vAlign w:val="bottom"/>
            <w:tcBorders>
              <w:bottom w:val="single" w:sz="8" w:color="9DB8D2"/>
            </w:tcBorders>
            <w:gridSpan w:val="4"/>
            <w:shd w:val="clear" w:color="auto" w:fill="9DB8D2"/>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Plan Awards(2)</w:t>
            </w:r>
          </w:p>
        </w:tc>
        <w:tc>
          <w:tcPr>
            <w:tcW w:w="620" w:type="dxa"/>
            <w:vAlign w:val="bottom"/>
            <w:tcBorders>
              <w:bottom w:val="single" w:sz="8" w:color="9DB8D2"/>
            </w:tcBorders>
            <w:gridSpan w:val="2"/>
            <w:shd w:val="clear" w:color="auto" w:fill="9DB8D2"/>
          </w:tcPr>
          <w:p>
            <w:pPr>
              <w:jc w:val="center"/>
              <w:ind w:right="40"/>
              <w:spacing w:after="0" w:line="135" w:lineRule="exact"/>
              <w:rPr>
                <w:sz w:val="20"/>
                <w:szCs w:val="20"/>
                <w:color w:val="auto"/>
              </w:rPr>
            </w:pPr>
            <w:r>
              <w:rPr>
                <w:rFonts w:ascii="Arial" w:cs="Arial" w:eastAsia="Arial" w:hAnsi="Arial"/>
                <w:sz w:val="13"/>
                <w:szCs w:val="13"/>
                <w:b w:val="1"/>
                <w:bCs w:val="1"/>
                <w:color w:val="auto"/>
                <w:w w:val="97"/>
              </w:rPr>
              <w:t>of Stock</w:t>
            </w:r>
          </w:p>
        </w:tc>
        <w:tc>
          <w:tcPr>
            <w:tcW w:w="800" w:type="dxa"/>
            <w:vAlign w:val="bottom"/>
            <w:tcBorders>
              <w:bottom w:val="single" w:sz="8" w:color="9DB8D2"/>
            </w:tcBorders>
            <w:gridSpan w:val="2"/>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660" w:type="dxa"/>
            <w:vAlign w:val="bottom"/>
            <w:tcBorders>
              <w:bottom w:val="single" w:sz="8" w:color="9DB8D2"/>
            </w:tcBorders>
            <w:gridSpan w:val="2"/>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rPr>
              <w:t>Option</w:t>
            </w:r>
          </w:p>
        </w:tc>
        <w:tc>
          <w:tcPr>
            <w:tcW w:w="820" w:type="dxa"/>
            <w:vAlign w:val="bottom"/>
            <w:tcBorders>
              <w:bottom w:val="single" w:sz="8" w:color="9DB8D2"/>
            </w:tcBorders>
            <w:gridSpan w:val="2"/>
            <w:shd w:val="clear" w:color="auto" w:fill="9DB8D2"/>
          </w:tcPr>
          <w:p>
            <w:pPr>
              <w:jc w:val="center"/>
              <w:ind w:right="60"/>
              <w:spacing w:after="0" w:line="135" w:lineRule="exact"/>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93"/>
        </w:trPr>
        <w:tc>
          <w:tcPr>
            <w:tcW w:w="3080" w:type="dxa"/>
            <w:vAlign w:val="bottom"/>
            <w:tcBorders>
              <w:top w:val="single" w:sz="8" w:color="9DB8D2"/>
            </w:tcBorders>
            <w:vMerge w:val="restart"/>
            <w:shd w:val="clear" w:color="auto" w:fill="9DB8D2"/>
          </w:tcPr>
          <w:p>
            <w:pPr>
              <w:ind w:left="80"/>
              <w:spacing w:after="0"/>
              <w:rPr>
                <w:sz w:val="20"/>
                <w:szCs w:val="20"/>
                <w:color w:val="auto"/>
              </w:rPr>
            </w:pPr>
            <w:r>
              <w:rPr>
                <w:rFonts w:ascii="Arial" w:cs="Arial" w:eastAsia="Arial" w:hAnsi="Arial"/>
                <w:sz w:val="13"/>
                <w:szCs w:val="13"/>
                <w:b w:val="1"/>
                <w:bCs w:val="1"/>
                <w:color w:val="auto"/>
              </w:rPr>
              <w:t>Name &amp;</w:t>
            </w:r>
          </w:p>
        </w:tc>
        <w:tc>
          <w:tcPr>
            <w:tcW w:w="140" w:type="dxa"/>
            <w:vAlign w:val="bottom"/>
            <w:tcBorders>
              <w:top w:val="single" w:sz="8" w:color="9DB8D2"/>
            </w:tcBorders>
            <w:shd w:val="clear" w:color="auto" w:fill="9DB8D2"/>
          </w:tcPr>
          <w:p>
            <w:pPr>
              <w:spacing w:after="0"/>
              <w:rPr>
                <w:sz w:val="8"/>
                <w:szCs w:val="8"/>
                <w:color w:val="auto"/>
              </w:rPr>
            </w:pPr>
          </w:p>
        </w:tc>
        <w:tc>
          <w:tcPr>
            <w:tcW w:w="780" w:type="dxa"/>
            <w:vAlign w:val="bottom"/>
            <w:tcBorders>
              <w:top w:val="single" w:sz="8" w:color="9DB8D2"/>
            </w:tcBorders>
            <w:vMerge w:val="restart"/>
            <w:shd w:val="clear" w:color="auto" w:fill="9DB8D2"/>
          </w:tcPr>
          <w:p>
            <w:pPr>
              <w:jc w:val="center"/>
              <w:ind w:right="90"/>
              <w:spacing w:after="0"/>
              <w:rPr>
                <w:sz w:val="20"/>
                <w:szCs w:val="20"/>
                <w:color w:val="auto"/>
              </w:rPr>
            </w:pPr>
            <w:r>
              <w:rPr>
                <w:rFonts w:ascii="Arial" w:cs="Arial" w:eastAsia="Arial" w:hAnsi="Arial"/>
                <w:sz w:val="13"/>
                <w:szCs w:val="13"/>
                <w:b w:val="1"/>
                <w:bCs w:val="1"/>
                <w:color w:val="auto"/>
                <w:w w:val="97"/>
              </w:rPr>
              <w:t>Grant</w:t>
            </w:r>
          </w:p>
        </w:tc>
        <w:tc>
          <w:tcPr>
            <w:tcW w:w="660" w:type="dxa"/>
            <w:vAlign w:val="bottom"/>
            <w:tcBorders>
              <w:top w:val="single" w:sz="8" w:color="auto"/>
            </w:tcBorders>
            <w:vMerge w:val="restart"/>
            <w:shd w:val="clear" w:color="auto" w:fill="9DB8D2"/>
          </w:tcPr>
          <w:p>
            <w:pPr>
              <w:jc w:val="right"/>
              <w:spacing w:after="0"/>
              <w:rPr>
                <w:sz w:val="20"/>
                <w:szCs w:val="20"/>
                <w:color w:val="auto"/>
              </w:rPr>
            </w:pPr>
            <w:r>
              <w:rPr>
                <w:rFonts w:ascii="Arial" w:cs="Arial" w:eastAsia="Arial" w:hAnsi="Arial"/>
                <w:sz w:val="13"/>
                <w:szCs w:val="13"/>
                <w:b w:val="1"/>
                <w:bCs w:val="1"/>
                <w:color w:val="auto"/>
                <w:w w:val="95"/>
              </w:rPr>
              <w:t>Threshold</w:t>
            </w:r>
          </w:p>
        </w:tc>
        <w:tc>
          <w:tcPr>
            <w:tcW w:w="960" w:type="dxa"/>
            <w:vAlign w:val="bottom"/>
            <w:tcBorders>
              <w:top w:val="single" w:sz="8" w:color="auto"/>
            </w:tcBorders>
            <w:vMerge w:val="restart"/>
            <w:shd w:val="clear" w:color="auto" w:fill="9DB8D2"/>
          </w:tcPr>
          <w:p>
            <w:pPr>
              <w:jc w:val="center"/>
              <w:spacing w:after="0"/>
              <w:rPr>
                <w:sz w:val="20"/>
                <w:szCs w:val="20"/>
                <w:color w:val="auto"/>
              </w:rPr>
            </w:pPr>
            <w:r>
              <w:rPr>
                <w:rFonts w:ascii="Arial" w:cs="Arial" w:eastAsia="Arial" w:hAnsi="Arial"/>
                <w:sz w:val="13"/>
                <w:szCs w:val="13"/>
                <w:b w:val="1"/>
                <w:bCs w:val="1"/>
                <w:color w:val="auto"/>
                <w:w w:val="95"/>
              </w:rPr>
              <w:t>Target</w:t>
            </w:r>
          </w:p>
        </w:tc>
        <w:tc>
          <w:tcPr>
            <w:tcW w:w="660" w:type="dxa"/>
            <w:vAlign w:val="bottom"/>
            <w:tcBorders>
              <w:top w:val="single" w:sz="8" w:color="auto"/>
            </w:tcBorders>
            <w:vMerge w:val="restart"/>
            <w:shd w:val="clear" w:color="auto" w:fill="9DB8D2"/>
          </w:tcPr>
          <w:p>
            <w:pPr>
              <w:jc w:val="right"/>
              <w:spacing w:after="0"/>
              <w:rPr>
                <w:sz w:val="20"/>
                <w:szCs w:val="20"/>
                <w:color w:val="auto"/>
              </w:rPr>
            </w:pPr>
            <w:r>
              <w:rPr>
                <w:rFonts w:ascii="Arial" w:cs="Arial" w:eastAsia="Arial" w:hAnsi="Arial"/>
                <w:sz w:val="13"/>
                <w:szCs w:val="13"/>
                <w:b w:val="1"/>
                <w:bCs w:val="1"/>
                <w:color w:val="auto"/>
                <w:w w:val="96"/>
              </w:rPr>
              <w:t>Maximum</w:t>
            </w:r>
          </w:p>
        </w:tc>
        <w:tc>
          <w:tcPr>
            <w:tcW w:w="120" w:type="dxa"/>
            <w:vAlign w:val="bottom"/>
            <w:tcBorders>
              <w:top w:val="single" w:sz="8" w:color="9DB8D2"/>
            </w:tcBorders>
            <w:vMerge w:val="restart"/>
            <w:shd w:val="clear" w:color="auto" w:fill="9DB8D2"/>
          </w:tcPr>
          <w:p>
            <w:pPr>
              <w:spacing w:after="0"/>
              <w:rPr>
                <w:sz w:val="8"/>
                <w:szCs w:val="8"/>
                <w:color w:val="auto"/>
              </w:rPr>
            </w:pPr>
          </w:p>
        </w:tc>
        <w:tc>
          <w:tcPr>
            <w:tcW w:w="720" w:type="dxa"/>
            <w:vAlign w:val="bottom"/>
            <w:tcBorders>
              <w:top w:val="single" w:sz="8" w:color="auto"/>
            </w:tcBorders>
            <w:vMerge w:val="restart"/>
            <w:shd w:val="clear" w:color="auto" w:fill="9DB8D2"/>
          </w:tcPr>
          <w:p>
            <w:pPr>
              <w:jc w:val="right"/>
              <w:ind w:right="30"/>
              <w:spacing w:after="0"/>
              <w:rPr>
                <w:sz w:val="20"/>
                <w:szCs w:val="20"/>
                <w:color w:val="auto"/>
              </w:rPr>
            </w:pPr>
            <w:r>
              <w:rPr>
                <w:rFonts w:ascii="Arial" w:cs="Arial" w:eastAsia="Arial" w:hAnsi="Arial"/>
                <w:sz w:val="13"/>
                <w:szCs w:val="13"/>
                <w:b w:val="1"/>
                <w:bCs w:val="1"/>
                <w:color w:val="auto"/>
                <w:w w:val="95"/>
              </w:rPr>
              <w:t>Threshold</w:t>
            </w:r>
          </w:p>
        </w:tc>
        <w:tc>
          <w:tcPr>
            <w:tcW w:w="600" w:type="dxa"/>
            <w:vAlign w:val="bottom"/>
            <w:tcBorders>
              <w:top w:val="single" w:sz="8" w:color="auto"/>
            </w:tcBorders>
            <w:vMerge w:val="restart"/>
            <w:shd w:val="clear" w:color="auto" w:fill="9DB8D2"/>
          </w:tcPr>
          <w:p>
            <w:pPr>
              <w:jc w:val="center"/>
              <w:spacing w:after="0"/>
              <w:rPr>
                <w:sz w:val="20"/>
                <w:szCs w:val="20"/>
                <w:color w:val="auto"/>
              </w:rPr>
            </w:pPr>
            <w:r>
              <w:rPr>
                <w:rFonts w:ascii="Arial" w:cs="Arial" w:eastAsia="Arial" w:hAnsi="Arial"/>
                <w:sz w:val="13"/>
                <w:szCs w:val="13"/>
                <w:b w:val="1"/>
                <w:bCs w:val="1"/>
                <w:color w:val="auto"/>
                <w:w w:val="95"/>
              </w:rPr>
              <w:t>Target</w:t>
            </w:r>
          </w:p>
        </w:tc>
        <w:tc>
          <w:tcPr>
            <w:tcW w:w="660" w:type="dxa"/>
            <w:vAlign w:val="bottom"/>
            <w:tcBorders>
              <w:top w:val="single" w:sz="8" w:color="auto"/>
            </w:tcBorders>
            <w:vMerge w:val="restart"/>
            <w:shd w:val="clear" w:color="auto" w:fill="9DB8D2"/>
          </w:tcPr>
          <w:p>
            <w:pPr>
              <w:jc w:val="center"/>
              <w:ind w:left="9"/>
              <w:spacing w:after="0"/>
              <w:rPr>
                <w:sz w:val="20"/>
                <w:szCs w:val="20"/>
                <w:color w:val="auto"/>
              </w:rPr>
            </w:pPr>
            <w:r>
              <w:rPr>
                <w:rFonts w:ascii="Arial" w:cs="Arial" w:eastAsia="Arial" w:hAnsi="Arial"/>
                <w:sz w:val="13"/>
                <w:szCs w:val="13"/>
                <w:b w:val="1"/>
                <w:bCs w:val="1"/>
                <w:color w:val="auto"/>
                <w:w w:val="96"/>
              </w:rPr>
              <w:t>Maximum</w:t>
            </w:r>
          </w:p>
        </w:tc>
        <w:tc>
          <w:tcPr>
            <w:tcW w:w="140" w:type="dxa"/>
            <w:vAlign w:val="bottom"/>
            <w:tcBorders>
              <w:top w:val="single" w:sz="8" w:color="9DB8D2"/>
            </w:tcBorders>
            <w:vMerge w:val="restart"/>
            <w:shd w:val="clear" w:color="auto" w:fill="9DB8D2"/>
          </w:tcPr>
          <w:p>
            <w:pPr>
              <w:spacing w:after="0"/>
              <w:rPr>
                <w:sz w:val="8"/>
                <w:szCs w:val="8"/>
                <w:color w:val="auto"/>
              </w:rPr>
            </w:pPr>
          </w:p>
        </w:tc>
        <w:tc>
          <w:tcPr>
            <w:tcW w:w="620" w:type="dxa"/>
            <w:vAlign w:val="bottom"/>
            <w:tcBorders>
              <w:top w:val="single" w:sz="8" w:color="9DB8D2"/>
            </w:tcBorders>
            <w:gridSpan w:val="2"/>
            <w:shd w:val="clear" w:color="auto" w:fill="9DB8D2"/>
          </w:tcPr>
          <w:p>
            <w:pPr>
              <w:jc w:val="center"/>
              <w:ind w:right="60"/>
              <w:spacing w:after="0" w:line="93" w:lineRule="exact"/>
              <w:rPr>
                <w:sz w:val="20"/>
                <w:szCs w:val="20"/>
                <w:color w:val="auto"/>
              </w:rPr>
            </w:pPr>
            <w:r>
              <w:rPr>
                <w:rFonts w:ascii="Arial" w:cs="Arial" w:eastAsia="Arial" w:hAnsi="Arial"/>
                <w:sz w:val="9"/>
                <w:szCs w:val="9"/>
                <w:b w:val="1"/>
                <w:bCs w:val="1"/>
                <w:color w:val="auto"/>
              </w:rPr>
              <w:t>or Units</w:t>
            </w:r>
          </w:p>
        </w:tc>
        <w:tc>
          <w:tcPr>
            <w:tcW w:w="800" w:type="dxa"/>
            <w:vAlign w:val="bottom"/>
            <w:tcBorders>
              <w:top w:val="single" w:sz="8" w:color="9DB8D2"/>
            </w:tcBorders>
            <w:gridSpan w:val="2"/>
            <w:shd w:val="clear" w:color="auto" w:fill="9DB8D2"/>
          </w:tcPr>
          <w:p>
            <w:pPr>
              <w:jc w:val="center"/>
              <w:spacing w:after="0" w:line="93" w:lineRule="exact"/>
              <w:rPr>
                <w:sz w:val="20"/>
                <w:szCs w:val="20"/>
                <w:color w:val="auto"/>
              </w:rPr>
            </w:pPr>
            <w:r>
              <w:rPr>
                <w:rFonts w:ascii="Arial" w:cs="Arial" w:eastAsia="Arial" w:hAnsi="Arial"/>
                <w:sz w:val="9"/>
                <w:szCs w:val="9"/>
                <w:b w:val="1"/>
                <w:bCs w:val="1"/>
                <w:color w:val="auto"/>
              </w:rPr>
              <w:t>Options</w:t>
            </w:r>
          </w:p>
        </w:tc>
        <w:tc>
          <w:tcPr>
            <w:tcW w:w="660" w:type="dxa"/>
            <w:vAlign w:val="bottom"/>
            <w:tcBorders>
              <w:top w:val="single" w:sz="8" w:color="9DB8D2"/>
            </w:tcBorders>
            <w:gridSpan w:val="2"/>
            <w:shd w:val="clear" w:color="auto" w:fill="9DB8D2"/>
          </w:tcPr>
          <w:p>
            <w:pPr>
              <w:jc w:val="center"/>
              <w:spacing w:after="0" w:line="93" w:lineRule="exact"/>
              <w:rPr>
                <w:sz w:val="20"/>
                <w:szCs w:val="20"/>
                <w:color w:val="auto"/>
              </w:rPr>
            </w:pPr>
            <w:r>
              <w:rPr>
                <w:rFonts w:ascii="Arial" w:cs="Arial" w:eastAsia="Arial" w:hAnsi="Arial"/>
                <w:sz w:val="9"/>
                <w:szCs w:val="9"/>
                <w:b w:val="1"/>
                <w:bCs w:val="1"/>
                <w:color w:val="auto"/>
              </w:rPr>
              <w:t>Awards</w:t>
            </w:r>
          </w:p>
        </w:tc>
        <w:tc>
          <w:tcPr>
            <w:tcW w:w="820" w:type="dxa"/>
            <w:vAlign w:val="bottom"/>
            <w:tcBorders>
              <w:top w:val="single" w:sz="8" w:color="9DB8D2"/>
            </w:tcBorders>
            <w:gridSpan w:val="2"/>
            <w:shd w:val="clear" w:color="auto" w:fill="9DB8D2"/>
          </w:tcPr>
          <w:p>
            <w:pPr>
              <w:jc w:val="center"/>
              <w:ind w:right="60"/>
              <w:spacing w:after="0" w:line="93" w:lineRule="exact"/>
              <w:rPr>
                <w:sz w:val="20"/>
                <w:szCs w:val="20"/>
                <w:color w:val="auto"/>
              </w:rPr>
            </w:pPr>
            <w:r>
              <w:rPr>
                <w:rFonts w:ascii="Arial" w:cs="Arial" w:eastAsia="Arial" w:hAnsi="Arial"/>
                <w:sz w:val="9"/>
                <w:szCs w:val="9"/>
                <w:b w:val="1"/>
                <w:bCs w:val="1"/>
                <w:color w:val="auto"/>
              </w:rPr>
              <w:t>Awards</w:t>
            </w:r>
          </w:p>
        </w:tc>
        <w:tc>
          <w:tcPr>
            <w:tcW w:w="0" w:type="dxa"/>
            <w:vAlign w:val="bottom"/>
          </w:tcPr>
          <w:p>
            <w:pPr>
              <w:spacing w:after="0"/>
              <w:rPr>
                <w:sz w:val="1"/>
                <w:szCs w:val="1"/>
                <w:color w:val="auto"/>
              </w:rPr>
            </w:pPr>
          </w:p>
        </w:tc>
      </w:tr>
      <w:tr>
        <w:trPr>
          <w:trHeight w:val="81"/>
        </w:trPr>
        <w:tc>
          <w:tcPr>
            <w:tcW w:w="3080" w:type="dxa"/>
            <w:vAlign w:val="bottom"/>
            <w:vMerge w:val="continue"/>
            <w:shd w:val="clear" w:color="auto" w:fill="9DB8D2"/>
          </w:tcPr>
          <w:p>
            <w:pPr>
              <w:spacing w:after="0"/>
              <w:rPr>
                <w:sz w:val="7"/>
                <w:szCs w:val="7"/>
                <w:color w:val="auto"/>
              </w:rPr>
            </w:pPr>
          </w:p>
        </w:tc>
        <w:tc>
          <w:tcPr>
            <w:tcW w:w="140" w:type="dxa"/>
            <w:vAlign w:val="bottom"/>
            <w:shd w:val="clear" w:color="auto" w:fill="9DB8D2"/>
          </w:tcPr>
          <w:p>
            <w:pPr>
              <w:spacing w:after="0"/>
              <w:rPr>
                <w:sz w:val="7"/>
                <w:szCs w:val="7"/>
                <w:color w:val="auto"/>
              </w:rPr>
            </w:pPr>
          </w:p>
        </w:tc>
        <w:tc>
          <w:tcPr>
            <w:tcW w:w="780" w:type="dxa"/>
            <w:vAlign w:val="bottom"/>
            <w:vMerge w:val="continue"/>
            <w:shd w:val="clear" w:color="auto" w:fill="9DB8D2"/>
          </w:tcPr>
          <w:p>
            <w:pPr>
              <w:spacing w:after="0"/>
              <w:rPr>
                <w:sz w:val="7"/>
                <w:szCs w:val="7"/>
                <w:color w:val="auto"/>
              </w:rPr>
            </w:pPr>
          </w:p>
        </w:tc>
        <w:tc>
          <w:tcPr>
            <w:tcW w:w="660" w:type="dxa"/>
            <w:vAlign w:val="bottom"/>
            <w:vMerge w:val="continue"/>
            <w:shd w:val="clear" w:color="auto" w:fill="9DB8D2"/>
          </w:tcPr>
          <w:p>
            <w:pPr>
              <w:spacing w:after="0"/>
              <w:rPr>
                <w:sz w:val="7"/>
                <w:szCs w:val="7"/>
                <w:color w:val="auto"/>
              </w:rPr>
            </w:pPr>
          </w:p>
        </w:tc>
        <w:tc>
          <w:tcPr>
            <w:tcW w:w="960" w:type="dxa"/>
            <w:vAlign w:val="bottom"/>
            <w:vMerge w:val="continue"/>
            <w:shd w:val="clear" w:color="auto" w:fill="9DB8D2"/>
          </w:tcPr>
          <w:p>
            <w:pPr>
              <w:spacing w:after="0"/>
              <w:rPr>
                <w:sz w:val="7"/>
                <w:szCs w:val="7"/>
                <w:color w:val="auto"/>
              </w:rPr>
            </w:pPr>
          </w:p>
        </w:tc>
        <w:tc>
          <w:tcPr>
            <w:tcW w:w="660" w:type="dxa"/>
            <w:vAlign w:val="bottom"/>
            <w:vMerge w:val="continue"/>
            <w:shd w:val="clear" w:color="auto" w:fill="9DB8D2"/>
          </w:tcPr>
          <w:p>
            <w:pPr>
              <w:spacing w:after="0"/>
              <w:rPr>
                <w:sz w:val="7"/>
                <w:szCs w:val="7"/>
                <w:color w:val="auto"/>
              </w:rPr>
            </w:pPr>
          </w:p>
        </w:tc>
        <w:tc>
          <w:tcPr>
            <w:tcW w:w="120" w:type="dxa"/>
            <w:vAlign w:val="bottom"/>
            <w:vMerge w:val="continue"/>
            <w:shd w:val="clear" w:color="auto" w:fill="9DB8D2"/>
          </w:tcPr>
          <w:p>
            <w:pPr>
              <w:spacing w:after="0"/>
              <w:rPr>
                <w:sz w:val="7"/>
                <w:szCs w:val="7"/>
                <w:color w:val="auto"/>
              </w:rPr>
            </w:pPr>
          </w:p>
        </w:tc>
        <w:tc>
          <w:tcPr>
            <w:tcW w:w="720" w:type="dxa"/>
            <w:vAlign w:val="bottom"/>
            <w:vMerge w:val="continue"/>
            <w:shd w:val="clear" w:color="auto" w:fill="9DB8D2"/>
          </w:tcPr>
          <w:p>
            <w:pPr>
              <w:spacing w:after="0"/>
              <w:rPr>
                <w:sz w:val="7"/>
                <w:szCs w:val="7"/>
                <w:color w:val="auto"/>
              </w:rPr>
            </w:pPr>
          </w:p>
        </w:tc>
        <w:tc>
          <w:tcPr>
            <w:tcW w:w="600" w:type="dxa"/>
            <w:vAlign w:val="bottom"/>
            <w:vMerge w:val="continue"/>
            <w:shd w:val="clear" w:color="auto" w:fill="9DB8D2"/>
          </w:tcPr>
          <w:p>
            <w:pPr>
              <w:spacing w:after="0"/>
              <w:rPr>
                <w:sz w:val="7"/>
                <w:szCs w:val="7"/>
                <w:color w:val="auto"/>
              </w:rPr>
            </w:pPr>
          </w:p>
        </w:tc>
        <w:tc>
          <w:tcPr>
            <w:tcW w:w="660" w:type="dxa"/>
            <w:vAlign w:val="bottom"/>
            <w:vMerge w:val="continue"/>
            <w:shd w:val="clear" w:color="auto" w:fill="9DB8D2"/>
          </w:tcPr>
          <w:p>
            <w:pPr>
              <w:spacing w:after="0"/>
              <w:rPr>
                <w:sz w:val="7"/>
                <w:szCs w:val="7"/>
                <w:color w:val="auto"/>
              </w:rPr>
            </w:pPr>
          </w:p>
        </w:tc>
        <w:tc>
          <w:tcPr>
            <w:tcW w:w="140" w:type="dxa"/>
            <w:vAlign w:val="bottom"/>
            <w:vMerge w:val="continue"/>
            <w:shd w:val="clear" w:color="auto" w:fill="9DB8D2"/>
          </w:tcPr>
          <w:p>
            <w:pPr>
              <w:spacing w:after="0"/>
              <w:rPr>
                <w:sz w:val="7"/>
                <w:szCs w:val="7"/>
                <w:color w:val="auto"/>
              </w:rPr>
            </w:pPr>
          </w:p>
        </w:tc>
        <w:tc>
          <w:tcPr>
            <w:tcW w:w="580" w:type="dxa"/>
            <w:vAlign w:val="bottom"/>
            <w:vMerge w:val="restart"/>
            <w:shd w:val="clear" w:color="auto" w:fill="9DB8D2"/>
          </w:tcPr>
          <w:p>
            <w:pPr>
              <w:jc w:val="center"/>
              <w:spacing w:after="0"/>
              <w:rPr>
                <w:sz w:val="20"/>
                <w:szCs w:val="20"/>
                <w:color w:val="auto"/>
              </w:rPr>
            </w:pPr>
            <w:r>
              <w:rPr>
                <w:rFonts w:ascii="Arial" w:cs="Arial" w:eastAsia="Arial" w:hAnsi="Arial"/>
                <w:sz w:val="13"/>
                <w:szCs w:val="13"/>
                <w:b w:val="1"/>
                <w:bCs w:val="1"/>
                <w:color w:val="auto"/>
                <w:w w:val="94"/>
              </w:rPr>
              <w:t>(#)(3)</w:t>
            </w:r>
          </w:p>
        </w:tc>
        <w:tc>
          <w:tcPr>
            <w:tcW w:w="40" w:type="dxa"/>
            <w:vAlign w:val="bottom"/>
            <w:shd w:val="clear" w:color="auto" w:fill="9DB8D2"/>
          </w:tcPr>
          <w:p>
            <w:pPr>
              <w:spacing w:after="0"/>
              <w:rPr>
                <w:sz w:val="7"/>
                <w:szCs w:val="7"/>
                <w:color w:val="auto"/>
              </w:rPr>
            </w:pPr>
          </w:p>
        </w:tc>
        <w:tc>
          <w:tcPr>
            <w:tcW w:w="760" w:type="dxa"/>
            <w:vAlign w:val="bottom"/>
            <w:vMerge w:val="restart"/>
            <w:shd w:val="clear" w:color="auto" w:fill="9DB8D2"/>
          </w:tcPr>
          <w:p>
            <w:pPr>
              <w:jc w:val="center"/>
              <w:ind w:left="11"/>
              <w:spacing w:after="0"/>
              <w:rPr>
                <w:sz w:val="20"/>
                <w:szCs w:val="20"/>
                <w:color w:val="auto"/>
              </w:rPr>
            </w:pPr>
            <w:r>
              <w:rPr>
                <w:rFonts w:ascii="Arial" w:cs="Arial" w:eastAsia="Arial" w:hAnsi="Arial"/>
                <w:sz w:val="13"/>
                <w:szCs w:val="13"/>
                <w:b w:val="1"/>
                <w:bCs w:val="1"/>
                <w:color w:val="auto"/>
              </w:rPr>
              <w:t>(#)(4)</w:t>
            </w:r>
          </w:p>
        </w:tc>
        <w:tc>
          <w:tcPr>
            <w:tcW w:w="40" w:type="dxa"/>
            <w:vAlign w:val="bottom"/>
            <w:shd w:val="clear" w:color="auto" w:fill="9DB8D2"/>
          </w:tcPr>
          <w:p>
            <w:pPr>
              <w:spacing w:after="0"/>
              <w:rPr>
                <w:sz w:val="7"/>
                <w:szCs w:val="7"/>
                <w:color w:val="auto"/>
              </w:rPr>
            </w:pPr>
          </w:p>
        </w:tc>
        <w:tc>
          <w:tcPr>
            <w:tcW w:w="660" w:type="dxa"/>
            <w:vAlign w:val="bottom"/>
            <w:gridSpan w:val="2"/>
            <w:vMerge w:val="restart"/>
            <w:shd w:val="clear" w:color="auto" w:fill="9DB8D2"/>
          </w:tcPr>
          <w:p>
            <w:pPr>
              <w:jc w:val="center"/>
              <w:spacing w:after="0"/>
              <w:rPr>
                <w:sz w:val="20"/>
                <w:szCs w:val="20"/>
                <w:color w:val="auto"/>
              </w:rPr>
            </w:pPr>
            <w:r>
              <w:rPr>
                <w:rFonts w:ascii="Arial" w:cs="Arial" w:eastAsia="Arial" w:hAnsi="Arial"/>
                <w:sz w:val="13"/>
                <w:szCs w:val="13"/>
                <w:b w:val="1"/>
                <w:bCs w:val="1"/>
                <w:color w:val="auto"/>
                <w:w w:val="94"/>
              </w:rPr>
              <w:t>($/Sh)</w:t>
            </w:r>
          </w:p>
        </w:tc>
        <w:tc>
          <w:tcPr>
            <w:tcW w:w="720" w:type="dxa"/>
            <w:vAlign w:val="bottom"/>
            <w:vMerge w:val="restart"/>
            <w:shd w:val="clear" w:color="auto" w:fill="9DB8D2"/>
          </w:tcPr>
          <w:p>
            <w:pPr>
              <w:jc w:val="center"/>
              <w:spacing w:after="0"/>
              <w:rPr>
                <w:sz w:val="20"/>
                <w:szCs w:val="20"/>
                <w:color w:val="auto"/>
              </w:rPr>
            </w:pPr>
            <w:r>
              <w:rPr>
                <w:rFonts w:ascii="Arial" w:cs="Arial" w:eastAsia="Arial" w:hAnsi="Arial"/>
                <w:sz w:val="13"/>
                <w:szCs w:val="13"/>
                <w:b w:val="1"/>
                <w:bCs w:val="1"/>
                <w:color w:val="auto"/>
              </w:rPr>
              <w:t>($)(5)</w:t>
            </w:r>
          </w:p>
        </w:tc>
        <w:tc>
          <w:tcPr>
            <w:tcW w:w="100" w:type="dxa"/>
            <w:vAlign w:val="bottom"/>
            <w:shd w:val="clear" w:color="auto" w:fill="9DB8D2"/>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3080" w:type="dxa"/>
            <w:vAlign w:val="bottom"/>
            <w:vMerge w:val="restart"/>
            <w:shd w:val="clear" w:color="auto" w:fill="9DB8D2"/>
          </w:tcPr>
          <w:p>
            <w:pPr>
              <w:ind w:left="80"/>
              <w:spacing w:after="0"/>
              <w:rPr>
                <w:sz w:val="20"/>
                <w:szCs w:val="20"/>
                <w:color w:val="auto"/>
              </w:rPr>
            </w:pPr>
            <w:r>
              <w:rPr>
                <w:rFonts w:ascii="Arial" w:cs="Arial" w:eastAsia="Arial" w:hAnsi="Arial"/>
                <w:sz w:val="13"/>
                <w:szCs w:val="13"/>
                <w:b w:val="1"/>
                <w:bCs w:val="1"/>
                <w:color w:val="auto"/>
              </w:rPr>
              <w:t>Principal Position</w:t>
            </w:r>
          </w:p>
        </w:tc>
        <w:tc>
          <w:tcPr>
            <w:tcW w:w="140" w:type="dxa"/>
            <w:vAlign w:val="bottom"/>
            <w:shd w:val="clear" w:color="auto" w:fill="9DB8D2"/>
          </w:tcPr>
          <w:p>
            <w:pPr>
              <w:spacing w:after="0"/>
              <w:rPr>
                <w:sz w:val="7"/>
                <w:szCs w:val="7"/>
                <w:color w:val="auto"/>
              </w:rPr>
            </w:pPr>
          </w:p>
        </w:tc>
        <w:tc>
          <w:tcPr>
            <w:tcW w:w="780" w:type="dxa"/>
            <w:vAlign w:val="bottom"/>
            <w:vMerge w:val="restart"/>
            <w:shd w:val="clear" w:color="auto" w:fill="9DB8D2"/>
          </w:tcPr>
          <w:p>
            <w:pPr>
              <w:jc w:val="center"/>
              <w:ind w:right="110"/>
              <w:spacing w:after="0"/>
              <w:rPr>
                <w:sz w:val="20"/>
                <w:szCs w:val="20"/>
                <w:color w:val="auto"/>
              </w:rPr>
            </w:pPr>
            <w:r>
              <w:rPr>
                <w:rFonts w:ascii="Arial" w:cs="Arial" w:eastAsia="Arial" w:hAnsi="Arial"/>
                <w:sz w:val="13"/>
                <w:szCs w:val="13"/>
                <w:b w:val="1"/>
                <w:bCs w:val="1"/>
                <w:color w:val="auto"/>
                <w:w w:val="99"/>
              </w:rPr>
              <w:t>Date</w:t>
            </w:r>
          </w:p>
        </w:tc>
        <w:tc>
          <w:tcPr>
            <w:tcW w:w="660" w:type="dxa"/>
            <w:vAlign w:val="bottom"/>
            <w:vMerge w:val="restart"/>
            <w:shd w:val="clear" w:color="auto" w:fill="9DB8D2"/>
          </w:tcPr>
          <w:p>
            <w:pPr>
              <w:jc w:val="right"/>
              <w:ind w:right="189"/>
              <w:spacing w:after="0"/>
              <w:rPr>
                <w:sz w:val="20"/>
                <w:szCs w:val="20"/>
                <w:color w:val="auto"/>
              </w:rPr>
            </w:pPr>
            <w:r>
              <w:rPr>
                <w:rFonts w:ascii="Arial" w:cs="Arial" w:eastAsia="Arial" w:hAnsi="Arial"/>
                <w:sz w:val="13"/>
                <w:szCs w:val="13"/>
                <w:b w:val="1"/>
                <w:bCs w:val="1"/>
                <w:color w:val="auto"/>
              </w:rPr>
              <w:t>($)</w:t>
            </w:r>
          </w:p>
        </w:tc>
        <w:tc>
          <w:tcPr>
            <w:tcW w:w="960" w:type="dxa"/>
            <w:vAlign w:val="bottom"/>
            <w:vMerge w:val="restart"/>
            <w:shd w:val="clear" w:color="auto" w:fill="9DB8D2"/>
          </w:tcPr>
          <w:p>
            <w:pPr>
              <w:jc w:val="center"/>
              <w:ind w:right="9"/>
              <w:spacing w:after="0"/>
              <w:rPr>
                <w:sz w:val="20"/>
                <w:szCs w:val="20"/>
                <w:color w:val="auto"/>
              </w:rPr>
            </w:pPr>
            <w:r>
              <w:rPr>
                <w:rFonts w:ascii="Arial" w:cs="Arial" w:eastAsia="Arial" w:hAnsi="Arial"/>
                <w:sz w:val="13"/>
                <w:szCs w:val="13"/>
                <w:b w:val="1"/>
                <w:bCs w:val="1"/>
                <w:color w:val="auto"/>
              </w:rPr>
              <w:t>($)</w:t>
            </w:r>
          </w:p>
        </w:tc>
        <w:tc>
          <w:tcPr>
            <w:tcW w:w="660" w:type="dxa"/>
            <w:vAlign w:val="bottom"/>
            <w:vMerge w:val="restart"/>
            <w:shd w:val="clear" w:color="auto" w:fill="9DB8D2"/>
          </w:tcPr>
          <w:p>
            <w:pPr>
              <w:jc w:val="right"/>
              <w:ind w:right="209"/>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9DB8D2"/>
          </w:tcPr>
          <w:p>
            <w:pPr>
              <w:spacing w:after="0"/>
              <w:rPr>
                <w:sz w:val="7"/>
                <w:szCs w:val="7"/>
                <w:color w:val="auto"/>
              </w:rPr>
            </w:pPr>
          </w:p>
        </w:tc>
        <w:tc>
          <w:tcPr>
            <w:tcW w:w="720" w:type="dxa"/>
            <w:vAlign w:val="bottom"/>
            <w:vMerge w:val="restart"/>
            <w:shd w:val="clear" w:color="auto" w:fill="9DB8D2"/>
          </w:tcPr>
          <w:p>
            <w:pPr>
              <w:jc w:val="right"/>
              <w:ind w:right="250"/>
              <w:spacing w:after="0"/>
              <w:rPr>
                <w:sz w:val="20"/>
                <w:szCs w:val="20"/>
                <w:color w:val="auto"/>
              </w:rPr>
            </w:pPr>
            <w:r>
              <w:rPr>
                <w:rFonts w:ascii="Arial" w:cs="Arial" w:eastAsia="Arial" w:hAnsi="Arial"/>
                <w:sz w:val="13"/>
                <w:szCs w:val="13"/>
                <w:b w:val="1"/>
                <w:bCs w:val="1"/>
                <w:color w:val="auto"/>
              </w:rPr>
              <w:t>(#)</w:t>
            </w:r>
          </w:p>
        </w:tc>
        <w:tc>
          <w:tcPr>
            <w:tcW w:w="600" w:type="dxa"/>
            <w:vAlign w:val="bottom"/>
            <w:vMerge w:val="restart"/>
            <w:shd w:val="clear" w:color="auto" w:fill="9DB8D2"/>
          </w:tcPr>
          <w:p>
            <w:pPr>
              <w:jc w:val="center"/>
              <w:spacing w:after="0"/>
              <w:rPr>
                <w:sz w:val="20"/>
                <w:szCs w:val="20"/>
                <w:color w:val="auto"/>
              </w:rPr>
            </w:pPr>
            <w:r>
              <w:rPr>
                <w:rFonts w:ascii="Arial" w:cs="Arial" w:eastAsia="Arial" w:hAnsi="Arial"/>
                <w:sz w:val="13"/>
                <w:szCs w:val="13"/>
                <w:b w:val="1"/>
                <w:bCs w:val="1"/>
                <w:color w:val="auto"/>
                <w:w w:val="87"/>
              </w:rPr>
              <w:t>(#)</w:t>
            </w:r>
          </w:p>
        </w:tc>
        <w:tc>
          <w:tcPr>
            <w:tcW w:w="660" w:type="dxa"/>
            <w:vAlign w:val="bottom"/>
            <w:vMerge w:val="restart"/>
            <w:shd w:val="clear" w:color="auto" w:fill="9DB8D2"/>
          </w:tcPr>
          <w:p>
            <w:pPr>
              <w:jc w:val="right"/>
              <w:ind w:right="149"/>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9DB8D2"/>
          </w:tcPr>
          <w:p>
            <w:pPr>
              <w:spacing w:after="0"/>
              <w:rPr>
                <w:sz w:val="7"/>
                <w:szCs w:val="7"/>
                <w:color w:val="auto"/>
              </w:rPr>
            </w:pPr>
          </w:p>
        </w:tc>
        <w:tc>
          <w:tcPr>
            <w:tcW w:w="580" w:type="dxa"/>
            <w:vAlign w:val="bottom"/>
            <w:vMerge w:val="continue"/>
            <w:shd w:val="clear" w:color="auto" w:fill="9DB8D2"/>
          </w:tcPr>
          <w:p>
            <w:pPr>
              <w:spacing w:after="0"/>
              <w:rPr>
                <w:sz w:val="7"/>
                <w:szCs w:val="7"/>
                <w:color w:val="auto"/>
              </w:rPr>
            </w:pPr>
          </w:p>
        </w:tc>
        <w:tc>
          <w:tcPr>
            <w:tcW w:w="40" w:type="dxa"/>
            <w:vAlign w:val="bottom"/>
            <w:shd w:val="clear" w:color="auto" w:fill="9DB8D2"/>
          </w:tcPr>
          <w:p>
            <w:pPr>
              <w:spacing w:after="0"/>
              <w:rPr>
                <w:sz w:val="7"/>
                <w:szCs w:val="7"/>
                <w:color w:val="auto"/>
              </w:rPr>
            </w:pPr>
          </w:p>
        </w:tc>
        <w:tc>
          <w:tcPr>
            <w:tcW w:w="760" w:type="dxa"/>
            <w:vAlign w:val="bottom"/>
            <w:vMerge w:val="continue"/>
            <w:shd w:val="clear" w:color="auto" w:fill="9DB8D2"/>
          </w:tcPr>
          <w:p>
            <w:pPr>
              <w:spacing w:after="0"/>
              <w:rPr>
                <w:sz w:val="7"/>
                <w:szCs w:val="7"/>
                <w:color w:val="auto"/>
              </w:rPr>
            </w:pPr>
          </w:p>
        </w:tc>
        <w:tc>
          <w:tcPr>
            <w:tcW w:w="40" w:type="dxa"/>
            <w:vAlign w:val="bottom"/>
            <w:shd w:val="clear" w:color="auto" w:fill="9DB8D2"/>
          </w:tcPr>
          <w:p>
            <w:pPr>
              <w:spacing w:after="0"/>
              <w:rPr>
                <w:sz w:val="7"/>
                <w:szCs w:val="7"/>
                <w:color w:val="auto"/>
              </w:rPr>
            </w:pPr>
          </w:p>
        </w:tc>
        <w:tc>
          <w:tcPr>
            <w:tcW w:w="660" w:type="dxa"/>
            <w:vAlign w:val="bottom"/>
            <w:gridSpan w:val="2"/>
            <w:vMerge w:val="continue"/>
            <w:shd w:val="clear" w:color="auto" w:fill="9DB8D2"/>
          </w:tcPr>
          <w:p>
            <w:pPr>
              <w:spacing w:after="0"/>
              <w:rPr>
                <w:sz w:val="7"/>
                <w:szCs w:val="7"/>
                <w:color w:val="auto"/>
              </w:rPr>
            </w:pPr>
          </w:p>
        </w:tc>
        <w:tc>
          <w:tcPr>
            <w:tcW w:w="720" w:type="dxa"/>
            <w:vAlign w:val="bottom"/>
            <w:vMerge w:val="continue"/>
            <w:shd w:val="clear" w:color="auto" w:fill="9DB8D2"/>
          </w:tcPr>
          <w:p>
            <w:pPr>
              <w:spacing w:after="0"/>
              <w:rPr>
                <w:sz w:val="7"/>
                <w:szCs w:val="7"/>
                <w:color w:val="auto"/>
              </w:rPr>
            </w:pPr>
          </w:p>
        </w:tc>
        <w:tc>
          <w:tcPr>
            <w:tcW w:w="100" w:type="dxa"/>
            <w:vAlign w:val="bottom"/>
            <w:shd w:val="clear" w:color="auto" w:fill="9DB8D2"/>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3080" w:type="dxa"/>
            <w:vAlign w:val="bottom"/>
            <w:tcBorders>
              <w:bottom w:val="single" w:sz="8" w:color="auto"/>
            </w:tcBorders>
            <w:vMerge w:val="continue"/>
            <w:shd w:val="clear" w:color="auto" w:fill="9DB8D2"/>
          </w:tcPr>
          <w:p>
            <w:pPr>
              <w:spacing w:after="0"/>
              <w:rPr>
                <w:sz w:val="7"/>
                <w:szCs w:val="7"/>
                <w:color w:val="auto"/>
              </w:rPr>
            </w:pPr>
          </w:p>
        </w:tc>
        <w:tc>
          <w:tcPr>
            <w:tcW w:w="140" w:type="dxa"/>
            <w:vAlign w:val="bottom"/>
            <w:tcBorders>
              <w:bottom w:val="single" w:sz="8" w:color="auto"/>
            </w:tcBorders>
            <w:shd w:val="clear" w:color="auto" w:fill="9DB8D2"/>
          </w:tcPr>
          <w:p>
            <w:pPr>
              <w:spacing w:after="0"/>
              <w:rPr>
                <w:sz w:val="7"/>
                <w:szCs w:val="7"/>
                <w:color w:val="auto"/>
              </w:rPr>
            </w:pPr>
          </w:p>
        </w:tc>
        <w:tc>
          <w:tcPr>
            <w:tcW w:w="780" w:type="dxa"/>
            <w:vAlign w:val="bottom"/>
            <w:tcBorders>
              <w:bottom w:val="single" w:sz="8" w:color="auto"/>
            </w:tcBorders>
            <w:vMerge w:val="continue"/>
            <w:shd w:val="clear" w:color="auto" w:fill="9DB8D2"/>
          </w:tcPr>
          <w:p>
            <w:pPr>
              <w:spacing w:after="0"/>
              <w:rPr>
                <w:sz w:val="7"/>
                <w:szCs w:val="7"/>
                <w:color w:val="auto"/>
              </w:rPr>
            </w:pPr>
          </w:p>
        </w:tc>
        <w:tc>
          <w:tcPr>
            <w:tcW w:w="660" w:type="dxa"/>
            <w:vAlign w:val="bottom"/>
            <w:tcBorders>
              <w:bottom w:val="single" w:sz="8" w:color="auto"/>
            </w:tcBorders>
            <w:vMerge w:val="continue"/>
            <w:shd w:val="clear" w:color="auto" w:fill="9DB8D2"/>
          </w:tcPr>
          <w:p>
            <w:pPr>
              <w:spacing w:after="0"/>
              <w:rPr>
                <w:sz w:val="7"/>
                <w:szCs w:val="7"/>
                <w:color w:val="auto"/>
              </w:rPr>
            </w:pPr>
          </w:p>
        </w:tc>
        <w:tc>
          <w:tcPr>
            <w:tcW w:w="960" w:type="dxa"/>
            <w:vAlign w:val="bottom"/>
            <w:tcBorders>
              <w:bottom w:val="single" w:sz="8" w:color="auto"/>
            </w:tcBorders>
            <w:vMerge w:val="continue"/>
            <w:shd w:val="clear" w:color="auto" w:fill="9DB8D2"/>
          </w:tcPr>
          <w:p>
            <w:pPr>
              <w:spacing w:after="0"/>
              <w:rPr>
                <w:sz w:val="7"/>
                <w:szCs w:val="7"/>
                <w:color w:val="auto"/>
              </w:rPr>
            </w:pPr>
          </w:p>
        </w:tc>
        <w:tc>
          <w:tcPr>
            <w:tcW w:w="660" w:type="dxa"/>
            <w:vAlign w:val="bottom"/>
            <w:tcBorders>
              <w:bottom w:val="single" w:sz="8" w:color="auto"/>
            </w:tcBorders>
            <w:vMerge w:val="continue"/>
            <w:shd w:val="clear" w:color="auto" w:fill="9DB8D2"/>
          </w:tcPr>
          <w:p>
            <w:pPr>
              <w:spacing w:after="0"/>
              <w:rPr>
                <w:sz w:val="7"/>
                <w:szCs w:val="7"/>
                <w:color w:val="auto"/>
              </w:rPr>
            </w:pPr>
          </w:p>
        </w:tc>
        <w:tc>
          <w:tcPr>
            <w:tcW w:w="120" w:type="dxa"/>
            <w:vAlign w:val="bottom"/>
            <w:tcBorders>
              <w:bottom w:val="single" w:sz="8" w:color="auto"/>
            </w:tcBorders>
            <w:shd w:val="clear" w:color="auto" w:fill="9DB8D2"/>
          </w:tcPr>
          <w:p>
            <w:pPr>
              <w:spacing w:after="0"/>
              <w:rPr>
                <w:sz w:val="7"/>
                <w:szCs w:val="7"/>
                <w:color w:val="auto"/>
              </w:rPr>
            </w:pPr>
          </w:p>
        </w:tc>
        <w:tc>
          <w:tcPr>
            <w:tcW w:w="720" w:type="dxa"/>
            <w:vAlign w:val="bottom"/>
            <w:tcBorders>
              <w:bottom w:val="single" w:sz="8" w:color="auto"/>
            </w:tcBorders>
            <w:vMerge w:val="continue"/>
            <w:shd w:val="clear" w:color="auto" w:fill="9DB8D2"/>
          </w:tcPr>
          <w:p>
            <w:pPr>
              <w:spacing w:after="0"/>
              <w:rPr>
                <w:sz w:val="7"/>
                <w:szCs w:val="7"/>
                <w:color w:val="auto"/>
              </w:rPr>
            </w:pPr>
          </w:p>
        </w:tc>
        <w:tc>
          <w:tcPr>
            <w:tcW w:w="600" w:type="dxa"/>
            <w:vAlign w:val="bottom"/>
            <w:tcBorders>
              <w:bottom w:val="single" w:sz="8" w:color="auto"/>
            </w:tcBorders>
            <w:vMerge w:val="continue"/>
            <w:shd w:val="clear" w:color="auto" w:fill="9DB8D2"/>
          </w:tcPr>
          <w:p>
            <w:pPr>
              <w:spacing w:after="0"/>
              <w:rPr>
                <w:sz w:val="7"/>
                <w:szCs w:val="7"/>
                <w:color w:val="auto"/>
              </w:rPr>
            </w:pPr>
          </w:p>
        </w:tc>
        <w:tc>
          <w:tcPr>
            <w:tcW w:w="660" w:type="dxa"/>
            <w:vAlign w:val="bottom"/>
            <w:tcBorders>
              <w:bottom w:val="single" w:sz="8" w:color="auto"/>
            </w:tcBorders>
            <w:vMerge w:val="continue"/>
            <w:shd w:val="clear" w:color="auto" w:fill="9DB8D2"/>
          </w:tcPr>
          <w:p>
            <w:pPr>
              <w:spacing w:after="0"/>
              <w:rPr>
                <w:sz w:val="7"/>
                <w:szCs w:val="7"/>
                <w:color w:val="auto"/>
              </w:rPr>
            </w:pPr>
          </w:p>
        </w:tc>
        <w:tc>
          <w:tcPr>
            <w:tcW w:w="140" w:type="dxa"/>
            <w:vAlign w:val="bottom"/>
            <w:tcBorders>
              <w:bottom w:val="single" w:sz="8" w:color="auto"/>
            </w:tcBorders>
            <w:shd w:val="clear" w:color="auto" w:fill="9DB8D2"/>
          </w:tcPr>
          <w:p>
            <w:pPr>
              <w:spacing w:after="0"/>
              <w:rPr>
                <w:sz w:val="7"/>
                <w:szCs w:val="7"/>
                <w:color w:val="auto"/>
              </w:rPr>
            </w:pPr>
          </w:p>
        </w:tc>
        <w:tc>
          <w:tcPr>
            <w:tcW w:w="580" w:type="dxa"/>
            <w:vAlign w:val="bottom"/>
            <w:tcBorders>
              <w:bottom w:val="single" w:sz="8" w:color="auto"/>
            </w:tcBorders>
            <w:shd w:val="clear" w:color="auto" w:fill="9DB8D2"/>
          </w:tcPr>
          <w:p>
            <w:pPr>
              <w:spacing w:after="0"/>
              <w:rPr>
                <w:sz w:val="7"/>
                <w:szCs w:val="7"/>
                <w:color w:val="auto"/>
              </w:rPr>
            </w:pPr>
          </w:p>
        </w:tc>
        <w:tc>
          <w:tcPr>
            <w:tcW w:w="40" w:type="dxa"/>
            <w:vAlign w:val="bottom"/>
            <w:tcBorders>
              <w:bottom w:val="single" w:sz="8" w:color="E6EDF3"/>
            </w:tcBorders>
            <w:shd w:val="clear" w:color="auto" w:fill="9DB8D2"/>
          </w:tcPr>
          <w:p>
            <w:pPr>
              <w:spacing w:after="0"/>
              <w:rPr>
                <w:sz w:val="7"/>
                <w:szCs w:val="7"/>
                <w:color w:val="auto"/>
              </w:rPr>
            </w:pPr>
          </w:p>
        </w:tc>
        <w:tc>
          <w:tcPr>
            <w:tcW w:w="760" w:type="dxa"/>
            <w:vAlign w:val="bottom"/>
            <w:tcBorders>
              <w:bottom w:val="single" w:sz="8" w:color="auto"/>
            </w:tcBorders>
            <w:shd w:val="clear" w:color="auto" w:fill="9DB8D2"/>
          </w:tcPr>
          <w:p>
            <w:pPr>
              <w:spacing w:after="0"/>
              <w:rPr>
                <w:sz w:val="7"/>
                <w:szCs w:val="7"/>
                <w:color w:val="auto"/>
              </w:rPr>
            </w:pPr>
          </w:p>
        </w:tc>
        <w:tc>
          <w:tcPr>
            <w:tcW w:w="40" w:type="dxa"/>
            <w:vAlign w:val="bottom"/>
            <w:tcBorders>
              <w:bottom w:val="single" w:sz="8" w:color="E6EDF3"/>
            </w:tcBorders>
            <w:shd w:val="clear" w:color="auto" w:fill="9DB8D2"/>
          </w:tcPr>
          <w:p>
            <w:pPr>
              <w:spacing w:after="0"/>
              <w:rPr>
                <w:sz w:val="7"/>
                <w:szCs w:val="7"/>
                <w:color w:val="auto"/>
              </w:rPr>
            </w:pPr>
          </w:p>
        </w:tc>
        <w:tc>
          <w:tcPr>
            <w:tcW w:w="620" w:type="dxa"/>
            <w:vAlign w:val="bottom"/>
            <w:tcBorders>
              <w:bottom w:val="single" w:sz="8" w:color="auto"/>
            </w:tcBorders>
            <w:shd w:val="clear" w:color="auto" w:fill="9DB8D2"/>
          </w:tcPr>
          <w:p>
            <w:pPr>
              <w:spacing w:after="0"/>
              <w:rPr>
                <w:sz w:val="7"/>
                <w:szCs w:val="7"/>
                <w:color w:val="auto"/>
              </w:rPr>
            </w:pPr>
          </w:p>
        </w:tc>
        <w:tc>
          <w:tcPr>
            <w:tcW w:w="40" w:type="dxa"/>
            <w:vAlign w:val="bottom"/>
            <w:tcBorders>
              <w:bottom w:val="single" w:sz="8" w:color="E6EDF3"/>
            </w:tcBorders>
            <w:shd w:val="clear" w:color="auto" w:fill="9DB8D2"/>
          </w:tcPr>
          <w:p>
            <w:pPr>
              <w:spacing w:after="0"/>
              <w:rPr>
                <w:sz w:val="7"/>
                <w:szCs w:val="7"/>
                <w:color w:val="auto"/>
              </w:rPr>
            </w:pPr>
          </w:p>
        </w:tc>
        <w:tc>
          <w:tcPr>
            <w:tcW w:w="720" w:type="dxa"/>
            <w:vAlign w:val="bottom"/>
            <w:tcBorders>
              <w:bottom w:val="single" w:sz="8" w:color="auto"/>
            </w:tcBorders>
            <w:shd w:val="clear" w:color="auto" w:fill="9DB8D2"/>
          </w:tcPr>
          <w:p>
            <w:pPr>
              <w:spacing w:after="0"/>
              <w:rPr>
                <w:sz w:val="7"/>
                <w:szCs w:val="7"/>
                <w:color w:val="auto"/>
              </w:rPr>
            </w:pPr>
          </w:p>
        </w:tc>
        <w:tc>
          <w:tcPr>
            <w:tcW w:w="100" w:type="dxa"/>
            <w:vAlign w:val="bottom"/>
            <w:tcBorders>
              <w:bottom w:val="single" w:sz="8" w:color="E6EDF3"/>
            </w:tcBorders>
            <w:shd w:val="clear" w:color="auto" w:fill="9DB8D2"/>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080" w:type="dxa"/>
            <w:vAlign w:val="bottom"/>
            <w:shd w:val="clear" w:color="auto" w:fill="E6EDF3"/>
          </w:tcPr>
          <w:p>
            <w:pPr>
              <w:ind w:left="80"/>
              <w:spacing w:after="0" w:line="157" w:lineRule="exact"/>
              <w:rPr>
                <w:sz w:val="20"/>
                <w:szCs w:val="20"/>
                <w:color w:val="auto"/>
              </w:rPr>
            </w:pPr>
            <w:r>
              <w:rPr>
                <w:rFonts w:ascii="Arial" w:cs="Arial" w:eastAsia="Arial" w:hAnsi="Arial"/>
                <w:sz w:val="14"/>
                <w:szCs w:val="14"/>
                <w:color w:val="auto"/>
              </w:rPr>
              <w:t>Jonas Prising</w:t>
            </w:r>
          </w:p>
        </w:tc>
        <w:tc>
          <w:tcPr>
            <w:tcW w:w="920" w:type="dxa"/>
            <w:vAlign w:val="bottom"/>
            <w:gridSpan w:val="2"/>
            <w:shd w:val="clear" w:color="auto" w:fill="E6EDF3"/>
          </w:tcPr>
          <w:p>
            <w:pPr>
              <w:jc w:val="center"/>
              <w:spacing w:after="0" w:line="157" w:lineRule="exact"/>
              <w:rPr>
                <w:sz w:val="20"/>
                <w:szCs w:val="20"/>
                <w:color w:val="auto"/>
              </w:rPr>
            </w:pPr>
            <w:r>
              <w:rPr>
                <w:rFonts w:ascii="Arial" w:cs="Arial" w:eastAsia="Arial" w:hAnsi="Arial"/>
                <w:sz w:val="14"/>
                <w:szCs w:val="14"/>
                <w:color w:val="auto"/>
              </w:rPr>
              <w:t>2/16/2016</w:t>
            </w:r>
          </w:p>
        </w:tc>
        <w:tc>
          <w:tcPr>
            <w:tcW w:w="660" w:type="dxa"/>
            <w:vAlign w:val="bottom"/>
            <w:shd w:val="clear" w:color="auto" w:fill="E6EDF3"/>
          </w:tcPr>
          <w:p>
            <w:pPr>
              <w:jc w:val="right"/>
              <w:spacing w:after="0" w:line="157" w:lineRule="exact"/>
              <w:rPr>
                <w:sz w:val="20"/>
                <w:szCs w:val="20"/>
                <w:color w:val="auto"/>
              </w:rPr>
            </w:pPr>
            <w:r>
              <w:rPr>
                <w:rFonts w:ascii="Arial" w:cs="Arial" w:eastAsia="Arial" w:hAnsi="Arial"/>
                <w:sz w:val="14"/>
                <w:szCs w:val="14"/>
                <w:color w:val="auto"/>
              </w:rPr>
              <w:t>450,000</w:t>
            </w:r>
          </w:p>
        </w:tc>
        <w:tc>
          <w:tcPr>
            <w:tcW w:w="960" w:type="dxa"/>
            <w:vAlign w:val="bottom"/>
            <w:shd w:val="clear" w:color="auto" w:fill="E6EDF3"/>
          </w:tcPr>
          <w:p>
            <w:pPr>
              <w:jc w:val="right"/>
              <w:ind w:right="89"/>
              <w:spacing w:after="0" w:line="157" w:lineRule="exact"/>
              <w:rPr>
                <w:sz w:val="20"/>
                <w:szCs w:val="20"/>
                <w:color w:val="auto"/>
              </w:rPr>
            </w:pPr>
            <w:r>
              <w:rPr>
                <w:rFonts w:ascii="Arial" w:cs="Arial" w:eastAsia="Arial" w:hAnsi="Arial"/>
                <w:sz w:val="14"/>
                <w:szCs w:val="14"/>
                <w:color w:val="auto"/>
              </w:rPr>
              <w:t>1,800,000</w:t>
            </w:r>
          </w:p>
        </w:tc>
        <w:tc>
          <w:tcPr>
            <w:tcW w:w="660" w:type="dxa"/>
            <w:vAlign w:val="bottom"/>
            <w:shd w:val="clear" w:color="auto" w:fill="E6EDF3"/>
          </w:tcPr>
          <w:p>
            <w:pPr>
              <w:jc w:val="right"/>
              <w:spacing w:after="0" w:line="157" w:lineRule="exact"/>
              <w:rPr>
                <w:sz w:val="20"/>
                <w:szCs w:val="20"/>
                <w:color w:val="auto"/>
              </w:rPr>
            </w:pPr>
            <w:r>
              <w:rPr>
                <w:rFonts w:ascii="Arial" w:cs="Arial" w:eastAsia="Arial" w:hAnsi="Arial"/>
                <w:sz w:val="14"/>
                <w:szCs w:val="14"/>
                <w:color w:val="auto"/>
              </w:rPr>
              <w:t>3,600,000</w:t>
            </w:r>
          </w:p>
        </w:tc>
        <w:tc>
          <w:tcPr>
            <w:tcW w:w="120" w:type="dxa"/>
            <w:vAlign w:val="bottom"/>
            <w:shd w:val="clear" w:color="auto" w:fill="E6EDF3"/>
          </w:tcPr>
          <w:p>
            <w:pPr>
              <w:spacing w:after="0"/>
              <w:rPr>
                <w:sz w:val="13"/>
                <w:szCs w:val="13"/>
                <w:color w:val="auto"/>
              </w:rPr>
            </w:pPr>
          </w:p>
        </w:tc>
        <w:tc>
          <w:tcPr>
            <w:tcW w:w="720" w:type="dxa"/>
            <w:vAlign w:val="bottom"/>
            <w:shd w:val="clear" w:color="auto" w:fill="E6EDF3"/>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600" w:type="dxa"/>
            <w:vAlign w:val="bottom"/>
            <w:shd w:val="clear" w:color="auto" w:fill="E6EDF3"/>
          </w:tcPr>
          <w:p>
            <w:pPr>
              <w:jc w:val="right"/>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E6EDF3"/>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E6EDF3"/>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E6EDF3"/>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6EDF3"/>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E6EDF3"/>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080" w:type="dxa"/>
            <w:vAlign w:val="bottom"/>
            <w:shd w:val="clear" w:color="auto" w:fill="E6EDF3"/>
          </w:tcPr>
          <w:p>
            <w:pPr>
              <w:ind w:left="180"/>
              <w:spacing w:after="0"/>
              <w:rPr>
                <w:sz w:val="20"/>
                <w:szCs w:val="20"/>
                <w:color w:val="auto"/>
              </w:rPr>
            </w:pPr>
            <w:r>
              <w:rPr>
                <w:rFonts w:ascii="Arial" w:cs="Arial" w:eastAsia="Arial" w:hAnsi="Arial"/>
                <w:sz w:val="14"/>
                <w:szCs w:val="14"/>
                <w:i w:val="1"/>
                <w:iCs w:val="1"/>
                <w:color w:val="auto"/>
              </w:rPr>
              <w:t>CEO</w:t>
            </w:r>
          </w:p>
        </w:tc>
        <w:tc>
          <w:tcPr>
            <w:tcW w:w="140" w:type="dxa"/>
            <w:vAlign w:val="bottom"/>
            <w:shd w:val="clear" w:color="auto" w:fill="E6EDF3"/>
          </w:tcPr>
          <w:p>
            <w:pPr>
              <w:spacing w:after="0"/>
              <w:rPr>
                <w:sz w:val="14"/>
                <w:szCs w:val="14"/>
                <w:color w:val="auto"/>
              </w:rPr>
            </w:pPr>
          </w:p>
        </w:tc>
        <w:tc>
          <w:tcPr>
            <w:tcW w:w="780" w:type="dxa"/>
            <w:vAlign w:val="bottom"/>
            <w:shd w:val="clear" w:color="auto" w:fill="E6EDF3"/>
          </w:tcPr>
          <w:p>
            <w:pPr>
              <w:jc w:val="center"/>
              <w:ind w:right="30"/>
              <w:spacing w:after="0"/>
              <w:rPr>
                <w:sz w:val="20"/>
                <w:szCs w:val="20"/>
                <w:color w:val="auto"/>
              </w:rPr>
            </w:pPr>
            <w:r>
              <w:rPr>
                <w:rFonts w:ascii="Arial" w:cs="Arial" w:eastAsia="Arial" w:hAnsi="Arial"/>
                <w:sz w:val="14"/>
                <w:szCs w:val="14"/>
                <w:color w:val="auto"/>
              </w:rPr>
              <w:t>2/16/2016</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6EDF3"/>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6EDF3"/>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DF3"/>
          </w:tcPr>
          <w:p>
            <w:pPr>
              <w:jc w:val="right"/>
              <w:ind w:right="10"/>
              <w:spacing w:after="0"/>
              <w:rPr>
                <w:sz w:val="20"/>
                <w:szCs w:val="20"/>
                <w:color w:val="auto"/>
              </w:rPr>
            </w:pPr>
            <w:r>
              <w:rPr>
                <w:rFonts w:ascii="Arial" w:cs="Arial" w:eastAsia="Arial" w:hAnsi="Arial"/>
                <w:sz w:val="14"/>
                <w:szCs w:val="14"/>
                <w:color w:val="auto"/>
              </w:rPr>
              <w:t>29,973</w:t>
            </w:r>
          </w:p>
        </w:tc>
        <w:tc>
          <w:tcPr>
            <w:tcW w:w="600" w:type="dxa"/>
            <w:vAlign w:val="bottom"/>
            <w:shd w:val="clear" w:color="auto" w:fill="E6EDF3"/>
          </w:tcPr>
          <w:p>
            <w:pPr>
              <w:jc w:val="right"/>
              <w:spacing w:after="0"/>
              <w:rPr>
                <w:sz w:val="20"/>
                <w:szCs w:val="20"/>
                <w:color w:val="auto"/>
              </w:rPr>
            </w:pPr>
            <w:r>
              <w:rPr>
                <w:rFonts w:ascii="Arial" w:cs="Arial" w:eastAsia="Arial" w:hAnsi="Arial"/>
                <w:sz w:val="14"/>
                <w:szCs w:val="14"/>
                <w:color w:val="auto"/>
              </w:rPr>
              <w:t>59,945</w:t>
            </w:r>
          </w:p>
        </w:tc>
        <w:tc>
          <w:tcPr>
            <w:tcW w:w="800" w:type="dxa"/>
            <w:vAlign w:val="bottom"/>
            <w:gridSpan w:val="2"/>
            <w:shd w:val="clear" w:color="auto" w:fill="E6EDF3"/>
          </w:tcPr>
          <w:p>
            <w:pPr>
              <w:jc w:val="right"/>
              <w:ind w:right="140"/>
              <w:spacing w:after="0"/>
              <w:rPr>
                <w:sz w:val="20"/>
                <w:szCs w:val="20"/>
                <w:color w:val="auto"/>
              </w:rPr>
            </w:pPr>
            <w:r>
              <w:rPr>
                <w:rFonts w:ascii="Arial" w:cs="Arial" w:eastAsia="Arial" w:hAnsi="Arial"/>
                <w:sz w:val="14"/>
                <w:szCs w:val="14"/>
                <w:color w:val="auto"/>
              </w:rPr>
              <w:t>119,890</w:t>
            </w:r>
          </w:p>
        </w:tc>
        <w:tc>
          <w:tcPr>
            <w:tcW w:w="620" w:type="dxa"/>
            <w:vAlign w:val="bottom"/>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DF3"/>
          </w:tcPr>
          <w:p>
            <w:pPr>
              <w:jc w:val="right"/>
              <w:spacing w:after="0"/>
              <w:rPr>
                <w:sz w:val="20"/>
                <w:szCs w:val="20"/>
                <w:color w:val="auto"/>
              </w:rPr>
            </w:pPr>
            <w:r>
              <w:rPr>
                <w:rFonts w:ascii="Arial" w:cs="Arial" w:eastAsia="Arial" w:hAnsi="Arial"/>
                <w:sz w:val="14"/>
                <w:szCs w:val="14"/>
                <w:color w:val="auto"/>
              </w:rPr>
              <w:t>4,500,071</w:t>
            </w:r>
          </w:p>
        </w:tc>
        <w:tc>
          <w:tcPr>
            <w:tcW w:w="100" w:type="dxa"/>
            <w:vAlign w:val="bottom"/>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780" w:type="dxa"/>
            <w:vAlign w:val="bottom"/>
            <w:shd w:val="clear" w:color="auto" w:fill="E6EDF3"/>
          </w:tcPr>
          <w:p>
            <w:pPr>
              <w:jc w:val="center"/>
              <w:ind w:right="30"/>
              <w:spacing w:after="0"/>
              <w:rPr>
                <w:sz w:val="20"/>
                <w:szCs w:val="20"/>
                <w:color w:val="auto"/>
              </w:rPr>
            </w:pPr>
            <w:r>
              <w:rPr>
                <w:rFonts w:ascii="Arial" w:cs="Arial" w:eastAsia="Arial" w:hAnsi="Arial"/>
                <w:sz w:val="14"/>
                <w:szCs w:val="14"/>
                <w:color w:val="auto"/>
              </w:rPr>
              <w:t>2/16/2016</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6EDF3"/>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6EDF3"/>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DF3"/>
          </w:tcPr>
          <w:p>
            <w:pPr>
              <w:jc w:val="right"/>
              <w:ind w:right="10"/>
              <w:spacing w:after="0"/>
              <w:rPr>
                <w:sz w:val="20"/>
                <w:szCs w:val="20"/>
                <w:color w:val="auto"/>
              </w:rPr>
            </w:pPr>
            <w:r>
              <w:rPr>
                <w:rFonts w:ascii="Arial" w:cs="Arial" w:eastAsia="Arial" w:hAnsi="Arial"/>
                <w:sz w:val="14"/>
                <w:szCs w:val="14"/>
                <w:color w:val="auto"/>
              </w:rPr>
              <w:t>—</w:t>
            </w:r>
          </w:p>
        </w:tc>
        <w:tc>
          <w:tcPr>
            <w:tcW w:w="60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E6EDF3"/>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19,982</w:t>
            </w:r>
          </w:p>
        </w:tc>
        <w:tc>
          <w:tcPr>
            <w:tcW w:w="800" w:type="dxa"/>
            <w:vAlign w:val="bottom"/>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DF3"/>
          </w:tcPr>
          <w:p>
            <w:pPr>
              <w:jc w:val="right"/>
              <w:spacing w:after="0"/>
              <w:rPr>
                <w:sz w:val="20"/>
                <w:szCs w:val="20"/>
                <w:color w:val="auto"/>
              </w:rPr>
            </w:pPr>
            <w:r>
              <w:rPr>
                <w:rFonts w:ascii="Arial" w:cs="Arial" w:eastAsia="Arial" w:hAnsi="Arial"/>
                <w:sz w:val="14"/>
                <w:szCs w:val="14"/>
                <w:color w:val="auto"/>
              </w:rPr>
              <w:t>1,500,049</w:t>
            </w:r>
          </w:p>
        </w:tc>
        <w:tc>
          <w:tcPr>
            <w:tcW w:w="100" w:type="dxa"/>
            <w:vAlign w:val="bottom"/>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Borders>
              <w:bottom w:val="single" w:sz="8" w:color="auto"/>
            </w:tcBorders>
            <w:shd w:val="clear" w:color="auto" w:fill="E6EDF3"/>
          </w:tcPr>
          <w:p>
            <w:pPr>
              <w:spacing w:after="0"/>
              <w:rPr>
                <w:sz w:val="14"/>
                <w:szCs w:val="14"/>
                <w:color w:val="auto"/>
              </w:rPr>
            </w:pPr>
          </w:p>
        </w:tc>
        <w:tc>
          <w:tcPr>
            <w:tcW w:w="140" w:type="dxa"/>
            <w:vAlign w:val="bottom"/>
            <w:tcBorders>
              <w:bottom w:val="single" w:sz="8" w:color="auto"/>
            </w:tcBorders>
            <w:shd w:val="clear" w:color="auto" w:fill="E6EDF3"/>
          </w:tcPr>
          <w:p>
            <w:pPr>
              <w:spacing w:after="0"/>
              <w:rPr>
                <w:sz w:val="14"/>
                <w:szCs w:val="14"/>
                <w:color w:val="auto"/>
              </w:rPr>
            </w:pPr>
          </w:p>
        </w:tc>
        <w:tc>
          <w:tcPr>
            <w:tcW w:w="780" w:type="dxa"/>
            <w:vAlign w:val="bottom"/>
            <w:tcBorders>
              <w:bottom w:val="single" w:sz="8" w:color="auto"/>
            </w:tcBorders>
            <w:shd w:val="clear" w:color="auto" w:fill="E6EDF3"/>
          </w:tcPr>
          <w:p>
            <w:pPr>
              <w:jc w:val="center"/>
              <w:ind w:right="30"/>
              <w:spacing w:after="0"/>
              <w:rPr>
                <w:sz w:val="20"/>
                <w:szCs w:val="20"/>
                <w:color w:val="auto"/>
              </w:rPr>
            </w:pPr>
            <w:r>
              <w:rPr>
                <w:rFonts w:ascii="Arial" w:cs="Arial" w:eastAsia="Arial" w:hAnsi="Arial"/>
                <w:sz w:val="14"/>
                <w:szCs w:val="14"/>
                <w:color w:val="auto"/>
              </w:rPr>
              <w:t>2/16/2016</w:t>
            </w:r>
          </w:p>
        </w:tc>
        <w:tc>
          <w:tcPr>
            <w:tcW w:w="6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E6EDF3"/>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shd w:val="clear" w:color="auto" w:fill="E6EDF3"/>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E6EDF3"/>
          </w:tcPr>
          <w:p>
            <w:pPr>
              <w:jc w:val="right"/>
              <w:ind w:right="1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shd w:val="clear" w:color="auto" w:fill="E6EDF3"/>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76,220</w:t>
            </w:r>
          </w:p>
        </w:tc>
        <w:tc>
          <w:tcPr>
            <w:tcW w:w="660" w:type="dxa"/>
            <w:vAlign w:val="bottom"/>
            <w:tcBorders>
              <w:bottom w:val="single" w:sz="8" w:color="auto"/>
            </w:tcBorders>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75.07</w:t>
            </w:r>
          </w:p>
        </w:tc>
        <w:tc>
          <w:tcPr>
            <w:tcW w:w="72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1,500,010</w:t>
            </w:r>
          </w:p>
        </w:tc>
        <w:tc>
          <w:tcPr>
            <w:tcW w:w="100" w:type="dxa"/>
            <w:vAlign w:val="bottom"/>
            <w:tcBorders>
              <w:bottom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080" w:type="dxa"/>
            <w:vAlign w:val="bottom"/>
          </w:tcPr>
          <w:p>
            <w:pPr>
              <w:ind w:left="80"/>
              <w:spacing w:after="0" w:line="147" w:lineRule="exact"/>
              <w:rPr>
                <w:sz w:val="20"/>
                <w:szCs w:val="20"/>
                <w:color w:val="auto"/>
              </w:rPr>
            </w:pPr>
            <w:r>
              <w:rPr>
                <w:rFonts w:ascii="Arial" w:cs="Arial" w:eastAsia="Arial" w:hAnsi="Arial"/>
                <w:sz w:val="14"/>
                <w:szCs w:val="14"/>
                <w:color w:val="auto"/>
              </w:rPr>
              <w:t>John T. McGinnis</w:t>
            </w:r>
          </w:p>
        </w:tc>
        <w:tc>
          <w:tcPr>
            <w:tcW w:w="920" w:type="dxa"/>
            <w:vAlign w:val="bottom"/>
            <w:gridSpan w:val="2"/>
          </w:tcPr>
          <w:p>
            <w:pPr>
              <w:jc w:val="center"/>
              <w:spacing w:after="0" w:line="147" w:lineRule="exact"/>
              <w:rPr>
                <w:sz w:val="20"/>
                <w:szCs w:val="20"/>
                <w:color w:val="auto"/>
              </w:rPr>
            </w:pPr>
            <w:r>
              <w:rPr>
                <w:rFonts w:ascii="Arial" w:cs="Arial" w:eastAsia="Arial" w:hAnsi="Arial"/>
                <w:sz w:val="14"/>
                <w:szCs w:val="14"/>
                <w:color w:val="auto"/>
              </w:rPr>
              <w:t>2/16/2016</w:t>
            </w: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150,000</w:t>
            </w:r>
          </w:p>
        </w:tc>
        <w:tc>
          <w:tcPr>
            <w:tcW w:w="960" w:type="dxa"/>
            <w:vAlign w:val="bottom"/>
          </w:tcPr>
          <w:p>
            <w:pPr>
              <w:jc w:val="right"/>
              <w:ind w:right="89"/>
              <w:spacing w:after="0" w:line="147" w:lineRule="exact"/>
              <w:rPr>
                <w:sz w:val="20"/>
                <w:szCs w:val="20"/>
                <w:color w:val="auto"/>
              </w:rPr>
            </w:pPr>
            <w:r>
              <w:rPr>
                <w:rFonts w:ascii="Arial" w:cs="Arial" w:eastAsia="Arial" w:hAnsi="Arial"/>
                <w:sz w:val="14"/>
                <w:szCs w:val="14"/>
                <w:color w:val="auto"/>
              </w:rPr>
              <w:t>600,000</w:t>
            </w: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1,200,000</w:t>
            </w:r>
          </w:p>
        </w:tc>
        <w:tc>
          <w:tcPr>
            <w:tcW w:w="120" w:type="dxa"/>
            <w:vAlign w:val="bottom"/>
          </w:tcPr>
          <w:p>
            <w:pPr>
              <w:spacing w:after="0"/>
              <w:rPr>
                <w:sz w:val="12"/>
                <w:szCs w:val="12"/>
                <w:color w:val="auto"/>
              </w:rPr>
            </w:pPr>
          </w:p>
        </w:tc>
        <w:tc>
          <w:tcPr>
            <w:tcW w:w="720" w:type="dxa"/>
            <w:vAlign w:val="bottom"/>
          </w:tcPr>
          <w:p>
            <w:pPr>
              <w:jc w:val="right"/>
              <w:ind w:right="10"/>
              <w:spacing w:after="0" w:line="147"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080" w:type="dxa"/>
            <w:vAlign w:val="bottom"/>
          </w:tcPr>
          <w:p>
            <w:pPr>
              <w:ind w:left="180"/>
              <w:spacing w:after="0"/>
              <w:rPr>
                <w:sz w:val="20"/>
                <w:szCs w:val="20"/>
                <w:color w:val="auto"/>
              </w:rPr>
            </w:pPr>
            <w:r>
              <w:rPr>
                <w:rFonts w:ascii="Arial" w:cs="Arial" w:eastAsia="Arial" w:hAnsi="Arial"/>
                <w:sz w:val="14"/>
                <w:szCs w:val="14"/>
                <w:i w:val="1"/>
                <w:iCs w:val="1"/>
                <w:color w:val="auto"/>
              </w:rPr>
              <w:t>CFO</w:t>
            </w: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rPr>
              <w:t>2/16/2016</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7,993</w:t>
            </w:r>
          </w:p>
        </w:tc>
        <w:tc>
          <w:tcPr>
            <w:tcW w:w="600" w:type="dxa"/>
            <w:vAlign w:val="bottom"/>
          </w:tcPr>
          <w:p>
            <w:pPr>
              <w:jc w:val="right"/>
              <w:spacing w:after="0"/>
              <w:rPr>
                <w:sz w:val="20"/>
                <w:szCs w:val="20"/>
                <w:color w:val="auto"/>
              </w:rPr>
            </w:pPr>
            <w:r>
              <w:rPr>
                <w:rFonts w:ascii="Arial" w:cs="Arial" w:eastAsia="Arial" w:hAnsi="Arial"/>
                <w:sz w:val="14"/>
                <w:szCs w:val="14"/>
                <w:color w:val="auto"/>
              </w:rPr>
              <w:t>15,986</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31,972</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1,200,069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rPr>
              <w:t>2/16/2016</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5,329</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400,048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rPr>
              <w:t>2/16/2016</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13,321</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1,000,007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0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center"/>
              <w:spacing w:after="0" w:line="157" w:lineRule="exact"/>
              <w:rPr>
                <w:sz w:val="20"/>
                <w:szCs w:val="20"/>
                <w:color w:val="auto"/>
              </w:rPr>
            </w:pPr>
            <w:r>
              <w:rPr>
                <w:rFonts w:ascii="Arial" w:cs="Arial" w:eastAsia="Arial" w:hAnsi="Arial"/>
                <w:sz w:val="14"/>
                <w:szCs w:val="14"/>
                <w:color w:val="auto"/>
              </w:rPr>
              <w:t>2/16/2016</w:t>
            </w: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2"/>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tcPr>
          <w:p>
            <w:pPr>
              <w:jc w:val="right"/>
              <w:ind w:right="40"/>
              <w:spacing w:after="0" w:line="157" w:lineRule="exact"/>
              <w:rPr>
                <w:sz w:val="20"/>
                <w:szCs w:val="20"/>
                <w:color w:val="auto"/>
              </w:rPr>
            </w:pPr>
            <w:r>
              <w:rPr>
                <w:rFonts w:ascii="Arial" w:cs="Arial" w:eastAsia="Arial" w:hAnsi="Arial"/>
                <w:sz w:val="14"/>
                <w:szCs w:val="14"/>
                <w:color w:val="auto"/>
              </w:rPr>
              <w:t>20,326</w:t>
            </w:r>
          </w:p>
        </w:tc>
        <w:tc>
          <w:tcPr>
            <w:tcW w:w="660" w:type="dxa"/>
            <w:vAlign w:val="bottom"/>
            <w:tcBorders>
              <w:bottom w:val="single" w:sz="8" w:color="auto"/>
            </w:tcBorders>
            <w:gridSpan w:val="2"/>
          </w:tcPr>
          <w:p>
            <w:pPr>
              <w:jc w:val="right"/>
              <w:ind w:right="40"/>
              <w:spacing w:after="0" w:line="157" w:lineRule="exact"/>
              <w:rPr>
                <w:sz w:val="20"/>
                <w:szCs w:val="20"/>
                <w:color w:val="auto"/>
              </w:rPr>
            </w:pPr>
            <w:r>
              <w:rPr>
                <w:rFonts w:ascii="Arial" w:cs="Arial" w:eastAsia="Arial" w:hAnsi="Arial"/>
                <w:sz w:val="14"/>
                <w:szCs w:val="14"/>
                <w:color w:val="auto"/>
              </w:rPr>
              <w:t>75.07</w:t>
            </w:r>
          </w:p>
        </w:tc>
        <w:tc>
          <w:tcPr>
            <w:tcW w:w="7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400,016</w:t>
            </w: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80" w:type="dxa"/>
            <w:vAlign w:val="bottom"/>
            <w:shd w:val="clear" w:color="auto" w:fill="E6EDF3"/>
          </w:tcPr>
          <w:p>
            <w:pPr>
              <w:ind w:left="80"/>
              <w:spacing w:after="0" w:line="155" w:lineRule="exact"/>
              <w:rPr>
                <w:sz w:val="20"/>
                <w:szCs w:val="20"/>
                <w:color w:val="auto"/>
              </w:rPr>
            </w:pPr>
            <w:r>
              <w:rPr>
                <w:rFonts w:ascii="Arial" w:cs="Arial" w:eastAsia="Arial" w:hAnsi="Arial"/>
                <w:sz w:val="14"/>
                <w:szCs w:val="14"/>
                <w:color w:val="auto"/>
              </w:rPr>
              <w:t>Darryl Green</w:t>
            </w:r>
          </w:p>
        </w:tc>
        <w:tc>
          <w:tcPr>
            <w:tcW w:w="920" w:type="dxa"/>
            <w:vAlign w:val="bottom"/>
            <w:gridSpan w:val="2"/>
            <w:shd w:val="clear" w:color="auto" w:fill="E6EDF3"/>
          </w:tcPr>
          <w:p>
            <w:pPr>
              <w:jc w:val="center"/>
              <w:spacing w:after="0" w:line="155" w:lineRule="exact"/>
              <w:rPr>
                <w:sz w:val="20"/>
                <w:szCs w:val="20"/>
                <w:color w:val="auto"/>
              </w:rPr>
            </w:pPr>
            <w:r>
              <w:rPr>
                <w:rFonts w:ascii="Arial" w:cs="Arial" w:eastAsia="Arial" w:hAnsi="Arial"/>
                <w:sz w:val="14"/>
                <w:szCs w:val="14"/>
                <w:color w:val="auto"/>
              </w:rPr>
              <w:t>2/16/2016</w:t>
            </w:r>
          </w:p>
        </w:tc>
        <w:tc>
          <w:tcPr>
            <w:tcW w:w="660" w:type="dxa"/>
            <w:vAlign w:val="bottom"/>
            <w:shd w:val="clear" w:color="auto" w:fill="E6EDF3"/>
          </w:tcPr>
          <w:p>
            <w:pPr>
              <w:jc w:val="right"/>
              <w:spacing w:after="0" w:line="155" w:lineRule="exact"/>
              <w:rPr>
                <w:sz w:val="20"/>
                <w:szCs w:val="20"/>
                <w:color w:val="auto"/>
              </w:rPr>
            </w:pPr>
            <w:r>
              <w:rPr>
                <w:rFonts w:ascii="Arial" w:cs="Arial" w:eastAsia="Arial" w:hAnsi="Arial"/>
                <w:sz w:val="14"/>
                <w:szCs w:val="14"/>
                <w:color w:val="auto"/>
              </w:rPr>
              <w:t>200,000</w:t>
            </w:r>
          </w:p>
        </w:tc>
        <w:tc>
          <w:tcPr>
            <w:tcW w:w="960" w:type="dxa"/>
            <w:vAlign w:val="bottom"/>
            <w:shd w:val="clear" w:color="auto" w:fill="E6EDF3"/>
          </w:tcPr>
          <w:p>
            <w:pPr>
              <w:jc w:val="right"/>
              <w:ind w:right="89"/>
              <w:spacing w:after="0" w:line="155" w:lineRule="exact"/>
              <w:rPr>
                <w:sz w:val="20"/>
                <w:szCs w:val="20"/>
                <w:color w:val="auto"/>
              </w:rPr>
            </w:pPr>
            <w:r>
              <w:rPr>
                <w:rFonts w:ascii="Arial" w:cs="Arial" w:eastAsia="Arial" w:hAnsi="Arial"/>
                <w:sz w:val="14"/>
                <w:szCs w:val="14"/>
                <w:color w:val="auto"/>
              </w:rPr>
              <w:t>800,000</w:t>
            </w:r>
          </w:p>
        </w:tc>
        <w:tc>
          <w:tcPr>
            <w:tcW w:w="660" w:type="dxa"/>
            <w:vAlign w:val="bottom"/>
            <w:shd w:val="clear" w:color="auto" w:fill="E6EDF3"/>
          </w:tcPr>
          <w:p>
            <w:pPr>
              <w:jc w:val="right"/>
              <w:spacing w:after="0" w:line="155" w:lineRule="exact"/>
              <w:rPr>
                <w:sz w:val="20"/>
                <w:szCs w:val="20"/>
                <w:color w:val="auto"/>
              </w:rPr>
            </w:pPr>
            <w:r>
              <w:rPr>
                <w:rFonts w:ascii="Arial" w:cs="Arial" w:eastAsia="Arial" w:hAnsi="Arial"/>
                <w:sz w:val="14"/>
                <w:szCs w:val="14"/>
                <w:color w:val="auto"/>
              </w:rPr>
              <w:t>1,600,000</w:t>
            </w:r>
          </w:p>
        </w:tc>
        <w:tc>
          <w:tcPr>
            <w:tcW w:w="120" w:type="dxa"/>
            <w:vAlign w:val="bottom"/>
            <w:shd w:val="clear" w:color="auto" w:fill="E6EDF3"/>
          </w:tcPr>
          <w:p>
            <w:pPr>
              <w:spacing w:after="0"/>
              <w:rPr>
                <w:sz w:val="13"/>
                <w:szCs w:val="13"/>
                <w:color w:val="auto"/>
              </w:rPr>
            </w:pPr>
          </w:p>
        </w:tc>
        <w:tc>
          <w:tcPr>
            <w:tcW w:w="720" w:type="dxa"/>
            <w:vAlign w:val="bottom"/>
            <w:shd w:val="clear" w:color="auto" w:fill="E6EDF3"/>
          </w:tcPr>
          <w:p>
            <w:pPr>
              <w:jc w:val="right"/>
              <w:ind w:right="10"/>
              <w:spacing w:after="0" w:line="155" w:lineRule="exact"/>
              <w:rPr>
                <w:sz w:val="20"/>
                <w:szCs w:val="20"/>
                <w:color w:val="auto"/>
              </w:rPr>
            </w:pPr>
            <w:r>
              <w:rPr>
                <w:rFonts w:ascii="Arial" w:cs="Arial" w:eastAsia="Arial" w:hAnsi="Arial"/>
                <w:sz w:val="14"/>
                <w:szCs w:val="14"/>
                <w:color w:val="auto"/>
              </w:rPr>
              <w:t>—</w:t>
            </w:r>
          </w:p>
        </w:tc>
        <w:tc>
          <w:tcPr>
            <w:tcW w:w="600" w:type="dxa"/>
            <w:vAlign w:val="bottom"/>
            <w:shd w:val="clear" w:color="auto" w:fill="E6EDF3"/>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E6EDF3"/>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E6EDF3"/>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E6EDF3"/>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6EDF3"/>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E6EDF3"/>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080" w:type="dxa"/>
            <w:vAlign w:val="bottom"/>
            <w:shd w:val="clear" w:color="auto" w:fill="E6EDF3"/>
          </w:tcPr>
          <w:p>
            <w:pPr>
              <w:ind w:left="180"/>
              <w:spacing w:after="0"/>
              <w:rPr>
                <w:sz w:val="20"/>
                <w:szCs w:val="20"/>
                <w:color w:val="auto"/>
              </w:rPr>
            </w:pPr>
            <w:r>
              <w:rPr>
                <w:rFonts w:ascii="Arial" w:cs="Arial" w:eastAsia="Arial" w:hAnsi="Arial"/>
                <w:sz w:val="14"/>
                <w:szCs w:val="14"/>
                <w:i w:val="1"/>
                <w:iCs w:val="1"/>
                <w:color w:val="auto"/>
              </w:rPr>
              <w:t>President &amp; COO</w:t>
            </w:r>
          </w:p>
        </w:tc>
        <w:tc>
          <w:tcPr>
            <w:tcW w:w="140" w:type="dxa"/>
            <w:vAlign w:val="bottom"/>
            <w:shd w:val="clear" w:color="auto" w:fill="E6EDF3"/>
          </w:tcPr>
          <w:p>
            <w:pPr>
              <w:spacing w:after="0"/>
              <w:rPr>
                <w:sz w:val="14"/>
                <w:szCs w:val="14"/>
                <w:color w:val="auto"/>
              </w:rPr>
            </w:pPr>
          </w:p>
        </w:tc>
        <w:tc>
          <w:tcPr>
            <w:tcW w:w="780" w:type="dxa"/>
            <w:vAlign w:val="bottom"/>
            <w:shd w:val="clear" w:color="auto" w:fill="E6EDF3"/>
          </w:tcPr>
          <w:p>
            <w:pPr>
              <w:jc w:val="center"/>
              <w:ind w:right="30"/>
              <w:spacing w:after="0"/>
              <w:rPr>
                <w:sz w:val="20"/>
                <w:szCs w:val="20"/>
                <w:color w:val="auto"/>
              </w:rPr>
            </w:pPr>
            <w:r>
              <w:rPr>
                <w:rFonts w:ascii="Arial" w:cs="Arial" w:eastAsia="Arial" w:hAnsi="Arial"/>
                <w:sz w:val="14"/>
                <w:szCs w:val="14"/>
                <w:color w:val="auto"/>
              </w:rPr>
              <w:t>2/16/2016</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6EDF3"/>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6EDF3"/>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DF3"/>
          </w:tcPr>
          <w:p>
            <w:pPr>
              <w:jc w:val="right"/>
              <w:ind w:right="10"/>
              <w:spacing w:after="0"/>
              <w:rPr>
                <w:sz w:val="20"/>
                <w:szCs w:val="20"/>
                <w:color w:val="auto"/>
              </w:rPr>
            </w:pPr>
            <w:r>
              <w:rPr>
                <w:rFonts w:ascii="Arial" w:cs="Arial" w:eastAsia="Arial" w:hAnsi="Arial"/>
                <w:sz w:val="14"/>
                <w:szCs w:val="14"/>
                <w:color w:val="auto"/>
              </w:rPr>
              <w:t>13,987</w:t>
            </w:r>
          </w:p>
        </w:tc>
        <w:tc>
          <w:tcPr>
            <w:tcW w:w="600" w:type="dxa"/>
            <w:vAlign w:val="bottom"/>
            <w:shd w:val="clear" w:color="auto" w:fill="E6EDF3"/>
          </w:tcPr>
          <w:p>
            <w:pPr>
              <w:jc w:val="right"/>
              <w:spacing w:after="0"/>
              <w:rPr>
                <w:sz w:val="20"/>
                <w:szCs w:val="20"/>
                <w:color w:val="auto"/>
              </w:rPr>
            </w:pPr>
            <w:r>
              <w:rPr>
                <w:rFonts w:ascii="Arial" w:cs="Arial" w:eastAsia="Arial" w:hAnsi="Arial"/>
                <w:sz w:val="14"/>
                <w:szCs w:val="14"/>
                <w:color w:val="auto"/>
              </w:rPr>
              <w:t>27,974</w:t>
            </w:r>
          </w:p>
        </w:tc>
        <w:tc>
          <w:tcPr>
            <w:tcW w:w="800" w:type="dxa"/>
            <w:vAlign w:val="bottom"/>
            <w:gridSpan w:val="2"/>
            <w:shd w:val="clear" w:color="auto" w:fill="E6EDF3"/>
          </w:tcPr>
          <w:p>
            <w:pPr>
              <w:jc w:val="right"/>
              <w:ind w:right="140"/>
              <w:spacing w:after="0"/>
              <w:rPr>
                <w:sz w:val="20"/>
                <w:szCs w:val="20"/>
                <w:color w:val="auto"/>
              </w:rPr>
            </w:pPr>
            <w:r>
              <w:rPr>
                <w:rFonts w:ascii="Arial" w:cs="Arial" w:eastAsia="Arial" w:hAnsi="Arial"/>
                <w:sz w:val="14"/>
                <w:szCs w:val="14"/>
                <w:color w:val="auto"/>
              </w:rPr>
              <w:t>55,948</w:t>
            </w:r>
          </w:p>
        </w:tc>
        <w:tc>
          <w:tcPr>
            <w:tcW w:w="620" w:type="dxa"/>
            <w:vAlign w:val="bottom"/>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DF3"/>
          </w:tcPr>
          <w:p>
            <w:pPr>
              <w:jc w:val="right"/>
              <w:spacing w:after="0"/>
              <w:rPr>
                <w:sz w:val="20"/>
                <w:szCs w:val="20"/>
                <w:color w:val="auto"/>
              </w:rPr>
            </w:pPr>
            <w:r>
              <w:rPr>
                <w:rFonts w:ascii="Arial" w:cs="Arial" w:eastAsia="Arial" w:hAnsi="Arial"/>
                <w:sz w:val="14"/>
                <w:szCs w:val="14"/>
                <w:color w:val="auto"/>
              </w:rPr>
              <w:t>2,100,008</w:t>
            </w:r>
          </w:p>
        </w:tc>
        <w:tc>
          <w:tcPr>
            <w:tcW w:w="100" w:type="dxa"/>
            <w:vAlign w:val="bottom"/>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780" w:type="dxa"/>
            <w:vAlign w:val="bottom"/>
            <w:shd w:val="clear" w:color="auto" w:fill="E6EDF3"/>
          </w:tcPr>
          <w:p>
            <w:pPr>
              <w:jc w:val="center"/>
              <w:ind w:right="30"/>
              <w:spacing w:after="0"/>
              <w:rPr>
                <w:sz w:val="20"/>
                <w:szCs w:val="20"/>
                <w:color w:val="auto"/>
              </w:rPr>
            </w:pPr>
            <w:r>
              <w:rPr>
                <w:rFonts w:ascii="Arial" w:cs="Arial" w:eastAsia="Arial" w:hAnsi="Arial"/>
                <w:sz w:val="14"/>
                <w:szCs w:val="14"/>
                <w:color w:val="auto"/>
              </w:rPr>
              <w:t>2/16/2016</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6EDF3"/>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6EDF3"/>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DF3"/>
          </w:tcPr>
          <w:p>
            <w:pPr>
              <w:jc w:val="right"/>
              <w:ind w:right="10"/>
              <w:spacing w:after="0"/>
              <w:rPr>
                <w:sz w:val="20"/>
                <w:szCs w:val="20"/>
                <w:color w:val="auto"/>
              </w:rPr>
            </w:pPr>
            <w:r>
              <w:rPr>
                <w:rFonts w:ascii="Arial" w:cs="Arial" w:eastAsia="Arial" w:hAnsi="Arial"/>
                <w:sz w:val="14"/>
                <w:szCs w:val="14"/>
                <w:color w:val="auto"/>
              </w:rPr>
              <w:t>—</w:t>
            </w:r>
          </w:p>
        </w:tc>
        <w:tc>
          <w:tcPr>
            <w:tcW w:w="60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E6EDF3"/>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9,325</w:t>
            </w:r>
          </w:p>
        </w:tc>
        <w:tc>
          <w:tcPr>
            <w:tcW w:w="800" w:type="dxa"/>
            <w:vAlign w:val="bottom"/>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DF3"/>
          </w:tcPr>
          <w:p>
            <w:pPr>
              <w:jc w:val="right"/>
              <w:spacing w:after="0"/>
              <w:rPr>
                <w:sz w:val="20"/>
                <w:szCs w:val="20"/>
                <w:color w:val="auto"/>
              </w:rPr>
            </w:pPr>
            <w:r>
              <w:rPr>
                <w:rFonts w:ascii="Arial" w:cs="Arial" w:eastAsia="Arial" w:hAnsi="Arial"/>
                <w:sz w:val="14"/>
                <w:szCs w:val="14"/>
                <w:color w:val="auto"/>
              </w:rPr>
              <w:t>700,028</w:t>
            </w:r>
          </w:p>
        </w:tc>
        <w:tc>
          <w:tcPr>
            <w:tcW w:w="100" w:type="dxa"/>
            <w:vAlign w:val="bottom"/>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Borders>
              <w:bottom w:val="single" w:sz="8" w:color="auto"/>
            </w:tcBorders>
            <w:shd w:val="clear" w:color="auto" w:fill="E6EDF3"/>
          </w:tcPr>
          <w:p>
            <w:pPr>
              <w:spacing w:after="0"/>
              <w:rPr>
                <w:sz w:val="14"/>
                <w:szCs w:val="14"/>
                <w:color w:val="auto"/>
              </w:rPr>
            </w:pPr>
          </w:p>
        </w:tc>
        <w:tc>
          <w:tcPr>
            <w:tcW w:w="140" w:type="dxa"/>
            <w:vAlign w:val="bottom"/>
            <w:tcBorders>
              <w:bottom w:val="single" w:sz="8" w:color="auto"/>
            </w:tcBorders>
            <w:shd w:val="clear" w:color="auto" w:fill="E6EDF3"/>
          </w:tcPr>
          <w:p>
            <w:pPr>
              <w:spacing w:after="0"/>
              <w:rPr>
                <w:sz w:val="14"/>
                <w:szCs w:val="14"/>
                <w:color w:val="auto"/>
              </w:rPr>
            </w:pPr>
          </w:p>
        </w:tc>
        <w:tc>
          <w:tcPr>
            <w:tcW w:w="780" w:type="dxa"/>
            <w:vAlign w:val="bottom"/>
            <w:tcBorders>
              <w:bottom w:val="single" w:sz="8" w:color="auto"/>
            </w:tcBorders>
            <w:shd w:val="clear" w:color="auto" w:fill="E6EDF3"/>
          </w:tcPr>
          <w:p>
            <w:pPr>
              <w:jc w:val="center"/>
              <w:ind w:right="30"/>
              <w:spacing w:after="0"/>
              <w:rPr>
                <w:sz w:val="20"/>
                <w:szCs w:val="20"/>
                <w:color w:val="auto"/>
              </w:rPr>
            </w:pPr>
            <w:r>
              <w:rPr>
                <w:rFonts w:ascii="Arial" w:cs="Arial" w:eastAsia="Arial" w:hAnsi="Arial"/>
                <w:sz w:val="14"/>
                <w:szCs w:val="14"/>
                <w:color w:val="auto"/>
              </w:rPr>
              <w:t>2/16/2016</w:t>
            </w:r>
          </w:p>
        </w:tc>
        <w:tc>
          <w:tcPr>
            <w:tcW w:w="6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E6EDF3"/>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shd w:val="clear" w:color="auto" w:fill="E6EDF3"/>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E6EDF3"/>
          </w:tcPr>
          <w:p>
            <w:pPr>
              <w:jc w:val="right"/>
              <w:ind w:right="1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shd w:val="clear" w:color="auto" w:fill="E6EDF3"/>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35,570</w:t>
            </w:r>
          </w:p>
        </w:tc>
        <w:tc>
          <w:tcPr>
            <w:tcW w:w="660" w:type="dxa"/>
            <w:vAlign w:val="bottom"/>
            <w:tcBorders>
              <w:bottom w:val="single" w:sz="8" w:color="auto"/>
            </w:tcBorders>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75.07</w:t>
            </w:r>
          </w:p>
        </w:tc>
        <w:tc>
          <w:tcPr>
            <w:tcW w:w="72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700,018</w:t>
            </w:r>
          </w:p>
        </w:tc>
        <w:tc>
          <w:tcPr>
            <w:tcW w:w="100" w:type="dxa"/>
            <w:vAlign w:val="bottom"/>
            <w:tcBorders>
              <w:bottom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080" w:type="dxa"/>
            <w:vAlign w:val="bottom"/>
          </w:tcPr>
          <w:p>
            <w:pPr>
              <w:ind w:left="80"/>
              <w:spacing w:after="0" w:line="147" w:lineRule="exact"/>
              <w:rPr>
                <w:sz w:val="20"/>
                <w:szCs w:val="20"/>
                <w:color w:val="auto"/>
              </w:rPr>
            </w:pPr>
            <w:r>
              <w:rPr>
                <w:rFonts w:ascii="Arial" w:cs="Arial" w:eastAsia="Arial" w:hAnsi="Arial"/>
                <w:sz w:val="14"/>
                <w:szCs w:val="14"/>
                <w:color w:val="auto"/>
              </w:rPr>
              <w:t>Ram Chandrashekar</w:t>
            </w:r>
          </w:p>
        </w:tc>
        <w:tc>
          <w:tcPr>
            <w:tcW w:w="920" w:type="dxa"/>
            <w:vAlign w:val="bottom"/>
            <w:gridSpan w:val="2"/>
          </w:tcPr>
          <w:p>
            <w:pPr>
              <w:jc w:val="center"/>
              <w:spacing w:after="0" w:line="147" w:lineRule="exact"/>
              <w:rPr>
                <w:sz w:val="20"/>
                <w:szCs w:val="20"/>
                <w:color w:val="auto"/>
              </w:rPr>
            </w:pPr>
            <w:r>
              <w:rPr>
                <w:rFonts w:ascii="Arial" w:cs="Arial" w:eastAsia="Arial" w:hAnsi="Arial"/>
                <w:sz w:val="14"/>
                <w:szCs w:val="14"/>
                <w:color w:val="auto"/>
              </w:rPr>
              <w:t>2/16/2016</w:t>
            </w: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142,008</w:t>
            </w:r>
          </w:p>
        </w:tc>
        <w:tc>
          <w:tcPr>
            <w:tcW w:w="960" w:type="dxa"/>
            <w:vAlign w:val="bottom"/>
          </w:tcPr>
          <w:p>
            <w:pPr>
              <w:jc w:val="right"/>
              <w:ind w:right="89"/>
              <w:spacing w:after="0" w:line="147" w:lineRule="exact"/>
              <w:rPr>
                <w:sz w:val="20"/>
                <w:szCs w:val="20"/>
                <w:color w:val="auto"/>
              </w:rPr>
            </w:pPr>
            <w:r>
              <w:rPr>
                <w:rFonts w:ascii="Arial" w:cs="Arial" w:eastAsia="Arial" w:hAnsi="Arial"/>
                <w:sz w:val="14"/>
                <w:szCs w:val="14"/>
                <w:color w:val="auto"/>
              </w:rPr>
              <w:t>426,025</w:t>
            </w:r>
          </w:p>
        </w:tc>
        <w:tc>
          <w:tcPr>
            <w:tcW w:w="7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852,052</w:t>
            </w:r>
          </w:p>
        </w:tc>
        <w:tc>
          <w:tcPr>
            <w:tcW w:w="720" w:type="dxa"/>
            <w:vAlign w:val="bottom"/>
          </w:tcPr>
          <w:p>
            <w:pPr>
              <w:jc w:val="right"/>
              <w:ind w:right="10"/>
              <w:spacing w:after="0" w:line="147"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080" w:type="dxa"/>
            <w:vAlign w:val="bottom"/>
          </w:tcPr>
          <w:p>
            <w:pPr>
              <w:ind w:left="180"/>
              <w:spacing w:after="0"/>
              <w:rPr>
                <w:sz w:val="20"/>
                <w:szCs w:val="20"/>
                <w:color w:val="auto"/>
              </w:rPr>
            </w:pPr>
            <w:r>
              <w:rPr>
                <w:rFonts w:ascii="Arial" w:cs="Arial" w:eastAsia="Arial" w:hAnsi="Arial"/>
                <w:sz w:val="14"/>
                <w:szCs w:val="14"/>
                <w:i w:val="1"/>
                <w:iCs w:val="1"/>
                <w:color w:val="auto"/>
              </w:rPr>
              <w:t>EVP, Operational Excellence &amp; IT and</w:t>
            </w: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rPr>
              <w:t>2/16/2016</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5,595</w:t>
            </w:r>
          </w:p>
        </w:tc>
        <w:tc>
          <w:tcPr>
            <w:tcW w:w="600" w:type="dxa"/>
            <w:vAlign w:val="bottom"/>
          </w:tcPr>
          <w:p>
            <w:pPr>
              <w:jc w:val="right"/>
              <w:spacing w:after="0"/>
              <w:rPr>
                <w:sz w:val="20"/>
                <w:szCs w:val="20"/>
                <w:color w:val="auto"/>
              </w:rPr>
            </w:pPr>
            <w:r>
              <w:rPr>
                <w:rFonts w:ascii="Arial" w:cs="Arial" w:eastAsia="Arial" w:hAnsi="Arial"/>
                <w:sz w:val="14"/>
                <w:szCs w:val="14"/>
                <w:color w:val="auto"/>
              </w:rPr>
              <w:t>11,190</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22,380</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840,033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180"/>
              <w:spacing w:after="0"/>
              <w:rPr>
                <w:sz w:val="20"/>
                <w:szCs w:val="20"/>
                <w:color w:val="auto"/>
              </w:rPr>
            </w:pPr>
            <w:r>
              <w:rPr>
                <w:rFonts w:ascii="Arial" w:cs="Arial" w:eastAsia="Arial" w:hAnsi="Arial"/>
                <w:sz w:val="14"/>
                <w:szCs w:val="14"/>
                <w:i w:val="1"/>
                <w:iCs w:val="1"/>
                <w:color w:val="auto"/>
              </w:rPr>
              <w:t>President Asia Pacific Middle East</w:t>
            </w: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rPr>
              <w:t>2/16/2016</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3,730</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280,011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rPr>
              <w:t>2/16/2016</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6,661</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500,041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0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center"/>
              <w:spacing w:after="0" w:line="157" w:lineRule="exact"/>
              <w:rPr>
                <w:sz w:val="20"/>
                <w:szCs w:val="20"/>
                <w:color w:val="auto"/>
              </w:rPr>
            </w:pPr>
            <w:r>
              <w:rPr>
                <w:rFonts w:ascii="Arial" w:cs="Arial" w:eastAsia="Arial" w:hAnsi="Arial"/>
                <w:sz w:val="14"/>
                <w:szCs w:val="14"/>
                <w:color w:val="auto"/>
              </w:rPr>
              <w:t>2/16/2016</w:t>
            </w: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2"/>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tcPr>
          <w:p>
            <w:pPr>
              <w:jc w:val="right"/>
              <w:ind w:right="40"/>
              <w:spacing w:after="0" w:line="157" w:lineRule="exact"/>
              <w:rPr>
                <w:sz w:val="20"/>
                <w:szCs w:val="20"/>
                <w:color w:val="auto"/>
              </w:rPr>
            </w:pPr>
            <w:r>
              <w:rPr>
                <w:rFonts w:ascii="Arial" w:cs="Arial" w:eastAsia="Arial" w:hAnsi="Arial"/>
                <w:sz w:val="14"/>
                <w:szCs w:val="14"/>
                <w:color w:val="auto"/>
              </w:rPr>
              <w:t>14,228</w:t>
            </w:r>
          </w:p>
        </w:tc>
        <w:tc>
          <w:tcPr>
            <w:tcW w:w="660" w:type="dxa"/>
            <w:vAlign w:val="bottom"/>
            <w:tcBorders>
              <w:bottom w:val="single" w:sz="8" w:color="auto"/>
            </w:tcBorders>
            <w:gridSpan w:val="2"/>
          </w:tcPr>
          <w:p>
            <w:pPr>
              <w:jc w:val="right"/>
              <w:ind w:right="40"/>
              <w:spacing w:after="0" w:line="157" w:lineRule="exact"/>
              <w:rPr>
                <w:sz w:val="20"/>
                <w:szCs w:val="20"/>
                <w:color w:val="auto"/>
              </w:rPr>
            </w:pPr>
            <w:r>
              <w:rPr>
                <w:rFonts w:ascii="Arial" w:cs="Arial" w:eastAsia="Arial" w:hAnsi="Arial"/>
                <w:sz w:val="14"/>
                <w:szCs w:val="14"/>
                <w:color w:val="auto"/>
              </w:rPr>
              <w:t>75.07</w:t>
            </w:r>
          </w:p>
        </w:tc>
        <w:tc>
          <w:tcPr>
            <w:tcW w:w="7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280,007</w:t>
            </w: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80" w:type="dxa"/>
            <w:vAlign w:val="bottom"/>
            <w:shd w:val="clear" w:color="auto" w:fill="E6EDF3"/>
          </w:tcPr>
          <w:p>
            <w:pPr>
              <w:ind w:left="80"/>
              <w:spacing w:after="0" w:line="155" w:lineRule="exact"/>
              <w:rPr>
                <w:sz w:val="20"/>
                <w:szCs w:val="20"/>
                <w:color w:val="auto"/>
              </w:rPr>
            </w:pPr>
            <w:r>
              <w:rPr>
                <w:rFonts w:ascii="Arial" w:cs="Arial" w:eastAsia="Arial" w:hAnsi="Arial"/>
                <w:sz w:val="14"/>
                <w:szCs w:val="14"/>
                <w:color w:val="auto"/>
              </w:rPr>
              <w:t>Mara E. Swan</w:t>
            </w:r>
          </w:p>
        </w:tc>
        <w:tc>
          <w:tcPr>
            <w:tcW w:w="920" w:type="dxa"/>
            <w:vAlign w:val="bottom"/>
            <w:gridSpan w:val="2"/>
            <w:shd w:val="clear" w:color="auto" w:fill="E6EDF3"/>
          </w:tcPr>
          <w:p>
            <w:pPr>
              <w:jc w:val="center"/>
              <w:spacing w:after="0" w:line="155" w:lineRule="exact"/>
              <w:rPr>
                <w:sz w:val="20"/>
                <w:szCs w:val="20"/>
                <w:color w:val="auto"/>
              </w:rPr>
            </w:pPr>
            <w:r>
              <w:rPr>
                <w:rFonts w:ascii="Arial" w:cs="Arial" w:eastAsia="Arial" w:hAnsi="Arial"/>
                <w:sz w:val="14"/>
                <w:szCs w:val="14"/>
                <w:color w:val="auto"/>
              </w:rPr>
              <w:t>2/16/2016</w:t>
            </w:r>
          </w:p>
        </w:tc>
        <w:tc>
          <w:tcPr>
            <w:tcW w:w="660" w:type="dxa"/>
            <w:vAlign w:val="bottom"/>
            <w:shd w:val="clear" w:color="auto" w:fill="E6EDF3"/>
          </w:tcPr>
          <w:p>
            <w:pPr>
              <w:jc w:val="right"/>
              <w:spacing w:after="0" w:line="155" w:lineRule="exact"/>
              <w:rPr>
                <w:sz w:val="20"/>
                <w:szCs w:val="20"/>
                <w:color w:val="auto"/>
              </w:rPr>
            </w:pPr>
            <w:r>
              <w:rPr>
                <w:rFonts w:ascii="Arial" w:cs="Arial" w:eastAsia="Arial" w:hAnsi="Arial"/>
                <w:sz w:val="14"/>
                <w:szCs w:val="14"/>
                <w:color w:val="auto"/>
              </w:rPr>
              <w:t>140,000</w:t>
            </w:r>
          </w:p>
        </w:tc>
        <w:tc>
          <w:tcPr>
            <w:tcW w:w="960" w:type="dxa"/>
            <w:vAlign w:val="bottom"/>
            <w:shd w:val="clear" w:color="auto" w:fill="E6EDF3"/>
          </w:tcPr>
          <w:p>
            <w:pPr>
              <w:jc w:val="right"/>
              <w:ind w:right="89"/>
              <w:spacing w:after="0" w:line="155" w:lineRule="exact"/>
              <w:rPr>
                <w:sz w:val="20"/>
                <w:szCs w:val="20"/>
                <w:color w:val="auto"/>
              </w:rPr>
            </w:pPr>
            <w:r>
              <w:rPr>
                <w:rFonts w:ascii="Arial" w:cs="Arial" w:eastAsia="Arial" w:hAnsi="Arial"/>
                <w:sz w:val="14"/>
                <w:szCs w:val="14"/>
                <w:color w:val="auto"/>
              </w:rPr>
              <w:t>420,000</w:t>
            </w:r>
          </w:p>
        </w:tc>
        <w:tc>
          <w:tcPr>
            <w:tcW w:w="780" w:type="dxa"/>
            <w:vAlign w:val="bottom"/>
            <w:gridSpan w:val="2"/>
            <w:shd w:val="clear" w:color="auto" w:fill="E6EDF3"/>
          </w:tcPr>
          <w:p>
            <w:pPr>
              <w:jc w:val="right"/>
              <w:ind w:right="120"/>
              <w:spacing w:after="0" w:line="155" w:lineRule="exact"/>
              <w:rPr>
                <w:sz w:val="20"/>
                <w:szCs w:val="20"/>
                <w:color w:val="auto"/>
              </w:rPr>
            </w:pPr>
            <w:r>
              <w:rPr>
                <w:rFonts w:ascii="Arial" w:cs="Arial" w:eastAsia="Arial" w:hAnsi="Arial"/>
                <w:sz w:val="14"/>
                <w:szCs w:val="14"/>
                <w:color w:val="auto"/>
              </w:rPr>
              <w:t>840,000</w:t>
            </w:r>
          </w:p>
        </w:tc>
        <w:tc>
          <w:tcPr>
            <w:tcW w:w="720" w:type="dxa"/>
            <w:vAlign w:val="bottom"/>
            <w:shd w:val="clear" w:color="auto" w:fill="E6EDF3"/>
          </w:tcPr>
          <w:p>
            <w:pPr>
              <w:jc w:val="right"/>
              <w:ind w:right="10"/>
              <w:spacing w:after="0" w:line="155" w:lineRule="exact"/>
              <w:rPr>
                <w:sz w:val="20"/>
                <w:szCs w:val="20"/>
                <w:color w:val="auto"/>
              </w:rPr>
            </w:pPr>
            <w:r>
              <w:rPr>
                <w:rFonts w:ascii="Arial" w:cs="Arial" w:eastAsia="Arial" w:hAnsi="Arial"/>
                <w:sz w:val="14"/>
                <w:szCs w:val="14"/>
                <w:color w:val="auto"/>
              </w:rPr>
              <w:t>—</w:t>
            </w:r>
          </w:p>
        </w:tc>
        <w:tc>
          <w:tcPr>
            <w:tcW w:w="600" w:type="dxa"/>
            <w:vAlign w:val="bottom"/>
            <w:shd w:val="clear" w:color="auto" w:fill="E6EDF3"/>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E6EDF3"/>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E6EDF3"/>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E6EDF3"/>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6EDF3"/>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E6EDF3"/>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080" w:type="dxa"/>
            <w:vAlign w:val="bottom"/>
            <w:shd w:val="clear" w:color="auto" w:fill="E6EDF3"/>
          </w:tcPr>
          <w:p>
            <w:pPr>
              <w:ind w:left="180"/>
              <w:spacing w:after="0"/>
              <w:rPr>
                <w:sz w:val="20"/>
                <w:szCs w:val="20"/>
                <w:color w:val="auto"/>
              </w:rPr>
            </w:pPr>
            <w:r>
              <w:rPr>
                <w:rFonts w:ascii="Arial" w:cs="Arial" w:eastAsia="Arial" w:hAnsi="Arial"/>
                <w:sz w:val="14"/>
                <w:szCs w:val="14"/>
                <w:i w:val="1"/>
                <w:iCs w:val="1"/>
                <w:color w:val="auto"/>
              </w:rPr>
              <w:t>EVP, Global Strategy and Talent</w:t>
            </w:r>
          </w:p>
        </w:tc>
        <w:tc>
          <w:tcPr>
            <w:tcW w:w="140" w:type="dxa"/>
            <w:vAlign w:val="bottom"/>
            <w:shd w:val="clear" w:color="auto" w:fill="E6EDF3"/>
          </w:tcPr>
          <w:p>
            <w:pPr>
              <w:spacing w:after="0"/>
              <w:rPr>
                <w:sz w:val="14"/>
                <w:szCs w:val="14"/>
                <w:color w:val="auto"/>
              </w:rPr>
            </w:pPr>
          </w:p>
        </w:tc>
        <w:tc>
          <w:tcPr>
            <w:tcW w:w="780" w:type="dxa"/>
            <w:vAlign w:val="bottom"/>
            <w:shd w:val="clear" w:color="auto" w:fill="E6EDF3"/>
          </w:tcPr>
          <w:p>
            <w:pPr>
              <w:jc w:val="center"/>
              <w:ind w:right="30"/>
              <w:spacing w:after="0"/>
              <w:rPr>
                <w:sz w:val="20"/>
                <w:szCs w:val="20"/>
                <w:color w:val="auto"/>
              </w:rPr>
            </w:pPr>
            <w:r>
              <w:rPr>
                <w:rFonts w:ascii="Arial" w:cs="Arial" w:eastAsia="Arial" w:hAnsi="Arial"/>
                <w:sz w:val="14"/>
                <w:szCs w:val="14"/>
                <w:color w:val="auto"/>
              </w:rPr>
              <w:t>2/16/2016</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6EDF3"/>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6EDF3"/>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DF3"/>
          </w:tcPr>
          <w:p>
            <w:pPr>
              <w:jc w:val="right"/>
              <w:ind w:right="10"/>
              <w:spacing w:after="0"/>
              <w:rPr>
                <w:sz w:val="20"/>
                <w:szCs w:val="20"/>
                <w:color w:val="auto"/>
              </w:rPr>
            </w:pPr>
            <w:r>
              <w:rPr>
                <w:rFonts w:ascii="Arial" w:cs="Arial" w:eastAsia="Arial" w:hAnsi="Arial"/>
                <w:sz w:val="14"/>
                <w:szCs w:val="14"/>
                <w:color w:val="auto"/>
              </w:rPr>
              <w:t>4,796</w:t>
            </w:r>
          </w:p>
        </w:tc>
        <w:tc>
          <w:tcPr>
            <w:tcW w:w="600" w:type="dxa"/>
            <w:vAlign w:val="bottom"/>
            <w:shd w:val="clear" w:color="auto" w:fill="E6EDF3"/>
          </w:tcPr>
          <w:p>
            <w:pPr>
              <w:jc w:val="right"/>
              <w:spacing w:after="0"/>
              <w:rPr>
                <w:sz w:val="20"/>
                <w:szCs w:val="20"/>
                <w:color w:val="auto"/>
              </w:rPr>
            </w:pPr>
            <w:r>
              <w:rPr>
                <w:rFonts w:ascii="Arial" w:cs="Arial" w:eastAsia="Arial" w:hAnsi="Arial"/>
                <w:sz w:val="14"/>
                <w:szCs w:val="14"/>
                <w:color w:val="auto"/>
              </w:rPr>
              <w:t>9,592</w:t>
            </w:r>
          </w:p>
        </w:tc>
        <w:tc>
          <w:tcPr>
            <w:tcW w:w="800" w:type="dxa"/>
            <w:vAlign w:val="bottom"/>
            <w:gridSpan w:val="2"/>
            <w:shd w:val="clear" w:color="auto" w:fill="E6EDF3"/>
          </w:tcPr>
          <w:p>
            <w:pPr>
              <w:jc w:val="right"/>
              <w:ind w:right="140"/>
              <w:spacing w:after="0"/>
              <w:rPr>
                <w:sz w:val="20"/>
                <w:szCs w:val="20"/>
                <w:color w:val="auto"/>
              </w:rPr>
            </w:pPr>
            <w:r>
              <w:rPr>
                <w:rFonts w:ascii="Arial" w:cs="Arial" w:eastAsia="Arial" w:hAnsi="Arial"/>
                <w:sz w:val="14"/>
                <w:szCs w:val="14"/>
                <w:color w:val="auto"/>
              </w:rPr>
              <w:t>19,184</w:t>
            </w:r>
          </w:p>
        </w:tc>
        <w:tc>
          <w:tcPr>
            <w:tcW w:w="620" w:type="dxa"/>
            <w:vAlign w:val="bottom"/>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DF3"/>
          </w:tcPr>
          <w:p>
            <w:pPr>
              <w:jc w:val="right"/>
              <w:spacing w:after="0"/>
              <w:rPr>
                <w:sz w:val="20"/>
                <w:szCs w:val="20"/>
                <w:color w:val="auto"/>
              </w:rPr>
            </w:pPr>
            <w:r>
              <w:rPr>
                <w:rFonts w:ascii="Arial" w:cs="Arial" w:eastAsia="Arial" w:hAnsi="Arial"/>
                <w:sz w:val="14"/>
                <w:szCs w:val="14"/>
                <w:color w:val="auto"/>
              </w:rPr>
              <w:t>720,071</w:t>
            </w:r>
          </w:p>
        </w:tc>
        <w:tc>
          <w:tcPr>
            <w:tcW w:w="100" w:type="dxa"/>
            <w:vAlign w:val="bottom"/>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shd w:val="clear" w:color="auto" w:fill="E6EDF3"/>
          </w:tcPr>
          <w:p>
            <w:pPr>
              <w:spacing w:after="0"/>
              <w:rPr>
                <w:sz w:val="14"/>
                <w:szCs w:val="14"/>
                <w:color w:val="auto"/>
              </w:rPr>
            </w:pPr>
          </w:p>
        </w:tc>
        <w:tc>
          <w:tcPr>
            <w:tcW w:w="140" w:type="dxa"/>
            <w:vAlign w:val="bottom"/>
            <w:shd w:val="clear" w:color="auto" w:fill="E6EDF3"/>
          </w:tcPr>
          <w:p>
            <w:pPr>
              <w:spacing w:after="0"/>
              <w:rPr>
                <w:sz w:val="14"/>
                <w:szCs w:val="14"/>
                <w:color w:val="auto"/>
              </w:rPr>
            </w:pPr>
          </w:p>
        </w:tc>
        <w:tc>
          <w:tcPr>
            <w:tcW w:w="780" w:type="dxa"/>
            <w:vAlign w:val="bottom"/>
            <w:shd w:val="clear" w:color="auto" w:fill="E6EDF3"/>
          </w:tcPr>
          <w:p>
            <w:pPr>
              <w:jc w:val="center"/>
              <w:ind w:right="30"/>
              <w:spacing w:after="0"/>
              <w:rPr>
                <w:sz w:val="20"/>
                <w:szCs w:val="20"/>
                <w:color w:val="auto"/>
              </w:rPr>
            </w:pPr>
            <w:r>
              <w:rPr>
                <w:rFonts w:ascii="Arial" w:cs="Arial" w:eastAsia="Arial" w:hAnsi="Arial"/>
                <w:sz w:val="14"/>
                <w:szCs w:val="14"/>
                <w:color w:val="auto"/>
              </w:rPr>
              <w:t>2/16/2016</w:t>
            </w: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6EDF3"/>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6EDF3"/>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DF3"/>
          </w:tcPr>
          <w:p>
            <w:pPr>
              <w:jc w:val="right"/>
              <w:ind w:right="10"/>
              <w:spacing w:after="0"/>
              <w:rPr>
                <w:sz w:val="20"/>
                <w:szCs w:val="20"/>
                <w:color w:val="auto"/>
              </w:rPr>
            </w:pPr>
            <w:r>
              <w:rPr>
                <w:rFonts w:ascii="Arial" w:cs="Arial" w:eastAsia="Arial" w:hAnsi="Arial"/>
                <w:sz w:val="14"/>
                <w:szCs w:val="14"/>
                <w:color w:val="auto"/>
              </w:rPr>
              <w:t>—</w:t>
            </w:r>
          </w:p>
        </w:tc>
        <w:tc>
          <w:tcPr>
            <w:tcW w:w="60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E6EDF3"/>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3,198</w:t>
            </w:r>
          </w:p>
        </w:tc>
        <w:tc>
          <w:tcPr>
            <w:tcW w:w="800" w:type="dxa"/>
            <w:vAlign w:val="bottom"/>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DF3"/>
          </w:tcPr>
          <w:p>
            <w:pPr>
              <w:jc w:val="right"/>
              <w:spacing w:after="0"/>
              <w:rPr>
                <w:sz w:val="20"/>
                <w:szCs w:val="20"/>
                <w:color w:val="auto"/>
              </w:rPr>
            </w:pPr>
            <w:r>
              <w:rPr>
                <w:rFonts w:ascii="Arial" w:cs="Arial" w:eastAsia="Arial" w:hAnsi="Arial"/>
                <w:sz w:val="14"/>
                <w:szCs w:val="14"/>
                <w:color w:val="auto"/>
              </w:rPr>
              <w:t>240,074</w:t>
            </w:r>
          </w:p>
        </w:tc>
        <w:tc>
          <w:tcPr>
            <w:tcW w:w="100" w:type="dxa"/>
            <w:vAlign w:val="bottom"/>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Borders>
              <w:bottom w:val="single" w:sz="8" w:color="auto"/>
            </w:tcBorders>
            <w:shd w:val="clear" w:color="auto" w:fill="E6EDF3"/>
          </w:tcPr>
          <w:p>
            <w:pPr>
              <w:spacing w:after="0"/>
              <w:rPr>
                <w:sz w:val="14"/>
                <w:szCs w:val="14"/>
                <w:color w:val="auto"/>
              </w:rPr>
            </w:pPr>
          </w:p>
        </w:tc>
        <w:tc>
          <w:tcPr>
            <w:tcW w:w="140" w:type="dxa"/>
            <w:vAlign w:val="bottom"/>
            <w:tcBorders>
              <w:bottom w:val="single" w:sz="8" w:color="auto"/>
            </w:tcBorders>
            <w:shd w:val="clear" w:color="auto" w:fill="E6EDF3"/>
          </w:tcPr>
          <w:p>
            <w:pPr>
              <w:spacing w:after="0"/>
              <w:rPr>
                <w:sz w:val="14"/>
                <w:szCs w:val="14"/>
                <w:color w:val="auto"/>
              </w:rPr>
            </w:pPr>
          </w:p>
        </w:tc>
        <w:tc>
          <w:tcPr>
            <w:tcW w:w="780" w:type="dxa"/>
            <w:vAlign w:val="bottom"/>
            <w:tcBorders>
              <w:bottom w:val="single" w:sz="8" w:color="auto"/>
            </w:tcBorders>
            <w:shd w:val="clear" w:color="auto" w:fill="E6EDF3"/>
          </w:tcPr>
          <w:p>
            <w:pPr>
              <w:jc w:val="center"/>
              <w:ind w:right="30"/>
              <w:spacing w:after="0"/>
              <w:rPr>
                <w:sz w:val="20"/>
                <w:szCs w:val="20"/>
                <w:color w:val="auto"/>
              </w:rPr>
            </w:pPr>
            <w:r>
              <w:rPr>
                <w:rFonts w:ascii="Arial" w:cs="Arial" w:eastAsia="Arial" w:hAnsi="Arial"/>
                <w:sz w:val="14"/>
                <w:szCs w:val="14"/>
                <w:color w:val="auto"/>
              </w:rPr>
              <w:t>2/16/2016</w:t>
            </w:r>
          </w:p>
        </w:tc>
        <w:tc>
          <w:tcPr>
            <w:tcW w:w="6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E6EDF3"/>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shd w:val="clear" w:color="auto" w:fill="E6EDF3"/>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E6EDF3"/>
          </w:tcPr>
          <w:p>
            <w:pPr>
              <w:jc w:val="right"/>
              <w:ind w:right="1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shd w:val="clear" w:color="auto" w:fill="E6EDF3"/>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12,196</w:t>
            </w:r>
          </w:p>
        </w:tc>
        <w:tc>
          <w:tcPr>
            <w:tcW w:w="660" w:type="dxa"/>
            <w:vAlign w:val="bottom"/>
            <w:tcBorders>
              <w:bottom w:val="single" w:sz="8" w:color="auto"/>
            </w:tcBorders>
            <w:gridSpan w:val="2"/>
            <w:shd w:val="clear" w:color="auto" w:fill="E6EDF3"/>
          </w:tcPr>
          <w:p>
            <w:pPr>
              <w:jc w:val="right"/>
              <w:ind w:right="40"/>
              <w:spacing w:after="0"/>
              <w:rPr>
                <w:sz w:val="20"/>
                <w:szCs w:val="20"/>
                <w:color w:val="auto"/>
              </w:rPr>
            </w:pPr>
            <w:r>
              <w:rPr>
                <w:rFonts w:ascii="Arial" w:cs="Arial" w:eastAsia="Arial" w:hAnsi="Arial"/>
                <w:sz w:val="14"/>
                <w:szCs w:val="14"/>
                <w:color w:val="auto"/>
              </w:rPr>
              <w:t>75.07</w:t>
            </w:r>
          </w:p>
        </w:tc>
        <w:tc>
          <w:tcPr>
            <w:tcW w:w="72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4"/>
                <w:szCs w:val="14"/>
                <w:color w:val="auto"/>
              </w:rPr>
              <w:t>240,017</w:t>
            </w:r>
          </w:p>
        </w:tc>
        <w:tc>
          <w:tcPr>
            <w:tcW w:w="100" w:type="dxa"/>
            <w:vAlign w:val="bottom"/>
            <w:tcBorders>
              <w:bottom w:val="single" w:sz="8" w:color="auto"/>
            </w:tcBorders>
            <w:shd w:val="clear" w:color="auto" w:fill="E6EDF3"/>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080" w:type="dxa"/>
            <w:vAlign w:val="bottom"/>
          </w:tcPr>
          <w:p>
            <w:pPr>
              <w:ind w:left="80"/>
              <w:spacing w:after="0" w:line="147" w:lineRule="exact"/>
              <w:rPr>
                <w:sz w:val="20"/>
                <w:szCs w:val="20"/>
                <w:color w:val="auto"/>
              </w:rPr>
            </w:pPr>
            <w:r>
              <w:rPr>
                <w:rFonts w:ascii="Arial" w:cs="Arial" w:eastAsia="Arial" w:hAnsi="Arial"/>
                <w:sz w:val="14"/>
                <w:szCs w:val="14"/>
                <w:color w:val="auto"/>
              </w:rPr>
              <w:t>Michael J. Van Handel</w:t>
            </w:r>
          </w:p>
        </w:tc>
        <w:tc>
          <w:tcPr>
            <w:tcW w:w="920" w:type="dxa"/>
            <w:vAlign w:val="bottom"/>
            <w:gridSpan w:val="2"/>
          </w:tcPr>
          <w:p>
            <w:pPr>
              <w:jc w:val="center"/>
              <w:spacing w:after="0" w:line="147" w:lineRule="exact"/>
              <w:rPr>
                <w:sz w:val="20"/>
                <w:szCs w:val="20"/>
                <w:color w:val="auto"/>
              </w:rPr>
            </w:pPr>
            <w:r>
              <w:rPr>
                <w:rFonts w:ascii="Arial" w:cs="Arial" w:eastAsia="Arial" w:hAnsi="Arial"/>
                <w:sz w:val="14"/>
                <w:szCs w:val="14"/>
                <w:color w:val="auto"/>
              </w:rPr>
              <w:t>2/16/2016</w:t>
            </w: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165,000</w:t>
            </w:r>
          </w:p>
        </w:tc>
        <w:tc>
          <w:tcPr>
            <w:tcW w:w="960" w:type="dxa"/>
            <w:vAlign w:val="bottom"/>
          </w:tcPr>
          <w:p>
            <w:pPr>
              <w:jc w:val="right"/>
              <w:ind w:right="89"/>
              <w:spacing w:after="0" w:line="147" w:lineRule="exact"/>
              <w:rPr>
                <w:sz w:val="20"/>
                <w:szCs w:val="20"/>
                <w:color w:val="auto"/>
              </w:rPr>
            </w:pPr>
            <w:r>
              <w:rPr>
                <w:rFonts w:ascii="Arial" w:cs="Arial" w:eastAsia="Arial" w:hAnsi="Arial"/>
                <w:sz w:val="14"/>
                <w:szCs w:val="14"/>
                <w:color w:val="auto"/>
              </w:rPr>
              <w:t>660,000</w:t>
            </w: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1,320,000</w:t>
            </w:r>
          </w:p>
        </w:tc>
        <w:tc>
          <w:tcPr>
            <w:tcW w:w="120" w:type="dxa"/>
            <w:vAlign w:val="bottom"/>
          </w:tcPr>
          <w:p>
            <w:pPr>
              <w:spacing w:after="0"/>
              <w:rPr>
                <w:sz w:val="12"/>
                <w:szCs w:val="12"/>
                <w:color w:val="auto"/>
              </w:rPr>
            </w:pPr>
          </w:p>
        </w:tc>
        <w:tc>
          <w:tcPr>
            <w:tcW w:w="720" w:type="dxa"/>
            <w:vAlign w:val="bottom"/>
          </w:tcPr>
          <w:p>
            <w:pPr>
              <w:jc w:val="right"/>
              <w:ind w:right="10"/>
              <w:spacing w:after="0" w:line="147"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080" w:type="dxa"/>
            <w:vAlign w:val="bottom"/>
          </w:tcPr>
          <w:p>
            <w:pPr>
              <w:ind w:left="180"/>
              <w:spacing w:after="0"/>
              <w:rPr>
                <w:sz w:val="20"/>
                <w:szCs w:val="20"/>
                <w:color w:val="auto"/>
              </w:rPr>
            </w:pPr>
            <w:r>
              <w:rPr>
                <w:rFonts w:ascii="Arial" w:cs="Arial" w:eastAsia="Arial" w:hAnsi="Arial"/>
                <w:sz w:val="14"/>
                <w:szCs w:val="14"/>
                <w:i w:val="1"/>
                <w:iCs w:val="1"/>
                <w:color w:val="auto"/>
              </w:rPr>
              <w:t>Senior EVP and Former CFO</w:t>
            </w: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rPr>
              <w:t>2/16/2016</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34,635</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2,600,049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p>
      <w:pPr>
        <w:ind w:left="340" w:right="220" w:hanging="332"/>
        <w:spacing w:after="0" w:line="245" w:lineRule="auto"/>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These amounts represent the threshold, target, and maximum annual cash incentive awards for the NEOs using the scorecard approach the Committee used in exercising negative discretion under the Pool Plan. Although Mr. McGinnis’ base salary was pro-rated to reflect his start date of February 15, 2016, his annual incentive goals were calculated on the basis of a full-year salary. Prior to any exercise of negative discretion, the maximum amount payable to the NEOs under the Pool Plan is the lesser of a shareholder approved maximum of $5.0 million or a percentage of the award pool, which varies by executive officer. See page 40 for the pool allocation for each executive officer.</w:t>
      </w:r>
    </w:p>
    <w:p>
      <w:pPr>
        <w:spacing w:after="0" w:line="56" w:lineRule="exact"/>
        <w:rPr>
          <w:rFonts w:ascii="Arial" w:cs="Arial" w:eastAsia="Arial" w:hAnsi="Arial"/>
          <w:sz w:val="14"/>
          <w:szCs w:val="14"/>
          <w:color w:val="auto"/>
        </w:rPr>
      </w:pPr>
    </w:p>
    <w:p>
      <w:pPr>
        <w:ind w:left="340" w:right="600" w:hanging="332"/>
        <w:spacing w:after="0" w:line="258" w:lineRule="auto"/>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These amounts represent the number of performance share units that could be earned related to the performance share units granted in 2016 under the 2011 Equity Incentive Plan.</w:t>
      </w:r>
    </w:p>
    <w:p>
      <w:pPr>
        <w:spacing w:after="0" w:line="45" w:lineRule="exact"/>
        <w:rPr>
          <w:rFonts w:ascii="Arial" w:cs="Arial" w:eastAsia="Arial" w:hAnsi="Arial"/>
          <w:sz w:val="14"/>
          <w:szCs w:val="14"/>
          <w:color w:val="auto"/>
        </w:rPr>
      </w:pPr>
    </w:p>
    <w:p>
      <w:pPr>
        <w:ind w:left="340" w:hanging="332"/>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Amounts represent the number of restricted stock units granted in 2016 under the 2011 Equity Incentive Plan.</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These amounts represent the number of shares underlying stock options that were granted in 2016 under the 2011 Equity Incentive Plan.</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grant date fair value of stock and option awards granted in 2016 that are reported in this column have been computed in accordance with FASB ASC Topic 718.</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56</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9600"/>
        <w:spacing w:after="0"/>
        <w:rPr>
          <w:sz w:val="20"/>
          <w:szCs w:val="20"/>
          <w:color w:val="auto"/>
        </w:rPr>
      </w:pPr>
      <w:r>
        <w:rPr>
          <w:rFonts w:ascii="Arial" w:cs="Arial" w:eastAsia="Arial" w:hAnsi="Arial"/>
          <w:sz w:val="18"/>
          <w:szCs w:val="18"/>
          <w:color w:val="FFFFFF"/>
        </w:rPr>
        <w:t>Compensation Tables</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Compensation Agreements and Arrangements</w:t>
      </w:r>
    </w:p>
    <w:p>
      <w:pPr>
        <w:spacing w:after="0" w:line="25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Mr. Prising, Mr. McGinnis, Mr. Green, Mr. Chandrashekar and Ms. Swan currently receive an annual incentive bonus determined pursuant to an incentive arrangement with ManpowerGroup and all have entered into severance agreements with ManpowerGroup. The annual incentive bonus arrangements are described in further detail in the Compensation Discussion and Analysis included in this proxy statement and the severance agreements for each executive officer are described in further detail in the section entitled “Termination of Employment and Change of Control Arrangements” following the Nonqualified Deferred Compensation Table.</w:t>
      </w:r>
    </w:p>
    <w:p>
      <w:pPr>
        <w:spacing w:after="0" w:line="13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connection with his assignment in Singapore as Executive Vice President, Operational Excellence and IT, and President, Asia Pacific Middle East, Mr. Chandrashekar also receives certain benefits. These include a car, return visit expenses to India for his family, a visit to the United States for his family and tax equalization payments related to any compensation earned by him for the time required to be spent in the United States as part of his role.</w:t>
      </w:r>
    </w:p>
    <w:p>
      <w:pPr>
        <w:spacing w:after="0" w:line="1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Prior to his retirement in February 2017, Mr. Van Handel had a compensation agreement and severance agreement with ManpowerGroup. Under the compensation agreement, he was entitled to receive a base salary and incentive compensation in accordance with an annual incentive plan approved and administered by the Committee. The severance agreement with Mr. Van Handel was similar to the severance agreement with Mr. McGinnis. The severance agreement expired upon Mr. Van Handel’s retirement and no amounts were due to him under the severance agreement as a result of his retirement. Mr. Van Handel is bound by the terms of the non-competition provisions in the severance agreement for a period of one-year following his retirement.</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57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FFFFFF"/>
        </w:rPr>
        <w:t>Compensation Tables</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2016 Annual Incentive Awards</w:t>
      </w:r>
    </w:p>
    <w:p>
      <w:pPr>
        <w:spacing w:after="0" w:line="18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following tables illustrate the achievement of the performance targets in relation to the payment of the 2016 Annual Incentive Awards. The awards are reflected in the Summary Compensation Table on page 54 under the heading “Non-Equity Incentive Plan Compensation.”</w:t>
      </w:r>
    </w:p>
    <w:p>
      <w:pPr>
        <w:spacing w:after="0" w:line="129"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For 2016, ManpowerGroup’s EPS in constant currency was $6.42 (compared to $5.45 at threshold, $6.10 at target and $7.00 at outstanding) and ROIC in constant currency was 14.6% (compared to 12.5% at threshold, 14.0% at target and 16.0% at outstanding).</w:t>
      </w:r>
    </w:p>
    <w:p>
      <w:pPr>
        <w:spacing w:after="0" w:line="116" w:lineRule="exact"/>
        <w:rPr>
          <w:sz w:val="20"/>
          <w:szCs w:val="20"/>
          <w:color w:val="auto"/>
        </w:rPr>
      </w:pPr>
    </w:p>
    <w:p>
      <w:pPr>
        <w:ind w:right="600"/>
        <w:spacing w:after="0"/>
        <w:rPr>
          <w:sz w:val="20"/>
          <w:szCs w:val="20"/>
          <w:color w:val="auto"/>
        </w:rPr>
      </w:pPr>
      <w:r>
        <w:rPr>
          <w:rFonts w:ascii="Arial" w:cs="Arial" w:eastAsia="Arial" w:hAnsi="Arial"/>
          <w:sz w:val="18"/>
          <w:szCs w:val="18"/>
          <w:color w:val="auto"/>
        </w:rPr>
        <w:t>For 2016, the Committee exercised negative discretion, and utilized a lower EPS figure of $6.14, rather than $6.42, in calculating annual incentive compensation. This adjustment excluded from the EPS calculation the benefit of significant share repurchases the company completed in 2016, except to the extent necessary to offset dilution resulting from shares issued under equity plans.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D89B4"/>
        </w:rPr>
        <w:t>Jonas Prising — 2016 Annual Incentive Calculation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380" w:type="dxa"/>
            <w:vAlign w:val="bottom"/>
            <w:tcBorders>
              <w:top w:val="single" w:sz="8" w:color="auto"/>
            </w:tcBorders>
            <w:shd w:val="clear" w:color="auto" w:fill="9DB8D2"/>
          </w:tcPr>
          <w:p>
            <w:pPr>
              <w:spacing w:after="0"/>
              <w:rPr>
                <w:sz w:val="22"/>
                <w:szCs w:val="22"/>
                <w:color w:val="auto"/>
              </w:rPr>
            </w:pPr>
          </w:p>
        </w:tc>
        <w:tc>
          <w:tcPr>
            <w:tcW w:w="6500" w:type="dxa"/>
            <w:vAlign w:val="bottom"/>
            <w:tcBorders>
              <w:top w:val="single" w:sz="8" w:color="auto"/>
            </w:tcBorders>
            <w:shd w:val="clear" w:color="auto" w:fill="9DB8D2"/>
          </w:tcPr>
          <w:p>
            <w:pPr>
              <w:spacing w:after="0"/>
              <w:rPr>
                <w:sz w:val="22"/>
                <w:szCs w:val="22"/>
                <w:color w:val="auto"/>
              </w:rPr>
            </w:pPr>
          </w:p>
        </w:tc>
        <w:tc>
          <w:tcPr>
            <w:tcW w:w="1480" w:type="dxa"/>
            <w:vAlign w:val="bottom"/>
            <w:tcBorders>
              <w:top w:val="single" w:sz="8" w:color="auto"/>
            </w:tcBorders>
            <w:shd w:val="clear" w:color="auto" w:fill="9DB8D2"/>
          </w:tcPr>
          <w:p>
            <w:pPr>
              <w:jc w:val="center"/>
              <w:ind w:right="243"/>
              <w:spacing w:after="0"/>
              <w:rPr>
                <w:sz w:val="20"/>
                <w:szCs w:val="20"/>
                <w:color w:val="auto"/>
              </w:rPr>
            </w:pPr>
            <w:r>
              <w:rPr>
                <w:rFonts w:ascii="Arial" w:cs="Arial" w:eastAsia="Arial" w:hAnsi="Arial"/>
                <w:sz w:val="14"/>
                <w:szCs w:val="14"/>
                <w:b w:val="1"/>
                <w:bCs w:val="1"/>
                <w:color w:val="auto"/>
              </w:rPr>
              <w:t>Percentage</w:t>
            </w:r>
          </w:p>
        </w:tc>
        <w:tc>
          <w:tcPr>
            <w:tcW w:w="360" w:type="dxa"/>
            <w:vAlign w:val="bottom"/>
            <w:tcBorders>
              <w:top w:val="single" w:sz="8" w:color="auto"/>
            </w:tcBorders>
            <w:shd w:val="clear" w:color="auto" w:fill="9DB8D2"/>
          </w:tcPr>
          <w:p>
            <w:pPr>
              <w:spacing w:after="0"/>
              <w:rPr>
                <w:sz w:val="22"/>
                <w:szCs w:val="22"/>
                <w:color w:val="auto"/>
              </w:rPr>
            </w:pPr>
          </w:p>
        </w:tc>
        <w:tc>
          <w:tcPr>
            <w:tcW w:w="700" w:type="dxa"/>
            <w:vAlign w:val="bottom"/>
            <w:tcBorders>
              <w:top w:val="single" w:sz="8" w:color="auto"/>
            </w:tcBorders>
            <w:shd w:val="clear" w:color="auto" w:fill="9DB8D2"/>
          </w:tcPr>
          <w:p>
            <w:pPr>
              <w:spacing w:after="0"/>
              <w:rPr>
                <w:sz w:val="22"/>
                <w:szCs w:val="22"/>
                <w:color w:val="auto"/>
              </w:rPr>
            </w:pPr>
          </w:p>
        </w:tc>
      </w:tr>
      <w:tr>
        <w:trPr>
          <w:trHeight w:val="162"/>
        </w:trPr>
        <w:tc>
          <w:tcPr>
            <w:tcW w:w="2380" w:type="dxa"/>
            <w:vAlign w:val="bottom"/>
            <w:shd w:val="clear" w:color="auto" w:fill="9DB8D2"/>
          </w:tcPr>
          <w:p>
            <w:pPr>
              <w:spacing w:after="0"/>
              <w:rPr>
                <w:sz w:val="14"/>
                <w:szCs w:val="14"/>
                <w:color w:val="auto"/>
              </w:rPr>
            </w:pPr>
          </w:p>
        </w:tc>
        <w:tc>
          <w:tcPr>
            <w:tcW w:w="6500" w:type="dxa"/>
            <w:vAlign w:val="bottom"/>
            <w:shd w:val="clear" w:color="auto" w:fill="9DB8D2"/>
          </w:tcPr>
          <w:p>
            <w:pPr>
              <w:ind w:left="5040"/>
              <w:spacing w:after="0"/>
              <w:rPr>
                <w:sz w:val="20"/>
                <w:szCs w:val="20"/>
                <w:color w:val="auto"/>
              </w:rPr>
            </w:pPr>
            <w:r>
              <w:rPr>
                <w:rFonts w:ascii="Arial" w:cs="Arial" w:eastAsia="Arial" w:hAnsi="Arial"/>
                <w:sz w:val="14"/>
                <w:szCs w:val="14"/>
                <w:b w:val="1"/>
                <w:bCs w:val="1"/>
                <w:color w:val="auto"/>
              </w:rPr>
              <w:t>Performance</w:t>
            </w:r>
          </w:p>
        </w:tc>
        <w:tc>
          <w:tcPr>
            <w:tcW w:w="1480" w:type="dxa"/>
            <w:vAlign w:val="bottom"/>
            <w:shd w:val="clear" w:color="auto" w:fill="9DB8D2"/>
          </w:tcPr>
          <w:p>
            <w:pPr>
              <w:jc w:val="center"/>
              <w:ind w:right="243"/>
              <w:spacing w:after="0"/>
              <w:rPr>
                <w:sz w:val="20"/>
                <w:szCs w:val="20"/>
                <w:color w:val="auto"/>
              </w:rPr>
            </w:pPr>
            <w:r>
              <w:rPr>
                <w:rFonts w:ascii="Arial" w:cs="Arial" w:eastAsia="Arial" w:hAnsi="Arial"/>
                <w:sz w:val="14"/>
                <w:szCs w:val="14"/>
                <w:b w:val="1"/>
                <w:bCs w:val="1"/>
                <w:color w:val="auto"/>
                <w:w w:val="99"/>
              </w:rPr>
              <w:t>of 2016</w:t>
            </w:r>
          </w:p>
        </w:tc>
        <w:tc>
          <w:tcPr>
            <w:tcW w:w="1060" w:type="dxa"/>
            <w:vAlign w:val="bottom"/>
            <w:gridSpan w:val="2"/>
            <w:shd w:val="clear" w:color="auto" w:fill="9DB8D2"/>
          </w:tcPr>
          <w:p>
            <w:pPr>
              <w:ind w:left="260"/>
              <w:spacing w:after="0"/>
              <w:rPr>
                <w:sz w:val="20"/>
                <w:szCs w:val="20"/>
                <w:color w:val="auto"/>
              </w:rPr>
            </w:pPr>
            <w:r>
              <w:rPr>
                <w:rFonts w:ascii="Arial" w:cs="Arial" w:eastAsia="Arial" w:hAnsi="Arial"/>
                <w:sz w:val="14"/>
                <w:szCs w:val="14"/>
                <w:b w:val="1"/>
                <w:bCs w:val="1"/>
                <w:color w:val="auto"/>
              </w:rPr>
              <w:t>Amount</w:t>
            </w:r>
          </w:p>
        </w:tc>
      </w:tr>
      <w:tr>
        <w:trPr>
          <w:trHeight w:val="189"/>
        </w:trPr>
        <w:tc>
          <w:tcPr>
            <w:tcW w:w="2380" w:type="dxa"/>
            <w:vAlign w:val="bottom"/>
            <w:tcBorders>
              <w:bottom w:val="single" w:sz="8" w:color="auto"/>
            </w:tcBorders>
            <w:shd w:val="clear" w:color="auto" w:fill="9DB8D2"/>
          </w:tcPr>
          <w:p>
            <w:pPr>
              <w:spacing w:after="0"/>
              <w:rPr>
                <w:sz w:val="16"/>
                <w:szCs w:val="16"/>
                <w:color w:val="auto"/>
              </w:rPr>
            </w:pPr>
          </w:p>
        </w:tc>
        <w:tc>
          <w:tcPr>
            <w:tcW w:w="6500" w:type="dxa"/>
            <w:vAlign w:val="bottom"/>
            <w:tcBorders>
              <w:bottom w:val="single" w:sz="8" w:color="auto"/>
            </w:tcBorders>
            <w:shd w:val="clear" w:color="auto" w:fill="9DB8D2"/>
          </w:tcPr>
          <w:p>
            <w:pPr>
              <w:jc w:val="right"/>
              <w:ind w:right="761"/>
              <w:spacing w:after="0"/>
              <w:rPr>
                <w:sz w:val="20"/>
                <w:szCs w:val="20"/>
                <w:color w:val="auto"/>
              </w:rPr>
            </w:pPr>
            <w:r>
              <w:rPr>
                <w:rFonts w:ascii="Arial" w:cs="Arial" w:eastAsia="Arial" w:hAnsi="Arial"/>
                <w:sz w:val="14"/>
                <w:szCs w:val="14"/>
                <w:b w:val="1"/>
                <w:bCs w:val="1"/>
                <w:color w:val="auto"/>
              </w:rPr>
              <w:t>Level</w:t>
            </w:r>
          </w:p>
        </w:tc>
        <w:tc>
          <w:tcPr>
            <w:tcW w:w="1480" w:type="dxa"/>
            <w:vAlign w:val="bottom"/>
            <w:tcBorders>
              <w:bottom w:val="single" w:sz="8" w:color="auto"/>
            </w:tcBorders>
            <w:shd w:val="clear" w:color="auto" w:fill="9DB8D2"/>
          </w:tcPr>
          <w:p>
            <w:pPr>
              <w:jc w:val="center"/>
              <w:ind w:right="243"/>
              <w:spacing w:after="0"/>
              <w:rPr>
                <w:sz w:val="20"/>
                <w:szCs w:val="20"/>
                <w:color w:val="auto"/>
              </w:rPr>
            </w:pPr>
            <w:r>
              <w:rPr>
                <w:rFonts w:ascii="Arial" w:cs="Arial" w:eastAsia="Arial" w:hAnsi="Arial"/>
                <w:sz w:val="14"/>
                <w:szCs w:val="14"/>
                <w:b w:val="1"/>
                <w:bCs w:val="1"/>
                <w:color w:val="auto"/>
              </w:rPr>
              <w:t>Salary</w:t>
            </w:r>
          </w:p>
        </w:tc>
        <w:tc>
          <w:tcPr>
            <w:tcW w:w="1060" w:type="dxa"/>
            <w:vAlign w:val="bottom"/>
            <w:tcBorders>
              <w:bottom w:val="single" w:sz="8" w:color="auto"/>
            </w:tcBorders>
            <w:gridSpan w:val="2"/>
            <w:shd w:val="clear" w:color="auto" w:fill="9DB8D2"/>
          </w:tcPr>
          <w:p>
            <w:pPr>
              <w:jc w:val="right"/>
              <w:ind w:right="202"/>
              <w:spacing w:after="0"/>
              <w:rPr>
                <w:sz w:val="20"/>
                <w:szCs w:val="20"/>
                <w:color w:val="auto"/>
              </w:rPr>
            </w:pPr>
            <w:r>
              <w:rPr>
                <w:rFonts w:ascii="Arial" w:cs="Arial" w:eastAsia="Arial" w:hAnsi="Arial"/>
                <w:sz w:val="14"/>
                <w:szCs w:val="14"/>
                <w:b w:val="1"/>
                <w:bCs w:val="1"/>
                <w:color w:val="auto"/>
              </w:rPr>
              <w:t>Earned</w:t>
            </w:r>
          </w:p>
        </w:tc>
      </w:tr>
      <w:tr>
        <w:trPr>
          <w:trHeight w:val="183"/>
        </w:trPr>
        <w:tc>
          <w:tcPr>
            <w:tcW w:w="238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EPS Goal</w:t>
            </w:r>
          </w:p>
        </w:tc>
        <w:tc>
          <w:tcPr>
            <w:tcW w:w="6500" w:type="dxa"/>
            <w:vAlign w:val="bottom"/>
            <w:shd w:val="clear" w:color="auto" w:fill="E6EDF3"/>
          </w:tcPr>
          <w:p>
            <w:pPr>
              <w:ind w:left="5040"/>
              <w:spacing w:after="0" w:line="183" w:lineRule="exact"/>
              <w:rPr>
                <w:sz w:val="20"/>
                <w:szCs w:val="20"/>
                <w:color w:val="auto"/>
              </w:rPr>
            </w:pPr>
            <w:r>
              <w:rPr>
                <w:rFonts w:ascii="Arial" w:cs="Arial" w:eastAsia="Arial" w:hAnsi="Arial"/>
                <w:sz w:val="16"/>
                <w:szCs w:val="16"/>
                <w:color w:val="auto"/>
              </w:rPr>
              <w:t>Above Target</w:t>
            </w:r>
          </w:p>
        </w:tc>
        <w:tc>
          <w:tcPr>
            <w:tcW w:w="1480" w:type="dxa"/>
            <w:vAlign w:val="bottom"/>
            <w:shd w:val="clear" w:color="auto" w:fill="E6EDF3"/>
          </w:tcPr>
          <w:p>
            <w:pPr>
              <w:jc w:val="right"/>
              <w:ind w:right="283"/>
              <w:spacing w:after="0" w:line="183" w:lineRule="exact"/>
              <w:rPr>
                <w:sz w:val="20"/>
                <w:szCs w:val="20"/>
                <w:color w:val="auto"/>
              </w:rPr>
            </w:pPr>
            <w:r>
              <w:rPr>
                <w:rFonts w:ascii="Arial" w:cs="Arial" w:eastAsia="Arial" w:hAnsi="Arial"/>
                <w:sz w:val="16"/>
                <w:szCs w:val="16"/>
                <w:color w:val="auto"/>
              </w:rPr>
              <w:t>62.7%</w:t>
            </w:r>
          </w:p>
        </w:tc>
        <w:tc>
          <w:tcPr>
            <w:tcW w:w="360" w:type="dxa"/>
            <w:vAlign w:val="bottom"/>
            <w:shd w:val="clear" w:color="auto" w:fill="E6EDF3"/>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700" w:type="dxa"/>
            <w:vAlign w:val="bottom"/>
            <w:shd w:val="clear" w:color="auto" w:fill="E6EDF3"/>
          </w:tcPr>
          <w:p>
            <w:pPr>
              <w:jc w:val="right"/>
              <w:ind w:right="22"/>
              <w:spacing w:after="0" w:line="183" w:lineRule="exact"/>
              <w:rPr>
                <w:sz w:val="20"/>
                <w:szCs w:val="20"/>
                <w:color w:val="auto"/>
              </w:rPr>
            </w:pPr>
            <w:r>
              <w:rPr>
                <w:rFonts w:ascii="Arial" w:cs="Arial" w:eastAsia="Arial" w:hAnsi="Arial"/>
                <w:sz w:val="16"/>
                <w:szCs w:val="16"/>
                <w:color w:val="auto"/>
              </w:rPr>
              <w:t>752,000</w:t>
            </w:r>
          </w:p>
        </w:tc>
      </w:tr>
      <w:tr>
        <w:trPr>
          <w:trHeight w:val="189"/>
        </w:trPr>
        <w:tc>
          <w:tcPr>
            <w:tcW w:w="2380" w:type="dxa"/>
            <w:vAlign w:val="bottom"/>
          </w:tcPr>
          <w:p>
            <w:pPr>
              <w:ind w:left="80"/>
              <w:spacing w:after="0"/>
              <w:rPr>
                <w:sz w:val="20"/>
                <w:szCs w:val="20"/>
                <w:color w:val="auto"/>
              </w:rPr>
            </w:pPr>
            <w:r>
              <w:rPr>
                <w:rFonts w:ascii="Arial" w:cs="Arial" w:eastAsia="Arial" w:hAnsi="Arial"/>
                <w:sz w:val="16"/>
                <w:szCs w:val="16"/>
                <w:color w:val="auto"/>
              </w:rPr>
              <w:t>ROIC Goal</w:t>
            </w:r>
          </w:p>
        </w:tc>
        <w:tc>
          <w:tcPr>
            <w:tcW w:w="6500" w:type="dxa"/>
            <w:vAlign w:val="bottom"/>
          </w:tcPr>
          <w:p>
            <w:pPr>
              <w:ind w:left="5040"/>
              <w:spacing w:after="0"/>
              <w:rPr>
                <w:sz w:val="20"/>
                <w:szCs w:val="20"/>
                <w:color w:val="auto"/>
              </w:rPr>
            </w:pPr>
            <w:r>
              <w:rPr>
                <w:rFonts w:ascii="Arial" w:cs="Arial" w:eastAsia="Arial" w:hAnsi="Arial"/>
                <w:sz w:val="16"/>
                <w:szCs w:val="16"/>
                <w:color w:val="auto"/>
              </w:rPr>
              <w:t>Above Target</w:t>
            </w:r>
          </w:p>
        </w:tc>
        <w:tc>
          <w:tcPr>
            <w:tcW w:w="1480" w:type="dxa"/>
            <w:vAlign w:val="bottom"/>
          </w:tcPr>
          <w:p>
            <w:pPr>
              <w:jc w:val="right"/>
              <w:ind w:right="283"/>
              <w:spacing w:after="0"/>
              <w:rPr>
                <w:sz w:val="20"/>
                <w:szCs w:val="20"/>
                <w:color w:val="auto"/>
              </w:rPr>
            </w:pPr>
            <w:r>
              <w:rPr>
                <w:rFonts w:ascii="Arial" w:cs="Arial" w:eastAsia="Arial" w:hAnsi="Arial"/>
                <w:sz w:val="16"/>
                <w:szCs w:val="16"/>
                <w:color w:val="auto"/>
              </w:rPr>
              <w:t>78.0%</w:t>
            </w:r>
          </w:p>
        </w:tc>
        <w:tc>
          <w:tcPr>
            <w:tcW w:w="3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936,000</w:t>
            </w:r>
          </w:p>
        </w:tc>
      </w:tr>
      <w:tr>
        <w:trPr>
          <w:trHeight w:val="189"/>
        </w:trPr>
        <w:tc>
          <w:tcPr>
            <w:tcW w:w="2380" w:type="dxa"/>
            <w:vAlign w:val="bottom"/>
            <w:shd w:val="clear" w:color="auto" w:fill="E6EDF3"/>
          </w:tcPr>
          <w:p>
            <w:pPr>
              <w:ind w:left="80"/>
              <w:spacing w:after="0"/>
              <w:rPr>
                <w:sz w:val="20"/>
                <w:szCs w:val="20"/>
                <w:color w:val="auto"/>
              </w:rPr>
            </w:pPr>
            <w:r>
              <w:rPr>
                <w:rFonts w:ascii="Arial" w:cs="Arial" w:eastAsia="Arial" w:hAnsi="Arial"/>
                <w:sz w:val="16"/>
                <w:szCs w:val="16"/>
                <w:color w:val="auto"/>
              </w:rPr>
              <w:t>Operating Objectives</w:t>
            </w:r>
          </w:p>
        </w:tc>
        <w:tc>
          <w:tcPr>
            <w:tcW w:w="6500" w:type="dxa"/>
            <w:vAlign w:val="bottom"/>
            <w:shd w:val="clear" w:color="auto" w:fill="E6EDF3"/>
          </w:tcPr>
          <w:p>
            <w:pPr>
              <w:ind w:left="5040"/>
              <w:spacing w:after="0"/>
              <w:rPr>
                <w:sz w:val="20"/>
                <w:szCs w:val="20"/>
                <w:color w:val="auto"/>
              </w:rPr>
            </w:pPr>
            <w:r>
              <w:rPr>
                <w:rFonts w:ascii="Arial" w:cs="Arial" w:eastAsia="Arial" w:hAnsi="Arial"/>
                <w:sz w:val="16"/>
                <w:szCs w:val="16"/>
                <w:color w:val="auto"/>
              </w:rPr>
              <w:t>Above Target</w:t>
            </w:r>
          </w:p>
        </w:tc>
        <w:tc>
          <w:tcPr>
            <w:tcW w:w="1480" w:type="dxa"/>
            <w:vAlign w:val="bottom"/>
            <w:shd w:val="clear" w:color="auto" w:fill="E6EDF3"/>
          </w:tcPr>
          <w:p>
            <w:pPr>
              <w:jc w:val="right"/>
              <w:ind w:right="283"/>
              <w:spacing w:after="0"/>
              <w:rPr>
                <w:sz w:val="20"/>
                <w:szCs w:val="20"/>
                <w:color w:val="auto"/>
              </w:rPr>
            </w:pPr>
            <w:r>
              <w:rPr>
                <w:rFonts w:ascii="Arial" w:cs="Arial" w:eastAsia="Arial" w:hAnsi="Arial"/>
                <w:sz w:val="16"/>
                <w:szCs w:val="16"/>
                <w:color w:val="auto"/>
              </w:rPr>
              <w:t>45.8%</w:t>
            </w:r>
          </w:p>
        </w:tc>
        <w:tc>
          <w:tcPr>
            <w:tcW w:w="360" w:type="dxa"/>
            <w:vAlign w:val="bottom"/>
            <w:shd w:val="clear" w:color="auto" w:fill="E6EDF3"/>
          </w:tcPr>
          <w:p>
            <w:pPr>
              <w:jc w:val="right"/>
              <w:ind w:right="61"/>
              <w:spacing w:after="0"/>
              <w:rPr>
                <w:sz w:val="20"/>
                <w:szCs w:val="20"/>
                <w:color w:val="auto"/>
              </w:rPr>
            </w:pPr>
            <w:r>
              <w:rPr>
                <w:rFonts w:ascii="Arial" w:cs="Arial" w:eastAsia="Arial" w:hAnsi="Arial"/>
                <w:sz w:val="16"/>
                <w:szCs w:val="16"/>
                <w:color w:val="auto"/>
              </w:rPr>
              <w:t>$</w:t>
            </w:r>
          </w:p>
        </w:tc>
        <w:tc>
          <w:tcPr>
            <w:tcW w:w="700" w:type="dxa"/>
            <w:vAlign w:val="bottom"/>
            <w:shd w:val="clear" w:color="auto" w:fill="E6EDF3"/>
          </w:tcPr>
          <w:p>
            <w:pPr>
              <w:jc w:val="right"/>
              <w:ind w:right="22"/>
              <w:spacing w:after="0"/>
              <w:rPr>
                <w:sz w:val="20"/>
                <w:szCs w:val="20"/>
                <w:color w:val="auto"/>
              </w:rPr>
            </w:pPr>
            <w:r>
              <w:rPr>
                <w:rFonts w:ascii="Arial" w:cs="Arial" w:eastAsia="Arial" w:hAnsi="Arial"/>
                <w:sz w:val="16"/>
                <w:szCs w:val="16"/>
                <w:color w:val="auto"/>
              </w:rPr>
              <w:t>550,000</w:t>
            </w:r>
          </w:p>
        </w:tc>
      </w:tr>
      <w:tr>
        <w:trPr>
          <w:trHeight w:val="189"/>
        </w:trPr>
        <w:tc>
          <w:tcPr>
            <w:tcW w:w="238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Total Incentive</w:t>
            </w:r>
          </w:p>
        </w:tc>
        <w:tc>
          <w:tcPr>
            <w:tcW w:w="65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186.5%</w:t>
            </w:r>
          </w:p>
        </w:tc>
        <w:tc>
          <w:tcPr>
            <w:tcW w:w="10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6"/>
                <w:szCs w:val="16"/>
                <w:color w:val="auto"/>
              </w:rPr>
              <w:t>$2,238,000</w:t>
            </w:r>
          </w:p>
        </w:tc>
      </w:tr>
      <w:tr>
        <w:trPr>
          <w:trHeight w:val="426"/>
        </w:trPr>
        <w:tc>
          <w:tcPr>
            <w:tcW w:w="2380" w:type="dxa"/>
            <w:vAlign w:val="bottom"/>
          </w:tcPr>
          <w:p>
            <w:pPr>
              <w:spacing w:after="0"/>
              <w:rPr>
                <w:sz w:val="24"/>
                <w:szCs w:val="24"/>
                <w:color w:val="auto"/>
              </w:rPr>
            </w:pPr>
          </w:p>
        </w:tc>
        <w:tc>
          <w:tcPr>
            <w:tcW w:w="6500" w:type="dxa"/>
            <w:vAlign w:val="bottom"/>
          </w:tcPr>
          <w:p>
            <w:pPr>
              <w:jc w:val="right"/>
              <w:ind w:right="761"/>
              <w:spacing w:after="0"/>
              <w:rPr>
                <w:sz w:val="20"/>
                <w:szCs w:val="20"/>
                <w:color w:val="auto"/>
              </w:rPr>
            </w:pPr>
            <w:r>
              <w:rPr>
                <w:rFonts w:ascii="Arial" w:cs="Arial" w:eastAsia="Arial" w:hAnsi="Arial"/>
                <w:sz w:val="18"/>
                <w:szCs w:val="18"/>
                <w:b w:val="1"/>
                <w:bCs w:val="1"/>
                <w:color w:val="5D89B4"/>
              </w:rPr>
              <w:t>John T. McGinnis — 2016 Annual Incentive Calculation</w:t>
            </w: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35"/>
        </w:trPr>
        <w:tc>
          <w:tcPr>
            <w:tcW w:w="2380" w:type="dxa"/>
            <w:vAlign w:val="bottom"/>
            <w:tcBorders>
              <w:bottom w:val="single" w:sz="8" w:color="auto"/>
            </w:tcBorders>
          </w:tcPr>
          <w:p>
            <w:pPr>
              <w:spacing w:after="0"/>
              <w:rPr>
                <w:sz w:val="11"/>
                <w:szCs w:val="11"/>
                <w:color w:val="auto"/>
              </w:rPr>
            </w:pPr>
          </w:p>
        </w:tc>
        <w:tc>
          <w:tcPr>
            <w:tcW w:w="65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r>
      <w:tr>
        <w:trPr>
          <w:trHeight w:val="237"/>
        </w:trPr>
        <w:tc>
          <w:tcPr>
            <w:tcW w:w="2380" w:type="dxa"/>
            <w:vAlign w:val="bottom"/>
            <w:shd w:val="clear" w:color="auto" w:fill="9DB8D2"/>
          </w:tcPr>
          <w:p>
            <w:pPr>
              <w:spacing w:after="0"/>
              <w:rPr>
                <w:sz w:val="20"/>
                <w:szCs w:val="20"/>
                <w:color w:val="auto"/>
              </w:rPr>
            </w:pPr>
          </w:p>
        </w:tc>
        <w:tc>
          <w:tcPr>
            <w:tcW w:w="6500" w:type="dxa"/>
            <w:vAlign w:val="bottom"/>
            <w:shd w:val="clear" w:color="auto" w:fill="9DB8D2"/>
          </w:tcPr>
          <w:p>
            <w:pPr>
              <w:spacing w:after="0"/>
              <w:rPr>
                <w:sz w:val="20"/>
                <w:szCs w:val="20"/>
                <w:color w:val="auto"/>
              </w:rPr>
            </w:pPr>
          </w:p>
        </w:tc>
        <w:tc>
          <w:tcPr>
            <w:tcW w:w="1480" w:type="dxa"/>
            <w:vAlign w:val="bottom"/>
            <w:shd w:val="clear" w:color="auto" w:fill="9DB8D2"/>
          </w:tcPr>
          <w:p>
            <w:pPr>
              <w:jc w:val="center"/>
              <w:ind w:left="103"/>
              <w:spacing w:after="0"/>
              <w:rPr>
                <w:sz w:val="20"/>
                <w:szCs w:val="20"/>
                <w:color w:val="auto"/>
              </w:rPr>
            </w:pPr>
            <w:r>
              <w:rPr>
                <w:rFonts w:ascii="Arial" w:cs="Arial" w:eastAsia="Arial" w:hAnsi="Arial"/>
                <w:sz w:val="14"/>
                <w:szCs w:val="14"/>
                <w:b w:val="1"/>
                <w:bCs w:val="1"/>
                <w:color w:val="auto"/>
              </w:rPr>
              <w:t>Percentage</w:t>
            </w:r>
          </w:p>
        </w:tc>
        <w:tc>
          <w:tcPr>
            <w:tcW w:w="360" w:type="dxa"/>
            <w:vAlign w:val="bottom"/>
            <w:shd w:val="clear" w:color="auto" w:fill="9DB8D2"/>
          </w:tcPr>
          <w:p>
            <w:pPr>
              <w:spacing w:after="0"/>
              <w:rPr>
                <w:sz w:val="20"/>
                <w:szCs w:val="20"/>
                <w:color w:val="auto"/>
              </w:rPr>
            </w:pPr>
          </w:p>
        </w:tc>
        <w:tc>
          <w:tcPr>
            <w:tcW w:w="700" w:type="dxa"/>
            <w:vAlign w:val="bottom"/>
            <w:shd w:val="clear" w:color="auto" w:fill="9DB8D2"/>
          </w:tcPr>
          <w:p>
            <w:pPr>
              <w:spacing w:after="0"/>
              <w:rPr>
                <w:sz w:val="20"/>
                <w:szCs w:val="20"/>
                <w:color w:val="auto"/>
              </w:rPr>
            </w:pPr>
          </w:p>
        </w:tc>
      </w:tr>
      <w:tr>
        <w:trPr>
          <w:trHeight w:val="162"/>
        </w:trPr>
        <w:tc>
          <w:tcPr>
            <w:tcW w:w="2380" w:type="dxa"/>
            <w:vAlign w:val="bottom"/>
            <w:shd w:val="clear" w:color="auto" w:fill="9DB8D2"/>
          </w:tcPr>
          <w:p>
            <w:pPr>
              <w:spacing w:after="0"/>
              <w:rPr>
                <w:sz w:val="14"/>
                <w:szCs w:val="14"/>
                <w:color w:val="auto"/>
              </w:rPr>
            </w:pPr>
          </w:p>
        </w:tc>
        <w:tc>
          <w:tcPr>
            <w:tcW w:w="6500" w:type="dxa"/>
            <w:vAlign w:val="bottom"/>
            <w:shd w:val="clear" w:color="auto" w:fill="9DB8D2"/>
          </w:tcPr>
          <w:p>
            <w:pPr>
              <w:ind w:left="5380"/>
              <w:spacing w:after="0"/>
              <w:rPr>
                <w:sz w:val="20"/>
                <w:szCs w:val="20"/>
                <w:color w:val="auto"/>
              </w:rPr>
            </w:pPr>
            <w:r>
              <w:rPr>
                <w:rFonts w:ascii="Arial" w:cs="Arial" w:eastAsia="Arial" w:hAnsi="Arial"/>
                <w:sz w:val="14"/>
                <w:szCs w:val="14"/>
                <w:b w:val="1"/>
                <w:bCs w:val="1"/>
                <w:color w:val="auto"/>
              </w:rPr>
              <w:t>Performance</w:t>
            </w:r>
          </w:p>
        </w:tc>
        <w:tc>
          <w:tcPr>
            <w:tcW w:w="1480" w:type="dxa"/>
            <w:vAlign w:val="bottom"/>
            <w:shd w:val="clear" w:color="auto" w:fill="9DB8D2"/>
          </w:tcPr>
          <w:p>
            <w:pPr>
              <w:jc w:val="center"/>
              <w:ind w:left="103"/>
              <w:spacing w:after="0"/>
              <w:rPr>
                <w:sz w:val="20"/>
                <w:szCs w:val="20"/>
                <w:color w:val="auto"/>
              </w:rPr>
            </w:pPr>
            <w:r>
              <w:rPr>
                <w:rFonts w:ascii="Arial" w:cs="Arial" w:eastAsia="Arial" w:hAnsi="Arial"/>
                <w:sz w:val="14"/>
                <w:szCs w:val="14"/>
                <w:b w:val="1"/>
                <w:bCs w:val="1"/>
                <w:color w:val="auto"/>
              </w:rPr>
              <w:t>of 2016</w:t>
            </w:r>
          </w:p>
        </w:tc>
        <w:tc>
          <w:tcPr>
            <w:tcW w:w="1060" w:type="dxa"/>
            <w:vAlign w:val="bottom"/>
            <w:gridSpan w:val="2"/>
            <w:shd w:val="clear" w:color="auto" w:fill="9DB8D2"/>
          </w:tcPr>
          <w:p>
            <w:pPr>
              <w:jc w:val="center"/>
              <w:ind w:left="81"/>
              <w:spacing w:after="0"/>
              <w:rPr>
                <w:sz w:val="20"/>
                <w:szCs w:val="20"/>
                <w:color w:val="auto"/>
              </w:rPr>
            </w:pPr>
            <w:r>
              <w:rPr>
                <w:rFonts w:ascii="Arial" w:cs="Arial" w:eastAsia="Arial" w:hAnsi="Arial"/>
                <w:sz w:val="14"/>
                <w:szCs w:val="14"/>
                <w:b w:val="1"/>
                <w:bCs w:val="1"/>
                <w:color w:val="auto"/>
              </w:rPr>
              <w:t>Amount</w:t>
            </w:r>
          </w:p>
        </w:tc>
      </w:tr>
      <w:tr>
        <w:trPr>
          <w:trHeight w:val="189"/>
        </w:trPr>
        <w:tc>
          <w:tcPr>
            <w:tcW w:w="2380" w:type="dxa"/>
            <w:vAlign w:val="bottom"/>
            <w:tcBorders>
              <w:bottom w:val="single" w:sz="8" w:color="auto"/>
            </w:tcBorders>
            <w:shd w:val="clear" w:color="auto" w:fill="9DB8D2"/>
          </w:tcPr>
          <w:p>
            <w:pPr>
              <w:spacing w:after="0"/>
              <w:rPr>
                <w:sz w:val="16"/>
                <w:szCs w:val="16"/>
                <w:color w:val="auto"/>
              </w:rPr>
            </w:pPr>
          </w:p>
        </w:tc>
        <w:tc>
          <w:tcPr>
            <w:tcW w:w="6500" w:type="dxa"/>
            <w:vAlign w:val="bottom"/>
            <w:tcBorders>
              <w:bottom w:val="single" w:sz="8" w:color="auto"/>
            </w:tcBorders>
            <w:shd w:val="clear" w:color="auto" w:fill="9DB8D2"/>
          </w:tcPr>
          <w:p>
            <w:pPr>
              <w:ind w:left="5640"/>
              <w:spacing w:after="0"/>
              <w:rPr>
                <w:sz w:val="20"/>
                <w:szCs w:val="20"/>
                <w:color w:val="auto"/>
              </w:rPr>
            </w:pPr>
            <w:r>
              <w:rPr>
                <w:rFonts w:ascii="Arial" w:cs="Arial" w:eastAsia="Arial" w:hAnsi="Arial"/>
                <w:sz w:val="14"/>
                <w:szCs w:val="14"/>
                <w:b w:val="1"/>
                <w:bCs w:val="1"/>
                <w:color w:val="auto"/>
              </w:rPr>
              <w:t>Level</w:t>
            </w:r>
          </w:p>
        </w:tc>
        <w:tc>
          <w:tcPr>
            <w:tcW w:w="1480" w:type="dxa"/>
            <w:vAlign w:val="bottom"/>
            <w:tcBorders>
              <w:bottom w:val="single" w:sz="8" w:color="auto"/>
            </w:tcBorders>
            <w:shd w:val="clear" w:color="auto" w:fill="9DB8D2"/>
          </w:tcPr>
          <w:p>
            <w:pPr>
              <w:jc w:val="center"/>
              <w:ind w:left="83"/>
              <w:spacing w:after="0"/>
              <w:rPr>
                <w:sz w:val="20"/>
                <w:szCs w:val="20"/>
                <w:color w:val="auto"/>
              </w:rPr>
            </w:pPr>
            <w:r>
              <w:rPr>
                <w:rFonts w:ascii="Arial" w:cs="Arial" w:eastAsia="Arial" w:hAnsi="Arial"/>
                <w:sz w:val="14"/>
                <w:szCs w:val="14"/>
                <w:b w:val="1"/>
                <w:bCs w:val="1"/>
                <w:color w:val="auto"/>
              </w:rPr>
              <w:t>Salary</w:t>
            </w:r>
          </w:p>
        </w:tc>
        <w:tc>
          <w:tcPr>
            <w:tcW w:w="360" w:type="dxa"/>
            <w:vAlign w:val="bottom"/>
            <w:tcBorders>
              <w:bottom w:val="single" w:sz="8" w:color="auto"/>
            </w:tcBorders>
            <w:shd w:val="clear" w:color="auto" w:fill="9DB8D2"/>
          </w:tcPr>
          <w:p>
            <w:pPr>
              <w:spacing w:after="0"/>
              <w:rPr>
                <w:sz w:val="16"/>
                <w:szCs w:val="16"/>
                <w:color w:val="auto"/>
              </w:rPr>
            </w:pPr>
          </w:p>
        </w:tc>
        <w:tc>
          <w:tcPr>
            <w:tcW w:w="700" w:type="dxa"/>
            <w:vAlign w:val="bottom"/>
            <w:tcBorders>
              <w:bottom w:val="single" w:sz="8" w:color="auto"/>
            </w:tcBorders>
            <w:shd w:val="clear" w:color="auto" w:fill="9DB8D2"/>
          </w:tcPr>
          <w:p>
            <w:pPr>
              <w:jc w:val="center"/>
              <w:ind w:right="122"/>
              <w:spacing w:after="0"/>
              <w:rPr>
                <w:sz w:val="20"/>
                <w:szCs w:val="20"/>
                <w:color w:val="auto"/>
              </w:rPr>
            </w:pPr>
            <w:r>
              <w:rPr>
                <w:rFonts w:ascii="Arial" w:cs="Arial" w:eastAsia="Arial" w:hAnsi="Arial"/>
                <w:sz w:val="14"/>
                <w:szCs w:val="14"/>
                <w:b w:val="1"/>
                <w:bCs w:val="1"/>
                <w:color w:val="auto"/>
              </w:rPr>
              <w:t>Earned</w:t>
            </w:r>
          </w:p>
        </w:tc>
      </w:tr>
      <w:tr>
        <w:trPr>
          <w:trHeight w:val="183"/>
        </w:trPr>
        <w:tc>
          <w:tcPr>
            <w:tcW w:w="238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EPS Goal</w:t>
            </w:r>
          </w:p>
        </w:tc>
        <w:tc>
          <w:tcPr>
            <w:tcW w:w="6500" w:type="dxa"/>
            <w:vAlign w:val="bottom"/>
            <w:shd w:val="clear" w:color="auto" w:fill="E6EDF3"/>
          </w:tcPr>
          <w:p>
            <w:pPr>
              <w:ind w:left="5380"/>
              <w:spacing w:after="0" w:line="183" w:lineRule="exact"/>
              <w:rPr>
                <w:sz w:val="20"/>
                <w:szCs w:val="20"/>
                <w:color w:val="auto"/>
              </w:rPr>
            </w:pPr>
            <w:r>
              <w:rPr>
                <w:rFonts w:ascii="Arial" w:cs="Arial" w:eastAsia="Arial" w:hAnsi="Arial"/>
                <w:sz w:val="16"/>
                <w:szCs w:val="16"/>
                <w:color w:val="auto"/>
              </w:rPr>
              <w:t>Above Target</w:t>
            </w:r>
          </w:p>
        </w:tc>
        <w:tc>
          <w:tcPr>
            <w:tcW w:w="1480" w:type="dxa"/>
            <w:vAlign w:val="bottom"/>
            <w:shd w:val="clear" w:color="auto" w:fill="E6EDF3"/>
          </w:tcPr>
          <w:p>
            <w:pPr>
              <w:jc w:val="right"/>
              <w:ind w:right="43"/>
              <w:spacing w:after="0" w:line="183" w:lineRule="exact"/>
              <w:rPr>
                <w:sz w:val="20"/>
                <w:szCs w:val="20"/>
                <w:color w:val="auto"/>
              </w:rPr>
            </w:pPr>
            <w:r>
              <w:rPr>
                <w:rFonts w:ascii="Arial" w:cs="Arial" w:eastAsia="Arial" w:hAnsi="Arial"/>
                <w:sz w:val="16"/>
                <w:szCs w:val="16"/>
                <w:color w:val="auto"/>
              </w:rPr>
              <w:t>41.8%</w:t>
            </w:r>
          </w:p>
        </w:tc>
        <w:tc>
          <w:tcPr>
            <w:tcW w:w="1060" w:type="dxa"/>
            <w:vAlign w:val="bottom"/>
            <w:gridSpan w:val="2"/>
            <w:shd w:val="clear" w:color="auto" w:fill="E6EDF3"/>
          </w:tcPr>
          <w:p>
            <w:pPr>
              <w:jc w:val="right"/>
              <w:ind w:right="22"/>
              <w:spacing w:after="0" w:line="183" w:lineRule="exact"/>
              <w:rPr>
                <w:sz w:val="20"/>
                <w:szCs w:val="20"/>
                <w:color w:val="auto"/>
              </w:rPr>
            </w:pPr>
            <w:r>
              <w:rPr>
                <w:rFonts w:ascii="Arial" w:cs="Arial" w:eastAsia="Arial" w:hAnsi="Arial"/>
                <w:sz w:val="16"/>
                <w:szCs w:val="16"/>
                <w:color w:val="auto"/>
              </w:rPr>
              <w:t>$250,680</w:t>
            </w:r>
          </w:p>
        </w:tc>
      </w:tr>
      <w:tr>
        <w:trPr>
          <w:trHeight w:val="189"/>
        </w:trPr>
        <w:tc>
          <w:tcPr>
            <w:tcW w:w="2380" w:type="dxa"/>
            <w:vAlign w:val="bottom"/>
          </w:tcPr>
          <w:p>
            <w:pPr>
              <w:ind w:left="80"/>
              <w:spacing w:after="0"/>
              <w:rPr>
                <w:sz w:val="20"/>
                <w:szCs w:val="20"/>
                <w:color w:val="auto"/>
              </w:rPr>
            </w:pPr>
            <w:r>
              <w:rPr>
                <w:rFonts w:ascii="Arial" w:cs="Arial" w:eastAsia="Arial" w:hAnsi="Arial"/>
                <w:sz w:val="16"/>
                <w:szCs w:val="16"/>
                <w:color w:val="auto"/>
              </w:rPr>
              <w:t>ROIC Goal</w:t>
            </w:r>
          </w:p>
        </w:tc>
        <w:tc>
          <w:tcPr>
            <w:tcW w:w="6500" w:type="dxa"/>
            <w:vAlign w:val="bottom"/>
          </w:tcPr>
          <w:p>
            <w:pPr>
              <w:ind w:left="5380"/>
              <w:spacing w:after="0"/>
              <w:rPr>
                <w:sz w:val="20"/>
                <w:szCs w:val="20"/>
                <w:color w:val="auto"/>
              </w:rPr>
            </w:pPr>
            <w:r>
              <w:rPr>
                <w:rFonts w:ascii="Arial" w:cs="Arial" w:eastAsia="Arial" w:hAnsi="Arial"/>
                <w:sz w:val="16"/>
                <w:szCs w:val="16"/>
                <w:color w:val="auto"/>
              </w:rPr>
              <w:t>Above Target</w:t>
            </w:r>
          </w:p>
        </w:tc>
        <w:tc>
          <w:tcPr>
            <w:tcW w:w="1480" w:type="dxa"/>
            <w:vAlign w:val="bottom"/>
          </w:tcPr>
          <w:p>
            <w:pPr>
              <w:jc w:val="right"/>
              <w:ind w:right="43"/>
              <w:spacing w:after="0"/>
              <w:rPr>
                <w:sz w:val="20"/>
                <w:szCs w:val="20"/>
                <w:color w:val="auto"/>
              </w:rPr>
            </w:pPr>
            <w:r>
              <w:rPr>
                <w:rFonts w:ascii="Arial" w:cs="Arial" w:eastAsia="Arial" w:hAnsi="Arial"/>
                <w:sz w:val="16"/>
                <w:szCs w:val="16"/>
                <w:color w:val="auto"/>
              </w:rPr>
              <w:t>52.0%</w:t>
            </w:r>
          </w:p>
        </w:tc>
        <w:tc>
          <w:tcPr>
            <w:tcW w:w="1060" w:type="dxa"/>
            <w:vAlign w:val="bottom"/>
            <w:gridSpan w:val="2"/>
          </w:tcPr>
          <w:p>
            <w:pPr>
              <w:jc w:val="right"/>
              <w:ind w:right="22"/>
              <w:spacing w:after="0"/>
              <w:rPr>
                <w:sz w:val="20"/>
                <w:szCs w:val="20"/>
                <w:color w:val="auto"/>
              </w:rPr>
            </w:pPr>
            <w:r>
              <w:rPr>
                <w:rFonts w:ascii="Arial" w:cs="Arial" w:eastAsia="Arial" w:hAnsi="Arial"/>
                <w:sz w:val="16"/>
                <w:szCs w:val="16"/>
                <w:color w:val="auto"/>
              </w:rPr>
              <w:t>$312,000</w:t>
            </w:r>
          </w:p>
        </w:tc>
      </w:tr>
      <w:tr>
        <w:trPr>
          <w:trHeight w:val="189"/>
        </w:trPr>
        <w:tc>
          <w:tcPr>
            <w:tcW w:w="2380" w:type="dxa"/>
            <w:vAlign w:val="bottom"/>
            <w:shd w:val="clear" w:color="auto" w:fill="E6EDF3"/>
          </w:tcPr>
          <w:p>
            <w:pPr>
              <w:ind w:left="80"/>
              <w:spacing w:after="0"/>
              <w:rPr>
                <w:sz w:val="20"/>
                <w:szCs w:val="20"/>
                <w:color w:val="auto"/>
              </w:rPr>
            </w:pPr>
            <w:r>
              <w:rPr>
                <w:rFonts w:ascii="Arial" w:cs="Arial" w:eastAsia="Arial" w:hAnsi="Arial"/>
                <w:sz w:val="16"/>
                <w:szCs w:val="16"/>
                <w:color w:val="auto"/>
              </w:rPr>
              <w:t>Operating Objectives</w:t>
            </w:r>
          </w:p>
        </w:tc>
        <w:tc>
          <w:tcPr>
            <w:tcW w:w="6500" w:type="dxa"/>
            <w:vAlign w:val="bottom"/>
            <w:shd w:val="clear" w:color="auto" w:fill="E6EDF3"/>
          </w:tcPr>
          <w:p>
            <w:pPr>
              <w:ind w:left="5380"/>
              <w:spacing w:after="0"/>
              <w:rPr>
                <w:sz w:val="20"/>
                <w:szCs w:val="20"/>
                <w:color w:val="auto"/>
              </w:rPr>
            </w:pPr>
            <w:r>
              <w:rPr>
                <w:rFonts w:ascii="Arial" w:cs="Arial" w:eastAsia="Arial" w:hAnsi="Arial"/>
                <w:sz w:val="16"/>
                <w:szCs w:val="16"/>
                <w:color w:val="auto"/>
              </w:rPr>
              <w:t>Above Target</w:t>
            </w:r>
          </w:p>
        </w:tc>
        <w:tc>
          <w:tcPr>
            <w:tcW w:w="1480" w:type="dxa"/>
            <w:vAlign w:val="bottom"/>
            <w:shd w:val="clear" w:color="auto" w:fill="E6EDF3"/>
          </w:tcPr>
          <w:p>
            <w:pPr>
              <w:jc w:val="right"/>
              <w:ind w:right="43"/>
              <w:spacing w:after="0"/>
              <w:rPr>
                <w:sz w:val="20"/>
                <w:szCs w:val="20"/>
                <w:color w:val="auto"/>
              </w:rPr>
            </w:pPr>
            <w:r>
              <w:rPr>
                <w:rFonts w:ascii="Arial" w:cs="Arial" w:eastAsia="Arial" w:hAnsi="Arial"/>
                <w:sz w:val="16"/>
                <w:szCs w:val="16"/>
                <w:color w:val="auto"/>
              </w:rPr>
              <w:t>25.0%</w:t>
            </w:r>
          </w:p>
        </w:tc>
        <w:tc>
          <w:tcPr>
            <w:tcW w:w="1060" w:type="dxa"/>
            <w:vAlign w:val="bottom"/>
            <w:gridSpan w:val="2"/>
            <w:shd w:val="clear" w:color="auto" w:fill="E6EDF3"/>
          </w:tcPr>
          <w:p>
            <w:pPr>
              <w:jc w:val="right"/>
              <w:ind w:right="22"/>
              <w:spacing w:after="0"/>
              <w:rPr>
                <w:sz w:val="20"/>
                <w:szCs w:val="20"/>
                <w:color w:val="auto"/>
              </w:rPr>
            </w:pPr>
            <w:r>
              <w:rPr>
                <w:rFonts w:ascii="Arial" w:cs="Arial" w:eastAsia="Arial" w:hAnsi="Arial"/>
                <w:sz w:val="16"/>
                <w:szCs w:val="16"/>
                <w:color w:val="auto"/>
              </w:rPr>
              <w:t>$150,000</w:t>
            </w:r>
          </w:p>
        </w:tc>
      </w:tr>
      <w:tr>
        <w:trPr>
          <w:trHeight w:val="189"/>
        </w:trPr>
        <w:tc>
          <w:tcPr>
            <w:tcW w:w="238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Total Incentive</w:t>
            </w:r>
          </w:p>
        </w:tc>
        <w:tc>
          <w:tcPr>
            <w:tcW w:w="65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118.8%</w:t>
            </w:r>
          </w:p>
        </w:tc>
        <w:tc>
          <w:tcPr>
            <w:tcW w:w="10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6"/>
                <w:szCs w:val="16"/>
                <w:color w:val="auto"/>
              </w:rPr>
              <w:t>$712,680</w:t>
            </w:r>
          </w:p>
        </w:tc>
      </w:tr>
      <w:tr>
        <w:trPr>
          <w:trHeight w:val="426"/>
        </w:trPr>
        <w:tc>
          <w:tcPr>
            <w:tcW w:w="2380" w:type="dxa"/>
            <w:vAlign w:val="bottom"/>
          </w:tcPr>
          <w:p>
            <w:pPr>
              <w:spacing w:after="0"/>
              <w:rPr>
                <w:sz w:val="24"/>
                <w:szCs w:val="24"/>
                <w:color w:val="auto"/>
              </w:rPr>
            </w:pPr>
          </w:p>
        </w:tc>
        <w:tc>
          <w:tcPr>
            <w:tcW w:w="6500" w:type="dxa"/>
            <w:vAlign w:val="bottom"/>
          </w:tcPr>
          <w:p>
            <w:pPr>
              <w:ind w:left="1200"/>
              <w:spacing w:after="0"/>
              <w:rPr>
                <w:sz w:val="20"/>
                <w:szCs w:val="20"/>
                <w:color w:val="auto"/>
              </w:rPr>
            </w:pPr>
            <w:r>
              <w:rPr>
                <w:rFonts w:ascii="Arial" w:cs="Arial" w:eastAsia="Arial" w:hAnsi="Arial"/>
                <w:sz w:val="18"/>
                <w:szCs w:val="18"/>
                <w:b w:val="1"/>
                <w:bCs w:val="1"/>
                <w:color w:val="5D89B4"/>
              </w:rPr>
              <w:t>Darryl Green — 2016 Annual Incentive Calculation</w:t>
            </w: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35"/>
        </w:trPr>
        <w:tc>
          <w:tcPr>
            <w:tcW w:w="2380" w:type="dxa"/>
            <w:vAlign w:val="bottom"/>
            <w:tcBorders>
              <w:bottom w:val="single" w:sz="8" w:color="auto"/>
            </w:tcBorders>
          </w:tcPr>
          <w:p>
            <w:pPr>
              <w:spacing w:after="0"/>
              <w:rPr>
                <w:sz w:val="11"/>
                <w:szCs w:val="11"/>
                <w:color w:val="auto"/>
              </w:rPr>
            </w:pPr>
          </w:p>
        </w:tc>
        <w:tc>
          <w:tcPr>
            <w:tcW w:w="65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r>
      <w:tr>
        <w:trPr>
          <w:trHeight w:val="237"/>
        </w:trPr>
        <w:tc>
          <w:tcPr>
            <w:tcW w:w="2380" w:type="dxa"/>
            <w:vAlign w:val="bottom"/>
            <w:shd w:val="clear" w:color="auto" w:fill="9DB8D2"/>
          </w:tcPr>
          <w:p>
            <w:pPr>
              <w:spacing w:after="0"/>
              <w:rPr>
                <w:sz w:val="20"/>
                <w:szCs w:val="20"/>
                <w:color w:val="auto"/>
              </w:rPr>
            </w:pPr>
          </w:p>
        </w:tc>
        <w:tc>
          <w:tcPr>
            <w:tcW w:w="6500" w:type="dxa"/>
            <w:vAlign w:val="bottom"/>
            <w:shd w:val="clear" w:color="auto" w:fill="9DB8D2"/>
          </w:tcPr>
          <w:p>
            <w:pPr>
              <w:spacing w:after="0"/>
              <w:rPr>
                <w:sz w:val="20"/>
                <w:szCs w:val="20"/>
                <w:color w:val="auto"/>
              </w:rPr>
            </w:pPr>
          </w:p>
        </w:tc>
        <w:tc>
          <w:tcPr>
            <w:tcW w:w="1480" w:type="dxa"/>
            <w:vAlign w:val="bottom"/>
            <w:shd w:val="clear" w:color="auto" w:fill="9DB8D2"/>
          </w:tcPr>
          <w:p>
            <w:pPr>
              <w:jc w:val="center"/>
              <w:ind w:left="103"/>
              <w:spacing w:after="0"/>
              <w:rPr>
                <w:sz w:val="20"/>
                <w:szCs w:val="20"/>
                <w:color w:val="auto"/>
              </w:rPr>
            </w:pPr>
            <w:r>
              <w:rPr>
                <w:rFonts w:ascii="Arial" w:cs="Arial" w:eastAsia="Arial" w:hAnsi="Arial"/>
                <w:sz w:val="14"/>
                <w:szCs w:val="14"/>
                <w:b w:val="1"/>
                <w:bCs w:val="1"/>
                <w:color w:val="auto"/>
              </w:rPr>
              <w:t>Percentage</w:t>
            </w:r>
          </w:p>
        </w:tc>
        <w:tc>
          <w:tcPr>
            <w:tcW w:w="360" w:type="dxa"/>
            <w:vAlign w:val="bottom"/>
            <w:shd w:val="clear" w:color="auto" w:fill="9DB8D2"/>
          </w:tcPr>
          <w:p>
            <w:pPr>
              <w:spacing w:after="0"/>
              <w:rPr>
                <w:sz w:val="20"/>
                <w:szCs w:val="20"/>
                <w:color w:val="auto"/>
              </w:rPr>
            </w:pPr>
          </w:p>
        </w:tc>
        <w:tc>
          <w:tcPr>
            <w:tcW w:w="700" w:type="dxa"/>
            <w:vAlign w:val="bottom"/>
            <w:shd w:val="clear" w:color="auto" w:fill="9DB8D2"/>
          </w:tcPr>
          <w:p>
            <w:pPr>
              <w:spacing w:after="0"/>
              <w:rPr>
                <w:sz w:val="20"/>
                <w:szCs w:val="20"/>
                <w:color w:val="auto"/>
              </w:rPr>
            </w:pPr>
          </w:p>
        </w:tc>
      </w:tr>
      <w:tr>
        <w:trPr>
          <w:trHeight w:val="162"/>
        </w:trPr>
        <w:tc>
          <w:tcPr>
            <w:tcW w:w="2380" w:type="dxa"/>
            <w:vAlign w:val="bottom"/>
            <w:shd w:val="clear" w:color="auto" w:fill="9DB8D2"/>
          </w:tcPr>
          <w:p>
            <w:pPr>
              <w:spacing w:after="0"/>
              <w:rPr>
                <w:sz w:val="14"/>
                <w:szCs w:val="14"/>
                <w:color w:val="auto"/>
              </w:rPr>
            </w:pPr>
          </w:p>
        </w:tc>
        <w:tc>
          <w:tcPr>
            <w:tcW w:w="6500" w:type="dxa"/>
            <w:vAlign w:val="bottom"/>
            <w:shd w:val="clear" w:color="auto" w:fill="9DB8D2"/>
          </w:tcPr>
          <w:p>
            <w:pPr>
              <w:ind w:left="5380"/>
              <w:spacing w:after="0"/>
              <w:rPr>
                <w:sz w:val="20"/>
                <w:szCs w:val="20"/>
                <w:color w:val="auto"/>
              </w:rPr>
            </w:pPr>
            <w:r>
              <w:rPr>
                <w:rFonts w:ascii="Arial" w:cs="Arial" w:eastAsia="Arial" w:hAnsi="Arial"/>
                <w:sz w:val="14"/>
                <w:szCs w:val="14"/>
                <w:b w:val="1"/>
                <w:bCs w:val="1"/>
                <w:color w:val="auto"/>
              </w:rPr>
              <w:t>Performance</w:t>
            </w:r>
          </w:p>
        </w:tc>
        <w:tc>
          <w:tcPr>
            <w:tcW w:w="1480" w:type="dxa"/>
            <w:vAlign w:val="bottom"/>
            <w:shd w:val="clear" w:color="auto" w:fill="9DB8D2"/>
          </w:tcPr>
          <w:p>
            <w:pPr>
              <w:jc w:val="center"/>
              <w:ind w:left="103"/>
              <w:spacing w:after="0"/>
              <w:rPr>
                <w:sz w:val="20"/>
                <w:szCs w:val="20"/>
                <w:color w:val="auto"/>
              </w:rPr>
            </w:pPr>
            <w:r>
              <w:rPr>
                <w:rFonts w:ascii="Arial" w:cs="Arial" w:eastAsia="Arial" w:hAnsi="Arial"/>
                <w:sz w:val="14"/>
                <w:szCs w:val="14"/>
                <w:b w:val="1"/>
                <w:bCs w:val="1"/>
                <w:color w:val="auto"/>
              </w:rPr>
              <w:t>of 2016</w:t>
            </w:r>
          </w:p>
        </w:tc>
        <w:tc>
          <w:tcPr>
            <w:tcW w:w="1060" w:type="dxa"/>
            <w:vAlign w:val="bottom"/>
            <w:gridSpan w:val="2"/>
            <w:shd w:val="clear" w:color="auto" w:fill="9DB8D2"/>
          </w:tcPr>
          <w:p>
            <w:pPr>
              <w:jc w:val="center"/>
              <w:ind w:left="81"/>
              <w:spacing w:after="0"/>
              <w:rPr>
                <w:sz w:val="20"/>
                <w:szCs w:val="20"/>
                <w:color w:val="auto"/>
              </w:rPr>
            </w:pPr>
            <w:r>
              <w:rPr>
                <w:rFonts w:ascii="Arial" w:cs="Arial" w:eastAsia="Arial" w:hAnsi="Arial"/>
                <w:sz w:val="14"/>
                <w:szCs w:val="14"/>
                <w:b w:val="1"/>
                <w:bCs w:val="1"/>
                <w:color w:val="auto"/>
              </w:rPr>
              <w:t>Amount</w:t>
            </w:r>
          </w:p>
        </w:tc>
      </w:tr>
      <w:tr>
        <w:trPr>
          <w:trHeight w:val="189"/>
        </w:trPr>
        <w:tc>
          <w:tcPr>
            <w:tcW w:w="2380" w:type="dxa"/>
            <w:vAlign w:val="bottom"/>
            <w:tcBorders>
              <w:bottom w:val="single" w:sz="8" w:color="auto"/>
            </w:tcBorders>
            <w:shd w:val="clear" w:color="auto" w:fill="9DB8D2"/>
          </w:tcPr>
          <w:p>
            <w:pPr>
              <w:spacing w:after="0"/>
              <w:rPr>
                <w:sz w:val="16"/>
                <w:szCs w:val="16"/>
                <w:color w:val="auto"/>
              </w:rPr>
            </w:pPr>
          </w:p>
        </w:tc>
        <w:tc>
          <w:tcPr>
            <w:tcW w:w="6500" w:type="dxa"/>
            <w:vAlign w:val="bottom"/>
            <w:tcBorders>
              <w:bottom w:val="single" w:sz="8" w:color="auto"/>
            </w:tcBorders>
            <w:shd w:val="clear" w:color="auto" w:fill="9DB8D2"/>
          </w:tcPr>
          <w:p>
            <w:pPr>
              <w:ind w:left="5640"/>
              <w:spacing w:after="0"/>
              <w:rPr>
                <w:sz w:val="20"/>
                <w:szCs w:val="20"/>
                <w:color w:val="auto"/>
              </w:rPr>
            </w:pPr>
            <w:r>
              <w:rPr>
                <w:rFonts w:ascii="Arial" w:cs="Arial" w:eastAsia="Arial" w:hAnsi="Arial"/>
                <w:sz w:val="14"/>
                <w:szCs w:val="14"/>
                <w:b w:val="1"/>
                <w:bCs w:val="1"/>
                <w:color w:val="auto"/>
              </w:rPr>
              <w:t>Level</w:t>
            </w:r>
          </w:p>
        </w:tc>
        <w:tc>
          <w:tcPr>
            <w:tcW w:w="1480" w:type="dxa"/>
            <w:vAlign w:val="bottom"/>
            <w:tcBorders>
              <w:bottom w:val="single" w:sz="8" w:color="auto"/>
            </w:tcBorders>
            <w:shd w:val="clear" w:color="auto" w:fill="9DB8D2"/>
          </w:tcPr>
          <w:p>
            <w:pPr>
              <w:jc w:val="center"/>
              <w:ind w:left="83"/>
              <w:spacing w:after="0"/>
              <w:rPr>
                <w:sz w:val="20"/>
                <w:szCs w:val="20"/>
                <w:color w:val="auto"/>
              </w:rPr>
            </w:pPr>
            <w:r>
              <w:rPr>
                <w:rFonts w:ascii="Arial" w:cs="Arial" w:eastAsia="Arial" w:hAnsi="Arial"/>
                <w:sz w:val="14"/>
                <w:szCs w:val="14"/>
                <w:b w:val="1"/>
                <w:bCs w:val="1"/>
                <w:color w:val="auto"/>
              </w:rPr>
              <w:t>Salary</w:t>
            </w:r>
          </w:p>
        </w:tc>
        <w:tc>
          <w:tcPr>
            <w:tcW w:w="360" w:type="dxa"/>
            <w:vAlign w:val="bottom"/>
            <w:tcBorders>
              <w:bottom w:val="single" w:sz="8" w:color="auto"/>
            </w:tcBorders>
            <w:shd w:val="clear" w:color="auto" w:fill="9DB8D2"/>
          </w:tcPr>
          <w:p>
            <w:pPr>
              <w:spacing w:after="0"/>
              <w:rPr>
                <w:sz w:val="16"/>
                <w:szCs w:val="16"/>
                <w:color w:val="auto"/>
              </w:rPr>
            </w:pPr>
          </w:p>
        </w:tc>
        <w:tc>
          <w:tcPr>
            <w:tcW w:w="700" w:type="dxa"/>
            <w:vAlign w:val="bottom"/>
            <w:tcBorders>
              <w:bottom w:val="single" w:sz="8" w:color="auto"/>
            </w:tcBorders>
            <w:shd w:val="clear" w:color="auto" w:fill="9DB8D2"/>
          </w:tcPr>
          <w:p>
            <w:pPr>
              <w:jc w:val="center"/>
              <w:ind w:right="122"/>
              <w:spacing w:after="0"/>
              <w:rPr>
                <w:sz w:val="20"/>
                <w:szCs w:val="20"/>
                <w:color w:val="auto"/>
              </w:rPr>
            </w:pPr>
            <w:r>
              <w:rPr>
                <w:rFonts w:ascii="Arial" w:cs="Arial" w:eastAsia="Arial" w:hAnsi="Arial"/>
                <w:sz w:val="14"/>
                <w:szCs w:val="14"/>
                <w:b w:val="1"/>
                <w:bCs w:val="1"/>
                <w:color w:val="auto"/>
              </w:rPr>
              <w:t>Earned</w:t>
            </w:r>
          </w:p>
        </w:tc>
      </w:tr>
      <w:tr>
        <w:trPr>
          <w:trHeight w:val="183"/>
        </w:trPr>
        <w:tc>
          <w:tcPr>
            <w:tcW w:w="238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EPS Goal</w:t>
            </w:r>
          </w:p>
        </w:tc>
        <w:tc>
          <w:tcPr>
            <w:tcW w:w="6500" w:type="dxa"/>
            <w:vAlign w:val="bottom"/>
            <w:shd w:val="clear" w:color="auto" w:fill="E6EDF3"/>
          </w:tcPr>
          <w:p>
            <w:pPr>
              <w:ind w:left="5380"/>
              <w:spacing w:after="0" w:line="183" w:lineRule="exact"/>
              <w:rPr>
                <w:sz w:val="20"/>
                <w:szCs w:val="20"/>
                <w:color w:val="auto"/>
              </w:rPr>
            </w:pPr>
            <w:r>
              <w:rPr>
                <w:rFonts w:ascii="Arial" w:cs="Arial" w:eastAsia="Arial" w:hAnsi="Arial"/>
                <w:sz w:val="16"/>
                <w:szCs w:val="16"/>
                <w:color w:val="auto"/>
              </w:rPr>
              <w:t>Above Target</w:t>
            </w:r>
          </w:p>
        </w:tc>
        <w:tc>
          <w:tcPr>
            <w:tcW w:w="1480" w:type="dxa"/>
            <w:vAlign w:val="bottom"/>
            <w:shd w:val="clear" w:color="auto" w:fill="E6EDF3"/>
          </w:tcPr>
          <w:p>
            <w:pPr>
              <w:jc w:val="right"/>
              <w:ind w:right="43"/>
              <w:spacing w:after="0" w:line="183" w:lineRule="exact"/>
              <w:rPr>
                <w:sz w:val="20"/>
                <w:szCs w:val="20"/>
                <w:color w:val="auto"/>
              </w:rPr>
            </w:pPr>
            <w:r>
              <w:rPr>
                <w:rFonts w:ascii="Arial" w:cs="Arial" w:eastAsia="Arial" w:hAnsi="Arial"/>
                <w:sz w:val="16"/>
                <w:szCs w:val="16"/>
                <w:color w:val="auto"/>
              </w:rPr>
              <w:t>41.8%</w:t>
            </w:r>
          </w:p>
        </w:tc>
        <w:tc>
          <w:tcPr>
            <w:tcW w:w="1060" w:type="dxa"/>
            <w:vAlign w:val="bottom"/>
            <w:gridSpan w:val="2"/>
            <w:shd w:val="clear" w:color="auto" w:fill="E6EDF3"/>
          </w:tcPr>
          <w:p>
            <w:pPr>
              <w:jc w:val="right"/>
              <w:ind w:right="22"/>
              <w:spacing w:after="0" w:line="183" w:lineRule="exact"/>
              <w:rPr>
                <w:sz w:val="20"/>
                <w:szCs w:val="20"/>
                <w:color w:val="auto"/>
              </w:rPr>
            </w:pPr>
            <w:r>
              <w:rPr>
                <w:rFonts w:ascii="Arial" w:cs="Arial" w:eastAsia="Arial" w:hAnsi="Arial"/>
                <w:sz w:val="16"/>
                <w:szCs w:val="16"/>
                <w:color w:val="auto"/>
              </w:rPr>
              <w:t>$334,240</w:t>
            </w:r>
          </w:p>
        </w:tc>
      </w:tr>
      <w:tr>
        <w:trPr>
          <w:trHeight w:val="189"/>
        </w:trPr>
        <w:tc>
          <w:tcPr>
            <w:tcW w:w="2380" w:type="dxa"/>
            <w:vAlign w:val="bottom"/>
          </w:tcPr>
          <w:p>
            <w:pPr>
              <w:ind w:left="80"/>
              <w:spacing w:after="0"/>
              <w:rPr>
                <w:sz w:val="20"/>
                <w:szCs w:val="20"/>
                <w:color w:val="auto"/>
              </w:rPr>
            </w:pPr>
            <w:r>
              <w:rPr>
                <w:rFonts w:ascii="Arial" w:cs="Arial" w:eastAsia="Arial" w:hAnsi="Arial"/>
                <w:sz w:val="16"/>
                <w:szCs w:val="16"/>
                <w:color w:val="auto"/>
              </w:rPr>
              <w:t>ROIC Goal</w:t>
            </w:r>
          </w:p>
        </w:tc>
        <w:tc>
          <w:tcPr>
            <w:tcW w:w="6500" w:type="dxa"/>
            <w:vAlign w:val="bottom"/>
          </w:tcPr>
          <w:p>
            <w:pPr>
              <w:ind w:left="5380"/>
              <w:spacing w:after="0"/>
              <w:rPr>
                <w:sz w:val="20"/>
                <w:szCs w:val="20"/>
                <w:color w:val="auto"/>
              </w:rPr>
            </w:pPr>
            <w:r>
              <w:rPr>
                <w:rFonts w:ascii="Arial" w:cs="Arial" w:eastAsia="Arial" w:hAnsi="Arial"/>
                <w:sz w:val="16"/>
                <w:szCs w:val="16"/>
                <w:color w:val="auto"/>
              </w:rPr>
              <w:t>Above Target</w:t>
            </w:r>
          </w:p>
        </w:tc>
        <w:tc>
          <w:tcPr>
            <w:tcW w:w="1480" w:type="dxa"/>
            <w:vAlign w:val="bottom"/>
          </w:tcPr>
          <w:p>
            <w:pPr>
              <w:jc w:val="right"/>
              <w:ind w:right="43"/>
              <w:spacing w:after="0"/>
              <w:rPr>
                <w:sz w:val="20"/>
                <w:szCs w:val="20"/>
                <w:color w:val="auto"/>
              </w:rPr>
            </w:pPr>
            <w:r>
              <w:rPr>
                <w:rFonts w:ascii="Arial" w:cs="Arial" w:eastAsia="Arial" w:hAnsi="Arial"/>
                <w:sz w:val="16"/>
                <w:szCs w:val="16"/>
                <w:color w:val="auto"/>
              </w:rPr>
              <w:t>52.0%</w:t>
            </w:r>
          </w:p>
        </w:tc>
        <w:tc>
          <w:tcPr>
            <w:tcW w:w="1060" w:type="dxa"/>
            <w:vAlign w:val="bottom"/>
            <w:gridSpan w:val="2"/>
          </w:tcPr>
          <w:p>
            <w:pPr>
              <w:jc w:val="right"/>
              <w:ind w:right="22"/>
              <w:spacing w:after="0"/>
              <w:rPr>
                <w:sz w:val="20"/>
                <w:szCs w:val="20"/>
                <w:color w:val="auto"/>
              </w:rPr>
            </w:pPr>
            <w:r>
              <w:rPr>
                <w:rFonts w:ascii="Arial" w:cs="Arial" w:eastAsia="Arial" w:hAnsi="Arial"/>
                <w:sz w:val="16"/>
                <w:szCs w:val="16"/>
                <w:color w:val="auto"/>
              </w:rPr>
              <w:t>$416,000</w:t>
            </w:r>
          </w:p>
        </w:tc>
      </w:tr>
      <w:tr>
        <w:trPr>
          <w:trHeight w:val="189"/>
        </w:trPr>
        <w:tc>
          <w:tcPr>
            <w:tcW w:w="2380" w:type="dxa"/>
            <w:vAlign w:val="bottom"/>
            <w:shd w:val="clear" w:color="auto" w:fill="E6EDF3"/>
          </w:tcPr>
          <w:p>
            <w:pPr>
              <w:ind w:left="80"/>
              <w:spacing w:after="0"/>
              <w:rPr>
                <w:sz w:val="20"/>
                <w:szCs w:val="20"/>
                <w:color w:val="auto"/>
              </w:rPr>
            </w:pPr>
            <w:r>
              <w:rPr>
                <w:rFonts w:ascii="Arial" w:cs="Arial" w:eastAsia="Arial" w:hAnsi="Arial"/>
                <w:sz w:val="16"/>
                <w:szCs w:val="16"/>
                <w:color w:val="auto"/>
              </w:rPr>
              <w:t>Operating Objectives</w:t>
            </w:r>
          </w:p>
        </w:tc>
        <w:tc>
          <w:tcPr>
            <w:tcW w:w="6500" w:type="dxa"/>
            <w:vAlign w:val="bottom"/>
            <w:shd w:val="clear" w:color="auto" w:fill="E6EDF3"/>
          </w:tcPr>
          <w:p>
            <w:pPr>
              <w:ind w:left="5380"/>
              <w:spacing w:after="0"/>
              <w:rPr>
                <w:sz w:val="20"/>
                <w:szCs w:val="20"/>
                <w:color w:val="auto"/>
              </w:rPr>
            </w:pPr>
            <w:r>
              <w:rPr>
                <w:rFonts w:ascii="Arial" w:cs="Arial" w:eastAsia="Arial" w:hAnsi="Arial"/>
                <w:sz w:val="16"/>
                <w:szCs w:val="16"/>
                <w:color w:val="auto"/>
              </w:rPr>
              <w:t>Above Target</w:t>
            </w:r>
          </w:p>
        </w:tc>
        <w:tc>
          <w:tcPr>
            <w:tcW w:w="1480" w:type="dxa"/>
            <w:vAlign w:val="bottom"/>
            <w:shd w:val="clear" w:color="auto" w:fill="E6EDF3"/>
          </w:tcPr>
          <w:p>
            <w:pPr>
              <w:jc w:val="right"/>
              <w:ind w:right="43"/>
              <w:spacing w:after="0"/>
              <w:rPr>
                <w:sz w:val="20"/>
                <w:szCs w:val="20"/>
                <w:color w:val="auto"/>
              </w:rPr>
            </w:pPr>
            <w:r>
              <w:rPr>
                <w:rFonts w:ascii="Arial" w:cs="Arial" w:eastAsia="Arial" w:hAnsi="Arial"/>
                <w:sz w:val="16"/>
                <w:szCs w:val="16"/>
                <w:color w:val="auto"/>
              </w:rPr>
              <w:t>30.0%</w:t>
            </w:r>
          </w:p>
        </w:tc>
        <w:tc>
          <w:tcPr>
            <w:tcW w:w="1060" w:type="dxa"/>
            <w:vAlign w:val="bottom"/>
            <w:gridSpan w:val="2"/>
            <w:shd w:val="clear" w:color="auto" w:fill="E6EDF3"/>
          </w:tcPr>
          <w:p>
            <w:pPr>
              <w:jc w:val="right"/>
              <w:ind w:right="22"/>
              <w:spacing w:after="0"/>
              <w:rPr>
                <w:sz w:val="20"/>
                <w:szCs w:val="20"/>
                <w:color w:val="auto"/>
              </w:rPr>
            </w:pPr>
            <w:r>
              <w:rPr>
                <w:rFonts w:ascii="Arial" w:cs="Arial" w:eastAsia="Arial" w:hAnsi="Arial"/>
                <w:sz w:val="16"/>
                <w:szCs w:val="16"/>
                <w:color w:val="auto"/>
              </w:rPr>
              <w:t>$240,000</w:t>
            </w:r>
          </w:p>
        </w:tc>
      </w:tr>
      <w:tr>
        <w:trPr>
          <w:trHeight w:val="189"/>
        </w:trPr>
        <w:tc>
          <w:tcPr>
            <w:tcW w:w="238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Total Incentive</w:t>
            </w:r>
          </w:p>
        </w:tc>
        <w:tc>
          <w:tcPr>
            <w:tcW w:w="65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123.8%</w:t>
            </w:r>
          </w:p>
        </w:tc>
        <w:tc>
          <w:tcPr>
            <w:tcW w:w="10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6"/>
                <w:szCs w:val="16"/>
                <w:color w:val="auto"/>
              </w:rPr>
              <w:t>$990,240</w:t>
            </w:r>
          </w:p>
        </w:tc>
      </w:tr>
      <w:tr>
        <w:trPr>
          <w:trHeight w:val="426"/>
        </w:trPr>
        <w:tc>
          <w:tcPr>
            <w:tcW w:w="2380" w:type="dxa"/>
            <w:vAlign w:val="bottom"/>
          </w:tcPr>
          <w:p>
            <w:pPr>
              <w:spacing w:after="0"/>
              <w:rPr>
                <w:sz w:val="24"/>
                <w:szCs w:val="24"/>
                <w:color w:val="auto"/>
              </w:rPr>
            </w:pPr>
          </w:p>
        </w:tc>
        <w:tc>
          <w:tcPr>
            <w:tcW w:w="6500" w:type="dxa"/>
            <w:vAlign w:val="bottom"/>
          </w:tcPr>
          <w:p>
            <w:pPr>
              <w:ind w:left="760"/>
              <w:spacing w:after="0"/>
              <w:rPr>
                <w:sz w:val="20"/>
                <w:szCs w:val="20"/>
                <w:color w:val="auto"/>
              </w:rPr>
            </w:pPr>
            <w:r>
              <w:rPr>
                <w:rFonts w:ascii="Arial" w:cs="Arial" w:eastAsia="Arial" w:hAnsi="Arial"/>
                <w:sz w:val="18"/>
                <w:szCs w:val="18"/>
                <w:b w:val="1"/>
                <w:bCs w:val="1"/>
                <w:color w:val="5D89B4"/>
              </w:rPr>
              <w:t>Ram Chandrashekar — 2016 Annual Incentive Calculation(1)</w:t>
            </w: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35"/>
        </w:trPr>
        <w:tc>
          <w:tcPr>
            <w:tcW w:w="2380" w:type="dxa"/>
            <w:vAlign w:val="bottom"/>
            <w:tcBorders>
              <w:bottom w:val="single" w:sz="8" w:color="auto"/>
            </w:tcBorders>
          </w:tcPr>
          <w:p>
            <w:pPr>
              <w:spacing w:after="0"/>
              <w:rPr>
                <w:sz w:val="11"/>
                <w:szCs w:val="11"/>
                <w:color w:val="auto"/>
              </w:rPr>
            </w:pPr>
          </w:p>
        </w:tc>
        <w:tc>
          <w:tcPr>
            <w:tcW w:w="65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r>
      <w:tr>
        <w:trPr>
          <w:trHeight w:val="237"/>
        </w:trPr>
        <w:tc>
          <w:tcPr>
            <w:tcW w:w="2380" w:type="dxa"/>
            <w:vAlign w:val="bottom"/>
            <w:shd w:val="clear" w:color="auto" w:fill="9DB8D2"/>
          </w:tcPr>
          <w:p>
            <w:pPr>
              <w:spacing w:after="0"/>
              <w:rPr>
                <w:sz w:val="20"/>
                <w:szCs w:val="20"/>
                <w:color w:val="auto"/>
              </w:rPr>
            </w:pPr>
          </w:p>
        </w:tc>
        <w:tc>
          <w:tcPr>
            <w:tcW w:w="6500" w:type="dxa"/>
            <w:vAlign w:val="bottom"/>
            <w:shd w:val="clear" w:color="auto" w:fill="9DB8D2"/>
          </w:tcPr>
          <w:p>
            <w:pPr>
              <w:spacing w:after="0"/>
              <w:rPr>
                <w:sz w:val="20"/>
                <w:szCs w:val="20"/>
                <w:color w:val="auto"/>
              </w:rPr>
            </w:pPr>
          </w:p>
        </w:tc>
        <w:tc>
          <w:tcPr>
            <w:tcW w:w="14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Percentage</w:t>
            </w:r>
          </w:p>
        </w:tc>
        <w:tc>
          <w:tcPr>
            <w:tcW w:w="360" w:type="dxa"/>
            <w:vAlign w:val="bottom"/>
            <w:shd w:val="clear" w:color="auto" w:fill="9DB8D2"/>
          </w:tcPr>
          <w:p>
            <w:pPr>
              <w:spacing w:after="0"/>
              <w:rPr>
                <w:sz w:val="20"/>
                <w:szCs w:val="20"/>
                <w:color w:val="auto"/>
              </w:rPr>
            </w:pPr>
          </w:p>
        </w:tc>
        <w:tc>
          <w:tcPr>
            <w:tcW w:w="700" w:type="dxa"/>
            <w:vAlign w:val="bottom"/>
            <w:shd w:val="clear" w:color="auto" w:fill="9DB8D2"/>
          </w:tcPr>
          <w:p>
            <w:pPr>
              <w:spacing w:after="0"/>
              <w:rPr>
                <w:sz w:val="20"/>
                <w:szCs w:val="20"/>
                <w:color w:val="auto"/>
              </w:rPr>
            </w:pPr>
          </w:p>
        </w:tc>
      </w:tr>
      <w:tr>
        <w:trPr>
          <w:trHeight w:val="162"/>
        </w:trPr>
        <w:tc>
          <w:tcPr>
            <w:tcW w:w="2380" w:type="dxa"/>
            <w:vAlign w:val="bottom"/>
            <w:shd w:val="clear" w:color="auto" w:fill="9DB8D2"/>
          </w:tcPr>
          <w:p>
            <w:pPr>
              <w:spacing w:after="0"/>
              <w:rPr>
                <w:sz w:val="14"/>
                <w:szCs w:val="14"/>
                <w:color w:val="auto"/>
              </w:rPr>
            </w:pPr>
          </w:p>
        </w:tc>
        <w:tc>
          <w:tcPr>
            <w:tcW w:w="6500" w:type="dxa"/>
            <w:vAlign w:val="bottom"/>
            <w:shd w:val="clear" w:color="auto" w:fill="9DB8D2"/>
          </w:tcPr>
          <w:p>
            <w:pPr>
              <w:ind w:left="5040"/>
              <w:spacing w:after="0"/>
              <w:rPr>
                <w:sz w:val="20"/>
                <w:szCs w:val="20"/>
                <w:color w:val="auto"/>
              </w:rPr>
            </w:pPr>
            <w:r>
              <w:rPr>
                <w:rFonts w:ascii="Arial" w:cs="Arial" w:eastAsia="Arial" w:hAnsi="Arial"/>
                <w:sz w:val="14"/>
                <w:szCs w:val="14"/>
                <w:b w:val="1"/>
                <w:bCs w:val="1"/>
                <w:color w:val="auto"/>
              </w:rPr>
              <w:t>Performance</w:t>
            </w:r>
          </w:p>
        </w:tc>
        <w:tc>
          <w:tcPr>
            <w:tcW w:w="14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of 2016</w:t>
            </w:r>
          </w:p>
        </w:tc>
        <w:tc>
          <w:tcPr>
            <w:tcW w:w="1060" w:type="dxa"/>
            <w:vAlign w:val="bottom"/>
            <w:gridSpan w:val="2"/>
            <w:shd w:val="clear" w:color="auto" w:fill="9DB8D2"/>
          </w:tcPr>
          <w:p>
            <w:pPr>
              <w:jc w:val="center"/>
              <w:ind w:left="81"/>
              <w:spacing w:after="0"/>
              <w:rPr>
                <w:sz w:val="20"/>
                <w:szCs w:val="20"/>
                <w:color w:val="auto"/>
              </w:rPr>
            </w:pPr>
            <w:r>
              <w:rPr>
                <w:rFonts w:ascii="Arial" w:cs="Arial" w:eastAsia="Arial" w:hAnsi="Arial"/>
                <w:sz w:val="14"/>
                <w:szCs w:val="14"/>
                <w:b w:val="1"/>
                <w:bCs w:val="1"/>
                <w:color w:val="auto"/>
              </w:rPr>
              <w:t>Amount</w:t>
            </w:r>
          </w:p>
        </w:tc>
      </w:tr>
      <w:tr>
        <w:trPr>
          <w:trHeight w:val="189"/>
        </w:trPr>
        <w:tc>
          <w:tcPr>
            <w:tcW w:w="2380" w:type="dxa"/>
            <w:vAlign w:val="bottom"/>
            <w:tcBorders>
              <w:bottom w:val="single" w:sz="8" w:color="auto"/>
            </w:tcBorders>
            <w:shd w:val="clear" w:color="auto" w:fill="9DB8D2"/>
          </w:tcPr>
          <w:p>
            <w:pPr>
              <w:spacing w:after="0"/>
              <w:rPr>
                <w:sz w:val="16"/>
                <w:szCs w:val="16"/>
                <w:color w:val="auto"/>
              </w:rPr>
            </w:pPr>
          </w:p>
        </w:tc>
        <w:tc>
          <w:tcPr>
            <w:tcW w:w="6500" w:type="dxa"/>
            <w:vAlign w:val="bottom"/>
            <w:tcBorders>
              <w:bottom w:val="single" w:sz="8" w:color="auto"/>
            </w:tcBorders>
            <w:shd w:val="clear" w:color="auto" w:fill="9DB8D2"/>
          </w:tcPr>
          <w:p>
            <w:pPr>
              <w:jc w:val="right"/>
              <w:ind w:right="741"/>
              <w:spacing w:after="0"/>
              <w:rPr>
                <w:sz w:val="20"/>
                <w:szCs w:val="20"/>
                <w:color w:val="auto"/>
              </w:rPr>
            </w:pPr>
            <w:r>
              <w:rPr>
                <w:rFonts w:ascii="Arial" w:cs="Arial" w:eastAsia="Arial" w:hAnsi="Arial"/>
                <w:sz w:val="14"/>
                <w:szCs w:val="14"/>
                <w:b w:val="1"/>
                <w:bCs w:val="1"/>
                <w:color w:val="auto"/>
              </w:rPr>
              <w:t>Level</w:t>
            </w:r>
          </w:p>
        </w:tc>
        <w:tc>
          <w:tcPr>
            <w:tcW w:w="14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Salary</w:t>
            </w:r>
          </w:p>
        </w:tc>
        <w:tc>
          <w:tcPr>
            <w:tcW w:w="360" w:type="dxa"/>
            <w:vAlign w:val="bottom"/>
            <w:tcBorders>
              <w:bottom w:val="single" w:sz="8" w:color="auto"/>
            </w:tcBorders>
            <w:shd w:val="clear" w:color="auto" w:fill="9DB8D2"/>
          </w:tcPr>
          <w:p>
            <w:pPr>
              <w:spacing w:after="0"/>
              <w:rPr>
                <w:sz w:val="16"/>
                <w:szCs w:val="16"/>
                <w:color w:val="auto"/>
              </w:rPr>
            </w:pPr>
          </w:p>
        </w:tc>
        <w:tc>
          <w:tcPr>
            <w:tcW w:w="700" w:type="dxa"/>
            <w:vAlign w:val="bottom"/>
            <w:tcBorders>
              <w:bottom w:val="single" w:sz="8" w:color="auto"/>
            </w:tcBorders>
            <w:shd w:val="clear" w:color="auto" w:fill="9DB8D2"/>
          </w:tcPr>
          <w:p>
            <w:pPr>
              <w:jc w:val="center"/>
              <w:ind w:right="122"/>
              <w:spacing w:after="0"/>
              <w:rPr>
                <w:sz w:val="20"/>
                <w:szCs w:val="20"/>
                <w:color w:val="auto"/>
              </w:rPr>
            </w:pPr>
            <w:r>
              <w:rPr>
                <w:rFonts w:ascii="Arial" w:cs="Arial" w:eastAsia="Arial" w:hAnsi="Arial"/>
                <w:sz w:val="14"/>
                <w:szCs w:val="14"/>
                <w:b w:val="1"/>
                <w:bCs w:val="1"/>
                <w:color w:val="auto"/>
              </w:rPr>
              <w:t>Earned</w:t>
            </w:r>
          </w:p>
        </w:tc>
      </w:tr>
      <w:tr>
        <w:trPr>
          <w:trHeight w:val="183"/>
        </w:trPr>
        <w:tc>
          <w:tcPr>
            <w:tcW w:w="238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AOUP of APME Goal</w:t>
            </w:r>
          </w:p>
        </w:tc>
        <w:tc>
          <w:tcPr>
            <w:tcW w:w="6500" w:type="dxa"/>
            <w:vAlign w:val="bottom"/>
            <w:shd w:val="clear" w:color="auto" w:fill="E6EDF3"/>
          </w:tcPr>
          <w:p>
            <w:pPr>
              <w:jc w:val="right"/>
              <w:ind w:right="301"/>
              <w:spacing w:after="0" w:line="183" w:lineRule="exact"/>
              <w:rPr>
                <w:sz w:val="20"/>
                <w:szCs w:val="20"/>
                <w:color w:val="auto"/>
              </w:rPr>
            </w:pPr>
            <w:r>
              <w:rPr>
                <w:rFonts w:ascii="Arial" w:cs="Arial" w:eastAsia="Arial" w:hAnsi="Arial"/>
                <w:sz w:val="16"/>
                <w:szCs w:val="16"/>
                <w:color w:val="auto"/>
              </w:rPr>
              <w:t>Below Threshold</w:t>
            </w:r>
          </w:p>
        </w:tc>
        <w:tc>
          <w:tcPr>
            <w:tcW w:w="1480" w:type="dxa"/>
            <w:vAlign w:val="bottom"/>
            <w:shd w:val="clear" w:color="auto" w:fill="E6EDF3"/>
          </w:tcPr>
          <w:p>
            <w:pPr>
              <w:jc w:val="right"/>
              <w:ind w:right="143"/>
              <w:spacing w:after="0" w:line="183" w:lineRule="exact"/>
              <w:rPr>
                <w:sz w:val="20"/>
                <w:szCs w:val="20"/>
                <w:color w:val="auto"/>
              </w:rPr>
            </w:pPr>
            <w:r>
              <w:rPr>
                <w:rFonts w:ascii="Arial" w:cs="Arial" w:eastAsia="Arial" w:hAnsi="Arial"/>
                <w:sz w:val="16"/>
                <w:szCs w:val="16"/>
                <w:color w:val="auto"/>
              </w:rPr>
              <w:t>0.0%</w:t>
            </w:r>
          </w:p>
        </w:tc>
        <w:tc>
          <w:tcPr>
            <w:tcW w:w="360" w:type="dxa"/>
            <w:vAlign w:val="bottom"/>
            <w:shd w:val="clear" w:color="auto" w:fill="E6EDF3"/>
          </w:tcPr>
          <w:p>
            <w:pPr>
              <w:ind w:left="260"/>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shd w:val="clear" w:color="auto" w:fill="E6EDF3"/>
          </w:tcPr>
          <w:p>
            <w:pPr>
              <w:jc w:val="right"/>
              <w:ind w:right="22"/>
              <w:spacing w:after="0" w:line="183" w:lineRule="exact"/>
              <w:rPr>
                <w:sz w:val="20"/>
                <w:szCs w:val="20"/>
                <w:color w:val="auto"/>
              </w:rPr>
            </w:pPr>
            <w:r>
              <w:rPr>
                <w:rFonts w:ascii="Arial" w:cs="Arial" w:eastAsia="Arial" w:hAnsi="Arial"/>
                <w:sz w:val="16"/>
                <w:szCs w:val="16"/>
                <w:color w:val="auto"/>
              </w:rPr>
              <w:t>0</w:t>
            </w:r>
          </w:p>
        </w:tc>
      </w:tr>
      <w:tr>
        <w:trPr>
          <w:trHeight w:val="189"/>
        </w:trPr>
        <w:tc>
          <w:tcPr>
            <w:tcW w:w="2380" w:type="dxa"/>
            <w:vAlign w:val="bottom"/>
          </w:tcPr>
          <w:p>
            <w:pPr>
              <w:ind w:left="80"/>
              <w:spacing w:after="0"/>
              <w:rPr>
                <w:sz w:val="20"/>
                <w:szCs w:val="20"/>
                <w:color w:val="auto"/>
              </w:rPr>
            </w:pPr>
            <w:r>
              <w:rPr>
                <w:rFonts w:ascii="Arial" w:cs="Arial" w:eastAsia="Arial" w:hAnsi="Arial"/>
                <w:sz w:val="16"/>
                <w:szCs w:val="16"/>
                <w:color w:val="auto"/>
              </w:rPr>
              <w:t>EPS Goal</w:t>
            </w:r>
          </w:p>
        </w:tc>
        <w:tc>
          <w:tcPr>
            <w:tcW w:w="6500" w:type="dxa"/>
            <w:vAlign w:val="bottom"/>
          </w:tcPr>
          <w:p>
            <w:pPr>
              <w:jc w:val="right"/>
              <w:ind w:right="301"/>
              <w:spacing w:after="0"/>
              <w:rPr>
                <w:sz w:val="20"/>
                <w:szCs w:val="20"/>
                <w:color w:val="auto"/>
              </w:rPr>
            </w:pPr>
            <w:r>
              <w:rPr>
                <w:rFonts w:ascii="Arial" w:cs="Arial" w:eastAsia="Arial" w:hAnsi="Arial"/>
                <w:sz w:val="16"/>
                <w:szCs w:val="16"/>
                <w:color w:val="auto"/>
              </w:rPr>
              <w:t>Above Target</w:t>
            </w:r>
          </w:p>
        </w:tc>
        <w:tc>
          <w:tcPr>
            <w:tcW w:w="1480" w:type="dxa"/>
            <w:vAlign w:val="bottom"/>
          </w:tcPr>
          <w:p>
            <w:pPr>
              <w:jc w:val="right"/>
              <w:ind w:right="143"/>
              <w:spacing w:after="0"/>
              <w:rPr>
                <w:sz w:val="20"/>
                <w:szCs w:val="20"/>
                <w:color w:val="auto"/>
              </w:rPr>
            </w:pPr>
            <w:r>
              <w:rPr>
                <w:rFonts w:ascii="Arial" w:cs="Arial" w:eastAsia="Arial" w:hAnsi="Arial"/>
                <w:sz w:val="16"/>
                <w:szCs w:val="16"/>
                <w:color w:val="auto"/>
              </w:rPr>
              <w:t>15.7%</w:t>
            </w:r>
          </w:p>
        </w:tc>
        <w:tc>
          <w:tcPr>
            <w:tcW w:w="360" w:type="dxa"/>
            <w:vAlign w:val="bottom"/>
          </w:tcPr>
          <w:p>
            <w:pPr>
              <w:ind w:left="26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89,011</w:t>
            </w:r>
          </w:p>
        </w:tc>
      </w:tr>
      <w:tr>
        <w:trPr>
          <w:trHeight w:val="189"/>
        </w:trPr>
        <w:tc>
          <w:tcPr>
            <w:tcW w:w="2380" w:type="dxa"/>
            <w:vAlign w:val="bottom"/>
            <w:shd w:val="clear" w:color="auto" w:fill="E6EDF3"/>
          </w:tcPr>
          <w:p>
            <w:pPr>
              <w:ind w:left="80"/>
              <w:spacing w:after="0"/>
              <w:rPr>
                <w:sz w:val="20"/>
                <w:szCs w:val="20"/>
                <w:color w:val="auto"/>
              </w:rPr>
            </w:pPr>
            <w:r>
              <w:rPr>
                <w:rFonts w:ascii="Arial" w:cs="Arial" w:eastAsia="Arial" w:hAnsi="Arial"/>
                <w:sz w:val="16"/>
                <w:szCs w:val="16"/>
                <w:color w:val="auto"/>
              </w:rPr>
              <w:t>ROIC Goal</w:t>
            </w:r>
          </w:p>
        </w:tc>
        <w:tc>
          <w:tcPr>
            <w:tcW w:w="6500" w:type="dxa"/>
            <w:vAlign w:val="bottom"/>
            <w:shd w:val="clear" w:color="auto" w:fill="E6EDF3"/>
          </w:tcPr>
          <w:p>
            <w:pPr>
              <w:jc w:val="right"/>
              <w:ind w:right="301"/>
              <w:spacing w:after="0"/>
              <w:rPr>
                <w:sz w:val="20"/>
                <w:szCs w:val="20"/>
                <w:color w:val="auto"/>
              </w:rPr>
            </w:pPr>
            <w:r>
              <w:rPr>
                <w:rFonts w:ascii="Arial" w:cs="Arial" w:eastAsia="Arial" w:hAnsi="Arial"/>
                <w:sz w:val="16"/>
                <w:szCs w:val="16"/>
                <w:color w:val="auto"/>
              </w:rPr>
              <w:t>Above Target</w:t>
            </w:r>
          </w:p>
        </w:tc>
        <w:tc>
          <w:tcPr>
            <w:tcW w:w="1480" w:type="dxa"/>
            <w:vAlign w:val="bottom"/>
            <w:shd w:val="clear" w:color="auto" w:fill="E6EDF3"/>
          </w:tcPr>
          <w:p>
            <w:pPr>
              <w:jc w:val="right"/>
              <w:ind w:right="143"/>
              <w:spacing w:after="0"/>
              <w:rPr>
                <w:sz w:val="20"/>
                <w:szCs w:val="20"/>
                <w:color w:val="auto"/>
              </w:rPr>
            </w:pPr>
            <w:r>
              <w:rPr>
                <w:rFonts w:ascii="Arial" w:cs="Arial" w:eastAsia="Arial" w:hAnsi="Arial"/>
                <w:sz w:val="16"/>
                <w:szCs w:val="16"/>
                <w:color w:val="auto"/>
              </w:rPr>
              <w:t>19.5%</w:t>
            </w:r>
          </w:p>
        </w:tc>
        <w:tc>
          <w:tcPr>
            <w:tcW w:w="1060" w:type="dxa"/>
            <w:vAlign w:val="bottom"/>
            <w:gridSpan w:val="2"/>
            <w:shd w:val="clear" w:color="auto" w:fill="E6EDF3"/>
          </w:tcPr>
          <w:p>
            <w:pPr>
              <w:jc w:val="right"/>
              <w:ind w:right="22"/>
              <w:spacing w:after="0"/>
              <w:rPr>
                <w:sz w:val="20"/>
                <w:szCs w:val="20"/>
                <w:color w:val="auto"/>
              </w:rPr>
            </w:pPr>
            <w:r>
              <w:rPr>
                <w:rFonts w:ascii="Arial" w:cs="Arial" w:eastAsia="Arial" w:hAnsi="Arial"/>
                <w:sz w:val="16"/>
                <w:szCs w:val="16"/>
                <w:color w:val="auto"/>
              </w:rPr>
              <w:t>$110,767</w:t>
            </w:r>
          </w:p>
        </w:tc>
      </w:tr>
      <w:tr>
        <w:trPr>
          <w:trHeight w:val="189"/>
        </w:trPr>
        <w:tc>
          <w:tcPr>
            <w:tcW w:w="2380" w:type="dxa"/>
            <w:vAlign w:val="bottom"/>
          </w:tcPr>
          <w:p>
            <w:pPr>
              <w:ind w:left="80"/>
              <w:spacing w:after="0"/>
              <w:rPr>
                <w:sz w:val="20"/>
                <w:szCs w:val="20"/>
                <w:color w:val="auto"/>
              </w:rPr>
            </w:pPr>
            <w:r>
              <w:rPr>
                <w:rFonts w:ascii="Arial" w:cs="Arial" w:eastAsia="Arial" w:hAnsi="Arial"/>
                <w:sz w:val="16"/>
                <w:szCs w:val="16"/>
                <w:color w:val="auto"/>
              </w:rPr>
              <w:t>Operating Objectives</w:t>
            </w:r>
          </w:p>
        </w:tc>
        <w:tc>
          <w:tcPr>
            <w:tcW w:w="6500" w:type="dxa"/>
            <w:vAlign w:val="bottom"/>
          </w:tcPr>
          <w:p>
            <w:pPr>
              <w:ind w:left="5060"/>
              <w:spacing w:after="0"/>
              <w:rPr>
                <w:sz w:val="20"/>
                <w:szCs w:val="20"/>
                <w:color w:val="auto"/>
              </w:rPr>
            </w:pPr>
            <w:r>
              <w:rPr>
                <w:rFonts w:ascii="Arial" w:cs="Arial" w:eastAsia="Arial" w:hAnsi="Arial"/>
                <w:sz w:val="16"/>
                <w:szCs w:val="16"/>
                <w:color w:val="auto"/>
              </w:rPr>
              <w:t>At Outstanding</w:t>
            </w:r>
          </w:p>
        </w:tc>
        <w:tc>
          <w:tcPr>
            <w:tcW w:w="1480" w:type="dxa"/>
            <w:vAlign w:val="bottom"/>
          </w:tcPr>
          <w:p>
            <w:pPr>
              <w:jc w:val="right"/>
              <w:ind w:right="143"/>
              <w:spacing w:after="0"/>
              <w:rPr>
                <w:sz w:val="20"/>
                <w:szCs w:val="20"/>
                <w:color w:val="auto"/>
              </w:rPr>
            </w:pPr>
            <w:r>
              <w:rPr>
                <w:rFonts w:ascii="Arial" w:cs="Arial" w:eastAsia="Arial" w:hAnsi="Arial"/>
                <w:sz w:val="16"/>
                <w:szCs w:val="16"/>
                <w:color w:val="auto"/>
              </w:rPr>
              <w:t>30.0%</w:t>
            </w:r>
          </w:p>
        </w:tc>
        <w:tc>
          <w:tcPr>
            <w:tcW w:w="1060" w:type="dxa"/>
            <w:vAlign w:val="bottom"/>
            <w:gridSpan w:val="2"/>
          </w:tcPr>
          <w:p>
            <w:pPr>
              <w:jc w:val="right"/>
              <w:ind w:right="22"/>
              <w:spacing w:after="0"/>
              <w:rPr>
                <w:sz w:val="20"/>
                <w:szCs w:val="20"/>
                <w:color w:val="auto"/>
              </w:rPr>
            </w:pPr>
            <w:r>
              <w:rPr>
                <w:rFonts w:ascii="Arial" w:cs="Arial" w:eastAsia="Arial" w:hAnsi="Arial"/>
                <w:sz w:val="16"/>
                <w:szCs w:val="16"/>
                <w:color w:val="auto"/>
              </w:rPr>
              <w:t>$170,410</w:t>
            </w:r>
          </w:p>
        </w:tc>
      </w:tr>
      <w:tr>
        <w:trPr>
          <w:trHeight w:val="189"/>
        </w:trPr>
        <w:tc>
          <w:tcPr>
            <w:tcW w:w="2380" w:type="dxa"/>
            <w:vAlign w:val="bottom"/>
            <w:tcBorders>
              <w:bottom w:val="single" w:sz="8" w:color="auto"/>
            </w:tcBorders>
            <w:shd w:val="clear" w:color="auto" w:fill="E6EDF3"/>
          </w:tcPr>
          <w:p>
            <w:pPr>
              <w:ind w:left="240"/>
              <w:spacing w:after="0"/>
              <w:rPr>
                <w:sz w:val="20"/>
                <w:szCs w:val="20"/>
                <w:color w:val="auto"/>
              </w:rPr>
            </w:pPr>
            <w:r>
              <w:rPr>
                <w:rFonts w:ascii="Arial" w:cs="Arial" w:eastAsia="Arial" w:hAnsi="Arial"/>
                <w:sz w:val="16"/>
                <w:szCs w:val="16"/>
                <w:color w:val="auto"/>
              </w:rPr>
              <w:t>Total Incentive</w:t>
            </w:r>
          </w:p>
        </w:tc>
        <w:tc>
          <w:tcPr>
            <w:tcW w:w="6500" w:type="dxa"/>
            <w:vAlign w:val="bottom"/>
            <w:tcBorders>
              <w:bottom w:val="single" w:sz="8" w:color="auto"/>
            </w:tcBorders>
            <w:shd w:val="clear" w:color="auto" w:fill="E6EDF3"/>
          </w:tcPr>
          <w:p>
            <w:pPr>
              <w:spacing w:after="0"/>
              <w:rPr>
                <w:sz w:val="16"/>
                <w:szCs w:val="16"/>
                <w:color w:val="auto"/>
              </w:rPr>
            </w:pPr>
          </w:p>
        </w:tc>
        <w:tc>
          <w:tcPr>
            <w:tcW w:w="1480" w:type="dxa"/>
            <w:vAlign w:val="bottom"/>
            <w:tcBorders>
              <w:bottom w:val="single" w:sz="8" w:color="auto"/>
            </w:tcBorders>
            <w:shd w:val="clear" w:color="auto" w:fill="E6EDF3"/>
          </w:tcPr>
          <w:p>
            <w:pPr>
              <w:jc w:val="right"/>
              <w:ind w:right="143"/>
              <w:spacing w:after="0"/>
              <w:rPr>
                <w:sz w:val="20"/>
                <w:szCs w:val="20"/>
                <w:color w:val="auto"/>
              </w:rPr>
            </w:pPr>
            <w:r>
              <w:rPr>
                <w:rFonts w:ascii="Arial" w:cs="Arial" w:eastAsia="Arial" w:hAnsi="Arial"/>
                <w:sz w:val="16"/>
                <w:szCs w:val="16"/>
                <w:color w:val="auto"/>
              </w:rPr>
              <w:t>65.2%</w:t>
            </w:r>
          </w:p>
        </w:tc>
        <w:tc>
          <w:tcPr>
            <w:tcW w:w="1060" w:type="dxa"/>
            <w:vAlign w:val="bottom"/>
            <w:tcBorders>
              <w:bottom w:val="single" w:sz="8" w:color="auto"/>
            </w:tcBorders>
            <w:gridSpan w:val="2"/>
            <w:shd w:val="clear" w:color="auto" w:fill="E6EDF3"/>
          </w:tcPr>
          <w:p>
            <w:pPr>
              <w:jc w:val="right"/>
              <w:ind w:right="22"/>
              <w:spacing w:after="0"/>
              <w:rPr>
                <w:sz w:val="20"/>
                <w:szCs w:val="20"/>
                <w:color w:val="auto"/>
              </w:rPr>
            </w:pPr>
            <w:r>
              <w:rPr>
                <w:rFonts w:ascii="Arial" w:cs="Arial" w:eastAsia="Arial" w:hAnsi="Arial"/>
                <w:sz w:val="16"/>
                <w:szCs w:val="16"/>
                <w:color w:val="auto"/>
              </w:rPr>
              <w:t>$370,188</w:t>
            </w:r>
          </w:p>
        </w:tc>
      </w:tr>
    </w:tbl>
    <w:p>
      <w:pPr>
        <w:spacing w:after="0" w:line="72" w:lineRule="exact"/>
        <w:rPr>
          <w:sz w:val="20"/>
          <w:szCs w:val="20"/>
          <w:color w:val="auto"/>
        </w:rPr>
      </w:pPr>
    </w:p>
    <w:p>
      <w:pPr>
        <w:ind w:left="340" w:hanging="332"/>
        <w:spacing w:after="0" w:line="258"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Mr. Chandrashekar’s incentive is paid in SGD and has been translated above at an exchange rate of 0.789017 (in U.S. Dollars), which was the exchange rate on February 11, 2014, the date Mr. Chandrashekar was promoted to Executive Vice President, Operational Excellence &amp; IT and President, Asia Pacific Middle East.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58</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9600"/>
        <w:spacing w:after="0"/>
        <w:rPr>
          <w:sz w:val="20"/>
          <w:szCs w:val="20"/>
          <w:color w:val="auto"/>
        </w:rPr>
      </w:pPr>
      <w:r>
        <w:rPr>
          <w:rFonts w:ascii="Arial" w:cs="Arial" w:eastAsia="Arial" w:hAnsi="Arial"/>
          <w:sz w:val="18"/>
          <w:szCs w:val="18"/>
          <w:color w:val="FFFFFF"/>
        </w:rPr>
        <w:t>Compensation Tables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D89B4"/>
        </w:rPr>
        <w:t>Mara E. Swan — 2016 Annual Incentive Calculation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380" w:type="dxa"/>
            <w:vAlign w:val="bottom"/>
            <w:tcBorders>
              <w:top w:val="single" w:sz="8" w:color="auto"/>
            </w:tcBorders>
            <w:shd w:val="clear" w:color="auto" w:fill="9DB8D2"/>
          </w:tcPr>
          <w:p>
            <w:pPr>
              <w:spacing w:after="0"/>
              <w:rPr>
                <w:sz w:val="22"/>
                <w:szCs w:val="22"/>
                <w:color w:val="auto"/>
              </w:rPr>
            </w:pPr>
          </w:p>
        </w:tc>
        <w:tc>
          <w:tcPr>
            <w:tcW w:w="6580" w:type="dxa"/>
            <w:vAlign w:val="bottom"/>
            <w:tcBorders>
              <w:top w:val="single" w:sz="8" w:color="auto"/>
            </w:tcBorders>
            <w:shd w:val="clear" w:color="auto" w:fill="9DB8D2"/>
          </w:tcPr>
          <w:p>
            <w:pPr>
              <w:spacing w:after="0"/>
              <w:rPr>
                <w:sz w:val="22"/>
                <w:szCs w:val="22"/>
                <w:color w:val="auto"/>
              </w:rPr>
            </w:pPr>
          </w:p>
        </w:tc>
        <w:tc>
          <w:tcPr>
            <w:tcW w:w="1480" w:type="dxa"/>
            <w:vAlign w:val="bottom"/>
            <w:tcBorders>
              <w:top w:val="single" w:sz="8" w:color="auto"/>
            </w:tcBorders>
            <w:shd w:val="clear" w:color="auto" w:fill="9DB8D2"/>
          </w:tcPr>
          <w:p>
            <w:pPr>
              <w:jc w:val="center"/>
              <w:ind w:right="103"/>
              <w:spacing w:after="0"/>
              <w:rPr>
                <w:sz w:val="20"/>
                <w:szCs w:val="20"/>
                <w:color w:val="auto"/>
              </w:rPr>
            </w:pPr>
            <w:r>
              <w:rPr>
                <w:rFonts w:ascii="Arial" w:cs="Arial" w:eastAsia="Arial" w:hAnsi="Arial"/>
                <w:sz w:val="14"/>
                <w:szCs w:val="14"/>
                <w:b w:val="1"/>
                <w:bCs w:val="1"/>
                <w:color w:val="auto"/>
              </w:rPr>
              <w:t>Percentage</w:t>
            </w:r>
          </w:p>
        </w:tc>
        <w:tc>
          <w:tcPr>
            <w:tcW w:w="980" w:type="dxa"/>
            <w:vAlign w:val="bottom"/>
            <w:tcBorders>
              <w:top w:val="single" w:sz="8" w:color="auto"/>
            </w:tcBorders>
            <w:shd w:val="clear" w:color="auto" w:fill="9DB8D2"/>
          </w:tcPr>
          <w:p>
            <w:pPr>
              <w:spacing w:after="0"/>
              <w:rPr>
                <w:sz w:val="22"/>
                <w:szCs w:val="22"/>
                <w:color w:val="auto"/>
              </w:rPr>
            </w:pPr>
          </w:p>
        </w:tc>
      </w:tr>
      <w:tr>
        <w:trPr>
          <w:trHeight w:val="162"/>
        </w:trPr>
        <w:tc>
          <w:tcPr>
            <w:tcW w:w="2380" w:type="dxa"/>
            <w:vAlign w:val="bottom"/>
            <w:shd w:val="clear" w:color="auto" w:fill="9DB8D2"/>
          </w:tcPr>
          <w:p>
            <w:pPr>
              <w:spacing w:after="0"/>
              <w:rPr>
                <w:sz w:val="14"/>
                <w:szCs w:val="14"/>
                <w:color w:val="auto"/>
              </w:rPr>
            </w:pPr>
          </w:p>
        </w:tc>
        <w:tc>
          <w:tcPr>
            <w:tcW w:w="6580" w:type="dxa"/>
            <w:vAlign w:val="bottom"/>
            <w:shd w:val="clear" w:color="auto" w:fill="9DB8D2"/>
          </w:tcPr>
          <w:p>
            <w:pPr>
              <w:ind w:left="5200"/>
              <w:spacing w:after="0"/>
              <w:rPr>
                <w:sz w:val="20"/>
                <w:szCs w:val="20"/>
                <w:color w:val="auto"/>
              </w:rPr>
            </w:pPr>
            <w:r>
              <w:rPr>
                <w:rFonts w:ascii="Arial" w:cs="Arial" w:eastAsia="Arial" w:hAnsi="Arial"/>
                <w:sz w:val="14"/>
                <w:szCs w:val="14"/>
                <w:b w:val="1"/>
                <w:bCs w:val="1"/>
                <w:color w:val="auto"/>
              </w:rPr>
              <w:t>Performance</w:t>
            </w:r>
          </w:p>
        </w:tc>
        <w:tc>
          <w:tcPr>
            <w:tcW w:w="1480" w:type="dxa"/>
            <w:vAlign w:val="bottom"/>
            <w:shd w:val="clear" w:color="auto" w:fill="9DB8D2"/>
          </w:tcPr>
          <w:p>
            <w:pPr>
              <w:jc w:val="center"/>
              <w:ind w:right="103"/>
              <w:spacing w:after="0"/>
              <w:rPr>
                <w:sz w:val="20"/>
                <w:szCs w:val="20"/>
                <w:color w:val="auto"/>
              </w:rPr>
            </w:pPr>
            <w:r>
              <w:rPr>
                <w:rFonts w:ascii="Arial" w:cs="Arial" w:eastAsia="Arial" w:hAnsi="Arial"/>
                <w:sz w:val="14"/>
                <w:szCs w:val="14"/>
                <w:b w:val="1"/>
                <w:bCs w:val="1"/>
                <w:color w:val="auto"/>
              </w:rPr>
              <w:t>of 2016</w:t>
            </w:r>
          </w:p>
        </w:tc>
        <w:tc>
          <w:tcPr>
            <w:tcW w:w="980" w:type="dxa"/>
            <w:vAlign w:val="bottom"/>
            <w:shd w:val="clear" w:color="auto" w:fill="9DB8D2"/>
          </w:tcPr>
          <w:p>
            <w:pPr>
              <w:jc w:val="center"/>
              <w:ind w:left="2"/>
              <w:spacing w:after="0"/>
              <w:rPr>
                <w:sz w:val="20"/>
                <w:szCs w:val="20"/>
                <w:color w:val="auto"/>
              </w:rPr>
            </w:pPr>
            <w:r>
              <w:rPr>
                <w:rFonts w:ascii="Arial" w:cs="Arial" w:eastAsia="Arial" w:hAnsi="Arial"/>
                <w:sz w:val="14"/>
                <w:szCs w:val="14"/>
                <w:b w:val="1"/>
                <w:bCs w:val="1"/>
                <w:color w:val="auto"/>
              </w:rPr>
              <w:t>Amount</w:t>
            </w:r>
          </w:p>
        </w:tc>
      </w:tr>
      <w:tr>
        <w:trPr>
          <w:trHeight w:val="189"/>
        </w:trPr>
        <w:tc>
          <w:tcPr>
            <w:tcW w:w="2380" w:type="dxa"/>
            <w:vAlign w:val="bottom"/>
            <w:tcBorders>
              <w:bottom w:val="single" w:sz="8" w:color="auto"/>
            </w:tcBorders>
            <w:shd w:val="clear" w:color="auto" w:fill="9DB8D2"/>
          </w:tcPr>
          <w:p>
            <w:pPr>
              <w:spacing w:after="0"/>
              <w:rPr>
                <w:sz w:val="16"/>
                <w:szCs w:val="16"/>
                <w:color w:val="auto"/>
              </w:rPr>
            </w:pPr>
          </w:p>
        </w:tc>
        <w:tc>
          <w:tcPr>
            <w:tcW w:w="6580" w:type="dxa"/>
            <w:vAlign w:val="bottom"/>
            <w:tcBorders>
              <w:bottom w:val="single" w:sz="8" w:color="auto"/>
            </w:tcBorders>
            <w:shd w:val="clear" w:color="auto" w:fill="9DB8D2"/>
          </w:tcPr>
          <w:p>
            <w:pPr>
              <w:ind w:left="5460"/>
              <w:spacing w:after="0"/>
              <w:rPr>
                <w:sz w:val="20"/>
                <w:szCs w:val="20"/>
                <w:color w:val="auto"/>
              </w:rPr>
            </w:pPr>
            <w:r>
              <w:rPr>
                <w:rFonts w:ascii="Arial" w:cs="Arial" w:eastAsia="Arial" w:hAnsi="Arial"/>
                <w:sz w:val="14"/>
                <w:szCs w:val="14"/>
                <w:b w:val="1"/>
                <w:bCs w:val="1"/>
                <w:color w:val="auto"/>
              </w:rPr>
              <w:t>Level</w:t>
            </w:r>
          </w:p>
        </w:tc>
        <w:tc>
          <w:tcPr>
            <w:tcW w:w="1480" w:type="dxa"/>
            <w:vAlign w:val="bottom"/>
            <w:tcBorders>
              <w:bottom w:val="single" w:sz="8" w:color="auto"/>
            </w:tcBorders>
            <w:shd w:val="clear" w:color="auto" w:fill="9DB8D2"/>
          </w:tcPr>
          <w:p>
            <w:pPr>
              <w:jc w:val="center"/>
              <w:ind w:right="103"/>
              <w:spacing w:after="0"/>
              <w:rPr>
                <w:sz w:val="20"/>
                <w:szCs w:val="20"/>
                <w:color w:val="auto"/>
              </w:rPr>
            </w:pPr>
            <w:r>
              <w:rPr>
                <w:rFonts w:ascii="Arial" w:cs="Arial" w:eastAsia="Arial" w:hAnsi="Arial"/>
                <w:sz w:val="14"/>
                <w:szCs w:val="14"/>
                <w:b w:val="1"/>
                <w:bCs w:val="1"/>
                <w:color w:val="auto"/>
                <w:w w:val="99"/>
              </w:rPr>
              <w:t>Salary</w:t>
            </w:r>
          </w:p>
        </w:tc>
        <w:tc>
          <w:tcPr>
            <w:tcW w:w="980" w:type="dxa"/>
            <w:vAlign w:val="bottom"/>
            <w:tcBorders>
              <w:bottom w:val="single" w:sz="8" w:color="auto"/>
            </w:tcBorders>
            <w:shd w:val="clear" w:color="auto" w:fill="9DB8D2"/>
          </w:tcPr>
          <w:p>
            <w:pPr>
              <w:jc w:val="center"/>
              <w:ind w:left="2"/>
              <w:spacing w:after="0"/>
              <w:rPr>
                <w:sz w:val="20"/>
                <w:szCs w:val="20"/>
                <w:color w:val="auto"/>
              </w:rPr>
            </w:pPr>
            <w:r>
              <w:rPr>
                <w:rFonts w:ascii="Arial" w:cs="Arial" w:eastAsia="Arial" w:hAnsi="Arial"/>
                <w:sz w:val="14"/>
                <w:szCs w:val="14"/>
                <w:b w:val="1"/>
                <w:bCs w:val="1"/>
                <w:color w:val="auto"/>
              </w:rPr>
              <w:t>Earned</w:t>
            </w:r>
          </w:p>
        </w:tc>
      </w:tr>
      <w:tr>
        <w:trPr>
          <w:trHeight w:val="183"/>
        </w:trPr>
        <w:tc>
          <w:tcPr>
            <w:tcW w:w="238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EPS Goal</w:t>
            </w:r>
          </w:p>
        </w:tc>
        <w:tc>
          <w:tcPr>
            <w:tcW w:w="6580" w:type="dxa"/>
            <w:vAlign w:val="bottom"/>
            <w:shd w:val="clear" w:color="auto" w:fill="E6EDF3"/>
          </w:tcPr>
          <w:p>
            <w:pPr>
              <w:ind w:left="5200"/>
              <w:spacing w:after="0" w:line="183" w:lineRule="exact"/>
              <w:rPr>
                <w:sz w:val="20"/>
                <w:szCs w:val="20"/>
                <w:color w:val="auto"/>
              </w:rPr>
            </w:pPr>
            <w:r>
              <w:rPr>
                <w:rFonts w:ascii="Arial" w:cs="Arial" w:eastAsia="Arial" w:hAnsi="Arial"/>
                <w:sz w:val="16"/>
                <w:szCs w:val="16"/>
                <w:color w:val="auto"/>
              </w:rPr>
              <w:t>Above Target</w:t>
            </w:r>
          </w:p>
        </w:tc>
        <w:tc>
          <w:tcPr>
            <w:tcW w:w="1480" w:type="dxa"/>
            <w:vAlign w:val="bottom"/>
            <w:shd w:val="clear" w:color="auto" w:fill="E6EDF3"/>
          </w:tcPr>
          <w:p>
            <w:pPr>
              <w:ind w:left="720"/>
              <w:spacing w:after="0" w:line="183" w:lineRule="exact"/>
              <w:rPr>
                <w:sz w:val="20"/>
                <w:szCs w:val="20"/>
                <w:color w:val="auto"/>
              </w:rPr>
            </w:pPr>
            <w:r>
              <w:rPr>
                <w:rFonts w:ascii="Arial" w:cs="Arial" w:eastAsia="Arial" w:hAnsi="Arial"/>
                <w:sz w:val="16"/>
                <w:szCs w:val="16"/>
                <w:color w:val="auto"/>
              </w:rPr>
              <w:t>31.3%</w:t>
            </w:r>
          </w:p>
        </w:tc>
        <w:tc>
          <w:tcPr>
            <w:tcW w:w="980" w:type="dxa"/>
            <w:vAlign w:val="bottom"/>
            <w:shd w:val="clear" w:color="auto" w:fill="E6EDF3"/>
          </w:tcPr>
          <w:p>
            <w:pPr>
              <w:jc w:val="center"/>
              <w:ind w:left="2"/>
              <w:spacing w:after="0" w:line="183" w:lineRule="exact"/>
              <w:rPr>
                <w:sz w:val="20"/>
                <w:szCs w:val="20"/>
                <w:color w:val="auto"/>
              </w:rPr>
            </w:pPr>
            <w:r>
              <w:rPr>
                <w:rFonts w:ascii="Arial" w:cs="Arial" w:eastAsia="Arial" w:hAnsi="Arial"/>
                <w:sz w:val="16"/>
                <w:szCs w:val="16"/>
                <w:color w:val="auto"/>
              </w:rPr>
              <w:t>$175,448</w:t>
            </w:r>
          </w:p>
        </w:tc>
      </w:tr>
      <w:tr>
        <w:trPr>
          <w:trHeight w:val="189"/>
        </w:trPr>
        <w:tc>
          <w:tcPr>
            <w:tcW w:w="2380" w:type="dxa"/>
            <w:vAlign w:val="bottom"/>
          </w:tcPr>
          <w:p>
            <w:pPr>
              <w:ind w:left="80"/>
              <w:spacing w:after="0"/>
              <w:rPr>
                <w:sz w:val="20"/>
                <w:szCs w:val="20"/>
                <w:color w:val="auto"/>
              </w:rPr>
            </w:pPr>
            <w:r>
              <w:rPr>
                <w:rFonts w:ascii="Arial" w:cs="Arial" w:eastAsia="Arial" w:hAnsi="Arial"/>
                <w:sz w:val="16"/>
                <w:szCs w:val="16"/>
                <w:color w:val="auto"/>
              </w:rPr>
              <w:t>ROIC Goal</w:t>
            </w:r>
          </w:p>
        </w:tc>
        <w:tc>
          <w:tcPr>
            <w:tcW w:w="6580" w:type="dxa"/>
            <w:vAlign w:val="bottom"/>
          </w:tcPr>
          <w:p>
            <w:pPr>
              <w:ind w:left="5200"/>
              <w:spacing w:after="0"/>
              <w:rPr>
                <w:sz w:val="20"/>
                <w:szCs w:val="20"/>
                <w:color w:val="auto"/>
              </w:rPr>
            </w:pPr>
            <w:r>
              <w:rPr>
                <w:rFonts w:ascii="Arial" w:cs="Arial" w:eastAsia="Arial" w:hAnsi="Arial"/>
                <w:sz w:val="16"/>
                <w:szCs w:val="16"/>
                <w:color w:val="auto"/>
              </w:rPr>
              <w:t>Above Target</w:t>
            </w:r>
          </w:p>
        </w:tc>
        <w:tc>
          <w:tcPr>
            <w:tcW w:w="1480" w:type="dxa"/>
            <w:vAlign w:val="bottom"/>
          </w:tcPr>
          <w:p>
            <w:pPr>
              <w:ind w:left="720"/>
              <w:spacing w:after="0"/>
              <w:rPr>
                <w:sz w:val="20"/>
                <w:szCs w:val="20"/>
                <w:color w:val="auto"/>
              </w:rPr>
            </w:pPr>
            <w:r>
              <w:rPr>
                <w:rFonts w:ascii="Arial" w:cs="Arial" w:eastAsia="Arial" w:hAnsi="Arial"/>
                <w:sz w:val="16"/>
                <w:szCs w:val="16"/>
                <w:color w:val="auto"/>
              </w:rPr>
              <w:t>39.0%</w:t>
            </w:r>
          </w:p>
        </w:tc>
        <w:tc>
          <w:tcPr>
            <w:tcW w:w="980" w:type="dxa"/>
            <w:vAlign w:val="bottom"/>
          </w:tcPr>
          <w:p>
            <w:pPr>
              <w:jc w:val="center"/>
              <w:ind w:left="2"/>
              <w:spacing w:after="0"/>
              <w:rPr>
                <w:sz w:val="20"/>
                <w:szCs w:val="20"/>
                <w:color w:val="auto"/>
              </w:rPr>
            </w:pPr>
            <w:r>
              <w:rPr>
                <w:rFonts w:ascii="Arial" w:cs="Arial" w:eastAsia="Arial" w:hAnsi="Arial"/>
                <w:sz w:val="16"/>
                <w:szCs w:val="16"/>
                <w:color w:val="auto"/>
              </w:rPr>
              <w:t>$218,400</w:t>
            </w:r>
          </w:p>
        </w:tc>
      </w:tr>
      <w:tr>
        <w:trPr>
          <w:trHeight w:val="189"/>
        </w:trPr>
        <w:tc>
          <w:tcPr>
            <w:tcW w:w="2380" w:type="dxa"/>
            <w:vAlign w:val="bottom"/>
            <w:shd w:val="clear" w:color="auto" w:fill="E6EDF3"/>
          </w:tcPr>
          <w:p>
            <w:pPr>
              <w:ind w:left="80"/>
              <w:spacing w:after="0"/>
              <w:rPr>
                <w:sz w:val="20"/>
                <w:szCs w:val="20"/>
                <w:color w:val="auto"/>
              </w:rPr>
            </w:pPr>
            <w:r>
              <w:rPr>
                <w:rFonts w:ascii="Arial" w:cs="Arial" w:eastAsia="Arial" w:hAnsi="Arial"/>
                <w:sz w:val="16"/>
                <w:szCs w:val="16"/>
                <w:color w:val="auto"/>
              </w:rPr>
              <w:t>Operating Objectives</w:t>
            </w:r>
          </w:p>
        </w:tc>
        <w:tc>
          <w:tcPr>
            <w:tcW w:w="6580" w:type="dxa"/>
            <w:vAlign w:val="bottom"/>
            <w:shd w:val="clear" w:color="auto" w:fill="E6EDF3"/>
          </w:tcPr>
          <w:p>
            <w:pPr>
              <w:ind w:left="5200"/>
              <w:spacing w:after="0"/>
              <w:rPr>
                <w:sz w:val="20"/>
                <w:szCs w:val="20"/>
                <w:color w:val="auto"/>
              </w:rPr>
            </w:pPr>
            <w:r>
              <w:rPr>
                <w:rFonts w:ascii="Arial" w:cs="Arial" w:eastAsia="Arial" w:hAnsi="Arial"/>
                <w:sz w:val="16"/>
                <w:szCs w:val="16"/>
                <w:color w:val="auto"/>
              </w:rPr>
              <w:t>Above Target</w:t>
            </w:r>
          </w:p>
        </w:tc>
        <w:tc>
          <w:tcPr>
            <w:tcW w:w="1480" w:type="dxa"/>
            <w:vAlign w:val="bottom"/>
            <w:shd w:val="clear" w:color="auto" w:fill="E6EDF3"/>
          </w:tcPr>
          <w:p>
            <w:pPr>
              <w:ind w:left="720"/>
              <w:spacing w:after="0"/>
              <w:rPr>
                <w:sz w:val="20"/>
                <w:szCs w:val="20"/>
                <w:color w:val="auto"/>
              </w:rPr>
            </w:pPr>
            <w:r>
              <w:rPr>
                <w:rFonts w:ascii="Arial" w:cs="Arial" w:eastAsia="Arial" w:hAnsi="Arial"/>
                <w:sz w:val="16"/>
                <w:szCs w:val="16"/>
                <w:color w:val="auto"/>
              </w:rPr>
              <w:t>23.0%</w:t>
            </w:r>
          </w:p>
        </w:tc>
        <w:tc>
          <w:tcPr>
            <w:tcW w:w="980" w:type="dxa"/>
            <w:vAlign w:val="bottom"/>
            <w:shd w:val="clear" w:color="auto" w:fill="E6EDF3"/>
          </w:tcPr>
          <w:p>
            <w:pPr>
              <w:jc w:val="center"/>
              <w:ind w:left="2"/>
              <w:spacing w:after="0"/>
              <w:rPr>
                <w:sz w:val="20"/>
                <w:szCs w:val="20"/>
                <w:color w:val="auto"/>
              </w:rPr>
            </w:pPr>
            <w:r>
              <w:rPr>
                <w:rFonts w:ascii="Arial" w:cs="Arial" w:eastAsia="Arial" w:hAnsi="Arial"/>
                <w:sz w:val="16"/>
                <w:szCs w:val="16"/>
                <w:color w:val="auto"/>
              </w:rPr>
              <w:t>$128,800</w:t>
            </w:r>
          </w:p>
        </w:tc>
      </w:tr>
      <w:tr>
        <w:trPr>
          <w:trHeight w:val="189"/>
        </w:trPr>
        <w:tc>
          <w:tcPr>
            <w:tcW w:w="238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Total Incentive</w:t>
            </w:r>
          </w:p>
        </w:tc>
        <w:tc>
          <w:tcPr>
            <w:tcW w:w="65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93.3%</w:t>
            </w:r>
          </w:p>
        </w:tc>
        <w:tc>
          <w:tcPr>
            <w:tcW w:w="980" w:type="dxa"/>
            <w:vAlign w:val="bottom"/>
            <w:tcBorders>
              <w:bottom w:val="single" w:sz="8" w:color="auto"/>
            </w:tcBorders>
          </w:tcPr>
          <w:p>
            <w:pPr>
              <w:jc w:val="center"/>
              <w:ind w:left="2"/>
              <w:spacing w:after="0"/>
              <w:rPr>
                <w:sz w:val="20"/>
                <w:szCs w:val="20"/>
                <w:color w:val="auto"/>
              </w:rPr>
            </w:pPr>
            <w:r>
              <w:rPr>
                <w:rFonts w:ascii="Arial" w:cs="Arial" w:eastAsia="Arial" w:hAnsi="Arial"/>
                <w:sz w:val="16"/>
                <w:szCs w:val="16"/>
                <w:color w:val="auto"/>
              </w:rPr>
              <w:t>$522,648</w:t>
            </w:r>
          </w:p>
        </w:tc>
      </w:tr>
      <w:tr>
        <w:trPr>
          <w:trHeight w:val="426"/>
        </w:trPr>
        <w:tc>
          <w:tcPr>
            <w:tcW w:w="2380" w:type="dxa"/>
            <w:vAlign w:val="bottom"/>
          </w:tcPr>
          <w:p>
            <w:pPr>
              <w:spacing w:after="0"/>
              <w:rPr>
                <w:sz w:val="24"/>
                <w:szCs w:val="24"/>
                <w:color w:val="auto"/>
              </w:rPr>
            </w:pPr>
          </w:p>
        </w:tc>
        <w:tc>
          <w:tcPr>
            <w:tcW w:w="6580" w:type="dxa"/>
            <w:vAlign w:val="bottom"/>
          </w:tcPr>
          <w:p>
            <w:pPr>
              <w:ind w:left="800"/>
              <w:spacing w:after="0"/>
              <w:rPr>
                <w:sz w:val="20"/>
                <w:szCs w:val="20"/>
                <w:color w:val="auto"/>
              </w:rPr>
            </w:pPr>
            <w:r>
              <w:rPr>
                <w:rFonts w:ascii="Arial" w:cs="Arial" w:eastAsia="Arial" w:hAnsi="Arial"/>
                <w:sz w:val="18"/>
                <w:szCs w:val="18"/>
                <w:b w:val="1"/>
                <w:bCs w:val="1"/>
                <w:color w:val="5D89B4"/>
              </w:rPr>
              <w:t>Michael J. Van Handel — 2016 Annual Incentive Calculation</w:t>
            </w: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08"/>
        </w:trPr>
        <w:tc>
          <w:tcPr>
            <w:tcW w:w="2380" w:type="dxa"/>
            <w:vAlign w:val="bottom"/>
            <w:tcBorders>
              <w:bottom w:val="single" w:sz="8" w:color="auto"/>
            </w:tcBorders>
          </w:tcPr>
          <w:p>
            <w:pPr>
              <w:spacing w:after="0"/>
              <w:rPr>
                <w:sz w:val="9"/>
                <w:szCs w:val="9"/>
                <w:color w:val="auto"/>
              </w:rPr>
            </w:pPr>
          </w:p>
        </w:tc>
        <w:tc>
          <w:tcPr>
            <w:tcW w:w="65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r>
      <w:tr>
        <w:trPr>
          <w:trHeight w:val="237"/>
        </w:trPr>
        <w:tc>
          <w:tcPr>
            <w:tcW w:w="2380" w:type="dxa"/>
            <w:vAlign w:val="bottom"/>
            <w:shd w:val="clear" w:color="auto" w:fill="9DB8D2"/>
          </w:tcPr>
          <w:p>
            <w:pPr>
              <w:spacing w:after="0"/>
              <w:rPr>
                <w:sz w:val="20"/>
                <w:szCs w:val="20"/>
                <w:color w:val="auto"/>
              </w:rPr>
            </w:pPr>
          </w:p>
        </w:tc>
        <w:tc>
          <w:tcPr>
            <w:tcW w:w="6580" w:type="dxa"/>
            <w:vAlign w:val="bottom"/>
            <w:shd w:val="clear" w:color="auto" w:fill="9DB8D2"/>
          </w:tcPr>
          <w:p>
            <w:pPr>
              <w:spacing w:after="0"/>
              <w:rPr>
                <w:sz w:val="20"/>
                <w:szCs w:val="20"/>
                <w:color w:val="auto"/>
              </w:rPr>
            </w:pPr>
          </w:p>
        </w:tc>
        <w:tc>
          <w:tcPr>
            <w:tcW w:w="14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Percentage</w:t>
            </w:r>
          </w:p>
        </w:tc>
        <w:tc>
          <w:tcPr>
            <w:tcW w:w="980" w:type="dxa"/>
            <w:vAlign w:val="bottom"/>
            <w:shd w:val="clear" w:color="auto" w:fill="9DB8D2"/>
          </w:tcPr>
          <w:p>
            <w:pPr>
              <w:spacing w:after="0"/>
              <w:rPr>
                <w:sz w:val="20"/>
                <w:szCs w:val="20"/>
                <w:color w:val="auto"/>
              </w:rPr>
            </w:pPr>
          </w:p>
        </w:tc>
      </w:tr>
      <w:tr>
        <w:trPr>
          <w:trHeight w:val="162"/>
        </w:trPr>
        <w:tc>
          <w:tcPr>
            <w:tcW w:w="2380" w:type="dxa"/>
            <w:vAlign w:val="bottom"/>
            <w:shd w:val="clear" w:color="auto" w:fill="9DB8D2"/>
          </w:tcPr>
          <w:p>
            <w:pPr>
              <w:spacing w:after="0"/>
              <w:rPr>
                <w:sz w:val="14"/>
                <w:szCs w:val="14"/>
                <w:color w:val="auto"/>
              </w:rPr>
            </w:pPr>
          </w:p>
        </w:tc>
        <w:tc>
          <w:tcPr>
            <w:tcW w:w="6580" w:type="dxa"/>
            <w:vAlign w:val="bottom"/>
            <w:shd w:val="clear" w:color="auto" w:fill="9DB8D2"/>
          </w:tcPr>
          <w:p>
            <w:pPr>
              <w:ind w:left="5380"/>
              <w:spacing w:after="0"/>
              <w:rPr>
                <w:sz w:val="20"/>
                <w:szCs w:val="20"/>
                <w:color w:val="auto"/>
              </w:rPr>
            </w:pPr>
            <w:r>
              <w:rPr>
                <w:rFonts w:ascii="Arial" w:cs="Arial" w:eastAsia="Arial" w:hAnsi="Arial"/>
                <w:sz w:val="14"/>
                <w:szCs w:val="14"/>
                <w:b w:val="1"/>
                <w:bCs w:val="1"/>
                <w:color w:val="auto"/>
              </w:rPr>
              <w:t>Performance</w:t>
            </w:r>
          </w:p>
        </w:tc>
        <w:tc>
          <w:tcPr>
            <w:tcW w:w="14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of 2016</w:t>
            </w:r>
          </w:p>
        </w:tc>
        <w:tc>
          <w:tcPr>
            <w:tcW w:w="980" w:type="dxa"/>
            <w:vAlign w:val="bottom"/>
            <w:shd w:val="clear" w:color="auto" w:fill="9DB8D2"/>
          </w:tcPr>
          <w:p>
            <w:pPr>
              <w:jc w:val="center"/>
              <w:ind w:left="2"/>
              <w:spacing w:after="0"/>
              <w:rPr>
                <w:sz w:val="20"/>
                <w:szCs w:val="20"/>
                <w:color w:val="auto"/>
              </w:rPr>
            </w:pPr>
            <w:r>
              <w:rPr>
                <w:rFonts w:ascii="Arial" w:cs="Arial" w:eastAsia="Arial" w:hAnsi="Arial"/>
                <w:sz w:val="14"/>
                <w:szCs w:val="14"/>
                <w:b w:val="1"/>
                <w:bCs w:val="1"/>
                <w:color w:val="auto"/>
              </w:rPr>
              <w:t>Amount</w:t>
            </w:r>
          </w:p>
        </w:tc>
      </w:tr>
      <w:tr>
        <w:trPr>
          <w:trHeight w:val="189"/>
        </w:trPr>
        <w:tc>
          <w:tcPr>
            <w:tcW w:w="2380" w:type="dxa"/>
            <w:vAlign w:val="bottom"/>
            <w:tcBorders>
              <w:bottom w:val="single" w:sz="8" w:color="auto"/>
            </w:tcBorders>
            <w:shd w:val="clear" w:color="auto" w:fill="9DB8D2"/>
          </w:tcPr>
          <w:p>
            <w:pPr>
              <w:spacing w:after="0"/>
              <w:rPr>
                <w:sz w:val="16"/>
                <w:szCs w:val="16"/>
                <w:color w:val="auto"/>
              </w:rPr>
            </w:pPr>
          </w:p>
        </w:tc>
        <w:tc>
          <w:tcPr>
            <w:tcW w:w="6580" w:type="dxa"/>
            <w:vAlign w:val="bottom"/>
            <w:tcBorders>
              <w:bottom w:val="single" w:sz="8" w:color="auto"/>
            </w:tcBorders>
            <w:shd w:val="clear" w:color="auto" w:fill="9DB8D2"/>
          </w:tcPr>
          <w:p>
            <w:pPr>
              <w:ind w:left="5640"/>
              <w:spacing w:after="0"/>
              <w:rPr>
                <w:sz w:val="20"/>
                <w:szCs w:val="20"/>
                <w:color w:val="auto"/>
              </w:rPr>
            </w:pPr>
            <w:r>
              <w:rPr>
                <w:rFonts w:ascii="Arial" w:cs="Arial" w:eastAsia="Arial" w:hAnsi="Arial"/>
                <w:sz w:val="14"/>
                <w:szCs w:val="14"/>
                <w:b w:val="1"/>
                <w:bCs w:val="1"/>
                <w:color w:val="auto"/>
              </w:rPr>
              <w:t>Level</w:t>
            </w:r>
          </w:p>
        </w:tc>
        <w:tc>
          <w:tcPr>
            <w:tcW w:w="14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Salary</w:t>
            </w:r>
          </w:p>
        </w:tc>
        <w:tc>
          <w:tcPr>
            <w:tcW w:w="980" w:type="dxa"/>
            <w:vAlign w:val="bottom"/>
            <w:tcBorders>
              <w:bottom w:val="single" w:sz="8" w:color="auto"/>
            </w:tcBorders>
            <w:shd w:val="clear" w:color="auto" w:fill="9DB8D2"/>
          </w:tcPr>
          <w:p>
            <w:pPr>
              <w:jc w:val="center"/>
              <w:ind w:left="2"/>
              <w:spacing w:after="0"/>
              <w:rPr>
                <w:sz w:val="20"/>
                <w:szCs w:val="20"/>
                <w:color w:val="auto"/>
              </w:rPr>
            </w:pPr>
            <w:r>
              <w:rPr>
                <w:rFonts w:ascii="Arial" w:cs="Arial" w:eastAsia="Arial" w:hAnsi="Arial"/>
                <w:sz w:val="14"/>
                <w:szCs w:val="14"/>
                <w:b w:val="1"/>
                <w:bCs w:val="1"/>
                <w:color w:val="auto"/>
              </w:rPr>
              <w:t>Earned</w:t>
            </w:r>
          </w:p>
        </w:tc>
      </w:tr>
      <w:tr>
        <w:trPr>
          <w:trHeight w:val="183"/>
        </w:trPr>
        <w:tc>
          <w:tcPr>
            <w:tcW w:w="238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EPS Goal</w:t>
            </w:r>
          </w:p>
        </w:tc>
        <w:tc>
          <w:tcPr>
            <w:tcW w:w="6580" w:type="dxa"/>
            <w:vAlign w:val="bottom"/>
            <w:shd w:val="clear" w:color="auto" w:fill="E6EDF3"/>
          </w:tcPr>
          <w:p>
            <w:pPr>
              <w:ind w:left="5380"/>
              <w:spacing w:after="0" w:line="183" w:lineRule="exact"/>
              <w:rPr>
                <w:sz w:val="20"/>
                <w:szCs w:val="20"/>
                <w:color w:val="auto"/>
              </w:rPr>
            </w:pPr>
            <w:r>
              <w:rPr>
                <w:rFonts w:ascii="Arial" w:cs="Arial" w:eastAsia="Arial" w:hAnsi="Arial"/>
                <w:sz w:val="16"/>
                <w:szCs w:val="16"/>
                <w:color w:val="auto"/>
              </w:rPr>
              <w:t>Above Target</w:t>
            </w:r>
          </w:p>
        </w:tc>
        <w:tc>
          <w:tcPr>
            <w:tcW w:w="1480" w:type="dxa"/>
            <w:vAlign w:val="bottom"/>
            <w:shd w:val="clear" w:color="auto" w:fill="E6EDF3"/>
          </w:tcPr>
          <w:p>
            <w:pPr>
              <w:ind w:left="820"/>
              <w:spacing w:after="0" w:line="183" w:lineRule="exact"/>
              <w:rPr>
                <w:sz w:val="20"/>
                <w:szCs w:val="20"/>
                <w:color w:val="auto"/>
              </w:rPr>
            </w:pPr>
            <w:r>
              <w:rPr>
                <w:rFonts w:ascii="Arial" w:cs="Arial" w:eastAsia="Arial" w:hAnsi="Arial"/>
                <w:sz w:val="16"/>
                <w:szCs w:val="16"/>
                <w:color w:val="auto"/>
              </w:rPr>
              <w:t>41.8%</w:t>
            </w:r>
          </w:p>
        </w:tc>
        <w:tc>
          <w:tcPr>
            <w:tcW w:w="980" w:type="dxa"/>
            <w:vAlign w:val="bottom"/>
            <w:shd w:val="clear" w:color="auto" w:fill="E6EDF3"/>
          </w:tcPr>
          <w:p>
            <w:pPr>
              <w:jc w:val="center"/>
              <w:ind w:left="2"/>
              <w:spacing w:after="0" w:line="183" w:lineRule="exact"/>
              <w:rPr>
                <w:sz w:val="20"/>
                <w:szCs w:val="20"/>
                <w:color w:val="auto"/>
              </w:rPr>
            </w:pPr>
            <w:r>
              <w:rPr>
                <w:rFonts w:ascii="Arial" w:cs="Arial" w:eastAsia="Arial" w:hAnsi="Arial"/>
                <w:sz w:val="16"/>
                <w:szCs w:val="16"/>
                <w:color w:val="auto"/>
              </w:rPr>
              <w:t>$275,748</w:t>
            </w:r>
          </w:p>
        </w:tc>
      </w:tr>
      <w:tr>
        <w:trPr>
          <w:trHeight w:val="189"/>
        </w:trPr>
        <w:tc>
          <w:tcPr>
            <w:tcW w:w="2380" w:type="dxa"/>
            <w:vAlign w:val="bottom"/>
          </w:tcPr>
          <w:p>
            <w:pPr>
              <w:ind w:left="80"/>
              <w:spacing w:after="0"/>
              <w:rPr>
                <w:sz w:val="20"/>
                <w:szCs w:val="20"/>
                <w:color w:val="auto"/>
              </w:rPr>
            </w:pPr>
            <w:r>
              <w:rPr>
                <w:rFonts w:ascii="Arial" w:cs="Arial" w:eastAsia="Arial" w:hAnsi="Arial"/>
                <w:sz w:val="16"/>
                <w:szCs w:val="16"/>
                <w:color w:val="auto"/>
              </w:rPr>
              <w:t>ROIC Goal</w:t>
            </w:r>
          </w:p>
        </w:tc>
        <w:tc>
          <w:tcPr>
            <w:tcW w:w="6580" w:type="dxa"/>
            <w:vAlign w:val="bottom"/>
          </w:tcPr>
          <w:p>
            <w:pPr>
              <w:ind w:left="5380"/>
              <w:spacing w:after="0"/>
              <w:rPr>
                <w:sz w:val="20"/>
                <w:szCs w:val="20"/>
                <w:color w:val="auto"/>
              </w:rPr>
            </w:pPr>
            <w:r>
              <w:rPr>
                <w:rFonts w:ascii="Arial" w:cs="Arial" w:eastAsia="Arial" w:hAnsi="Arial"/>
                <w:sz w:val="16"/>
                <w:szCs w:val="16"/>
                <w:color w:val="auto"/>
              </w:rPr>
              <w:t>Above Target</w:t>
            </w:r>
          </w:p>
        </w:tc>
        <w:tc>
          <w:tcPr>
            <w:tcW w:w="1480" w:type="dxa"/>
            <w:vAlign w:val="bottom"/>
          </w:tcPr>
          <w:p>
            <w:pPr>
              <w:ind w:left="820"/>
              <w:spacing w:after="0"/>
              <w:rPr>
                <w:sz w:val="20"/>
                <w:szCs w:val="20"/>
                <w:color w:val="auto"/>
              </w:rPr>
            </w:pPr>
            <w:r>
              <w:rPr>
                <w:rFonts w:ascii="Arial" w:cs="Arial" w:eastAsia="Arial" w:hAnsi="Arial"/>
                <w:sz w:val="16"/>
                <w:szCs w:val="16"/>
                <w:color w:val="auto"/>
              </w:rPr>
              <w:t>52.0%</w:t>
            </w:r>
          </w:p>
        </w:tc>
        <w:tc>
          <w:tcPr>
            <w:tcW w:w="980" w:type="dxa"/>
            <w:vAlign w:val="bottom"/>
          </w:tcPr>
          <w:p>
            <w:pPr>
              <w:jc w:val="center"/>
              <w:ind w:left="2"/>
              <w:spacing w:after="0"/>
              <w:rPr>
                <w:sz w:val="20"/>
                <w:szCs w:val="20"/>
                <w:color w:val="auto"/>
              </w:rPr>
            </w:pPr>
            <w:r>
              <w:rPr>
                <w:rFonts w:ascii="Arial" w:cs="Arial" w:eastAsia="Arial" w:hAnsi="Arial"/>
                <w:sz w:val="16"/>
                <w:szCs w:val="16"/>
                <w:color w:val="auto"/>
              </w:rPr>
              <w:t>$343,200</w:t>
            </w:r>
          </w:p>
        </w:tc>
      </w:tr>
      <w:tr>
        <w:trPr>
          <w:trHeight w:val="189"/>
        </w:trPr>
        <w:tc>
          <w:tcPr>
            <w:tcW w:w="2380" w:type="dxa"/>
            <w:vAlign w:val="bottom"/>
            <w:shd w:val="clear" w:color="auto" w:fill="E6EDF3"/>
          </w:tcPr>
          <w:p>
            <w:pPr>
              <w:ind w:left="80"/>
              <w:spacing w:after="0"/>
              <w:rPr>
                <w:sz w:val="20"/>
                <w:szCs w:val="20"/>
                <w:color w:val="auto"/>
              </w:rPr>
            </w:pPr>
            <w:r>
              <w:rPr>
                <w:rFonts w:ascii="Arial" w:cs="Arial" w:eastAsia="Arial" w:hAnsi="Arial"/>
                <w:sz w:val="16"/>
                <w:szCs w:val="16"/>
                <w:color w:val="auto"/>
              </w:rPr>
              <w:t>Operating Objectives</w:t>
            </w:r>
          </w:p>
        </w:tc>
        <w:tc>
          <w:tcPr>
            <w:tcW w:w="6580" w:type="dxa"/>
            <w:vAlign w:val="bottom"/>
            <w:shd w:val="clear" w:color="auto" w:fill="E6EDF3"/>
          </w:tcPr>
          <w:p>
            <w:pPr>
              <w:ind w:left="5380"/>
              <w:spacing w:after="0"/>
              <w:rPr>
                <w:sz w:val="20"/>
                <w:szCs w:val="20"/>
                <w:color w:val="auto"/>
              </w:rPr>
            </w:pPr>
            <w:r>
              <w:rPr>
                <w:rFonts w:ascii="Arial" w:cs="Arial" w:eastAsia="Arial" w:hAnsi="Arial"/>
                <w:sz w:val="16"/>
                <w:szCs w:val="16"/>
                <w:color w:val="auto"/>
              </w:rPr>
              <w:t>Above Target</w:t>
            </w:r>
          </w:p>
        </w:tc>
        <w:tc>
          <w:tcPr>
            <w:tcW w:w="1480" w:type="dxa"/>
            <w:vAlign w:val="bottom"/>
            <w:shd w:val="clear" w:color="auto" w:fill="E6EDF3"/>
          </w:tcPr>
          <w:p>
            <w:pPr>
              <w:ind w:left="820"/>
              <w:spacing w:after="0"/>
              <w:rPr>
                <w:sz w:val="20"/>
                <w:szCs w:val="20"/>
                <w:color w:val="auto"/>
              </w:rPr>
            </w:pPr>
            <w:r>
              <w:rPr>
                <w:rFonts w:ascii="Arial" w:cs="Arial" w:eastAsia="Arial" w:hAnsi="Arial"/>
                <w:sz w:val="16"/>
                <w:szCs w:val="16"/>
                <w:color w:val="auto"/>
              </w:rPr>
              <w:t>30.0%</w:t>
            </w:r>
          </w:p>
        </w:tc>
        <w:tc>
          <w:tcPr>
            <w:tcW w:w="980" w:type="dxa"/>
            <w:vAlign w:val="bottom"/>
            <w:shd w:val="clear" w:color="auto" w:fill="E6EDF3"/>
          </w:tcPr>
          <w:p>
            <w:pPr>
              <w:jc w:val="center"/>
              <w:ind w:left="2"/>
              <w:spacing w:after="0"/>
              <w:rPr>
                <w:sz w:val="20"/>
                <w:szCs w:val="20"/>
                <w:color w:val="auto"/>
              </w:rPr>
            </w:pPr>
            <w:r>
              <w:rPr>
                <w:rFonts w:ascii="Arial" w:cs="Arial" w:eastAsia="Arial" w:hAnsi="Arial"/>
                <w:sz w:val="16"/>
                <w:szCs w:val="16"/>
                <w:color w:val="auto"/>
              </w:rPr>
              <w:t>$198,000</w:t>
            </w:r>
          </w:p>
        </w:tc>
      </w:tr>
      <w:tr>
        <w:trPr>
          <w:trHeight w:val="189"/>
        </w:trPr>
        <w:tc>
          <w:tcPr>
            <w:tcW w:w="238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Total Incentive</w:t>
            </w:r>
          </w:p>
        </w:tc>
        <w:tc>
          <w:tcPr>
            <w:tcW w:w="65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123.8%</w:t>
            </w:r>
          </w:p>
        </w:tc>
        <w:tc>
          <w:tcPr>
            <w:tcW w:w="980" w:type="dxa"/>
            <w:vAlign w:val="bottom"/>
            <w:tcBorders>
              <w:bottom w:val="single" w:sz="8" w:color="auto"/>
            </w:tcBorders>
          </w:tcPr>
          <w:p>
            <w:pPr>
              <w:jc w:val="center"/>
              <w:ind w:left="2"/>
              <w:spacing w:after="0"/>
              <w:rPr>
                <w:sz w:val="20"/>
                <w:szCs w:val="20"/>
                <w:color w:val="auto"/>
              </w:rPr>
            </w:pPr>
            <w:r>
              <w:rPr>
                <w:rFonts w:ascii="Arial" w:cs="Arial" w:eastAsia="Arial" w:hAnsi="Arial"/>
                <w:sz w:val="16"/>
                <w:szCs w:val="16"/>
                <w:color w:val="auto"/>
              </w:rPr>
              <w:t>$816,948</w:t>
            </w:r>
          </w:p>
        </w:tc>
      </w:tr>
    </w:tbl>
    <w:p>
      <w:pPr>
        <w:spacing w:after="0" w:line="142" w:lineRule="exact"/>
        <w:rPr>
          <w:sz w:val="20"/>
          <w:szCs w:val="20"/>
          <w:color w:val="auto"/>
        </w:rPr>
      </w:pPr>
    </w:p>
    <w:p>
      <w:pPr>
        <w:ind w:left="9880"/>
        <w:spacing w:after="0"/>
        <w:rPr>
          <w:sz w:val="20"/>
          <w:szCs w:val="20"/>
          <w:color w:val="auto"/>
        </w:rPr>
      </w:pPr>
      <w:r>
        <w:rPr>
          <w:rFonts w:ascii="Arial" w:cs="Arial" w:eastAsia="Arial" w:hAnsi="Arial"/>
          <w:sz w:val="16"/>
          <w:szCs w:val="16"/>
          <w:b w:val="1"/>
          <w:bCs w:val="1"/>
          <w:color w:val="5D89B4"/>
        </w:rPr>
        <w:t xml:space="preserve">59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Compensation Tables</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Grants Under the 2011 Equity Incentive Plan</w:t>
      </w:r>
    </w:p>
    <w:p>
      <w:pPr>
        <w:spacing w:after="0" w:line="125"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b w:val="1"/>
          <w:bCs w:val="1"/>
          <w:i w:val="1"/>
          <w:iCs w:val="1"/>
          <w:color w:val="auto"/>
        </w:rPr>
        <w:t>Stock options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ManpowerGroup made grants of stock options to all of the executive officers under the 2011 Equity Incentive Plan in February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except Mr. Van Handel who did not receive stock options in 2016. The stock options granted in 2016 vest 25% per year over a four-year period and if they are not exercised, they expire in ten years (or earlier following a termination of employment). Additional vesting terms applicable to these options are described in further detail in the section entitled “Termination of Employment and Change of Control Arrangements” following the Nonqualified Deferred Compensation Table.</w:t>
      </w:r>
    </w:p>
    <w:p>
      <w:pPr>
        <w:spacing w:after="0" w:line="177"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b w:val="1"/>
          <w:bCs w:val="1"/>
          <w:i w:val="1"/>
          <w:iCs w:val="1"/>
          <w:color w:val="auto"/>
        </w:rPr>
        <w:t>Performance share units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ManpowerGroup made grants of performance share units to all of the executive officers under the 2011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Plan in February of 2016, except Mr. Van Handel who did not receive performance share units in 2016. Each executive officer received a performance share unit grant that will vest if the relevant performance goal of average Operating Profit Margin Percentage is met for the three-year performance period. See page 46 for a description of the goals established by the Committee for the 2016 performance share unit grant.</w:t>
      </w:r>
    </w:p>
    <w:p>
      <w:pPr>
        <w:spacing w:after="0" w:line="19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No dividends are paid on the performance share units unless and until actual shares are issued to the executive officer upon the vesting of the performance share units and in such case, dividends would be paid only for record dates occurring after the issuance date. Additional vesting terms applicable to these grants are described in further detail in the section entitled “Termination of Employment and Change of Control Arrangements” following the Nonqualified Deferred Compensation Table.</w:t>
      </w:r>
    </w:p>
    <w:p>
      <w:pPr>
        <w:spacing w:after="0" w:line="180"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b w:val="1"/>
          <w:bCs w:val="1"/>
          <w:i w:val="1"/>
          <w:iCs w:val="1"/>
          <w:color w:val="auto"/>
        </w:rPr>
        <w:t xml:space="preserve">Restricted stock units. </w:t>
      </w:r>
      <w:r>
        <w:rPr>
          <w:rFonts w:ascii="Arial" w:cs="Arial" w:eastAsia="Arial" w:hAnsi="Arial"/>
          <w:sz w:val="18"/>
          <w:szCs w:val="18"/>
          <w:color w:val="auto"/>
        </w:rPr>
        <w:t>The restricted stock units granted to the executive officers in February 2016 have a three-year cliff vest and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earned as long as the executive officer continues to be employed by the Company. Dividend equivalents are paid on the restricted stock units under these awards. Additional vesting terms applicable to these grants are described in further detail in the section entitled “Termination of Employment and Change of Control Arrangements” following the Nonqualified Deferred Compensation Table.</w:t>
      </w:r>
    </w:p>
    <w:p>
      <w:pPr>
        <w:spacing w:after="0" w:line="174"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i w:val="1"/>
          <w:iCs w:val="1"/>
          <w:color w:val="auto"/>
        </w:rPr>
        <w:t xml:space="preserve">Career shares. </w:t>
      </w:r>
      <w:r>
        <w:rPr>
          <w:rFonts w:ascii="Arial" w:cs="Arial" w:eastAsia="Arial" w:hAnsi="Arial"/>
          <w:sz w:val="18"/>
          <w:szCs w:val="18"/>
          <w:color w:val="auto"/>
        </w:rPr>
        <w:t>The career restricted stock units granted to the executive officers in February 2016 have a five-year cliff vest and are earned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long as the executive officer continues to be employed by the Company. Dividend equivalents are paid on the restricted stock units under these awards. Additional vesting terms applicable to these grants are described in further detail in the section entitled “Termination of Employment and Change of Control Arrangements” following the Nonqualified Deferred Compensation Table.</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60</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9600"/>
        <w:spacing w:after="0"/>
        <w:rPr>
          <w:sz w:val="20"/>
          <w:szCs w:val="20"/>
          <w:color w:val="auto"/>
        </w:rPr>
      </w:pPr>
      <w:r>
        <w:rPr>
          <w:rFonts w:ascii="Arial" w:cs="Arial" w:eastAsia="Arial" w:hAnsi="Arial"/>
          <w:sz w:val="18"/>
          <w:szCs w:val="18"/>
          <w:color w:val="FFFFFF"/>
        </w:rPr>
        <w:t>Compensation Tables</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Outstanding Equity Awards at December 31, 2016</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40" w:type="dxa"/>
            <w:vAlign w:val="bottom"/>
            <w:tcBorders>
              <w:top w:val="single" w:sz="8" w:color="auto"/>
              <w:bottom w:val="single" w:sz="8" w:color="9DB8D2"/>
            </w:tcBorders>
            <w:shd w:val="clear" w:color="auto" w:fill="9DB8D2"/>
          </w:tcPr>
          <w:p>
            <w:pPr>
              <w:spacing w:after="0"/>
              <w:rPr>
                <w:sz w:val="21"/>
                <w:szCs w:val="21"/>
                <w:color w:val="auto"/>
              </w:rPr>
            </w:pPr>
          </w:p>
        </w:tc>
        <w:tc>
          <w:tcPr>
            <w:tcW w:w="180" w:type="dxa"/>
            <w:vAlign w:val="bottom"/>
            <w:tcBorders>
              <w:top w:val="single" w:sz="8" w:color="auto"/>
              <w:bottom w:val="single" w:sz="8" w:color="9DB8D2"/>
            </w:tcBorders>
            <w:shd w:val="clear" w:color="auto" w:fill="9DB8D2"/>
          </w:tcPr>
          <w:p>
            <w:pPr>
              <w:spacing w:after="0"/>
              <w:rPr>
                <w:sz w:val="21"/>
                <w:szCs w:val="21"/>
                <w:color w:val="auto"/>
              </w:rPr>
            </w:pPr>
          </w:p>
        </w:tc>
        <w:tc>
          <w:tcPr>
            <w:tcW w:w="800" w:type="dxa"/>
            <w:vAlign w:val="bottom"/>
            <w:tcBorders>
              <w:top w:val="single" w:sz="8" w:color="auto"/>
              <w:bottom w:val="single" w:sz="8" w:color="auto"/>
            </w:tcBorders>
            <w:shd w:val="clear" w:color="auto" w:fill="9DB8D2"/>
          </w:tcPr>
          <w:p>
            <w:pPr>
              <w:spacing w:after="0"/>
              <w:rPr>
                <w:sz w:val="21"/>
                <w:szCs w:val="21"/>
                <w:color w:val="auto"/>
              </w:rPr>
            </w:pPr>
          </w:p>
        </w:tc>
        <w:tc>
          <w:tcPr>
            <w:tcW w:w="260" w:type="dxa"/>
            <w:vAlign w:val="bottom"/>
            <w:tcBorders>
              <w:top w:val="single" w:sz="8" w:color="auto"/>
              <w:bottom w:val="single" w:sz="8" w:color="auto"/>
            </w:tcBorders>
            <w:shd w:val="clear" w:color="auto" w:fill="9DB8D2"/>
          </w:tcPr>
          <w:p>
            <w:pPr>
              <w:spacing w:after="0"/>
              <w:rPr>
                <w:sz w:val="21"/>
                <w:szCs w:val="21"/>
                <w:color w:val="auto"/>
              </w:rPr>
            </w:pPr>
          </w:p>
        </w:tc>
        <w:tc>
          <w:tcPr>
            <w:tcW w:w="800" w:type="dxa"/>
            <w:vAlign w:val="bottom"/>
            <w:tcBorders>
              <w:top w:val="single" w:sz="8" w:color="auto"/>
              <w:bottom w:val="single" w:sz="8" w:color="auto"/>
            </w:tcBorders>
            <w:shd w:val="clear" w:color="auto" w:fill="9DB8D2"/>
          </w:tcPr>
          <w:p>
            <w:pPr>
              <w:spacing w:after="0"/>
              <w:rPr>
                <w:sz w:val="21"/>
                <w:szCs w:val="21"/>
                <w:color w:val="auto"/>
              </w:rPr>
            </w:pPr>
          </w:p>
        </w:tc>
        <w:tc>
          <w:tcPr>
            <w:tcW w:w="1200" w:type="dxa"/>
            <w:vAlign w:val="bottom"/>
            <w:tcBorders>
              <w:top w:val="single" w:sz="8" w:color="auto"/>
              <w:bottom w:val="single" w:sz="8" w:color="auto"/>
            </w:tcBorders>
            <w:gridSpan w:val="2"/>
            <w:shd w:val="clear" w:color="auto" w:fill="9DB8D2"/>
          </w:tcPr>
          <w:p>
            <w:pPr>
              <w:jc w:val="right"/>
              <w:ind w:right="193"/>
              <w:spacing w:after="0"/>
              <w:rPr>
                <w:sz w:val="20"/>
                <w:szCs w:val="20"/>
                <w:color w:val="auto"/>
              </w:rPr>
            </w:pPr>
            <w:r>
              <w:rPr>
                <w:rFonts w:ascii="Arial" w:cs="Arial" w:eastAsia="Arial" w:hAnsi="Arial"/>
                <w:sz w:val="13"/>
                <w:szCs w:val="13"/>
                <w:b w:val="1"/>
                <w:bCs w:val="1"/>
                <w:color w:val="auto"/>
                <w:w w:val="99"/>
              </w:rPr>
              <w:t>Option Awards</w:t>
            </w:r>
          </w:p>
        </w:tc>
        <w:tc>
          <w:tcPr>
            <w:tcW w:w="340" w:type="dxa"/>
            <w:vAlign w:val="bottom"/>
            <w:tcBorders>
              <w:top w:val="single" w:sz="8" w:color="auto"/>
              <w:bottom w:val="single" w:sz="8" w:color="auto"/>
            </w:tcBorders>
            <w:shd w:val="clear" w:color="auto" w:fill="9DB8D2"/>
          </w:tcPr>
          <w:p>
            <w:pPr>
              <w:spacing w:after="0"/>
              <w:rPr>
                <w:sz w:val="21"/>
                <w:szCs w:val="21"/>
                <w:color w:val="auto"/>
              </w:rPr>
            </w:pPr>
          </w:p>
        </w:tc>
        <w:tc>
          <w:tcPr>
            <w:tcW w:w="460" w:type="dxa"/>
            <w:vAlign w:val="bottom"/>
            <w:tcBorders>
              <w:top w:val="single" w:sz="8" w:color="auto"/>
              <w:bottom w:val="single" w:sz="8" w:color="auto"/>
            </w:tcBorders>
            <w:shd w:val="clear" w:color="auto" w:fill="9DB8D2"/>
          </w:tcPr>
          <w:p>
            <w:pPr>
              <w:spacing w:after="0"/>
              <w:rPr>
                <w:sz w:val="21"/>
                <w:szCs w:val="21"/>
                <w:color w:val="auto"/>
              </w:rPr>
            </w:pPr>
          </w:p>
        </w:tc>
        <w:tc>
          <w:tcPr>
            <w:tcW w:w="900" w:type="dxa"/>
            <w:vAlign w:val="bottom"/>
            <w:tcBorders>
              <w:top w:val="single" w:sz="8" w:color="auto"/>
              <w:bottom w:val="single" w:sz="8" w:color="auto"/>
            </w:tcBorders>
            <w:shd w:val="clear" w:color="auto" w:fill="9DB8D2"/>
          </w:tcPr>
          <w:p>
            <w:pPr>
              <w:spacing w:after="0"/>
              <w:rPr>
                <w:sz w:val="21"/>
                <w:szCs w:val="21"/>
                <w:color w:val="auto"/>
              </w:rPr>
            </w:pPr>
          </w:p>
        </w:tc>
        <w:tc>
          <w:tcPr>
            <w:tcW w:w="80" w:type="dxa"/>
            <w:vAlign w:val="bottom"/>
            <w:tcBorders>
              <w:top w:val="single" w:sz="8" w:color="auto"/>
              <w:bottom w:val="single" w:sz="8" w:color="9DB8D2"/>
            </w:tcBorders>
            <w:shd w:val="clear" w:color="auto" w:fill="9DB8D2"/>
          </w:tcPr>
          <w:p>
            <w:pPr>
              <w:spacing w:after="0"/>
              <w:rPr>
                <w:sz w:val="21"/>
                <w:szCs w:val="21"/>
                <w:color w:val="auto"/>
              </w:rPr>
            </w:pPr>
          </w:p>
        </w:tc>
        <w:tc>
          <w:tcPr>
            <w:tcW w:w="1020" w:type="dxa"/>
            <w:vAlign w:val="bottom"/>
            <w:tcBorders>
              <w:top w:val="single" w:sz="8" w:color="auto"/>
              <w:bottom w:val="single" w:sz="8" w:color="auto"/>
            </w:tcBorders>
            <w:shd w:val="clear" w:color="auto" w:fill="9DB8D2"/>
          </w:tcPr>
          <w:p>
            <w:pPr>
              <w:spacing w:after="0"/>
              <w:rPr>
                <w:sz w:val="21"/>
                <w:szCs w:val="21"/>
                <w:color w:val="auto"/>
              </w:rPr>
            </w:pPr>
          </w:p>
        </w:tc>
        <w:tc>
          <w:tcPr>
            <w:tcW w:w="220" w:type="dxa"/>
            <w:vAlign w:val="bottom"/>
            <w:tcBorders>
              <w:top w:val="single" w:sz="8" w:color="auto"/>
              <w:bottom w:val="single" w:sz="8" w:color="auto"/>
            </w:tcBorders>
            <w:shd w:val="clear" w:color="auto" w:fill="9DB8D2"/>
          </w:tcPr>
          <w:p>
            <w:pPr>
              <w:spacing w:after="0"/>
              <w:rPr>
                <w:sz w:val="21"/>
                <w:szCs w:val="21"/>
                <w:color w:val="auto"/>
              </w:rPr>
            </w:pPr>
          </w:p>
        </w:tc>
        <w:tc>
          <w:tcPr>
            <w:tcW w:w="1880" w:type="dxa"/>
            <w:vAlign w:val="bottom"/>
            <w:tcBorders>
              <w:top w:val="single" w:sz="8" w:color="auto"/>
              <w:bottom w:val="single" w:sz="8" w:color="auto"/>
            </w:tcBorders>
            <w:gridSpan w:val="2"/>
            <w:shd w:val="clear" w:color="auto" w:fill="9DB8D2"/>
          </w:tcPr>
          <w:p>
            <w:pPr>
              <w:jc w:val="right"/>
              <w:ind w:right="633"/>
              <w:spacing w:after="0"/>
              <w:rPr>
                <w:sz w:val="20"/>
                <w:szCs w:val="20"/>
                <w:color w:val="auto"/>
              </w:rPr>
            </w:pPr>
            <w:r>
              <w:rPr>
                <w:rFonts w:ascii="Arial" w:cs="Arial" w:eastAsia="Arial" w:hAnsi="Arial"/>
                <w:sz w:val="13"/>
                <w:szCs w:val="13"/>
                <w:b w:val="1"/>
                <w:bCs w:val="1"/>
                <w:color w:val="auto"/>
              </w:rPr>
              <w:t>Stock Awards</w:t>
            </w:r>
          </w:p>
        </w:tc>
        <w:tc>
          <w:tcPr>
            <w:tcW w:w="140" w:type="dxa"/>
            <w:vAlign w:val="bottom"/>
            <w:tcBorders>
              <w:top w:val="single" w:sz="8" w:color="auto"/>
              <w:bottom w:val="single" w:sz="8" w:color="auto"/>
            </w:tcBorders>
            <w:shd w:val="clear" w:color="auto" w:fill="9DB8D2"/>
          </w:tcPr>
          <w:p>
            <w:pPr>
              <w:spacing w:after="0"/>
              <w:rPr>
                <w:sz w:val="21"/>
                <w:szCs w:val="21"/>
                <w:color w:val="auto"/>
              </w:rPr>
            </w:pPr>
          </w:p>
        </w:tc>
        <w:tc>
          <w:tcPr>
            <w:tcW w:w="900" w:type="dxa"/>
            <w:vAlign w:val="bottom"/>
            <w:tcBorders>
              <w:top w:val="single" w:sz="8" w:color="auto"/>
              <w:bottom w:val="single" w:sz="8" w:color="auto"/>
            </w:tcBorders>
            <w:shd w:val="clear" w:color="auto" w:fill="9DB8D2"/>
          </w:tcPr>
          <w:p>
            <w:pPr>
              <w:spacing w:after="0"/>
              <w:rPr>
                <w:sz w:val="21"/>
                <w:szCs w:val="21"/>
                <w:color w:val="auto"/>
              </w:rPr>
            </w:pPr>
          </w:p>
        </w:tc>
      </w:tr>
      <w:tr>
        <w:trPr>
          <w:trHeight w:val="201"/>
        </w:trPr>
        <w:tc>
          <w:tcPr>
            <w:tcW w:w="2240" w:type="dxa"/>
            <w:vAlign w:val="bottom"/>
            <w:shd w:val="clear" w:color="auto" w:fill="9DB8D2"/>
          </w:tcPr>
          <w:p>
            <w:pPr>
              <w:spacing w:after="0"/>
              <w:rPr>
                <w:sz w:val="17"/>
                <w:szCs w:val="17"/>
                <w:color w:val="auto"/>
              </w:rPr>
            </w:pPr>
          </w:p>
        </w:tc>
        <w:tc>
          <w:tcPr>
            <w:tcW w:w="180" w:type="dxa"/>
            <w:vAlign w:val="bottom"/>
            <w:shd w:val="clear" w:color="auto" w:fill="9DB8D2"/>
          </w:tcPr>
          <w:p>
            <w:pPr>
              <w:spacing w:after="0"/>
              <w:rPr>
                <w:sz w:val="17"/>
                <w:szCs w:val="17"/>
                <w:color w:val="auto"/>
              </w:rPr>
            </w:pPr>
          </w:p>
        </w:tc>
        <w:tc>
          <w:tcPr>
            <w:tcW w:w="800" w:type="dxa"/>
            <w:vAlign w:val="bottom"/>
            <w:shd w:val="clear" w:color="auto" w:fill="9DB8D2"/>
          </w:tcPr>
          <w:p>
            <w:pPr>
              <w:spacing w:after="0"/>
              <w:rPr>
                <w:sz w:val="17"/>
                <w:szCs w:val="17"/>
                <w:color w:val="auto"/>
              </w:rPr>
            </w:pPr>
          </w:p>
        </w:tc>
        <w:tc>
          <w:tcPr>
            <w:tcW w:w="260" w:type="dxa"/>
            <w:vAlign w:val="bottom"/>
            <w:shd w:val="clear" w:color="auto" w:fill="9DB8D2"/>
          </w:tcPr>
          <w:p>
            <w:pPr>
              <w:spacing w:after="0"/>
              <w:rPr>
                <w:sz w:val="17"/>
                <w:szCs w:val="17"/>
                <w:color w:val="auto"/>
              </w:rPr>
            </w:pPr>
          </w:p>
        </w:tc>
        <w:tc>
          <w:tcPr>
            <w:tcW w:w="800" w:type="dxa"/>
            <w:vAlign w:val="bottom"/>
            <w:shd w:val="clear" w:color="auto" w:fill="9DB8D2"/>
          </w:tcPr>
          <w:p>
            <w:pPr>
              <w:spacing w:after="0"/>
              <w:rPr>
                <w:sz w:val="17"/>
                <w:szCs w:val="17"/>
                <w:color w:val="auto"/>
              </w:rPr>
            </w:pPr>
          </w:p>
        </w:tc>
        <w:tc>
          <w:tcPr>
            <w:tcW w:w="200" w:type="dxa"/>
            <w:vAlign w:val="bottom"/>
            <w:shd w:val="clear" w:color="auto" w:fill="9DB8D2"/>
          </w:tcPr>
          <w:p>
            <w:pPr>
              <w:spacing w:after="0"/>
              <w:rPr>
                <w:sz w:val="17"/>
                <w:szCs w:val="17"/>
                <w:color w:val="auto"/>
              </w:rPr>
            </w:pPr>
          </w:p>
        </w:tc>
        <w:tc>
          <w:tcPr>
            <w:tcW w:w="1000" w:type="dxa"/>
            <w:vAlign w:val="bottom"/>
            <w:shd w:val="clear" w:color="auto" w:fill="9DB8D2"/>
          </w:tcPr>
          <w:p>
            <w:pPr>
              <w:spacing w:after="0"/>
              <w:rPr>
                <w:sz w:val="17"/>
                <w:szCs w:val="17"/>
                <w:color w:val="auto"/>
              </w:rPr>
            </w:pPr>
          </w:p>
        </w:tc>
        <w:tc>
          <w:tcPr>
            <w:tcW w:w="340" w:type="dxa"/>
            <w:vAlign w:val="bottom"/>
            <w:shd w:val="clear" w:color="auto" w:fill="9DB8D2"/>
          </w:tcPr>
          <w:p>
            <w:pPr>
              <w:spacing w:after="0"/>
              <w:rPr>
                <w:sz w:val="17"/>
                <w:szCs w:val="17"/>
                <w:color w:val="auto"/>
              </w:rPr>
            </w:pPr>
          </w:p>
        </w:tc>
        <w:tc>
          <w:tcPr>
            <w:tcW w:w="460" w:type="dxa"/>
            <w:vAlign w:val="bottom"/>
            <w:shd w:val="clear" w:color="auto" w:fill="9DB8D2"/>
          </w:tcPr>
          <w:p>
            <w:pPr>
              <w:spacing w:after="0"/>
              <w:rPr>
                <w:sz w:val="17"/>
                <w:szCs w:val="17"/>
                <w:color w:val="auto"/>
              </w:rPr>
            </w:pPr>
          </w:p>
        </w:tc>
        <w:tc>
          <w:tcPr>
            <w:tcW w:w="900" w:type="dxa"/>
            <w:vAlign w:val="bottom"/>
            <w:shd w:val="clear" w:color="auto" w:fill="9DB8D2"/>
          </w:tcPr>
          <w:p>
            <w:pPr>
              <w:spacing w:after="0"/>
              <w:rPr>
                <w:sz w:val="17"/>
                <w:szCs w:val="17"/>
                <w:color w:val="auto"/>
              </w:rPr>
            </w:pPr>
          </w:p>
        </w:tc>
        <w:tc>
          <w:tcPr>
            <w:tcW w:w="80" w:type="dxa"/>
            <w:vAlign w:val="bottom"/>
            <w:shd w:val="clear" w:color="auto" w:fill="9DB8D2"/>
          </w:tcPr>
          <w:p>
            <w:pPr>
              <w:spacing w:after="0"/>
              <w:rPr>
                <w:sz w:val="17"/>
                <w:szCs w:val="17"/>
                <w:color w:val="auto"/>
              </w:rPr>
            </w:pPr>
          </w:p>
        </w:tc>
        <w:tc>
          <w:tcPr>
            <w:tcW w:w="1020" w:type="dxa"/>
            <w:vAlign w:val="bottom"/>
            <w:shd w:val="clear" w:color="auto" w:fill="9DB8D2"/>
          </w:tcPr>
          <w:p>
            <w:pPr>
              <w:spacing w:after="0"/>
              <w:rPr>
                <w:sz w:val="17"/>
                <w:szCs w:val="17"/>
                <w:color w:val="auto"/>
              </w:rPr>
            </w:pPr>
          </w:p>
        </w:tc>
        <w:tc>
          <w:tcPr>
            <w:tcW w:w="220" w:type="dxa"/>
            <w:vAlign w:val="bottom"/>
            <w:shd w:val="clear" w:color="auto" w:fill="9DB8D2"/>
          </w:tcPr>
          <w:p>
            <w:pPr>
              <w:spacing w:after="0"/>
              <w:rPr>
                <w:sz w:val="17"/>
                <w:szCs w:val="17"/>
                <w:color w:val="auto"/>
              </w:rPr>
            </w:pPr>
          </w:p>
        </w:tc>
        <w:tc>
          <w:tcPr>
            <w:tcW w:w="660" w:type="dxa"/>
            <w:vAlign w:val="bottom"/>
            <w:shd w:val="clear" w:color="auto" w:fill="9DB8D2"/>
          </w:tcPr>
          <w:p>
            <w:pPr>
              <w:spacing w:after="0"/>
              <w:rPr>
                <w:sz w:val="17"/>
                <w:szCs w:val="17"/>
                <w:color w:val="auto"/>
              </w:rPr>
            </w:pPr>
          </w:p>
        </w:tc>
        <w:tc>
          <w:tcPr>
            <w:tcW w:w="1220" w:type="dxa"/>
            <w:vAlign w:val="bottom"/>
            <w:shd w:val="clear" w:color="auto" w:fill="9DB8D2"/>
          </w:tcPr>
          <w:p>
            <w:pPr>
              <w:spacing w:after="0"/>
              <w:rPr>
                <w:sz w:val="17"/>
                <w:szCs w:val="17"/>
                <w:color w:val="auto"/>
              </w:rPr>
            </w:pPr>
          </w:p>
        </w:tc>
        <w:tc>
          <w:tcPr>
            <w:tcW w:w="140" w:type="dxa"/>
            <w:vAlign w:val="bottom"/>
            <w:shd w:val="clear" w:color="auto" w:fill="9DB8D2"/>
          </w:tcPr>
          <w:p>
            <w:pPr>
              <w:spacing w:after="0"/>
              <w:rPr>
                <w:sz w:val="17"/>
                <w:szCs w:val="17"/>
                <w:color w:val="auto"/>
              </w:rPr>
            </w:pPr>
          </w:p>
        </w:tc>
        <w:tc>
          <w:tcPr>
            <w:tcW w:w="900" w:type="dxa"/>
            <w:vAlign w:val="bottom"/>
            <w:shd w:val="clear" w:color="auto" w:fill="9DB8D2"/>
          </w:tcPr>
          <w:p>
            <w:pPr>
              <w:jc w:val="center"/>
              <w:ind w:right="153"/>
              <w:spacing w:after="0"/>
              <w:rPr>
                <w:sz w:val="20"/>
                <w:szCs w:val="20"/>
                <w:color w:val="auto"/>
              </w:rPr>
            </w:pPr>
            <w:r>
              <w:rPr>
                <w:rFonts w:ascii="Arial" w:cs="Arial" w:eastAsia="Arial" w:hAnsi="Arial"/>
                <w:sz w:val="13"/>
                <w:szCs w:val="13"/>
                <w:b w:val="1"/>
                <w:bCs w:val="1"/>
                <w:color w:val="auto"/>
              </w:rPr>
              <w:t>Equity</w:t>
            </w:r>
          </w:p>
        </w:tc>
      </w:tr>
      <w:tr>
        <w:trPr>
          <w:trHeight w:val="135"/>
        </w:trPr>
        <w:tc>
          <w:tcPr>
            <w:tcW w:w="2240" w:type="dxa"/>
            <w:vAlign w:val="bottom"/>
            <w:shd w:val="clear" w:color="auto" w:fill="9DB8D2"/>
          </w:tcPr>
          <w:p>
            <w:pPr>
              <w:spacing w:after="0"/>
              <w:rPr>
                <w:sz w:val="11"/>
                <w:szCs w:val="11"/>
                <w:color w:val="auto"/>
              </w:rPr>
            </w:pPr>
          </w:p>
        </w:tc>
        <w:tc>
          <w:tcPr>
            <w:tcW w:w="18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26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1000" w:type="dxa"/>
            <w:vAlign w:val="bottom"/>
            <w:shd w:val="clear" w:color="auto" w:fill="9DB8D2"/>
          </w:tcPr>
          <w:p>
            <w:pPr>
              <w:spacing w:after="0"/>
              <w:rPr>
                <w:sz w:val="11"/>
                <w:szCs w:val="11"/>
                <w:color w:val="auto"/>
              </w:rPr>
            </w:pPr>
          </w:p>
        </w:tc>
        <w:tc>
          <w:tcPr>
            <w:tcW w:w="340" w:type="dxa"/>
            <w:vAlign w:val="bottom"/>
            <w:shd w:val="clear" w:color="auto" w:fill="9DB8D2"/>
          </w:tcPr>
          <w:p>
            <w:pPr>
              <w:spacing w:after="0"/>
              <w:rPr>
                <w:sz w:val="11"/>
                <w:szCs w:val="11"/>
                <w:color w:val="auto"/>
              </w:rPr>
            </w:pPr>
          </w:p>
        </w:tc>
        <w:tc>
          <w:tcPr>
            <w:tcW w:w="460" w:type="dxa"/>
            <w:vAlign w:val="bottom"/>
            <w:shd w:val="clear" w:color="auto" w:fill="9DB8D2"/>
          </w:tcPr>
          <w:p>
            <w:pPr>
              <w:spacing w:after="0"/>
              <w:rPr>
                <w:sz w:val="11"/>
                <w:szCs w:val="11"/>
                <w:color w:val="auto"/>
              </w:rPr>
            </w:pPr>
          </w:p>
        </w:tc>
        <w:tc>
          <w:tcPr>
            <w:tcW w:w="900" w:type="dxa"/>
            <w:vAlign w:val="bottom"/>
            <w:shd w:val="clear" w:color="auto" w:fill="9DB8D2"/>
          </w:tcPr>
          <w:p>
            <w:pPr>
              <w:spacing w:after="0"/>
              <w:rPr>
                <w:sz w:val="11"/>
                <w:szCs w:val="11"/>
                <w:color w:val="auto"/>
              </w:rPr>
            </w:pPr>
          </w:p>
        </w:tc>
        <w:tc>
          <w:tcPr>
            <w:tcW w:w="80" w:type="dxa"/>
            <w:vAlign w:val="bottom"/>
            <w:shd w:val="clear" w:color="auto" w:fill="9DB8D2"/>
          </w:tcPr>
          <w:p>
            <w:pPr>
              <w:spacing w:after="0"/>
              <w:rPr>
                <w:sz w:val="11"/>
                <w:szCs w:val="11"/>
                <w:color w:val="auto"/>
              </w:rPr>
            </w:pPr>
          </w:p>
        </w:tc>
        <w:tc>
          <w:tcPr>
            <w:tcW w:w="1020" w:type="dxa"/>
            <w:vAlign w:val="bottom"/>
            <w:shd w:val="clear" w:color="auto" w:fill="9DB8D2"/>
          </w:tcPr>
          <w:p>
            <w:pPr>
              <w:spacing w:after="0"/>
              <w:rPr>
                <w:sz w:val="11"/>
                <w:szCs w:val="11"/>
                <w:color w:val="auto"/>
              </w:rPr>
            </w:pPr>
          </w:p>
        </w:tc>
        <w:tc>
          <w:tcPr>
            <w:tcW w:w="220" w:type="dxa"/>
            <w:vAlign w:val="bottom"/>
            <w:shd w:val="clear" w:color="auto" w:fill="9DB8D2"/>
          </w:tcPr>
          <w:p>
            <w:pPr>
              <w:spacing w:after="0"/>
              <w:rPr>
                <w:sz w:val="11"/>
                <w:szCs w:val="11"/>
                <w:color w:val="auto"/>
              </w:rPr>
            </w:pPr>
          </w:p>
        </w:tc>
        <w:tc>
          <w:tcPr>
            <w:tcW w:w="660" w:type="dxa"/>
            <w:vAlign w:val="bottom"/>
            <w:shd w:val="clear" w:color="auto" w:fill="9DB8D2"/>
          </w:tcPr>
          <w:p>
            <w:pPr>
              <w:spacing w:after="0"/>
              <w:rPr>
                <w:sz w:val="11"/>
                <w:szCs w:val="11"/>
                <w:color w:val="auto"/>
              </w:rPr>
            </w:pPr>
          </w:p>
        </w:tc>
        <w:tc>
          <w:tcPr>
            <w:tcW w:w="1220" w:type="dxa"/>
            <w:vAlign w:val="bottom"/>
            <w:shd w:val="clear" w:color="auto" w:fill="9DB8D2"/>
          </w:tcPr>
          <w:p>
            <w:pPr>
              <w:jc w:val="center"/>
              <w:ind w:right="173"/>
              <w:spacing w:after="0" w:line="135" w:lineRule="exact"/>
              <w:rPr>
                <w:sz w:val="20"/>
                <w:szCs w:val="20"/>
                <w:color w:val="auto"/>
              </w:rPr>
            </w:pPr>
            <w:r>
              <w:rPr>
                <w:rFonts w:ascii="Arial" w:cs="Arial" w:eastAsia="Arial" w:hAnsi="Arial"/>
                <w:sz w:val="13"/>
                <w:szCs w:val="13"/>
                <w:b w:val="1"/>
                <w:bCs w:val="1"/>
                <w:color w:val="auto"/>
                <w:w w:val="95"/>
              </w:rPr>
              <w:t>Equity</w:t>
            </w:r>
          </w:p>
        </w:tc>
        <w:tc>
          <w:tcPr>
            <w:tcW w:w="140" w:type="dxa"/>
            <w:vAlign w:val="bottom"/>
            <w:shd w:val="clear" w:color="auto" w:fill="9DB8D2"/>
          </w:tcPr>
          <w:p>
            <w:pPr>
              <w:spacing w:after="0"/>
              <w:rPr>
                <w:sz w:val="11"/>
                <w:szCs w:val="11"/>
                <w:color w:val="auto"/>
              </w:rPr>
            </w:pPr>
          </w:p>
        </w:tc>
        <w:tc>
          <w:tcPr>
            <w:tcW w:w="900" w:type="dxa"/>
            <w:vAlign w:val="bottom"/>
            <w:shd w:val="clear" w:color="auto" w:fill="9DB8D2"/>
          </w:tcPr>
          <w:p>
            <w:pPr>
              <w:jc w:val="center"/>
              <w:ind w:right="153"/>
              <w:spacing w:after="0" w:line="135" w:lineRule="exact"/>
              <w:rPr>
                <w:sz w:val="20"/>
                <w:szCs w:val="20"/>
                <w:color w:val="auto"/>
              </w:rPr>
            </w:pPr>
            <w:r>
              <w:rPr>
                <w:rFonts w:ascii="Arial" w:cs="Arial" w:eastAsia="Arial" w:hAnsi="Arial"/>
                <w:sz w:val="13"/>
                <w:szCs w:val="13"/>
                <w:b w:val="1"/>
                <w:bCs w:val="1"/>
                <w:color w:val="auto"/>
                <w:w w:val="99"/>
              </w:rPr>
              <w:t>Incentive</w:t>
            </w:r>
          </w:p>
        </w:tc>
      </w:tr>
      <w:tr>
        <w:trPr>
          <w:trHeight w:val="135"/>
        </w:trPr>
        <w:tc>
          <w:tcPr>
            <w:tcW w:w="2240" w:type="dxa"/>
            <w:vAlign w:val="bottom"/>
            <w:shd w:val="clear" w:color="auto" w:fill="9DB8D2"/>
          </w:tcPr>
          <w:p>
            <w:pPr>
              <w:spacing w:after="0"/>
              <w:rPr>
                <w:sz w:val="11"/>
                <w:szCs w:val="11"/>
                <w:color w:val="auto"/>
              </w:rPr>
            </w:pPr>
          </w:p>
        </w:tc>
        <w:tc>
          <w:tcPr>
            <w:tcW w:w="18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26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1000" w:type="dxa"/>
            <w:vAlign w:val="bottom"/>
            <w:shd w:val="clear" w:color="auto" w:fill="9DB8D2"/>
          </w:tcPr>
          <w:p>
            <w:pPr>
              <w:spacing w:after="0"/>
              <w:rPr>
                <w:sz w:val="11"/>
                <w:szCs w:val="11"/>
                <w:color w:val="auto"/>
              </w:rPr>
            </w:pPr>
          </w:p>
        </w:tc>
        <w:tc>
          <w:tcPr>
            <w:tcW w:w="340" w:type="dxa"/>
            <w:vAlign w:val="bottom"/>
            <w:shd w:val="clear" w:color="auto" w:fill="9DB8D2"/>
          </w:tcPr>
          <w:p>
            <w:pPr>
              <w:spacing w:after="0"/>
              <w:rPr>
                <w:sz w:val="11"/>
                <w:szCs w:val="11"/>
                <w:color w:val="auto"/>
              </w:rPr>
            </w:pPr>
          </w:p>
        </w:tc>
        <w:tc>
          <w:tcPr>
            <w:tcW w:w="460" w:type="dxa"/>
            <w:vAlign w:val="bottom"/>
            <w:shd w:val="clear" w:color="auto" w:fill="9DB8D2"/>
          </w:tcPr>
          <w:p>
            <w:pPr>
              <w:spacing w:after="0"/>
              <w:rPr>
                <w:sz w:val="11"/>
                <w:szCs w:val="11"/>
                <w:color w:val="auto"/>
              </w:rPr>
            </w:pPr>
          </w:p>
        </w:tc>
        <w:tc>
          <w:tcPr>
            <w:tcW w:w="900" w:type="dxa"/>
            <w:vAlign w:val="bottom"/>
            <w:shd w:val="clear" w:color="auto" w:fill="9DB8D2"/>
          </w:tcPr>
          <w:p>
            <w:pPr>
              <w:spacing w:after="0"/>
              <w:rPr>
                <w:sz w:val="11"/>
                <w:szCs w:val="11"/>
                <w:color w:val="auto"/>
              </w:rPr>
            </w:pPr>
          </w:p>
        </w:tc>
        <w:tc>
          <w:tcPr>
            <w:tcW w:w="80" w:type="dxa"/>
            <w:vAlign w:val="bottom"/>
            <w:shd w:val="clear" w:color="auto" w:fill="9DB8D2"/>
          </w:tcPr>
          <w:p>
            <w:pPr>
              <w:spacing w:after="0"/>
              <w:rPr>
                <w:sz w:val="11"/>
                <w:szCs w:val="11"/>
                <w:color w:val="auto"/>
              </w:rPr>
            </w:pPr>
          </w:p>
        </w:tc>
        <w:tc>
          <w:tcPr>
            <w:tcW w:w="1020" w:type="dxa"/>
            <w:vAlign w:val="bottom"/>
            <w:shd w:val="clear" w:color="auto" w:fill="9DB8D2"/>
          </w:tcPr>
          <w:p>
            <w:pPr>
              <w:spacing w:after="0"/>
              <w:rPr>
                <w:sz w:val="11"/>
                <w:szCs w:val="11"/>
                <w:color w:val="auto"/>
              </w:rPr>
            </w:pPr>
          </w:p>
        </w:tc>
        <w:tc>
          <w:tcPr>
            <w:tcW w:w="220" w:type="dxa"/>
            <w:vAlign w:val="bottom"/>
            <w:shd w:val="clear" w:color="auto" w:fill="9DB8D2"/>
          </w:tcPr>
          <w:p>
            <w:pPr>
              <w:spacing w:after="0"/>
              <w:rPr>
                <w:sz w:val="11"/>
                <w:szCs w:val="11"/>
                <w:color w:val="auto"/>
              </w:rPr>
            </w:pPr>
          </w:p>
        </w:tc>
        <w:tc>
          <w:tcPr>
            <w:tcW w:w="660" w:type="dxa"/>
            <w:vAlign w:val="bottom"/>
            <w:shd w:val="clear" w:color="auto" w:fill="9DB8D2"/>
          </w:tcPr>
          <w:p>
            <w:pPr>
              <w:spacing w:after="0"/>
              <w:rPr>
                <w:sz w:val="11"/>
                <w:szCs w:val="11"/>
                <w:color w:val="auto"/>
              </w:rPr>
            </w:pPr>
          </w:p>
        </w:tc>
        <w:tc>
          <w:tcPr>
            <w:tcW w:w="1220" w:type="dxa"/>
            <w:vAlign w:val="bottom"/>
            <w:shd w:val="clear" w:color="auto" w:fill="9DB8D2"/>
          </w:tcPr>
          <w:p>
            <w:pPr>
              <w:jc w:val="center"/>
              <w:ind w:right="173"/>
              <w:spacing w:after="0" w:line="135" w:lineRule="exact"/>
              <w:rPr>
                <w:sz w:val="20"/>
                <w:szCs w:val="20"/>
                <w:color w:val="auto"/>
              </w:rPr>
            </w:pPr>
            <w:r>
              <w:rPr>
                <w:rFonts w:ascii="Arial" w:cs="Arial" w:eastAsia="Arial" w:hAnsi="Arial"/>
                <w:sz w:val="13"/>
                <w:szCs w:val="13"/>
                <w:b w:val="1"/>
                <w:bCs w:val="1"/>
                <w:color w:val="auto"/>
                <w:w w:val="95"/>
              </w:rPr>
              <w:t>Incentive</w:t>
            </w:r>
          </w:p>
        </w:tc>
        <w:tc>
          <w:tcPr>
            <w:tcW w:w="1040" w:type="dxa"/>
            <w:vAlign w:val="bottom"/>
            <w:gridSpan w:val="2"/>
            <w:shd w:val="clear" w:color="auto" w:fill="9DB8D2"/>
          </w:tcPr>
          <w:p>
            <w:pPr>
              <w:ind w:left="80"/>
              <w:spacing w:after="0" w:line="135" w:lineRule="exact"/>
              <w:rPr>
                <w:sz w:val="20"/>
                <w:szCs w:val="20"/>
                <w:color w:val="auto"/>
              </w:rPr>
            </w:pPr>
            <w:r>
              <w:rPr>
                <w:rFonts w:ascii="Arial" w:cs="Arial" w:eastAsia="Arial" w:hAnsi="Arial"/>
                <w:sz w:val="13"/>
                <w:szCs w:val="13"/>
                <w:b w:val="1"/>
                <w:bCs w:val="1"/>
                <w:color w:val="auto"/>
              </w:rPr>
              <w:t>Plan Awards:</w:t>
            </w:r>
          </w:p>
        </w:tc>
      </w:tr>
      <w:tr>
        <w:trPr>
          <w:trHeight w:val="135"/>
        </w:trPr>
        <w:tc>
          <w:tcPr>
            <w:tcW w:w="2240" w:type="dxa"/>
            <w:vAlign w:val="bottom"/>
            <w:shd w:val="clear" w:color="auto" w:fill="9DB8D2"/>
          </w:tcPr>
          <w:p>
            <w:pPr>
              <w:spacing w:after="0"/>
              <w:rPr>
                <w:sz w:val="11"/>
                <w:szCs w:val="11"/>
                <w:color w:val="auto"/>
              </w:rPr>
            </w:pPr>
          </w:p>
        </w:tc>
        <w:tc>
          <w:tcPr>
            <w:tcW w:w="18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26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1000" w:type="dxa"/>
            <w:vAlign w:val="bottom"/>
            <w:shd w:val="clear" w:color="auto" w:fill="9DB8D2"/>
          </w:tcPr>
          <w:p>
            <w:pPr>
              <w:jc w:val="center"/>
              <w:ind w:left="133"/>
              <w:spacing w:after="0" w:line="135" w:lineRule="exact"/>
              <w:rPr>
                <w:sz w:val="20"/>
                <w:szCs w:val="20"/>
                <w:color w:val="auto"/>
              </w:rPr>
            </w:pPr>
            <w:r>
              <w:rPr>
                <w:rFonts w:ascii="Arial" w:cs="Arial" w:eastAsia="Arial" w:hAnsi="Arial"/>
                <w:sz w:val="13"/>
                <w:szCs w:val="13"/>
                <w:b w:val="1"/>
                <w:bCs w:val="1"/>
                <w:color w:val="auto"/>
              </w:rPr>
              <w:t>Equity</w:t>
            </w:r>
          </w:p>
        </w:tc>
        <w:tc>
          <w:tcPr>
            <w:tcW w:w="340" w:type="dxa"/>
            <w:vAlign w:val="bottom"/>
            <w:shd w:val="clear" w:color="auto" w:fill="9DB8D2"/>
          </w:tcPr>
          <w:p>
            <w:pPr>
              <w:spacing w:after="0"/>
              <w:rPr>
                <w:sz w:val="11"/>
                <w:szCs w:val="11"/>
                <w:color w:val="auto"/>
              </w:rPr>
            </w:pPr>
          </w:p>
        </w:tc>
        <w:tc>
          <w:tcPr>
            <w:tcW w:w="460" w:type="dxa"/>
            <w:vAlign w:val="bottom"/>
            <w:shd w:val="clear" w:color="auto" w:fill="9DB8D2"/>
          </w:tcPr>
          <w:p>
            <w:pPr>
              <w:spacing w:after="0"/>
              <w:rPr>
                <w:sz w:val="11"/>
                <w:szCs w:val="11"/>
                <w:color w:val="auto"/>
              </w:rPr>
            </w:pPr>
          </w:p>
        </w:tc>
        <w:tc>
          <w:tcPr>
            <w:tcW w:w="900" w:type="dxa"/>
            <w:vAlign w:val="bottom"/>
            <w:shd w:val="clear" w:color="auto" w:fill="9DB8D2"/>
          </w:tcPr>
          <w:p>
            <w:pPr>
              <w:spacing w:after="0"/>
              <w:rPr>
                <w:sz w:val="11"/>
                <w:szCs w:val="11"/>
                <w:color w:val="auto"/>
              </w:rPr>
            </w:pPr>
          </w:p>
        </w:tc>
        <w:tc>
          <w:tcPr>
            <w:tcW w:w="80" w:type="dxa"/>
            <w:vAlign w:val="bottom"/>
            <w:shd w:val="clear" w:color="auto" w:fill="9DB8D2"/>
          </w:tcPr>
          <w:p>
            <w:pPr>
              <w:spacing w:after="0"/>
              <w:rPr>
                <w:sz w:val="11"/>
                <w:szCs w:val="11"/>
                <w:color w:val="auto"/>
              </w:rPr>
            </w:pPr>
          </w:p>
        </w:tc>
        <w:tc>
          <w:tcPr>
            <w:tcW w:w="1020" w:type="dxa"/>
            <w:vAlign w:val="bottom"/>
            <w:shd w:val="clear" w:color="auto" w:fill="9DB8D2"/>
          </w:tcPr>
          <w:p>
            <w:pPr>
              <w:spacing w:after="0"/>
              <w:rPr>
                <w:sz w:val="11"/>
                <w:szCs w:val="11"/>
                <w:color w:val="auto"/>
              </w:rPr>
            </w:pPr>
          </w:p>
        </w:tc>
        <w:tc>
          <w:tcPr>
            <w:tcW w:w="220" w:type="dxa"/>
            <w:vAlign w:val="bottom"/>
            <w:shd w:val="clear" w:color="auto" w:fill="9DB8D2"/>
          </w:tcPr>
          <w:p>
            <w:pPr>
              <w:spacing w:after="0"/>
              <w:rPr>
                <w:sz w:val="11"/>
                <w:szCs w:val="11"/>
                <w:color w:val="auto"/>
              </w:rPr>
            </w:pPr>
          </w:p>
        </w:tc>
        <w:tc>
          <w:tcPr>
            <w:tcW w:w="660" w:type="dxa"/>
            <w:vAlign w:val="bottom"/>
            <w:shd w:val="clear" w:color="auto" w:fill="9DB8D2"/>
          </w:tcPr>
          <w:p>
            <w:pPr>
              <w:spacing w:after="0"/>
              <w:rPr>
                <w:sz w:val="11"/>
                <w:szCs w:val="11"/>
                <w:color w:val="auto"/>
              </w:rPr>
            </w:pPr>
          </w:p>
        </w:tc>
        <w:tc>
          <w:tcPr>
            <w:tcW w:w="1220" w:type="dxa"/>
            <w:vAlign w:val="bottom"/>
            <w:shd w:val="clear" w:color="auto" w:fill="9DB8D2"/>
          </w:tcPr>
          <w:p>
            <w:pPr>
              <w:jc w:val="center"/>
              <w:ind w:right="193"/>
              <w:spacing w:after="0" w:line="135" w:lineRule="exact"/>
              <w:rPr>
                <w:sz w:val="20"/>
                <w:szCs w:val="20"/>
                <w:color w:val="auto"/>
              </w:rPr>
            </w:pPr>
            <w:r>
              <w:rPr>
                <w:rFonts w:ascii="Arial" w:cs="Arial" w:eastAsia="Arial" w:hAnsi="Arial"/>
                <w:sz w:val="13"/>
                <w:szCs w:val="13"/>
                <w:b w:val="1"/>
                <w:bCs w:val="1"/>
                <w:color w:val="auto"/>
                <w:w w:val="97"/>
              </w:rPr>
              <w:t>Plan Awards:</w:t>
            </w:r>
          </w:p>
        </w:tc>
        <w:tc>
          <w:tcPr>
            <w:tcW w:w="140" w:type="dxa"/>
            <w:vAlign w:val="bottom"/>
            <w:shd w:val="clear" w:color="auto" w:fill="9DB8D2"/>
          </w:tcPr>
          <w:p>
            <w:pPr>
              <w:spacing w:after="0"/>
              <w:rPr>
                <w:sz w:val="11"/>
                <w:szCs w:val="11"/>
                <w:color w:val="auto"/>
              </w:rPr>
            </w:pPr>
          </w:p>
        </w:tc>
        <w:tc>
          <w:tcPr>
            <w:tcW w:w="900" w:type="dxa"/>
            <w:vAlign w:val="bottom"/>
            <w:shd w:val="clear" w:color="auto" w:fill="9DB8D2"/>
          </w:tcPr>
          <w:p>
            <w:pPr>
              <w:jc w:val="center"/>
              <w:ind w:right="153"/>
              <w:spacing w:after="0" w:line="135" w:lineRule="exact"/>
              <w:rPr>
                <w:sz w:val="20"/>
                <w:szCs w:val="20"/>
                <w:color w:val="auto"/>
              </w:rPr>
            </w:pPr>
            <w:r>
              <w:rPr>
                <w:rFonts w:ascii="Arial" w:cs="Arial" w:eastAsia="Arial" w:hAnsi="Arial"/>
                <w:sz w:val="13"/>
                <w:szCs w:val="13"/>
                <w:b w:val="1"/>
                <w:bCs w:val="1"/>
                <w:color w:val="auto"/>
                <w:w w:val="95"/>
              </w:rPr>
              <w:t>Market or</w:t>
            </w:r>
          </w:p>
        </w:tc>
      </w:tr>
      <w:tr>
        <w:trPr>
          <w:trHeight w:val="135"/>
        </w:trPr>
        <w:tc>
          <w:tcPr>
            <w:tcW w:w="2240" w:type="dxa"/>
            <w:vAlign w:val="bottom"/>
            <w:shd w:val="clear" w:color="auto" w:fill="9DB8D2"/>
          </w:tcPr>
          <w:p>
            <w:pPr>
              <w:spacing w:after="0"/>
              <w:rPr>
                <w:sz w:val="11"/>
                <w:szCs w:val="11"/>
                <w:color w:val="auto"/>
              </w:rPr>
            </w:pPr>
          </w:p>
        </w:tc>
        <w:tc>
          <w:tcPr>
            <w:tcW w:w="18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26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1000" w:type="dxa"/>
            <w:vAlign w:val="bottom"/>
            <w:shd w:val="clear" w:color="auto" w:fill="9DB8D2"/>
          </w:tcPr>
          <w:p>
            <w:pPr>
              <w:jc w:val="center"/>
              <w:ind w:left="133"/>
              <w:spacing w:after="0" w:line="135" w:lineRule="exact"/>
              <w:rPr>
                <w:sz w:val="20"/>
                <w:szCs w:val="20"/>
                <w:color w:val="auto"/>
              </w:rPr>
            </w:pPr>
            <w:r>
              <w:rPr>
                <w:rFonts w:ascii="Arial" w:cs="Arial" w:eastAsia="Arial" w:hAnsi="Arial"/>
                <w:sz w:val="13"/>
                <w:szCs w:val="13"/>
                <w:b w:val="1"/>
                <w:bCs w:val="1"/>
                <w:color w:val="auto"/>
                <w:w w:val="99"/>
              </w:rPr>
              <w:t>Incentive</w:t>
            </w:r>
          </w:p>
        </w:tc>
        <w:tc>
          <w:tcPr>
            <w:tcW w:w="340" w:type="dxa"/>
            <w:vAlign w:val="bottom"/>
            <w:shd w:val="clear" w:color="auto" w:fill="9DB8D2"/>
          </w:tcPr>
          <w:p>
            <w:pPr>
              <w:spacing w:after="0"/>
              <w:rPr>
                <w:sz w:val="11"/>
                <w:szCs w:val="11"/>
                <w:color w:val="auto"/>
              </w:rPr>
            </w:pPr>
          </w:p>
        </w:tc>
        <w:tc>
          <w:tcPr>
            <w:tcW w:w="460" w:type="dxa"/>
            <w:vAlign w:val="bottom"/>
            <w:shd w:val="clear" w:color="auto" w:fill="9DB8D2"/>
          </w:tcPr>
          <w:p>
            <w:pPr>
              <w:spacing w:after="0"/>
              <w:rPr>
                <w:sz w:val="11"/>
                <w:szCs w:val="11"/>
                <w:color w:val="auto"/>
              </w:rPr>
            </w:pPr>
          </w:p>
        </w:tc>
        <w:tc>
          <w:tcPr>
            <w:tcW w:w="900" w:type="dxa"/>
            <w:vAlign w:val="bottom"/>
            <w:shd w:val="clear" w:color="auto" w:fill="9DB8D2"/>
          </w:tcPr>
          <w:p>
            <w:pPr>
              <w:spacing w:after="0"/>
              <w:rPr>
                <w:sz w:val="11"/>
                <w:szCs w:val="11"/>
                <w:color w:val="auto"/>
              </w:rPr>
            </w:pPr>
          </w:p>
        </w:tc>
        <w:tc>
          <w:tcPr>
            <w:tcW w:w="80" w:type="dxa"/>
            <w:vAlign w:val="bottom"/>
            <w:shd w:val="clear" w:color="auto" w:fill="9DB8D2"/>
          </w:tcPr>
          <w:p>
            <w:pPr>
              <w:spacing w:after="0"/>
              <w:rPr>
                <w:sz w:val="11"/>
                <w:szCs w:val="11"/>
                <w:color w:val="auto"/>
              </w:rPr>
            </w:pPr>
          </w:p>
        </w:tc>
        <w:tc>
          <w:tcPr>
            <w:tcW w:w="1020" w:type="dxa"/>
            <w:vAlign w:val="bottom"/>
            <w:shd w:val="clear" w:color="auto" w:fill="9DB8D2"/>
          </w:tcPr>
          <w:p>
            <w:pPr>
              <w:spacing w:after="0"/>
              <w:rPr>
                <w:sz w:val="11"/>
                <w:szCs w:val="11"/>
                <w:color w:val="auto"/>
              </w:rPr>
            </w:pPr>
          </w:p>
        </w:tc>
        <w:tc>
          <w:tcPr>
            <w:tcW w:w="220" w:type="dxa"/>
            <w:vAlign w:val="bottom"/>
            <w:shd w:val="clear" w:color="auto" w:fill="9DB8D2"/>
          </w:tcPr>
          <w:p>
            <w:pPr>
              <w:spacing w:after="0"/>
              <w:rPr>
                <w:sz w:val="11"/>
                <w:szCs w:val="11"/>
                <w:color w:val="auto"/>
              </w:rPr>
            </w:pPr>
          </w:p>
        </w:tc>
        <w:tc>
          <w:tcPr>
            <w:tcW w:w="660" w:type="dxa"/>
            <w:vAlign w:val="bottom"/>
            <w:shd w:val="clear" w:color="auto" w:fill="9DB8D2"/>
          </w:tcPr>
          <w:p>
            <w:pPr>
              <w:jc w:val="center"/>
              <w:ind w:right="93"/>
              <w:spacing w:after="0" w:line="135" w:lineRule="exact"/>
              <w:rPr>
                <w:sz w:val="20"/>
                <w:szCs w:val="20"/>
                <w:color w:val="auto"/>
              </w:rPr>
            </w:pPr>
            <w:r>
              <w:rPr>
                <w:rFonts w:ascii="Arial" w:cs="Arial" w:eastAsia="Arial" w:hAnsi="Arial"/>
                <w:sz w:val="13"/>
                <w:szCs w:val="13"/>
                <w:b w:val="1"/>
                <w:bCs w:val="1"/>
                <w:color w:val="auto"/>
              </w:rPr>
              <w:t>Market</w:t>
            </w:r>
          </w:p>
        </w:tc>
        <w:tc>
          <w:tcPr>
            <w:tcW w:w="1220" w:type="dxa"/>
            <w:vAlign w:val="bottom"/>
            <w:shd w:val="clear" w:color="auto" w:fill="9DB8D2"/>
          </w:tcPr>
          <w:p>
            <w:pPr>
              <w:jc w:val="center"/>
              <w:ind w:right="193"/>
              <w:spacing w:after="0" w:line="135" w:lineRule="exact"/>
              <w:rPr>
                <w:sz w:val="20"/>
                <w:szCs w:val="20"/>
                <w:color w:val="auto"/>
              </w:rPr>
            </w:pPr>
            <w:r>
              <w:rPr>
                <w:rFonts w:ascii="Arial" w:cs="Arial" w:eastAsia="Arial" w:hAnsi="Arial"/>
                <w:sz w:val="13"/>
                <w:szCs w:val="13"/>
                <w:b w:val="1"/>
                <w:bCs w:val="1"/>
                <w:color w:val="auto"/>
                <w:w w:val="98"/>
              </w:rPr>
              <w:t>Number of</w:t>
            </w:r>
          </w:p>
        </w:tc>
        <w:tc>
          <w:tcPr>
            <w:tcW w:w="1040" w:type="dxa"/>
            <w:vAlign w:val="bottom"/>
            <w:gridSpan w:val="2"/>
            <w:shd w:val="clear" w:color="auto" w:fill="9DB8D2"/>
          </w:tcPr>
          <w:p>
            <w:pPr>
              <w:ind w:left="80"/>
              <w:spacing w:after="0" w:line="135" w:lineRule="exact"/>
              <w:rPr>
                <w:sz w:val="20"/>
                <w:szCs w:val="20"/>
                <w:color w:val="auto"/>
              </w:rPr>
            </w:pPr>
            <w:r>
              <w:rPr>
                <w:rFonts w:ascii="Arial" w:cs="Arial" w:eastAsia="Arial" w:hAnsi="Arial"/>
                <w:sz w:val="13"/>
                <w:szCs w:val="13"/>
                <w:b w:val="1"/>
                <w:bCs w:val="1"/>
                <w:color w:val="auto"/>
              </w:rPr>
              <w:t>Payout Value</w:t>
            </w:r>
          </w:p>
        </w:tc>
      </w:tr>
      <w:tr>
        <w:trPr>
          <w:trHeight w:val="135"/>
        </w:trPr>
        <w:tc>
          <w:tcPr>
            <w:tcW w:w="2240" w:type="dxa"/>
            <w:vAlign w:val="bottom"/>
            <w:shd w:val="clear" w:color="auto" w:fill="9DB8D2"/>
          </w:tcPr>
          <w:p>
            <w:pPr>
              <w:spacing w:after="0"/>
              <w:rPr>
                <w:sz w:val="11"/>
                <w:szCs w:val="11"/>
                <w:color w:val="auto"/>
              </w:rPr>
            </w:pPr>
          </w:p>
        </w:tc>
        <w:tc>
          <w:tcPr>
            <w:tcW w:w="180" w:type="dxa"/>
            <w:vAlign w:val="bottom"/>
            <w:shd w:val="clear" w:color="auto" w:fill="9DB8D2"/>
          </w:tcPr>
          <w:p>
            <w:pPr>
              <w:spacing w:after="0"/>
              <w:rPr>
                <w:sz w:val="11"/>
                <w:szCs w:val="11"/>
                <w:color w:val="auto"/>
              </w:rPr>
            </w:pPr>
          </w:p>
        </w:tc>
        <w:tc>
          <w:tcPr>
            <w:tcW w:w="80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8"/>
              </w:rPr>
              <w:t>Number of</w:t>
            </w:r>
          </w:p>
        </w:tc>
        <w:tc>
          <w:tcPr>
            <w:tcW w:w="260" w:type="dxa"/>
            <w:vAlign w:val="bottom"/>
            <w:shd w:val="clear" w:color="auto" w:fill="9DB8D2"/>
          </w:tcPr>
          <w:p>
            <w:pPr>
              <w:spacing w:after="0"/>
              <w:rPr>
                <w:sz w:val="11"/>
                <w:szCs w:val="11"/>
                <w:color w:val="auto"/>
              </w:rPr>
            </w:pPr>
          </w:p>
        </w:tc>
        <w:tc>
          <w:tcPr>
            <w:tcW w:w="1000" w:type="dxa"/>
            <w:vAlign w:val="bottom"/>
            <w:gridSpan w:val="2"/>
            <w:shd w:val="clear" w:color="auto" w:fill="9DB8D2"/>
          </w:tcPr>
          <w:p>
            <w:pPr>
              <w:jc w:val="center"/>
              <w:ind w:right="217"/>
              <w:spacing w:after="0" w:line="135" w:lineRule="exact"/>
              <w:rPr>
                <w:sz w:val="20"/>
                <w:szCs w:val="20"/>
                <w:color w:val="auto"/>
              </w:rPr>
            </w:pPr>
            <w:r>
              <w:rPr>
                <w:rFonts w:ascii="Arial" w:cs="Arial" w:eastAsia="Arial" w:hAnsi="Arial"/>
                <w:sz w:val="13"/>
                <w:szCs w:val="13"/>
                <w:b w:val="1"/>
                <w:bCs w:val="1"/>
                <w:color w:val="auto"/>
                <w:w w:val="98"/>
              </w:rPr>
              <w:t>Number of</w:t>
            </w:r>
          </w:p>
        </w:tc>
        <w:tc>
          <w:tcPr>
            <w:tcW w:w="1000" w:type="dxa"/>
            <w:vAlign w:val="bottom"/>
            <w:shd w:val="clear" w:color="auto" w:fill="9DB8D2"/>
          </w:tcPr>
          <w:p>
            <w:pPr>
              <w:jc w:val="right"/>
              <w:spacing w:after="0" w:line="135" w:lineRule="exact"/>
              <w:rPr>
                <w:sz w:val="20"/>
                <w:szCs w:val="20"/>
                <w:color w:val="auto"/>
              </w:rPr>
            </w:pPr>
            <w:r>
              <w:rPr>
                <w:rFonts w:ascii="Arial" w:cs="Arial" w:eastAsia="Arial" w:hAnsi="Arial"/>
                <w:sz w:val="13"/>
                <w:szCs w:val="13"/>
                <w:b w:val="1"/>
                <w:bCs w:val="1"/>
                <w:color w:val="auto"/>
              </w:rPr>
              <w:t>Plan Awards:</w:t>
            </w:r>
          </w:p>
        </w:tc>
        <w:tc>
          <w:tcPr>
            <w:tcW w:w="340" w:type="dxa"/>
            <w:vAlign w:val="bottom"/>
            <w:shd w:val="clear" w:color="auto" w:fill="9DB8D2"/>
          </w:tcPr>
          <w:p>
            <w:pPr>
              <w:spacing w:after="0"/>
              <w:rPr>
                <w:sz w:val="11"/>
                <w:szCs w:val="11"/>
                <w:color w:val="auto"/>
              </w:rPr>
            </w:pPr>
          </w:p>
        </w:tc>
        <w:tc>
          <w:tcPr>
            <w:tcW w:w="460" w:type="dxa"/>
            <w:vAlign w:val="bottom"/>
            <w:shd w:val="clear" w:color="auto" w:fill="9DB8D2"/>
          </w:tcPr>
          <w:p>
            <w:pPr>
              <w:spacing w:after="0"/>
              <w:rPr>
                <w:sz w:val="11"/>
                <w:szCs w:val="11"/>
                <w:color w:val="auto"/>
              </w:rPr>
            </w:pPr>
          </w:p>
        </w:tc>
        <w:tc>
          <w:tcPr>
            <w:tcW w:w="900" w:type="dxa"/>
            <w:vAlign w:val="bottom"/>
            <w:shd w:val="clear" w:color="auto" w:fill="9DB8D2"/>
          </w:tcPr>
          <w:p>
            <w:pPr>
              <w:spacing w:after="0"/>
              <w:rPr>
                <w:sz w:val="11"/>
                <w:szCs w:val="11"/>
                <w:color w:val="auto"/>
              </w:rPr>
            </w:pPr>
          </w:p>
        </w:tc>
        <w:tc>
          <w:tcPr>
            <w:tcW w:w="80" w:type="dxa"/>
            <w:vAlign w:val="bottom"/>
            <w:shd w:val="clear" w:color="auto" w:fill="9DB8D2"/>
          </w:tcPr>
          <w:p>
            <w:pPr>
              <w:spacing w:after="0"/>
              <w:rPr>
                <w:sz w:val="11"/>
                <w:szCs w:val="11"/>
                <w:color w:val="auto"/>
              </w:rPr>
            </w:pPr>
          </w:p>
        </w:tc>
        <w:tc>
          <w:tcPr>
            <w:tcW w:w="1020" w:type="dxa"/>
            <w:vAlign w:val="bottom"/>
            <w:shd w:val="clear" w:color="auto" w:fill="9DB8D2"/>
          </w:tcPr>
          <w:p>
            <w:pPr>
              <w:jc w:val="center"/>
              <w:ind w:right="293"/>
              <w:spacing w:after="0" w:line="135" w:lineRule="exact"/>
              <w:rPr>
                <w:sz w:val="20"/>
                <w:szCs w:val="20"/>
                <w:color w:val="auto"/>
              </w:rPr>
            </w:pPr>
            <w:r>
              <w:rPr>
                <w:rFonts w:ascii="Arial" w:cs="Arial" w:eastAsia="Arial" w:hAnsi="Arial"/>
                <w:sz w:val="13"/>
                <w:szCs w:val="13"/>
                <w:b w:val="1"/>
                <w:bCs w:val="1"/>
                <w:color w:val="auto"/>
                <w:w w:val="93"/>
              </w:rPr>
              <w:t>Number</w:t>
            </w:r>
          </w:p>
        </w:tc>
        <w:tc>
          <w:tcPr>
            <w:tcW w:w="220" w:type="dxa"/>
            <w:vAlign w:val="bottom"/>
            <w:shd w:val="clear" w:color="auto" w:fill="9DB8D2"/>
          </w:tcPr>
          <w:p>
            <w:pPr>
              <w:spacing w:after="0"/>
              <w:rPr>
                <w:sz w:val="11"/>
                <w:szCs w:val="11"/>
                <w:color w:val="auto"/>
              </w:rPr>
            </w:pPr>
          </w:p>
        </w:tc>
        <w:tc>
          <w:tcPr>
            <w:tcW w:w="660" w:type="dxa"/>
            <w:vAlign w:val="bottom"/>
            <w:shd w:val="clear" w:color="auto" w:fill="9DB8D2"/>
          </w:tcPr>
          <w:p>
            <w:pPr>
              <w:jc w:val="center"/>
              <w:ind w:right="93"/>
              <w:spacing w:after="0" w:line="135" w:lineRule="exact"/>
              <w:rPr>
                <w:sz w:val="20"/>
                <w:szCs w:val="20"/>
                <w:color w:val="auto"/>
              </w:rPr>
            </w:pPr>
            <w:r>
              <w:rPr>
                <w:rFonts w:ascii="Arial" w:cs="Arial" w:eastAsia="Arial" w:hAnsi="Arial"/>
                <w:sz w:val="13"/>
                <w:szCs w:val="13"/>
                <w:b w:val="1"/>
                <w:bCs w:val="1"/>
                <w:color w:val="auto"/>
                <w:w w:val="97"/>
              </w:rPr>
              <w:t>Value</w:t>
            </w:r>
          </w:p>
        </w:tc>
        <w:tc>
          <w:tcPr>
            <w:tcW w:w="1220" w:type="dxa"/>
            <w:vAlign w:val="bottom"/>
            <w:shd w:val="clear" w:color="auto" w:fill="9DB8D2"/>
          </w:tcPr>
          <w:p>
            <w:pPr>
              <w:jc w:val="center"/>
              <w:ind w:right="173"/>
              <w:spacing w:after="0" w:line="135" w:lineRule="exact"/>
              <w:rPr>
                <w:sz w:val="20"/>
                <w:szCs w:val="20"/>
                <w:color w:val="auto"/>
              </w:rPr>
            </w:pPr>
            <w:r>
              <w:rPr>
                <w:rFonts w:ascii="Arial" w:cs="Arial" w:eastAsia="Arial" w:hAnsi="Arial"/>
                <w:sz w:val="13"/>
                <w:szCs w:val="13"/>
                <w:b w:val="1"/>
                <w:bCs w:val="1"/>
                <w:color w:val="auto"/>
                <w:w w:val="96"/>
              </w:rPr>
              <w:t>Unearned</w:t>
            </w:r>
          </w:p>
        </w:tc>
        <w:tc>
          <w:tcPr>
            <w:tcW w:w="1040" w:type="dxa"/>
            <w:vAlign w:val="bottom"/>
            <w:gridSpan w:val="2"/>
            <w:shd w:val="clear" w:color="auto" w:fill="9DB8D2"/>
          </w:tcPr>
          <w:p>
            <w:pPr>
              <w:jc w:val="center"/>
              <w:ind w:right="53"/>
              <w:spacing w:after="0" w:line="135" w:lineRule="exact"/>
              <w:rPr>
                <w:sz w:val="20"/>
                <w:szCs w:val="20"/>
                <w:color w:val="auto"/>
              </w:rPr>
            </w:pPr>
            <w:r>
              <w:rPr>
                <w:rFonts w:ascii="Arial" w:cs="Arial" w:eastAsia="Arial" w:hAnsi="Arial"/>
                <w:sz w:val="13"/>
                <w:szCs w:val="13"/>
                <w:b w:val="1"/>
                <w:bCs w:val="1"/>
                <w:color w:val="auto"/>
                <w:w w:val="94"/>
              </w:rPr>
              <w:t>of Unearned</w:t>
            </w:r>
          </w:p>
        </w:tc>
      </w:tr>
      <w:tr>
        <w:trPr>
          <w:trHeight w:val="135"/>
        </w:trPr>
        <w:tc>
          <w:tcPr>
            <w:tcW w:w="2240" w:type="dxa"/>
            <w:vAlign w:val="bottom"/>
            <w:shd w:val="clear" w:color="auto" w:fill="9DB8D2"/>
          </w:tcPr>
          <w:p>
            <w:pPr>
              <w:spacing w:after="0"/>
              <w:rPr>
                <w:sz w:val="11"/>
                <w:szCs w:val="11"/>
                <w:color w:val="auto"/>
              </w:rPr>
            </w:pPr>
          </w:p>
        </w:tc>
        <w:tc>
          <w:tcPr>
            <w:tcW w:w="180" w:type="dxa"/>
            <w:vAlign w:val="bottom"/>
            <w:shd w:val="clear" w:color="auto" w:fill="9DB8D2"/>
          </w:tcPr>
          <w:p>
            <w:pPr>
              <w:spacing w:after="0"/>
              <w:rPr>
                <w:sz w:val="11"/>
                <w:szCs w:val="11"/>
                <w:color w:val="auto"/>
              </w:rPr>
            </w:pPr>
          </w:p>
        </w:tc>
        <w:tc>
          <w:tcPr>
            <w:tcW w:w="80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260" w:type="dxa"/>
            <w:vAlign w:val="bottom"/>
            <w:shd w:val="clear" w:color="auto" w:fill="9DB8D2"/>
          </w:tcPr>
          <w:p>
            <w:pPr>
              <w:spacing w:after="0"/>
              <w:rPr>
                <w:sz w:val="11"/>
                <w:szCs w:val="11"/>
                <w:color w:val="auto"/>
              </w:rPr>
            </w:pPr>
          </w:p>
        </w:tc>
        <w:tc>
          <w:tcPr>
            <w:tcW w:w="1000" w:type="dxa"/>
            <w:vAlign w:val="bottom"/>
            <w:gridSpan w:val="2"/>
            <w:shd w:val="clear" w:color="auto" w:fill="9DB8D2"/>
          </w:tcPr>
          <w:p>
            <w:pPr>
              <w:jc w:val="center"/>
              <w:ind w:right="217"/>
              <w:spacing w:after="0" w:line="135" w:lineRule="exact"/>
              <w:rPr>
                <w:sz w:val="20"/>
                <w:szCs w:val="20"/>
                <w:color w:val="auto"/>
              </w:rPr>
            </w:pPr>
            <w:r>
              <w:rPr>
                <w:rFonts w:ascii="Arial" w:cs="Arial" w:eastAsia="Arial" w:hAnsi="Arial"/>
                <w:sz w:val="13"/>
                <w:szCs w:val="13"/>
                <w:b w:val="1"/>
                <w:bCs w:val="1"/>
                <w:color w:val="auto"/>
                <w:w w:val="96"/>
              </w:rPr>
              <w:t>Securities</w:t>
            </w:r>
          </w:p>
        </w:tc>
        <w:tc>
          <w:tcPr>
            <w:tcW w:w="1000" w:type="dxa"/>
            <w:vAlign w:val="bottom"/>
            <w:shd w:val="clear" w:color="auto" w:fill="9DB8D2"/>
          </w:tcPr>
          <w:p>
            <w:pPr>
              <w:jc w:val="center"/>
              <w:ind w:left="133"/>
              <w:spacing w:after="0" w:line="135" w:lineRule="exact"/>
              <w:rPr>
                <w:sz w:val="20"/>
                <w:szCs w:val="20"/>
                <w:color w:val="auto"/>
              </w:rPr>
            </w:pPr>
            <w:r>
              <w:rPr>
                <w:rFonts w:ascii="Arial" w:cs="Arial" w:eastAsia="Arial" w:hAnsi="Arial"/>
                <w:sz w:val="13"/>
                <w:szCs w:val="13"/>
                <w:b w:val="1"/>
                <w:bCs w:val="1"/>
                <w:color w:val="auto"/>
                <w:w w:val="98"/>
              </w:rPr>
              <w:t>Number of</w:t>
            </w:r>
          </w:p>
        </w:tc>
        <w:tc>
          <w:tcPr>
            <w:tcW w:w="340" w:type="dxa"/>
            <w:vAlign w:val="bottom"/>
            <w:shd w:val="clear" w:color="auto" w:fill="9DB8D2"/>
          </w:tcPr>
          <w:p>
            <w:pPr>
              <w:spacing w:after="0"/>
              <w:rPr>
                <w:sz w:val="11"/>
                <w:szCs w:val="11"/>
                <w:color w:val="auto"/>
              </w:rPr>
            </w:pPr>
          </w:p>
        </w:tc>
        <w:tc>
          <w:tcPr>
            <w:tcW w:w="460" w:type="dxa"/>
            <w:vAlign w:val="bottom"/>
            <w:shd w:val="clear" w:color="auto" w:fill="9DB8D2"/>
          </w:tcPr>
          <w:p>
            <w:pPr>
              <w:spacing w:after="0"/>
              <w:rPr>
                <w:sz w:val="11"/>
                <w:szCs w:val="11"/>
                <w:color w:val="auto"/>
              </w:rPr>
            </w:pPr>
          </w:p>
        </w:tc>
        <w:tc>
          <w:tcPr>
            <w:tcW w:w="900" w:type="dxa"/>
            <w:vAlign w:val="bottom"/>
            <w:shd w:val="clear" w:color="auto" w:fill="9DB8D2"/>
          </w:tcPr>
          <w:p>
            <w:pPr>
              <w:spacing w:after="0"/>
              <w:rPr>
                <w:sz w:val="11"/>
                <w:szCs w:val="11"/>
                <w:color w:val="auto"/>
              </w:rPr>
            </w:pPr>
          </w:p>
        </w:tc>
        <w:tc>
          <w:tcPr>
            <w:tcW w:w="80" w:type="dxa"/>
            <w:vAlign w:val="bottom"/>
            <w:shd w:val="clear" w:color="auto" w:fill="9DB8D2"/>
          </w:tcPr>
          <w:p>
            <w:pPr>
              <w:spacing w:after="0"/>
              <w:rPr>
                <w:sz w:val="11"/>
                <w:szCs w:val="11"/>
                <w:color w:val="auto"/>
              </w:rPr>
            </w:pPr>
          </w:p>
        </w:tc>
        <w:tc>
          <w:tcPr>
            <w:tcW w:w="1020" w:type="dxa"/>
            <w:vAlign w:val="bottom"/>
            <w:shd w:val="clear" w:color="auto" w:fill="9DB8D2"/>
          </w:tcPr>
          <w:p>
            <w:pPr>
              <w:jc w:val="center"/>
              <w:ind w:right="293"/>
              <w:spacing w:after="0" w:line="135" w:lineRule="exact"/>
              <w:rPr>
                <w:sz w:val="20"/>
                <w:szCs w:val="20"/>
                <w:color w:val="auto"/>
              </w:rPr>
            </w:pPr>
            <w:r>
              <w:rPr>
                <w:rFonts w:ascii="Arial" w:cs="Arial" w:eastAsia="Arial" w:hAnsi="Arial"/>
                <w:sz w:val="13"/>
                <w:szCs w:val="13"/>
                <w:b w:val="1"/>
                <w:bCs w:val="1"/>
                <w:color w:val="auto"/>
                <w:w w:val="97"/>
              </w:rPr>
              <w:t>of Shares</w:t>
            </w:r>
          </w:p>
        </w:tc>
        <w:tc>
          <w:tcPr>
            <w:tcW w:w="880" w:type="dxa"/>
            <w:vAlign w:val="bottom"/>
            <w:gridSpan w:val="2"/>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of Shares</w:t>
            </w:r>
          </w:p>
        </w:tc>
        <w:tc>
          <w:tcPr>
            <w:tcW w:w="1220" w:type="dxa"/>
            <w:vAlign w:val="bottom"/>
            <w:shd w:val="clear" w:color="auto" w:fill="9DB8D2"/>
          </w:tcPr>
          <w:p>
            <w:pPr>
              <w:jc w:val="center"/>
              <w:ind w:right="193"/>
              <w:spacing w:after="0" w:line="135" w:lineRule="exact"/>
              <w:rPr>
                <w:sz w:val="20"/>
                <w:szCs w:val="20"/>
                <w:color w:val="auto"/>
              </w:rPr>
            </w:pPr>
            <w:r>
              <w:rPr>
                <w:rFonts w:ascii="Arial" w:cs="Arial" w:eastAsia="Arial" w:hAnsi="Arial"/>
                <w:sz w:val="13"/>
                <w:szCs w:val="13"/>
                <w:b w:val="1"/>
                <w:bCs w:val="1"/>
                <w:color w:val="auto"/>
                <w:w w:val="96"/>
              </w:rPr>
              <w:t>Shares, Units,</w:t>
            </w:r>
          </w:p>
        </w:tc>
        <w:tc>
          <w:tcPr>
            <w:tcW w:w="1040" w:type="dxa"/>
            <w:vAlign w:val="bottom"/>
            <w:gridSpan w:val="2"/>
            <w:shd w:val="clear" w:color="auto" w:fill="9DB8D2"/>
          </w:tcPr>
          <w:p>
            <w:pPr>
              <w:jc w:val="center"/>
              <w:ind w:right="13"/>
              <w:spacing w:after="0" w:line="135" w:lineRule="exact"/>
              <w:rPr>
                <w:sz w:val="20"/>
                <w:szCs w:val="20"/>
                <w:color w:val="auto"/>
              </w:rPr>
            </w:pPr>
            <w:r>
              <w:rPr>
                <w:rFonts w:ascii="Arial" w:cs="Arial" w:eastAsia="Arial" w:hAnsi="Arial"/>
                <w:sz w:val="13"/>
                <w:szCs w:val="13"/>
                <w:b w:val="1"/>
                <w:bCs w:val="1"/>
                <w:color w:val="auto"/>
                <w:w w:val="96"/>
              </w:rPr>
              <w:t>Shares, Units,</w:t>
            </w:r>
          </w:p>
        </w:tc>
      </w:tr>
      <w:tr>
        <w:trPr>
          <w:trHeight w:val="135"/>
        </w:trPr>
        <w:tc>
          <w:tcPr>
            <w:tcW w:w="2240" w:type="dxa"/>
            <w:vAlign w:val="bottom"/>
            <w:shd w:val="clear" w:color="auto" w:fill="9DB8D2"/>
          </w:tcPr>
          <w:p>
            <w:pPr>
              <w:spacing w:after="0"/>
              <w:rPr>
                <w:sz w:val="11"/>
                <w:szCs w:val="11"/>
                <w:color w:val="auto"/>
              </w:rPr>
            </w:pPr>
          </w:p>
        </w:tc>
        <w:tc>
          <w:tcPr>
            <w:tcW w:w="180" w:type="dxa"/>
            <w:vAlign w:val="bottom"/>
            <w:shd w:val="clear" w:color="auto" w:fill="9DB8D2"/>
          </w:tcPr>
          <w:p>
            <w:pPr>
              <w:spacing w:after="0"/>
              <w:rPr>
                <w:sz w:val="11"/>
                <w:szCs w:val="11"/>
                <w:color w:val="auto"/>
              </w:rPr>
            </w:pPr>
          </w:p>
        </w:tc>
        <w:tc>
          <w:tcPr>
            <w:tcW w:w="80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260" w:type="dxa"/>
            <w:vAlign w:val="bottom"/>
            <w:shd w:val="clear" w:color="auto" w:fill="9DB8D2"/>
          </w:tcPr>
          <w:p>
            <w:pPr>
              <w:spacing w:after="0"/>
              <w:rPr>
                <w:sz w:val="11"/>
                <w:szCs w:val="11"/>
                <w:color w:val="auto"/>
              </w:rPr>
            </w:pPr>
          </w:p>
        </w:tc>
        <w:tc>
          <w:tcPr>
            <w:tcW w:w="1000" w:type="dxa"/>
            <w:vAlign w:val="bottom"/>
            <w:gridSpan w:val="2"/>
            <w:shd w:val="clear" w:color="auto" w:fill="9DB8D2"/>
          </w:tcPr>
          <w:p>
            <w:pPr>
              <w:jc w:val="center"/>
              <w:ind w:right="197"/>
              <w:spacing w:after="0" w:line="135" w:lineRule="exact"/>
              <w:rPr>
                <w:sz w:val="20"/>
                <w:szCs w:val="20"/>
                <w:color w:val="auto"/>
              </w:rPr>
            </w:pPr>
            <w:r>
              <w:rPr>
                <w:rFonts w:ascii="Arial" w:cs="Arial" w:eastAsia="Arial" w:hAnsi="Arial"/>
                <w:sz w:val="13"/>
                <w:szCs w:val="13"/>
                <w:b w:val="1"/>
                <w:bCs w:val="1"/>
                <w:color w:val="auto"/>
                <w:w w:val="97"/>
              </w:rPr>
              <w:t>Underlying</w:t>
            </w:r>
          </w:p>
        </w:tc>
        <w:tc>
          <w:tcPr>
            <w:tcW w:w="1000" w:type="dxa"/>
            <w:vAlign w:val="bottom"/>
            <w:shd w:val="clear" w:color="auto" w:fill="9DB8D2"/>
          </w:tcPr>
          <w:p>
            <w:pPr>
              <w:jc w:val="center"/>
              <w:ind w:left="133"/>
              <w:spacing w:after="0" w:line="135" w:lineRule="exact"/>
              <w:rPr>
                <w:sz w:val="20"/>
                <w:szCs w:val="20"/>
                <w:color w:val="auto"/>
              </w:rPr>
            </w:pPr>
            <w:r>
              <w:rPr>
                <w:rFonts w:ascii="Arial" w:cs="Arial" w:eastAsia="Arial" w:hAnsi="Arial"/>
                <w:sz w:val="13"/>
                <w:szCs w:val="13"/>
                <w:b w:val="1"/>
                <w:bCs w:val="1"/>
                <w:color w:val="auto"/>
                <w:w w:val="96"/>
              </w:rPr>
              <w:t>Securities</w:t>
            </w:r>
          </w:p>
        </w:tc>
        <w:tc>
          <w:tcPr>
            <w:tcW w:w="340" w:type="dxa"/>
            <w:vAlign w:val="bottom"/>
            <w:shd w:val="clear" w:color="auto" w:fill="9DB8D2"/>
          </w:tcPr>
          <w:p>
            <w:pPr>
              <w:spacing w:after="0"/>
              <w:rPr>
                <w:sz w:val="11"/>
                <w:szCs w:val="11"/>
                <w:color w:val="auto"/>
              </w:rPr>
            </w:pPr>
          </w:p>
        </w:tc>
        <w:tc>
          <w:tcPr>
            <w:tcW w:w="460" w:type="dxa"/>
            <w:vAlign w:val="bottom"/>
            <w:shd w:val="clear" w:color="auto" w:fill="9DB8D2"/>
          </w:tcPr>
          <w:p>
            <w:pPr>
              <w:spacing w:after="0"/>
              <w:rPr>
                <w:sz w:val="11"/>
                <w:szCs w:val="11"/>
                <w:color w:val="auto"/>
              </w:rPr>
            </w:pPr>
          </w:p>
        </w:tc>
        <w:tc>
          <w:tcPr>
            <w:tcW w:w="900" w:type="dxa"/>
            <w:vAlign w:val="bottom"/>
            <w:shd w:val="clear" w:color="auto" w:fill="9DB8D2"/>
          </w:tcPr>
          <w:p>
            <w:pPr>
              <w:spacing w:after="0"/>
              <w:rPr>
                <w:sz w:val="11"/>
                <w:szCs w:val="11"/>
                <w:color w:val="auto"/>
              </w:rPr>
            </w:pPr>
          </w:p>
        </w:tc>
        <w:tc>
          <w:tcPr>
            <w:tcW w:w="80" w:type="dxa"/>
            <w:vAlign w:val="bottom"/>
            <w:shd w:val="clear" w:color="auto" w:fill="9DB8D2"/>
          </w:tcPr>
          <w:p>
            <w:pPr>
              <w:spacing w:after="0"/>
              <w:rPr>
                <w:sz w:val="11"/>
                <w:szCs w:val="11"/>
                <w:color w:val="auto"/>
              </w:rPr>
            </w:pPr>
          </w:p>
        </w:tc>
        <w:tc>
          <w:tcPr>
            <w:tcW w:w="1020" w:type="dxa"/>
            <w:vAlign w:val="bottom"/>
            <w:shd w:val="clear" w:color="auto" w:fill="9DB8D2"/>
          </w:tcPr>
          <w:p>
            <w:pPr>
              <w:jc w:val="center"/>
              <w:ind w:right="293"/>
              <w:spacing w:after="0" w:line="135" w:lineRule="exact"/>
              <w:rPr>
                <w:sz w:val="20"/>
                <w:szCs w:val="20"/>
                <w:color w:val="auto"/>
              </w:rPr>
            </w:pPr>
            <w:r>
              <w:rPr>
                <w:rFonts w:ascii="Arial" w:cs="Arial" w:eastAsia="Arial" w:hAnsi="Arial"/>
                <w:sz w:val="13"/>
                <w:szCs w:val="13"/>
                <w:b w:val="1"/>
                <w:bCs w:val="1"/>
                <w:color w:val="auto"/>
                <w:w w:val="93"/>
              </w:rPr>
              <w:t>or Units</w:t>
            </w:r>
          </w:p>
        </w:tc>
        <w:tc>
          <w:tcPr>
            <w:tcW w:w="220" w:type="dxa"/>
            <w:vAlign w:val="bottom"/>
            <w:shd w:val="clear" w:color="auto" w:fill="9DB8D2"/>
          </w:tcPr>
          <w:p>
            <w:pPr>
              <w:spacing w:after="0"/>
              <w:rPr>
                <w:sz w:val="11"/>
                <w:szCs w:val="11"/>
                <w:color w:val="auto"/>
              </w:rPr>
            </w:pPr>
          </w:p>
        </w:tc>
        <w:tc>
          <w:tcPr>
            <w:tcW w:w="660" w:type="dxa"/>
            <w:vAlign w:val="bottom"/>
            <w:shd w:val="clear" w:color="auto" w:fill="9DB8D2"/>
          </w:tcPr>
          <w:p>
            <w:pPr>
              <w:jc w:val="center"/>
              <w:ind w:right="73"/>
              <w:spacing w:after="0" w:line="135" w:lineRule="exact"/>
              <w:rPr>
                <w:sz w:val="20"/>
                <w:szCs w:val="20"/>
                <w:color w:val="auto"/>
              </w:rPr>
            </w:pPr>
            <w:r>
              <w:rPr>
                <w:rFonts w:ascii="Arial" w:cs="Arial" w:eastAsia="Arial" w:hAnsi="Arial"/>
                <w:sz w:val="13"/>
                <w:szCs w:val="13"/>
                <w:b w:val="1"/>
                <w:bCs w:val="1"/>
                <w:color w:val="auto"/>
                <w:w w:val="97"/>
              </w:rPr>
              <w:t>or Units</w:t>
            </w:r>
          </w:p>
        </w:tc>
        <w:tc>
          <w:tcPr>
            <w:tcW w:w="1220" w:type="dxa"/>
            <w:vAlign w:val="bottom"/>
            <w:shd w:val="clear" w:color="auto" w:fill="9DB8D2"/>
          </w:tcPr>
          <w:p>
            <w:pPr>
              <w:jc w:val="center"/>
              <w:ind w:right="173"/>
              <w:spacing w:after="0" w:line="135" w:lineRule="exact"/>
              <w:rPr>
                <w:sz w:val="20"/>
                <w:szCs w:val="20"/>
                <w:color w:val="auto"/>
              </w:rPr>
            </w:pPr>
            <w:r>
              <w:rPr>
                <w:rFonts w:ascii="Arial" w:cs="Arial" w:eastAsia="Arial" w:hAnsi="Arial"/>
                <w:sz w:val="13"/>
                <w:szCs w:val="13"/>
                <w:b w:val="1"/>
                <w:bCs w:val="1"/>
                <w:color w:val="auto"/>
                <w:w w:val="97"/>
              </w:rPr>
              <w:t>or Other</w:t>
            </w:r>
          </w:p>
        </w:tc>
        <w:tc>
          <w:tcPr>
            <w:tcW w:w="140" w:type="dxa"/>
            <w:vAlign w:val="bottom"/>
            <w:shd w:val="clear" w:color="auto" w:fill="9DB8D2"/>
          </w:tcPr>
          <w:p>
            <w:pPr>
              <w:spacing w:after="0"/>
              <w:rPr>
                <w:sz w:val="11"/>
                <w:szCs w:val="11"/>
                <w:color w:val="auto"/>
              </w:rPr>
            </w:pPr>
          </w:p>
        </w:tc>
        <w:tc>
          <w:tcPr>
            <w:tcW w:w="900" w:type="dxa"/>
            <w:vAlign w:val="bottom"/>
            <w:shd w:val="clear" w:color="auto" w:fill="9DB8D2"/>
          </w:tcPr>
          <w:p>
            <w:pPr>
              <w:jc w:val="center"/>
              <w:ind w:right="173"/>
              <w:spacing w:after="0" w:line="135" w:lineRule="exact"/>
              <w:rPr>
                <w:sz w:val="20"/>
                <w:szCs w:val="20"/>
                <w:color w:val="auto"/>
              </w:rPr>
            </w:pPr>
            <w:r>
              <w:rPr>
                <w:rFonts w:ascii="Arial" w:cs="Arial" w:eastAsia="Arial" w:hAnsi="Arial"/>
                <w:sz w:val="13"/>
                <w:szCs w:val="13"/>
                <w:b w:val="1"/>
                <w:bCs w:val="1"/>
                <w:color w:val="auto"/>
                <w:w w:val="97"/>
              </w:rPr>
              <w:t>or Other</w:t>
            </w:r>
          </w:p>
        </w:tc>
      </w:tr>
      <w:tr>
        <w:trPr>
          <w:trHeight w:val="135"/>
        </w:trPr>
        <w:tc>
          <w:tcPr>
            <w:tcW w:w="2240" w:type="dxa"/>
            <w:vAlign w:val="bottom"/>
            <w:shd w:val="clear" w:color="auto" w:fill="9DB8D2"/>
          </w:tcPr>
          <w:p>
            <w:pPr>
              <w:spacing w:after="0"/>
              <w:rPr>
                <w:sz w:val="11"/>
                <w:szCs w:val="11"/>
                <w:color w:val="auto"/>
              </w:rPr>
            </w:pPr>
          </w:p>
        </w:tc>
        <w:tc>
          <w:tcPr>
            <w:tcW w:w="180" w:type="dxa"/>
            <w:vAlign w:val="bottom"/>
            <w:shd w:val="clear" w:color="auto" w:fill="9DB8D2"/>
          </w:tcPr>
          <w:p>
            <w:pPr>
              <w:spacing w:after="0"/>
              <w:rPr>
                <w:sz w:val="11"/>
                <w:szCs w:val="11"/>
                <w:color w:val="auto"/>
              </w:rPr>
            </w:pPr>
          </w:p>
        </w:tc>
        <w:tc>
          <w:tcPr>
            <w:tcW w:w="80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8"/>
              </w:rPr>
              <w:t>Unexercised</w:t>
            </w:r>
          </w:p>
        </w:tc>
        <w:tc>
          <w:tcPr>
            <w:tcW w:w="1260" w:type="dxa"/>
            <w:vAlign w:val="bottom"/>
            <w:gridSpan w:val="3"/>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8"/>
              </w:rPr>
              <w:t>Unexercised</w:t>
            </w:r>
          </w:p>
        </w:tc>
        <w:tc>
          <w:tcPr>
            <w:tcW w:w="1000" w:type="dxa"/>
            <w:vAlign w:val="bottom"/>
            <w:shd w:val="clear" w:color="auto" w:fill="9DB8D2"/>
          </w:tcPr>
          <w:p>
            <w:pPr>
              <w:jc w:val="center"/>
              <w:ind w:left="133"/>
              <w:spacing w:after="0" w:line="135" w:lineRule="exact"/>
              <w:rPr>
                <w:sz w:val="20"/>
                <w:szCs w:val="20"/>
                <w:color w:val="auto"/>
              </w:rPr>
            </w:pPr>
            <w:r>
              <w:rPr>
                <w:rFonts w:ascii="Arial" w:cs="Arial" w:eastAsia="Arial" w:hAnsi="Arial"/>
                <w:sz w:val="13"/>
                <w:szCs w:val="13"/>
                <w:b w:val="1"/>
                <w:bCs w:val="1"/>
                <w:color w:val="auto"/>
                <w:w w:val="94"/>
              </w:rPr>
              <w:t>Underlying</w:t>
            </w:r>
          </w:p>
        </w:tc>
        <w:tc>
          <w:tcPr>
            <w:tcW w:w="800" w:type="dxa"/>
            <w:vAlign w:val="bottom"/>
            <w:gridSpan w:val="2"/>
            <w:shd w:val="clear" w:color="auto" w:fill="9DB8D2"/>
          </w:tcPr>
          <w:p>
            <w:pPr>
              <w:jc w:val="center"/>
              <w:ind w:left="133"/>
              <w:spacing w:after="0" w:line="135" w:lineRule="exact"/>
              <w:rPr>
                <w:sz w:val="20"/>
                <w:szCs w:val="20"/>
                <w:color w:val="auto"/>
              </w:rPr>
            </w:pPr>
            <w:r>
              <w:rPr>
                <w:rFonts w:ascii="Arial" w:cs="Arial" w:eastAsia="Arial" w:hAnsi="Arial"/>
                <w:sz w:val="13"/>
                <w:szCs w:val="13"/>
                <w:b w:val="1"/>
                <w:bCs w:val="1"/>
                <w:color w:val="auto"/>
                <w:w w:val="95"/>
              </w:rPr>
              <w:t>Option</w:t>
            </w:r>
          </w:p>
        </w:tc>
        <w:tc>
          <w:tcPr>
            <w:tcW w:w="900" w:type="dxa"/>
            <w:vAlign w:val="bottom"/>
            <w:shd w:val="clear" w:color="auto" w:fill="9DB8D2"/>
          </w:tcPr>
          <w:p>
            <w:pPr>
              <w:spacing w:after="0"/>
              <w:rPr>
                <w:sz w:val="11"/>
                <w:szCs w:val="11"/>
                <w:color w:val="auto"/>
              </w:rPr>
            </w:pPr>
          </w:p>
        </w:tc>
        <w:tc>
          <w:tcPr>
            <w:tcW w:w="80" w:type="dxa"/>
            <w:vAlign w:val="bottom"/>
            <w:shd w:val="clear" w:color="auto" w:fill="9DB8D2"/>
          </w:tcPr>
          <w:p>
            <w:pPr>
              <w:spacing w:after="0"/>
              <w:rPr>
                <w:sz w:val="11"/>
                <w:szCs w:val="11"/>
                <w:color w:val="auto"/>
              </w:rPr>
            </w:pPr>
          </w:p>
        </w:tc>
        <w:tc>
          <w:tcPr>
            <w:tcW w:w="1020" w:type="dxa"/>
            <w:vAlign w:val="bottom"/>
            <w:shd w:val="clear" w:color="auto" w:fill="9DB8D2"/>
          </w:tcPr>
          <w:p>
            <w:pPr>
              <w:jc w:val="center"/>
              <w:ind w:right="293"/>
              <w:spacing w:after="0" w:line="135" w:lineRule="exact"/>
              <w:rPr>
                <w:sz w:val="20"/>
                <w:szCs w:val="20"/>
                <w:color w:val="auto"/>
              </w:rPr>
            </w:pPr>
            <w:r>
              <w:rPr>
                <w:rFonts w:ascii="Arial" w:cs="Arial" w:eastAsia="Arial" w:hAnsi="Arial"/>
                <w:sz w:val="13"/>
                <w:szCs w:val="13"/>
                <w:b w:val="1"/>
                <w:bCs w:val="1"/>
                <w:color w:val="auto"/>
                <w:w w:val="97"/>
              </w:rPr>
              <w:t>of Stock</w:t>
            </w:r>
          </w:p>
        </w:tc>
        <w:tc>
          <w:tcPr>
            <w:tcW w:w="220" w:type="dxa"/>
            <w:vAlign w:val="bottom"/>
            <w:shd w:val="clear" w:color="auto" w:fill="9DB8D2"/>
          </w:tcPr>
          <w:p>
            <w:pPr>
              <w:spacing w:after="0"/>
              <w:rPr>
                <w:sz w:val="11"/>
                <w:szCs w:val="11"/>
                <w:color w:val="auto"/>
              </w:rPr>
            </w:pPr>
          </w:p>
        </w:tc>
        <w:tc>
          <w:tcPr>
            <w:tcW w:w="660" w:type="dxa"/>
            <w:vAlign w:val="bottom"/>
            <w:shd w:val="clear" w:color="auto" w:fill="9DB8D2"/>
          </w:tcPr>
          <w:p>
            <w:pPr>
              <w:jc w:val="center"/>
              <w:ind w:right="93"/>
              <w:spacing w:after="0" w:line="135" w:lineRule="exact"/>
              <w:rPr>
                <w:sz w:val="20"/>
                <w:szCs w:val="20"/>
                <w:color w:val="auto"/>
              </w:rPr>
            </w:pPr>
            <w:r>
              <w:rPr>
                <w:rFonts w:ascii="Arial" w:cs="Arial" w:eastAsia="Arial" w:hAnsi="Arial"/>
                <w:sz w:val="13"/>
                <w:szCs w:val="13"/>
                <w:b w:val="1"/>
                <w:bCs w:val="1"/>
                <w:color w:val="auto"/>
                <w:w w:val="97"/>
              </w:rPr>
              <w:t>of Stock</w:t>
            </w:r>
          </w:p>
        </w:tc>
        <w:tc>
          <w:tcPr>
            <w:tcW w:w="1220" w:type="dxa"/>
            <w:vAlign w:val="bottom"/>
            <w:shd w:val="clear" w:color="auto" w:fill="9DB8D2"/>
          </w:tcPr>
          <w:p>
            <w:pPr>
              <w:jc w:val="center"/>
              <w:ind w:right="193"/>
              <w:spacing w:after="0" w:line="135" w:lineRule="exact"/>
              <w:rPr>
                <w:sz w:val="20"/>
                <w:szCs w:val="20"/>
                <w:color w:val="auto"/>
              </w:rPr>
            </w:pPr>
            <w:r>
              <w:rPr>
                <w:rFonts w:ascii="Arial" w:cs="Arial" w:eastAsia="Arial" w:hAnsi="Arial"/>
                <w:sz w:val="13"/>
                <w:szCs w:val="13"/>
                <w:b w:val="1"/>
                <w:bCs w:val="1"/>
                <w:color w:val="auto"/>
                <w:w w:val="98"/>
              </w:rPr>
              <w:t>Rights</w:t>
            </w:r>
          </w:p>
        </w:tc>
        <w:tc>
          <w:tcPr>
            <w:tcW w:w="140" w:type="dxa"/>
            <w:vAlign w:val="bottom"/>
            <w:shd w:val="clear" w:color="auto" w:fill="9DB8D2"/>
          </w:tcPr>
          <w:p>
            <w:pPr>
              <w:spacing w:after="0"/>
              <w:rPr>
                <w:sz w:val="11"/>
                <w:szCs w:val="11"/>
                <w:color w:val="auto"/>
              </w:rPr>
            </w:pPr>
          </w:p>
        </w:tc>
        <w:tc>
          <w:tcPr>
            <w:tcW w:w="900" w:type="dxa"/>
            <w:vAlign w:val="bottom"/>
            <w:shd w:val="clear" w:color="auto" w:fill="9DB8D2"/>
          </w:tcPr>
          <w:p>
            <w:pPr>
              <w:jc w:val="center"/>
              <w:ind w:right="153"/>
              <w:spacing w:after="0" w:line="135" w:lineRule="exact"/>
              <w:rPr>
                <w:sz w:val="20"/>
                <w:szCs w:val="20"/>
                <w:color w:val="auto"/>
              </w:rPr>
            </w:pPr>
            <w:r>
              <w:rPr>
                <w:rFonts w:ascii="Arial" w:cs="Arial" w:eastAsia="Arial" w:hAnsi="Arial"/>
                <w:sz w:val="13"/>
                <w:szCs w:val="13"/>
                <w:b w:val="1"/>
                <w:bCs w:val="1"/>
                <w:color w:val="auto"/>
                <w:w w:val="98"/>
              </w:rPr>
              <w:t>Rights</w:t>
            </w:r>
          </w:p>
        </w:tc>
      </w:tr>
      <w:tr>
        <w:trPr>
          <w:trHeight w:val="135"/>
        </w:trPr>
        <w:tc>
          <w:tcPr>
            <w:tcW w:w="2240" w:type="dxa"/>
            <w:vAlign w:val="bottom"/>
            <w:shd w:val="clear" w:color="auto" w:fill="9DB8D2"/>
          </w:tcPr>
          <w:p>
            <w:pPr>
              <w:spacing w:after="0"/>
              <w:rPr>
                <w:sz w:val="11"/>
                <w:szCs w:val="11"/>
                <w:color w:val="auto"/>
              </w:rPr>
            </w:pPr>
          </w:p>
        </w:tc>
        <w:tc>
          <w:tcPr>
            <w:tcW w:w="180" w:type="dxa"/>
            <w:vAlign w:val="bottom"/>
            <w:shd w:val="clear" w:color="auto" w:fill="9DB8D2"/>
          </w:tcPr>
          <w:p>
            <w:pPr>
              <w:spacing w:after="0"/>
              <w:rPr>
                <w:sz w:val="11"/>
                <w:szCs w:val="11"/>
                <w:color w:val="auto"/>
              </w:rPr>
            </w:pPr>
          </w:p>
        </w:tc>
        <w:tc>
          <w:tcPr>
            <w:tcW w:w="80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Options</w:t>
            </w:r>
          </w:p>
        </w:tc>
        <w:tc>
          <w:tcPr>
            <w:tcW w:w="260" w:type="dxa"/>
            <w:vAlign w:val="bottom"/>
            <w:shd w:val="clear" w:color="auto" w:fill="9DB8D2"/>
          </w:tcPr>
          <w:p>
            <w:pPr>
              <w:spacing w:after="0"/>
              <w:rPr>
                <w:sz w:val="11"/>
                <w:szCs w:val="11"/>
                <w:color w:val="auto"/>
              </w:rPr>
            </w:pPr>
          </w:p>
        </w:tc>
        <w:tc>
          <w:tcPr>
            <w:tcW w:w="1000" w:type="dxa"/>
            <w:vAlign w:val="bottom"/>
            <w:gridSpan w:val="2"/>
            <w:shd w:val="clear" w:color="auto" w:fill="9DB8D2"/>
          </w:tcPr>
          <w:p>
            <w:pPr>
              <w:jc w:val="center"/>
              <w:ind w:right="217"/>
              <w:spacing w:after="0" w:line="135" w:lineRule="exact"/>
              <w:rPr>
                <w:sz w:val="20"/>
                <w:szCs w:val="20"/>
                <w:color w:val="auto"/>
              </w:rPr>
            </w:pPr>
            <w:r>
              <w:rPr>
                <w:rFonts w:ascii="Arial" w:cs="Arial" w:eastAsia="Arial" w:hAnsi="Arial"/>
                <w:sz w:val="13"/>
                <w:szCs w:val="13"/>
                <w:b w:val="1"/>
                <w:bCs w:val="1"/>
                <w:color w:val="auto"/>
                <w:w w:val="97"/>
              </w:rPr>
              <w:t>Options</w:t>
            </w:r>
          </w:p>
        </w:tc>
        <w:tc>
          <w:tcPr>
            <w:tcW w:w="1000" w:type="dxa"/>
            <w:vAlign w:val="bottom"/>
            <w:shd w:val="clear" w:color="auto" w:fill="9DB8D2"/>
          </w:tcPr>
          <w:p>
            <w:pPr>
              <w:jc w:val="right"/>
              <w:spacing w:after="0" w:line="135" w:lineRule="exact"/>
              <w:rPr>
                <w:sz w:val="20"/>
                <w:szCs w:val="20"/>
                <w:color w:val="auto"/>
              </w:rPr>
            </w:pPr>
            <w:r>
              <w:rPr>
                <w:rFonts w:ascii="Arial" w:cs="Arial" w:eastAsia="Arial" w:hAnsi="Arial"/>
                <w:sz w:val="13"/>
                <w:szCs w:val="13"/>
                <w:b w:val="1"/>
                <w:bCs w:val="1"/>
                <w:color w:val="auto"/>
              </w:rPr>
              <w:t>Unexercised</w:t>
            </w:r>
          </w:p>
        </w:tc>
        <w:tc>
          <w:tcPr>
            <w:tcW w:w="800" w:type="dxa"/>
            <w:vAlign w:val="bottom"/>
            <w:gridSpan w:val="2"/>
            <w:shd w:val="clear" w:color="auto" w:fill="9DB8D2"/>
          </w:tcPr>
          <w:p>
            <w:pPr>
              <w:ind w:left="240"/>
              <w:spacing w:after="0" w:line="135" w:lineRule="exact"/>
              <w:rPr>
                <w:sz w:val="20"/>
                <w:szCs w:val="20"/>
                <w:color w:val="auto"/>
              </w:rPr>
            </w:pPr>
            <w:r>
              <w:rPr>
                <w:rFonts w:ascii="Arial" w:cs="Arial" w:eastAsia="Arial" w:hAnsi="Arial"/>
                <w:sz w:val="13"/>
                <w:szCs w:val="13"/>
                <w:b w:val="1"/>
                <w:bCs w:val="1"/>
                <w:color w:val="auto"/>
              </w:rPr>
              <w:t>Exercise</w:t>
            </w:r>
          </w:p>
        </w:tc>
        <w:tc>
          <w:tcPr>
            <w:tcW w:w="980" w:type="dxa"/>
            <w:vAlign w:val="bottom"/>
            <w:gridSpan w:val="2"/>
            <w:shd w:val="clear" w:color="auto" w:fill="9DB8D2"/>
          </w:tcPr>
          <w:p>
            <w:pPr>
              <w:jc w:val="center"/>
              <w:ind w:left="33"/>
              <w:spacing w:after="0" w:line="135" w:lineRule="exact"/>
              <w:rPr>
                <w:sz w:val="20"/>
                <w:szCs w:val="20"/>
                <w:color w:val="auto"/>
              </w:rPr>
            </w:pPr>
            <w:r>
              <w:rPr>
                <w:rFonts w:ascii="Arial" w:cs="Arial" w:eastAsia="Arial" w:hAnsi="Arial"/>
                <w:sz w:val="13"/>
                <w:szCs w:val="13"/>
                <w:b w:val="1"/>
                <w:bCs w:val="1"/>
                <w:color w:val="auto"/>
                <w:w w:val="95"/>
              </w:rPr>
              <w:t>Option</w:t>
            </w:r>
          </w:p>
        </w:tc>
        <w:tc>
          <w:tcPr>
            <w:tcW w:w="1020" w:type="dxa"/>
            <w:vAlign w:val="bottom"/>
            <w:shd w:val="clear" w:color="auto" w:fill="9DB8D2"/>
          </w:tcPr>
          <w:p>
            <w:pPr>
              <w:jc w:val="center"/>
              <w:ind w:right="293"/>
              <w:spacing w:after="0" w:line="135" w:lineRule="exact"/>
              <w:rPr>
                <w:sz w:val="20"/>
                <w:szCs w:val="20"/>
                <w:color w:val="auto"/>
              </w:rPr>
            </w:pPr>
            <w:r>
              <w:rPr>
                <w:rFonts w:ascii="Arial" w:cs="Arial" w:eastAsia="Arial" w:hAnsi="Arial"/>
                <w:sz w:val="13"/>
                <w:szCs w:val="13"/>
                <w:b w:val="1"/>
                <w:bCs w:val="1"/>
                <w:color w:val="auto"/>
                <w:w w:val="99"/>
              </w:rPr>
              <w:t>that Have</w:t>
            </w:r>
          </w:p>
        </w:tc>
        <w:tc>
          <w:tcPr>
            <w:tcW w:w="880" w:type="dxa"/>
            <w:vAlign w:val="bottom"/>
            <w:gridSpan w:val="2"/>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9"/>
              </w:rPr>
              <w:t>that Have</w:t>
            </w:r>
          </w:p>
        </w:tc>
        <w:tc>
          <w:tcPr>
            <w:tcW w:w="1220" w:type="dxa"/>
            <w:vAlign w:val="bottom"/>
            <w:shd w:val="clear" w:color="auto" w:fill="9DB8D2"/>
          </w:tcPr>
          <w:p>
            <w:pPr>
              <w:jc w:val="center"/>
              <w:ind w:right="193"/>
              <w:spacing w:after="0" w:line="135" w:lineRule="exact"/>
              <w:rPr>
                <w:sz w:val="20"/>
                <w:szCs w:val="20"/>
                <w:color w:val="auto"/>
              </w:rPr>
            </w:pPr>
            <w:r>
              <w:rPr>
                <w:rFonts w:ascii="Arial" w:cs="Arial" w:eastAsia="Arial" w:hAnsi="Arial"/>
                <w:sz w:val="13"/>
                <w:szCs w:val="13"/>
                <w:b w:val="1"/>
                <w:bCs w:val="1"/>
                <w:color w:val="auto"/>
                <w:w w:val="95"/>
              </w:rPr>
              <w:t>that Have</w:t>
            </w:r>
          </w:p>
        </w:tc>
        <w:tc>
          <w:tcPr>
            <w:tcW w:w="140" w:type="dxa"/>
            <w:vAlign w:val="bottom"/>
            <w:shd w:val="clear" w:color="auto" w:fill="9DB8D2"/>
          </w:tcPr>
          <w:p>
            <w:pPr>
              <w:spacing w:after="0"/>
              <w:rPr>
                <w:sz w:val="11"/>
                <w:szCs w:val="11"/>
                <w:color w:val="auto"/>
              </w:rPr>
            </w:pPr>
          </w:p>
        </w:tc>
        <w:tc>
          <w:tcPr>
            <w:tcW w:w="900" w:type="dxa"/>
            <w:vAlign w:val="bottom"/>
            <w:shd w:val="clear" w:color="auto" w:fill="9DB8D2"/>
          </w:tcPr>
          <w:p>
            <w:pPr>
              <w:jc w:val="center"/>
              <w:ind w:right="153"/>
              <w:spacing w:after="0" w:line="135" w:lineRule="exact"/>
              <w:rPr>
                <w:sz w:val="20"/>
                <w:szCs w:val="20"/>
                <w:color w:val="auto"/>
              </w:rPr>
            </w:pPr>
            <w:r>
              <w:rPr>
                <w:rFonts w:ascii="Arial" w:cs="Arial" w:eastAsia="Arial" w:hAnsi="Arial"/>
                <w:sz w:val="13"/>
                <w:szCs w:val="13"/>
                <w:b w:val="1"/>
                <w:bCs w:val="1"/>
                <w:color w:val="auto"/>
                <w:w w:val="95"/>
              </w:rPr>
              <w:t>that Have</w:t>
            </w:r>
          </w:p>
        </w:tc>
      </w:tr>
      <w:tr>
        <w:trPr>
          <w:trHeight w:val="135"/>
        </w:trPr>
        <w:tc>
          <w:tcPr>
            <w:tcW w:w="2240" w:type="dxa"/>
            <w:vAlign w:val="bottom"/>
            <w:shd w:val="clear" w:color="auto" w:fill="9DB8D2"/>
          </w:tcPr>
          <w:p>
            <w:pPr>
              <w:ind w:left="80"/>
              <w:spacing w:after="0" w:line="135" w:lineRule="exact"/>
              <w:rPr>
                <w:sz w:val="20"/>
                <w:szCs w:val="20"/>
                <w:color w:val="auto"/>
              </w:rPr>
            </w:pPr>
            <w:r>
              <w:rPr>
                <w:rFonts w:ascii="Arial" w:cs="Arial" w:eastAsia="Arial" w:hAnsi="Arial"/>
                <w:sz w:val="13"/>
                <w:szCs w:val="13"/>
                <w:b w:val="1"/>
                <w:bCs w:val="1"/>
                <w:color w:val="auto"/>
              </w:rPr>
              <w:t>Name &amp; Principal</w:t>
            </w:r>
          </w:p>
        </w:tc>
        <w:tc>
          <w:tcPr>
            <w:tcW w:w="980" w:type="dxa"/>
            <w:vAlign w:val="bottom"/>
            <w:gridSpan w:val="2"/>
            <w:shd w:val="clear" w:color="auto" w:fill="9DB8D2"/>
          </w:tcPr>
          <w:p>
            <w:pPr>
              <w:jc w:val="center"/>
              <w:ind w:left="77"/>
              <w:spacing w:after="0" w:line="135" w:lineRule="exact"/>
              <w:rPr>
                <w:sz w:val="20"/>
                <w:szCs w:val="20"/>
                <w:color w:val="auto"/>
              </w:rPr>
            </w:pPr>
            <w:r>
              <w:rPr>
                <w:rFonts w:ascii="Arial" w:cs="Arial" w:eastAsia="Arial" w:hAnsi="Arial"/>
                <w:sz w:val="13"/>
                <w:szCs w:val="13"/>
                <w:b w:val="1"/>
                <w:bCs w:val="1"/>
                <w:color w:val="auto"/>
              </w:rPr>
              <w:t>(#)</w:t>
            </w:r>
          </w:p>
        </w:tc>
        <w:tc>
          <w:tcPr>
            <w:tcW w:w="1060" w:type="dxa"/>
            <w:vAlign w:val="bottom"/>
            <w:gridSpan w:val="2"/>
            <w:shd w:val="clear" w:color="auto" w:fill="9DB8D2"/>
          </w:tcPr>
          <w:p>
            <w:pPr>
              <w:jc w:val="center"/>
              <w:ind w:left="114"/>
              <w:spacing w:after="0" w:line="135" w:lineRule="exact"/>
              <w:rPr>
                <w:sz w:val="20"/>
                <w:szCs w:val="20"/>
                <w:color w:val="auto"/>
              </w:rPr>
            </w:pPr>
            <w:r>
              <w:rPr>
                <w:rFonts w:ascii="Arial" w:cs="Arial" w:eastAsia="Arial" w:hAnsi="Arial"/>
                <w:sz w:val="13"/>
                <w:szCs w:val="13"/>
                <w:b w:val="1"/>
                <w:bCs w:val="1"/>
                <w:color w:val="auto"/>
              </w:rPr>
              <w:t>(#)</w:t>
            </w:r>
          </w:p>
        </w:tc>
        <w:tc>
          <w:tcPr>
            <w:tcW w:w="200" w:type="dxa"/>
            <w:vAlign w:val="bottom"/>
            <w:shd w:val="clear" w:color="auto" w:fill="9DB8D2"/>
          </w:tcPr>
          <w:p>
            <w:pPr>
              <w:spacing w:after="0"/>
              <w:rPr>
                <w:sz w:val="11"/>
                <w:szCs w:val="11"/>
                <w:color w:val="auto"/>
              </w:rPr>
            </w:pPr>
          </w:p>
        </w:tc>
        <w:tc>
          <w:tcPr>
            <w:tcW w:w="1000" w:type="dxa"/>
            <w:vAlign w:val="bottom"/>
            <w:shd w:val="clear" w:color="auto" w:fill="9DB8D2"/>
          </w:tcPr>
          <w:p>
            <w:pPr>
              <w:jc w:val="center"/>
              <w:ind w:left="113"/>
              <w:spacing w:after="0" w:line="135" w:lineRule="exact"/>
              <w:rPr>
                <w:sz w:val="20"/>
                <w:szCs w:val="20"/>
                <w:color w:val="auto"/>
              </w:rPr>
            </w:pPr>
            <w:r>
              <w:rPr>
                <w:rFonts w:ascii="Arial" w:cs="Arial" w:eastAsia="Arial" w:hAnsi="Arial"/>
                <w:sz w:val="13"/>
                <w:szCs w:val="13"/>
                <w:b w:val="1"/>
                <w:bCs w:val="1"/>
                <w:color w:val="auto"/>
                <w:w w:val="96"/>
              </w:rPr>
              <w:t>Unearned</w:t>
            </w:r>
          </w:p>
        </w:tc>
        <w:tc>
          <w:tcPr>
            <w:tcW w:w="340" w:type="dxa"/>
            <w:vAlign w:val="bottom"/>
            <w:shd w:val="clear" w:color="auto" w:fill="9DB8D2"/>
          </w:tcPr>
          <w:p>
            <w:pPr>
              <w:spacing w:after="0"/>
              <w:rPr>
                <w:sz w:val="11"/>
                <w:szCs w:val="11"/>
                <w:color w:val="auto"/>
              </w:rPr>
            </w:pPr>
          </w:p>
        </w:tc>
        <w:tc>
          <w:tcPr>
            <w:tcW w:w="460" w:type="dxa"/>
            <w:vAlign w:val="bottom"/>
            <w:shd w:val="clear" w:color="auto" w:fill="9DB8D2"/>
          </w:tcPr>
          <w:p>
            <w:pPr>
              <w:jc w:val="center"/>
              <w:ind w:right="53"/>
              <w:spacing w:after="0" w:line="135" w:lineRule="exact"/>
              <w:rPr>
                <w:sz w:val="20"/>
                <w:szCs w:val="20"/>
                <w:color w:val="auto"/>
              </w:rPr>
            </w:pPr>
            <w:r>
              <w:rPr>
                <w:rFonts w:ascii="Arial" w:cs="Arial" w:eastAsia="Arial" w:hAnsi="Arial"/>
                <w:sz w:val="13"/>
                <w:szCs w:val="13"/>
                <w:b w:val="1"/>
                <w:bCs w:val="1"/>
                <w:color w:val="auto"/>
                <w:w w:val="94"/>
              </w:rPr>
              <w:t>Price</w:t>
            </w:r>
          </w:p>
        </w:tc>
        <w:tc>
          <w:tcPr>
            <w:tcW w:w="980" w:type="dxa"/>
            <w:vAlign w:val="bottom"/>
            <w:gridSpan w:val="2"/>
            <w:shd w:val="clear" w:color="auto" w:fill="9DB8D2"/>
          </w:tcPr>
          <w:p>
            <w:pPr>
              <w:jc w:val="center"/>
              <w:ind w:left="13"/>
              <w:spacing w:after="0" w:line="135" w:lineRule="exact"/>
              <w:rPr>
                <w:sz w:val="20"/>
                <w:szCs w:val="20"/>
                <w:color w:val="auto"/>
              </w:rPr>
            </w:pPr>
            <w:r>
              <w:rPr>
                <w:rFonts w:ascii="Arial" w:cs="Arial" w:eastAsia="Arial" w:hAnsi="Arial"/>
                <w:sz w:val="13"/>
                <w:szCs w:val="13"/>
                <w:b w:val="1"/>
                <w:bCs w:val="1"/>
                <w:color w:val="auto"/>
                <w:w w:val="97"/>
              </w:rPr>
              <w:t>Expiration</w:t>
            </w:r>
          </w:p>
        </w:tc>
        <w:tc>
          <w:tcPr>
            <w:tcW w:w="1020" w:type="dxa"/>
            <w:vAlign w:val="bottom"/>
            <w:shd w:val="clear" w:color="auto" w:fill="9DB8D2"/>
          </w:tcPr>
          <w:p>
            <w:pPr>
              <w:jc w:val="center"/>
              <w:ind w:right="293"/>
              <w:spacing w:after="0" w:line="135" w:lineRule="exact"/>
              <w:rPr>
                <w:sz w:val="20"/>
                <w:szCs w:val="20"/>
                <w:color w:val="auto"/>
              </w:rPr>
            </w:pPr>
            <w:r>
              <w:rPr>
                <w:rFonts w:ascii="Arial" w:cs="Arial" w:eastAsia="Arial" w:hAnsi="Arial"/>
                <w:sz w:val="13"/>
                <w:szCs w:val="13"/>
                <w:b w:val="1"/>
                <w:bCs w:val="1"/>
                <w:color w:val="auto"/>
                <w:w w:val="97"/>
              </w:rPr>
              <w:t>Not Vested</w:t>
            </w:r>
          </w:p>
        </w:tc>
        <w:tc>
          <w:tcPr>
            <w:tcW w:w="880" w:type="dxa"/>
            <w:vAlign w:val="bottom"/>
            <w:gridSpan w:val="2"/>
            <w:shd w:val="clear" w:color="auto" w:fill="9DB8D2"/>
          </w:tcPr>
          <w:p>
            <w:pPr>
              <w:ind w:left="140"/>
              <w:spacing w:after="0" w:line="135" w:lineRule="exact"/>
              <w:rPr>
                <w:sz w:val="20"/>
                <w:szCs w:val="20"/>
                <w:color w:val="auto"/>
              </w:rPr>
            </w:pPr>
            <w:r>
              <w:rPr>
                <w:rFonts w:ascii="Arial" w:cs="Arial" w:eastAsia="Arial" w:hAnsi="Arial"/>
                <w:sz w:val="13"/>
                <w:szCs w:val="13"/>
                <w:b w:val="1"/>
                <w:bCs w:val="1"/>
                <w:color w:val="auto"/>
              </w:rPr>
              <w:t>Not Vested</w:t>
            </w:r>
          </w:p>
        </w:tc>
        <w:tc>
          <w:tcPr>
            <w:tcW w:w="1220" w:type="dxa"/>
            <w:vAlign w:val="bottom"/>
            <w:shd w:val="clear" w:color="auto" w:fill="9DB8D2"/>
          </w:tcPr>
          <w:p>
            <w:pPr>
              <w:jc w:val="center"/>
              <w:ind w:right="193"/>
              <w:spacing w:after="0" w:line="135" w:lineRule="exact"/>
              <w:rPr>
                <w:sz w:val="20"/>
                <w:szCs w:val="20"/>
                <w:color w:val="auto"/>
              </w:rPr>
            </w:pPr>
            <w:r>
              <w:rPr>
                <w:rFonts w:ascii="Arial" w:cs="Arial" w:eastAsia="Arial" w:hAnsi="Arial"/>
                <w:sz w:val="13"/>
                <w:szCs w:val="13"/>
                <w:b w:val="1"/>
                <w:bCs w:val="1"/>
                <w:color w:val="auto"/>
                <w:w w:val="94"/>
              </w:rPr>
              <w:t>Not Vested</w:t>
            </w:r>
          </w:p>
        </w:tc>
        <w:tc>
          <w:tcPr>
            <w:tcW w:w="140" w:type="dxa"/>
            <w:vAlign w:val="bottom"/>
            <w:shd w:val="clear" w:color="auto" w:fill="9DB8D2"/>
          </w:tcPr>
          <w:p>
            <w:pPr>
              <w:spacing w:after="0"/>
              <w:rPr>
                <w:sz w:val="11"/>
                <w:szCs w:val="11"/>
                <w:color w:val="auto"/>
              </w:rPr>
            </w:pPr>
          </w:p>
        </w:tc>
        <w:tc>
          <w:tcPr>
            <w:tcW w:w="900" w:type="dxa"/>
            <w:vAlign w:val="bottom"/>
            <w:shd w:val="clear" w:color="auto" w:fill="9DB8D2"/>
          </w:tcPr>
          <w:p>
            <w:pPr>
              <w:jc w:val="center"/>
              <w:ind w:right="153"/>
              <w:spacing w:after="0" w:line="135" w:lineRule="exact"/>
              <w:rPr>
                <w:sz w:val="20"/>
                <w:szCs w:val="20"/>
                <w:color w:val="auto"/>
              </w:rPr>
            </w:pPr>
            <w:r>
              <w:rPr>
                <w:rFonts w:ascii="Arial" w:cs="Arial" w:eastAsia="Arial" w:hAnsi="Arial"/>
                <w:sz w:val="13"/>
                <w:szCs w:val="13"/>
                <w:b w:val="1"/>
                <w:bCs w:val="1"/>
                <w:color w:val="auto"/>
                <w:w w:val="94"/>
              </w:rPr>
              <w:t>Not Vested</w:t>
            </w:r>
          </w:p>
        </w:tc>
      </w:tr>
      <w:tr>
        <w:trPr>
          <w:trHeight w:val="169"/>
        </w:trPr>
        <w:tc>
          <w:tcPr>
            <w:tcW w:w="224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3"/>
                <w:szCs w:val="13"/>
                <w:b w:val="1"/>
                <w:bCs w:val="1"/>
                <w:color w:val="auto"/>
              </w:rPr>
              <w:t>Position</w:t>
            </w:r>
          </w:p>
        </w:tc>
        <w:tc>
          <w:tcPr>
            <w:tcW w:w="180" w:type="dxa"/>
            <w:vAlign w:val="bottom"/>
            <w:tcBorders>
              <w:bottom w:val="single" w:sz="8" w:color="auto"/>
            </w:tcBorders>
            <w:shd w:val="clear" w:color="auto" w:fill="9DB8D2"/>
          </w:tcPr>
          <w:p>
            <w:pPr>
              <w:spacing w:after="0"/>
              <w:rPr>
                <w:sz w:val="14"/>
                <w:szCs w:val="14"/>
                <w:color w:val="auto"/>
              </w:rPr>
            </w:pPr>
          </w:p>
        </w:tc>
        <w:tc>
          <w:tcPr>
            <w:tcW w:w="8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3"/>
                <w:szCs w:val="13"/>
                <w:b w:val="1"/>
                <w:bCs w:val="1"/>
                <w:color w:val="auto"/>
                <w:w w:val="96"/>
              </w:rPr>
              <w:t>Exercisable</w:t>
            </w:r>
          </w:p>
        </w:tc>
        <w:tc>
          <w:tcPr>
            <w:tcW w:w="1260" w:type="dxa"/>
            <w:vAlign w:val="bottom"/>
            <w:tcBorders>
              <w:bottom w:val="single" w:sz="8" w:color="auto"/>
            </w:tcBorders>
            <w:gridSpan w:val="3"/>
            <w:shd w:val="clear" w:color="auto" w:fill="9DB8D2"/>
          </w:tcPr>
          <w:p>
            <w:pPr>
              <w:jc w:val="center"/>
              <w:spacing w:after="0"/>
              <w:rPr>
                <w:sz w:val="20"/>
                <w:szCs w:val="20"/>
                <w:color w:val="auto"/>
              </w:rPr>
            </w:pPr>
            <w:r>
              <w:rPr>
                <w:rFonts w:ascii="Arial" w:cs="Arial" w:eastAsia="Arial" w:hAnsi="Arial"/>
                <w:sz w:val="13"/>
                <w:szCs w:val="13"/>
                <w:b w:val="1"/>
                <w:bCs w:val="1"/>
                <w:color w:val="auto"/>
                <w:w w:val="97"/>
              </w:rPr>
              <w:t>Unexercisable</w:t>
            </w:r>
          </w:p>
        </w:tc>
        <w:tc>
          <w:tcPr>
            <w:tcW w:w="1000" w:type="dxa"/>
            <w:vAlign w:val="bottom"/>
            <w:tcBorders>
              <w:bottom w:val="single" w:sz="8" w:color="auto"/>
            </w:tcBorders>
            <w:shd w:val="clear" w:color="auto" w:fill="9DB8D2"/>
          </w:tcPr>
          <w:p>
            <w:pPr>
              <w:jc w:val="center"/>
              <w:ind w:left="133"/>
              <w:spacing w:after="0"/>
              <w:rPr>
                <w:sz w:val="20"/>
                <w:szCs w:val="20"/>
                <w:color w:val="auto"/>
              </w:rPr>
            </w:pPr>
            <w:r>
              <w:rPr>
                <w:rFonts w:ascii="Arial" w:cs="Arial" w:eastAsia="Arial" w:hAnsi="Arial"/>
                <w:sz w:val="13"/>
                <w:szCs w:val="13"/>
                <w:b w:val="1"/>
                <w:bCs w:val="1"/>
                <w:color w:val="auto"/>
                <w:w w:val="99"/>
              </w:rPr>
              <w:t>Options (#)</w:t>
            </w:r>
          </w:p>
        </w:tc>
        <w:tc>
          <w:tcPr>
            <w:tcW w:w="340" w:type="dxa"/>
            <w:vAlign w:val="bottom"/>
            <w:tcBorders>
              <w:bottom w:val="single" w:sz="8" w:color="auto"/>
            </w:tcBorders>
            <w:shd w:val="clear" w:color="auto" w:fill="9DB8D2"/>
          </w:tcPr>
          <w:p>
            <w:pPr>
              <w:spacing w:after="0"/>
              <w:rPr>
                <w:sz w:val="14"/>
                <w:szCs w:val="14"/>
                <w:color w:val="auto"/>
              </w:rPr>
            </w:pPr>
          </w:p>
        </w:tc>
        <w:tc>
          <w:tcPr>
            <w:tcW w:w="460" w:type="dxa"/>
            <w:vAlign w:val="bottom"/>
            <w:tcBorders>
              <w:bottom w:val="single" w:sz="8" w:color="auto"/>
            </w:tcBorders>
            <w:shd w:val="clear" w:color="auto" w:fill="9DB8D2"/>
          </w:tcPr>
          <w:p>
            <w:pPr>
              <w:jc w:val="center"/>
              <w:ind w:right="73"/>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gridSpan w:val="2"/>
            <w:shd w:val="clear" w:color="auto" w:fill="9DB8D2"/>
          </w:tcPr>
          <w:p>
            <w:pPr>
              <w:jc w:val="center"/>
              <w:ind w:left="33"/>
              <w:spacing w:after="0"/>
              <w:rPr>
                <w:sz w:val="20"/>
                <w:szCs w:val="20"/>
                <w:color w:val="auto"/>
              </w:rPr>
            </w:pPr>
            <w:r>
              <w:rPr>
                <w:rFonts w:ascii="Arial" w:cs="Arial" w:eastAsia="Arial" w:hAnsi="Arial"/>
                <w:sz w:val="13"/>
                <w:szCs w:val="13"/>
                <w:b w:val="1"/>
                <w:bCs w:val="1"/>
                <w:color w:val="auto"/>
                <w:w w:val="99"/>
              </w:rPr>
              <w:t>Date</w:t>
            </w:r>
          </w:p>
        </w:tc>
        <w:tc>
          <w:tcPr>
            <w:tcW w:w="1020" w:type="dxa"/>
            <w:vAlign w:val="bottom"/>
            <w:tcBorders>
              <w:bottom w:val="single" w:sz="8" w:color="auto"/>
            </w:tcBorders>
            <w:shd w:val="clear" w:color="auto" w:fill="9DB8D2"/>
          </w:tcPr>
          <w:p>
            <w:pPr>
              <w:jc w:val="center"/>
              <w:ind w:right="293"/>
              <w:spacing w:after="0"/>
              <w:rPr>
                <w:sz w:val="20"/>
                <w:szCs w:val="20"/>
                <w:color w:val="auto"/>
              </w:rPr>
            </w:pPr>
            <w:r>
              <w:rPr>
                <w:rFonts w:ascii="Arial" w:cs="Arial" w:eastAsia="Arial" w:hAnsi="Arial"/>
                <w:sz w:val="13"/>
                <w:szCs w:val="13"/>
                <w:b w:val="1"/>
                <w:bCs w:val="1"/>
                <w:color w:val="auto"/>
                <w:w w:val="94"/>
              </w:rPr>
              <w:t>(#)(1)</w:t>
            </w:r>
          </w:p>
        </w:tc>
        <w:tc>
          <w:tcPr>
            <w:tcW w:w="220" w:type="dxa"/>
            <w:vAlign w:val="bottom"/>
            <w:tcBorders>
              <w:bottom w:val="single" w:sz="8" w:color="auto"/>
            </w:tcBorders>
            <w:shd w:val="clear" w:color="auto" w:fill="9DB8D2"/>
          </w:tcPr>
          <w:p>
            <w:pPr>
              <w:spacing w:after="0"/>
              <w:rPr>
                <w:sz w:val="14"/>
                <w:szCs w:val="14"/>
                <w:color w:val="auto"/>
              </w:rPr>
            </w:pPr>
          </w:p>
        </w:tc>
        <w:tc>
          <w:tcPr>
            <w:tcW w:w="660" w:type="dxa"/>
            <w:vAlign w:val="bottom"/>
            <w:tcBorders>
              <w:bottom w:val="single" w:sz="8" w:color="auto"/>
            </w:tcBorders>
            <w:shd w:val="clear" w:color="auto" w:fill="9DB8D2"/>
          </w:tcPr>
          <w:p>
            <w:pPr>
              <w:jc w:val="center"/>
              <w:ind w:right="93"/>
              <w:spacing w:after="0"/>
              <w:rPr>
                <w:sz w:val="20"/>
                <w:szCs w:val="20"/>
                <w:color w:val="auto"/>
              </w:rPr>
            </w:pPr>
            <w:r>
              <w:rPr>
                <w:rFonts w:ascii="Arial" w:cs="Arial" w:eastAsia="Arial" w:hAnsi="Arial"/>
                <w:sz w:val="13"/>
                <w:szCs w:val="13"/>
                <w:b w:val="1"/>
                <w:bCs w:val="1"/>
                <w:color w:val="auto"/>
                <w:w w:val="94"/>
              </w:rPr>
              <w:t>($)(2)</w:t>
            </w:r>
          </w:p>
        </w:tc>
        <w:tc>
          <w:tcPr>
            <w:tcW w:w="1220" w:type="dxa"/>
            <w:vAlign w:val="bottom"/>
            <w:tcBorders>
              <w:bottom w:val="single" w:sz="8" w:color="auto"/>
            </w:tcBorders>
            <w:shd w:val="clear" w:color="auto" w:fill="9DB8D2"/>
          </w:tcPr>
          <w:p>
            <w:pPr>
              <w:jc w:val="center"/>
              <w:ind w:right="173"/>
              <w:spacing w:after="0"/>
              <w:rPr>
                <w:sz w:val="20"/>
                <w:szCs w:val="20"/>
                <w:color w:val="auto"/>
              </w:rPr>
            </w:pPr>
            <w:r>
              <w:rPr>
                <w:rFonts w:ascii="Arial" w:cs="Arial" w:eastAsia="Arial" w:hAnsi="Arial"/>
                <w:sz w:val="13"/>
                <w:szCs w:val="13"/>
                <w:b w:val="1"/>
                <w:bCs w:val="1"/>
                <w:color w:val="auto"/>
                <w:w w:val="94"/>
              </w:rPr>
              <w:t>(#)(3)</w:t>
            </w:r>
          </w:p>
        </w:tc>
        <w:tc>
          <w:tcPr>
            <w:tcW w:w="140" w:type="dxa"/>
            <w:vAlign w:val="bottom"/>
            <w:tcBorders>
              <w:bottom w:val="single" w:sz="8" w:color="auto"/>
            </w:tcBorders>
            <w:shd w:val="clear" w:color="auto" w:fill="9DB8D2"/>
          </w:tcPr>
          <w:p>
            <w:pPr>
              <w:spacing w:after="0"/>
              <w:rPr>
                <w:sz w:val="14"/>
                <w:szCs w:val="14"/>
                <w:color w:val="auto"/>
              </w:rPr>
            </w:pPr>
          </w:p>
        </w:tc>
        <w:tc>
          <w:tcPr>
            <w:tcW w:w="900" w:type="dxa"/>
            <w:vAlign w:val="bottom"/>
            <w:tcBorders>
              <w:bottom w:val="single" w:sz="8" w:color="auto"/>
            </w:tcBorders>
            <w:shd w:val="clear" w:color="auto" w:fill="9DB8D2"/>
          </w:tcPr>
          <w:p>
            <w:pPr>
              <w:jc w:val="center"/>
              <w:ind w:right="153"/>
              <w:spacing w:after="0"/>
              <w:rPr>
                <w:sz w:val="20"/>
                <w:szCs w:val="20"/>
                <w:color w:val="auto"/>
              </w:rPr>
            </w:pPr>
            <w:r>
              <w:rPr>
                <w:rFonts w:ascii="Arial" w:cs="Arial" w:eastAsia="Arial" w:hAnsi="Arial"/>
                <w:sz w:val="13"/>
                <w:szCs w:val="13"/>
                <w:b w:val="1"/>
                <w:bCs w:val="1"/>
                <w:color w:val="auto"/>
              </w:rPr>
              <w:t>($)(2)</w:t>
            </w:r>
          </w:p>
        </w:tc>
      </w:tr>
      <w:tr>
        <w:trPr>
          <w:trHeight w:val="129"/>
        </w:trPr>
        <w:tc>
          <w:tcPr>
            <w:tcW w:w="2240" w:type="dxa"/>
            <w:vAlign w:val="bottom"/>
            <w:shd w:val="clear" w:color="auto" w:fill="E6EDF3"/>
          </w:tcPr>
          <w:p>
            <w:pPr>
              <w:ind w:left="80"/>
              <w:spacing w:after="0" w:line="129" w:lineRule="exact"/>
              <w:rPr>
                <w:sz w:val="20"/>
                <w:szCs w:val="20"/>
                <w:color w:val="auto"/>
              </w:rPr>
            </w:pPr>
            <w:r>
              <w:rPr>
                <w:rFonts w:ascii="Arial" w:cs="Arial" w:eastAsia="Arial" w:hAnsi="Arial"/>
                <w:sz w:val="14"/>
                <w:szCs w:val="14"/>
                <w:color w:val="auto"/>
              </w:rPr>
              <w:t>Jonas Prising</w:t>
            </w:r>
          </w:p>
        </w:tc>
        <w:tc>
          <w:tcPr>
            <w:tcW w:w="180" w:type="dxa"/>
            <w:vAlign w:val="bottom"/>
            <w:shd w:val="clear" w:color="auto" w:fill="E6EDF3"/>
          </w:tcPr>
          <w:p>
            <w:pPr>
              <w:spacing w:after="0"/>
              <w:rPr>
                <w:sz w:val="11"/>
                <w:szCs w:val="11"/>
                <w:color w:val="auto"/>
              </w:rPr>
            </w:pPr>
          </w:p>
        </w:tc>
        <w:tc>
          <w:tcPr>
            <w:tcW w:w="800" w:type="dxa"/>
            <w:vAlign w:val="bottom"/>
            <w:shd w:val="clear" w:color="auto" w:fill="E6EDF3"/>
          </w:tcPr>
          <w:p>
            <w:pPr>
              <w:jc w:val="right"/>
              <w:spacing w:after="0" w:line="129" w:lineRule="exact"/>
              <w:rPr>
                <w:sz w:val="20"/>
                <w:szCs w:val="20"/>
                <w:color w:val="auto"/>
              </w:rPr>
            </w:pPr>
            <w:r>
              <w:rPr>
                <w:rFonts w:ascii="Arial" w:cs="Arial" w:eastAsia="Arial" w:hAnsi="Arial"/>
                <w:sz w:val="14"/>
                <w:szCs w:val="14"/>
                <w:color w:val="auto"/>
              </w:rPr>
              <w:t>30,000</w:t>
            </w:r>
          </w:p>
        </w:tc>
        <w:tc>
          <w:tcPr>
            <w:tcW w:w="260" w:type="dxa"/>
            <w:vAlign w:val="bottom"/>
            <w:shd w:val="clear" w:color="auto" w:fill="E6EDF3"/>
          </w:tcPr>
          <w:p>
            <w:pPr>
              <w:spacing w:after="0"/>
              <w:rPr>
                <w:sz w:val="11"/>
                <w:szCs w:val="11"/>
                <w:color w:val="auto"/>
              </w:rPr>
            </w:pPr>
          </w:p>
        </w:tc>
        <w:tc>
          <w:tcPr>
            <w:tcW w:w="1000" w:type="dxa"/>
            <w:vAlign w:val="bottom"/>
            <w:gridSpan w:val="2"/>
            <w:shd w:val="clear" w:color="auto" w:fill="E6EDF3"/>
          </w:tcPr>
          <w:p>
            <w:pPr>
              <w:jc w:val="right"/>
              <w:ind w:right="137"/>
              <w:spacing w:after="0" w:line="129" w:lineRule="exact"/>
              <w:rPr>
                <w:sz w:val="20"/>
                <w:szCs w:val="20"/>
                <w:color w:val="auto"/>
              </w:rPr>
            </w:pPr>
            <w:r>
              <w:rPr>
                <w:rFonts w:ascii="Arial" w:cs="Arial" w:eastAsia="Arial" w:hAnsi="Arial"/>
                <w:sz w:val="14"/>
                <w:szCs w:val="14"/>
                <w:color w:val="auto"/>
              </w:rPr>
              <w:t>—</w:t>
            </w:r>
          </w:p>
        </w:tc>
        <w:tc>
          <w:tcPr>
            <w:tcW w:w="1000" w:type="dxa"/>
            <w:vAlign w:val="bottom"/>
            <w:shd w:val="clear" w:color="auto" w:fill="E6EDF3"/>
          </w:tcPr>
          <w:p>
            <w:pPr>
              <w:jc w:val="right"/>
              <w:spacing w:after="0" w:line="129" w:lineRule="exact"/>
              <w:rPr>
                <w:sz w:val="20"/>
                <w:szCs w:val="20"/>
                <w:color w:val="auto"/>
              </w:rPr>
            </w:pPr>
            <w:r>
              <w:rPr>
                <w:rFonts w:ascii="Arial" w:cs="Arial" w:eastAsia="Arial" w:hAnsi="Arial"/>
                <w:sz w:val="14"/>
                <w:szCs w:val="14"/>
                <w:color w:val="auto"/>
              </w:rPr>
              <w:t>—</w:t>
            </w:r>
          </w:p>
        </w:tc>
        <w:tc>
          <w:tcPr>
            <w:tcW w:w="340" w:type="dxa"/>
            <w:vAlign w:val="bottom"/>
            <w:shd w:val="clear" w:color="auto" w:fill="E6EDF3"/>
          </w:tcPr>
          <w:p>
            <w:pPr>
              <w:ind w:left="240"/>
              <w:spacing w:after="0" w:line="129" w:lineRule="exact"/>
              <w:rPr>
                <w:sz w:val="20"/>
                <w:szCs w:val="20"/>
                <w:color w:val="auto"/>
              </w:rPr>
            </w:pPr>
            <w:r>
              <w:rPr>
                <w:rFonts w:ascii="Arial" w:cs="Arial" w:eastAsia="Arial" w:hAnsi="Arial"/>
                <w:sz w:val="14"/>
                <w:szCs w:val="14"/>
                <w:color w:val="auto"/>
              </w:rPr>
              <w:t>$</w:t>
            </w:r>
          </w:p>
        </w:tc>
        <w:tc>
          <w:tcPr>
            <w:tcW w:w="460" w:type="dxa"/>
            <w:vAlign w:val="bottom"/>
            <w:shd w:val="clear" w:color="auto" w:fill="E6EDF3"/>
          </w:tcPr>
          <w:p>
            <w:pPr>
              <w:jc w:val="right"/>
              <w:spacing w:after="0" w:line="129" w:lineRule="exact"/>
              <w:rPr>
                <w:sz w:val="20"/>
                <w:szCs w:val="20"/>
                <w:color w:val="auto"/>
              </w:rPr>
            </w:pPr>
            <w:r>
              <w:rPr>
                <w:rFonts w:ascii="Arial" w:cs="Arial" w:eastAsia="Arial" w:hAnsi="Arial"/>
                <w:sz w:val="14"/>
                <w:szCs w:val="14"/>
                <w:color w:val="auto"/>
              </w:rPr>
              <w:t>56.64</w:t>
            </w:r>
          </w:p>
        </w:tc>
        <w:tc>
          <w:tcPr>
            <w:tcW w:w="900" w:type="dxa"/>
            <w:vAlign w:val="bottom"/>
            <w:shd w:val="clear" w:color="auto" w:fill="E6EDF3"/>
          </w:tcPr>
          <w:p>
            <w:pPr>
              <w:jc w:val="right"/>
              <w:spacing w:after="0" w:line="129" w:lineRule="exact"/>
              <w:rPr>
                <w:sz w:val="20"/>
                <w:szCs w:val="20"/>
                <w:color w:val="auto"/>
              </w:rPr>
            </w:pPr>
            <w:r>
              <w:rPr>
                <w:rFonts w:ascii="Arial" w:cs="Arial" w:eastAsia="Arial" w:hAnsi="Arial"/>
                <w:sz w:val="14"/>
                <w:szCs w:val="14"/>
                <w:color w:val="auto"/>
              </w:rPr>
              <w:t>2/20/2018</w:t>
            </w:r>
          </w:p>
        </w:tc>
        <w:tc>
          <w:tcPr>
            <w:tcW w:w="80" w:type="dxa"/>
            <w:vAlign w:val="bottom"/>
            <w:shd w:val="clear" w:color="auto" w:fill="E6EDF3"/>
          </w:tcPr>
          <w:p>
            <w:pPr>
              <w:spacing w:after="0"/>
              <w:rPr>
                <w:sz w:val="11"/>
                <w:szCs w:val="11"/>
                <w:color w:val="auto"/>
              </w:rPr>
            </w:pPr>
          </w:p>
        </w:tc>
        <w:tc>
          <w:tcPr>
            <w:tcW w:w="1020" w:type="dxa"/>
            <w:vAlign w:val="bottom"/>
            <w:shd w:val="clear" w:color="auto" w:fill="E6EDF3"/>
          </w:tcPr>
          <w:p>
            <w:pPr>
              <w:jc w:val="right"/>
              <w:ind w:right="293"/>
              <w:spacing w:after="0" w:line="129" w:lineRule="exact"/>
              <w:rPr>
                <w:sz w:val="20"/>
                <w:szCs w:val="20"/>
                <w:color w:val="auto"/>
              </w:rPr>
            </w:pPr>
            <w:r>
              <w:rPr>
                <w:rFonts w:ascii="Arial" w:cs="Arial" w:eastAsia="Arial" w:hAnsi="Arial"/>
                <w:sz w:val="14"/>
                <w:szCs w:val="14"/>
                <w:color w:val="auto"/>
              </w:rPr>
              <w:t>—</w:t>
            </w:r>
          </w:p>
        </w:tc>
        <w:tc>
          <w:tcPr>
            <w:tcW w:w="220" w:type="dxa"/>
            <w:vAlign w:val="bottom"/>
            <w:shd w:val="clear" w:color="auto" w:fill="E6EDF3"/>
          </w:tcPr>
          <w:p>
            <w:pPr>
              <w:spacing w:after="0"/>
              <w:rPr>
                <w:sz w:val="11"/>
                <w:szCs w:val="11"/>
                <w:color w:val="auto"/>
              </w:rPr>
            </w:pPr>
          </w:p>
        </w:tc>
        <w:tc>
          <w:tcPr>
            <w:tcW w:w="660" w:type="dxa"/>
            <w:vAlign w:val="bottom"/>
            <w:shd w:val="clear" w:color="auto" w:fill="E6EDF3"/>
          </w:tcPr>
          <w:p>
            <w:pPr>
              <w:jc w:val="right"/>
              <w:spacing w:after="0" w:line="129" w:lineRule="exact"/>
              <w:rPr>
                <w:sz w:val="20"/>
                <w:szCs w:val="20"/>
                <w:color w:val="auto"/>
              </w:rPr>
            </w:pPr>
            <w:r>
              <w:rPr>
                <w:rFonts w:ascii="Arial" w:cs="Arial" w:eastAsia="Arial" w:hAnsi="Arial"/>
                <w:sz w:val="14"/>
                <w:szCs w:val="14"/>
                <w:color w:val="auto"/>
              </w:rPr>
              <w:t>—</w:t>
            </w:r>
          </w:p>
        </w:tc>
        <w:tc>
          <w:tcPr>
            <w:tcW w:w="1220" w:type="dxa"/>
            <w:vAlign w:val="bottom"/>
            <w:shd w:val="clear" w:color="auto" w:fill="E6EDF3"/>
          </w:tcPr>
          <w:p>
            <w:pPr>
              <w:jc w:val="right"/>
              <w:ind w:right="253"/>
              <w:spacing w:after="0" w:line="12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1"/>
                <w:szCs w:val="11"/>
                <w:color w:val="auto"/>
              </w:rPr>
            </w:pPr>
          </w:p>
        </w:tc>
        <w:tc>
          <w:tcPr>
            <w:tcW w:w="900" w:type="dxa"/>
            <w:vAlign w:val="bottom"/>
            <w:shd w:val="clear" w:color="auto" w:fill="E6EDF3"/>
          </w:tcPr>
          <w:p>
            <w:pPr>
              <w:jc w:val="right"/>
              <w:ind w:right="73"/>
              <w:spacing w:after="0" w:line="129" w:lineRule="exact"/>
              <w:rPr>
                <w:sz w:val="20"/>
                <w:szCs w:val="20"/>
                <w:color w:val="auto"/>
              </w:rPr>
            </w:pPr>
            <w:r>
              <w:rPr>
                <w:rFonts w:ascii="Arial" w:cs="Arial" w:eastAsia="Arial" w:hAnsi="Arial"/>
                <w:sz w:val="14"/>
                <w:szCs w:val="14"/>
                <w:color w:val="auto"/>
              </w:rPr>
              <w:t>—</w:t>
            </w:r>
          </w:p>
        </w:tc>
      </w:tr>
      <w:tr>
        <w:trPr>
          <w:trHeight w:val="176"/>
        </w:trPr>
        <w:tc>
          <w:tcPr>
            <w:tcW w:w="2240" w:type="dxa"/>
            <w:vAlign w:val="bottom"/>
            <w:shd w:val="clear" w:color="auto" w:fill="E6EDF3"/>
          </w:tcPr>
          <w:p>
            <w:pPr>
              <w:ind w:left="240"/>
              <w:spacing w:after="0"/>
              <w:rPr>
                <w:sz w:val="20"/>
                <w:szCs w:val="20"/>
                <w:color w:val="auto"/>
              </w:rPr>
            </w:pPr>
            <w:r>
              <w:rPr>
                <w:rFonts w:ascii="Arial" w:cs="Arial" w:eastAsia="Arial" w:hAnsi="Arial"/>
                <w:sz w:val="14"/>
                <w:szCs w:val="14"/>
                <w:i w:val="1"/>
                <w:iCs w:val="1"/>
                <w:color w:val="auto"/>
              </w:rPr>
              <w:t>CEO</w:t>
            </w:r>
          </w:p>
        </w:tc>
        <w:tc>
          <w:tcPr>
            <w:tcW w:w="180" w:type="dxa"/>
            <w:vAlign w:val="bottom"/>
            <w:shd w:val="clear" w:color="auto" w:fill="E6EDF3"/>
          </w:tcPr>
          <w:p>
            <w:pPr>
              <w:spacing w:after="0"/>
              <w:rPr>
                <w:sz w:val="15"/>
                <w:szCs w:val="15"/>
                <w:color w:val="auto"/>
              </w:rPr>
            </w:pPr>
          </w:p>
        </w:tc>
        <w:tc>
          <w:tcPr>
            <w:tcW w:w="800" w:type="dxa"/>
            <w:vAlign w:val="bottom"/>
            <w:shd w:val="clear" w:color="auto" w:fill="E6EDF3"/>
          </w:tcPr>
          <w:p>
            <w:pPr>
              <w:jc w:val="right"/>
              <w:spacing w:after="0"/>
              <w:rPr>
                <w:sz w:val="20"/>
                <w:szCs w:val="20"/>
                <w:color w:val="auto"/>
              </w:rPr>
            </w:pPr>
            <w:r>
              <w:rPr>
                <w:rFonts w:ascii="Arial" w:cs="Arial" w:eastAsia="Arial" w:hAnsi="Arial"/>
                <w:sz w:val="14"/>
                <w:szCs w:val="14"/>
                <w:color w:val="auto"/>
              </w:rPr>
              <w:t>22,000</w:t>
            </w:r>
          </w:p>
        </w:tc>
        <w:tc>
          <w:tcPr>
            <w:tcW w:w="260" w:type="dxa"/>
            <w:vAlign w:val="bottom"/>
            <w:shd w:val="clear" w:color="auto" w:fill="E6EDF3"/>
          </w:tcPr>
          <w:p>
            <w:pPr>
              <w:spacing w:after="0"/>
              <w:rPr>
                <w:sz w:val="15"/>
                <w:szCs w:val="15"/>
                <w:color w:val="auto"/>
              </w:rPr>
            </w:pPr>
          </w:p>
        </w:tc>
        <w:tc>
          <w:tcPr>
            <w:tcW w:w="1000" w:type="dxa"/>
            <w:vAlign w:val="bottom"/>
            <w:gridSpan w:val="2"/>
            <w:shd w:val="clear" w:color="auto" w:fill="E6EDF3"/>
          </w:tcPr>
          <w:p>
            <w:pPr>
              <w:jc w:val="right"/>
              <w:ind w:right="137"/>
              <w:spacing w:after="0"/>
              <w:rPr>
                <w:sz w:val="20"/>
                <w:szCs w:val="20"/>
                <w:color w:val="auto"/>
              </w:rPr>
            </w:pPr>
            <w:r>
              <w:rPr>
                <w:rFonts w:ascii="Arial" w:cs="Arial" w:eastAsia="Arial" w:hAnsi="Arial"/>
                <w:sz w:val="14"/>
                <w:szCs w:val="14"/>
                <w:color w:val="auto"/>
              </w:rPr>
              <w:t>—</w:t>
            </w:r>
          </w:p>
        </w:tc>
        <w:tc>
          <w:tcPr>
            <w:tcW w:w="100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E6EDF3"/>
          </w:tcPr>
          <w:p>
            <w:pPr>
              <w:ind w:left="240"/>
              <w:spacing w:after="0"/>
              <w:rPr>
                <w:sz w:val="20"/>
                <w:szCs w:val="20"/>
                <w:color w:val="auto"/>
              </w:rPr>
            </w:pPr>
            <w:r>
              <w:rPr>
                <w:rFonts w:ascii="Arial" w:cs="Arial" w:eastAsia="Arial" w:hAnsi="Arial"/>
                <w:sz w:val="14"/>
                <w:szCs w:val="14"/>
                <w:color w:val="auto"/>
              </w:rPr>
              <w:t>$</w:t>
            </w:r>
          </w:p>
        </w:tc>
        <w:tc>
          <w:tcPr>
            <w:tcW w:w="4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53.01</w:t>
            </w:r>
          </w:p>
        </w:tc>
        <w:tc>
          <w:tcPr>
            <w:tcW w:w="900" w:type="dxa"/>
            <w:vAlign w:val="bottom"/>
            <w:shd w:val="clear" w:color="auto" w:fill="E6EDF3"/>
          </w:tcPr>
          <w:p>
            <w:pPr>
              <w:jc w:val="right"/>
              <w:spacing w:after="0"/>
              <w:rPr>
                <w:sz w:val="20"/>
                <w:szCs w:val="20"/>
                <w:color w:val="auto"/>
              </w:rPr>
            </w:pPr>
            <w:r>
              <w:rPr>
                <w:rFonts w:ascii="Arial" w:cs="Arial" w:eastAsia="Arial" w:hAnsi="Arial"/>
                <w:sz w:val="14"/>
                <w:szCs w:val="14"/>
                <w:color w:val="auto"/>
              </w:rPr>
              <w:t>2/18/2020</w:t>
            </w:r>
          </w:p>
        </w:tc>
        <w:tc>
          <w:tcPr>
            <w:tcW w:w="80" w:type="dxa"/>
            <w:vAlign w:val="bottom"/>
            <w:shd w:val="clear" w:color="auto" w:fill="E6EDF3"/>
          </w:tcPr>
          <w:p>
            <w:pPr>
              <w:spacing w:after="0"/>
              <w:rPr>
                <w:sz w:val="15"/>
                <w:szCs w:val="15"/>
                <w:color w:val="auto"/>
              </w:rPr>
            </w:pPr>
          </w:p>
        </w:tc>
        <w:tc>
          <w:tcPr>
            <w:tcW w:w="1020" w:type="dxa"/>
            <w:vAlign w:val="bottom"/>
            <w:shd w:val="clear" w:color="auto" w:fill="E6EDF3"/>
          </w:tcPr>
          <w:p>
            <w:pPr>
              <w:jc w:val="right"/>
              <w:ind w:right="293"/>
              <w:spacing w:after="0"/>
              <w:rPr>
                <w:sz w:val="20"/>
                <w:szCs w:val="20"/>
                <w:color w:val="auto"/>
              </w:rPr>
            </w:pPr>
            <w:r>
              <w:rPr>
                <w:rFonts w:ascii="Arial" w:cs="Arial" w:eastAsia="Arial" w:hAnsi="Arial"/>
                <w:sz w:val="14"/>
                <w:szCs w:val="14"/>
                <w:color w:val="auto"/>
              </w:rPr>
              <w:t>—</w:t>
            </w:r>
          </w:p>
        </w:tc>
        <w:tc>
          <w:tcPr>
            <w:tcW w:w="220" w:type="dxa"/>
            <w:vAlign w:val="bottom"/>
            <w:shd w:val="clear" w:color="auto" w:fill="E6EDF3"/>
          </w:tcPr>
          <w:p>
            <w:pPr>
              <w:spacing w:after="0"/>
              <w:rPr>
                <w:sz w:val="15"/>
                <w:szCs w:val="15"/>
                <w:color w:val="auto"/>
              </w:rPr>
            </w:pP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E6EDF3"/>
          </w:tcPr>
          <w:p>
            <w:pPr>
              <w:jc w:val="right"/>
              <w:ind w:right="253"/>
              <w:spacing w:after="0"/>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5"/>
                <w:szCs w:val="15"/>
                <w:color w:val="auto"/>
              </w:rPr>
            </w:pPr>
          </w:p>
        </w:tc>
        <w:tc>
          <w:tcPr>
            <w:tcW w:w="900" w:type="dxa"/>
            <w:vAlign w:val="bottom"/>
            <w:shd w:val="clear" w:color="auto" w:fill="E6EDF3"/>
          </w:tcPr>
          <w:p>
            <w:pPr>
              <w:jc w:val="right"/>
              <w:ind w:right="73"/>
              <w:spacing w:after="0"/>
              <w:rPr>
                <w:sz w:val="20"/>
                <w:szCs w:val="20"/>
                <w:color w:val="auto"/>
              </w:rPr>
            </w:pPr>
            <w:r>
              <w:rPr>
                <w:rFonts w:ascii="Arial" w:cs="Arial" w:eastAsia="Arial" w:hAnsi="Arial"/>
                <w:sz w:val="14"/>
                <w:szCs w:val="14"/>
                <w:color w:val="auto"/>
              </w:rPr>
              <w:t>—</w:t>
            </w:r>
          </w:p>
        </w:tc>
      </w:tr>
      <w:tr>
        <w:trPr>
          <w:trHeight w:val="149"/>
        </w:trPr>
        <w:tc>
          <w:tcPr>
            <w:tcW w:w="2240" w:type="dxa"/>
            <w:vAlign w:val="bottom"/>
            <w:shd w:val="clear" w:color="auto" w:fill="E6EDF3"/>
          </w:tcPr>
          <w:p>
            <w:pPr>
              <w:spacing w:after="0"/>
              <w:rPr>
                <w:sz w:val="12"/>
                <w:szCs w:val="12"/>
                <w:color w:val="auto"/>
              </w:rPr>
            </w:pPr>
          </w:p>
        </w:tc>
        <w:tc>
          <w:tcPr>
            <w:tcW w:w="18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9,934</w:t>
            </w:r>
          </w:p>
        </w:tc>
        <w:tc>
          <w:tcPr>
            <w:tcW w:w="260" w:type="dxa"/>
            <w:vAlign w:val="bottom"/>
            <w:shd w:val="clear" w:color="auto" w:fill="E6EDF3"/>
          </w:tcPr>
          <w:p>
            <w:pPr>
              <w:spacing w:after="0"/>
              <w:rPr>
                <w:sz w:val="12"/>
                <w:szCs w:val="12"/>
                <w:color w:val="auto"/>
              </w:rPr>
            </w:pPr>
          </w:p>
        </w:tc>
        <w:tc>
          <w:tcPr>
            <w:tcW w:w="1000" w:type="dxa"/>
            <w:vAlign w:val="bottom"/>
            <w:gridSpan w:val="2"/>
            <w:shd w:val="clear" w:color="auto" w:fill="E6EDF3"/>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6EDF3"/>
          </w:tcPr>
          <w:p>
            <w:pPr>
              <w:ind w:left="2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67.12</w:t>
            </w:r>
          </w:p>
        </w:tc>
        <w:tc>
          <w:tcPr>
            <w:tcW w:w="9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2/16/2021</w:t>
            </w:r>
          </w:p>
        </w:tc>
        <w:tc>
          <w:tcPr>
            <w:tcW w:w="80" w:type="dxa"/>
            <w:vAlign w:val="bottom"/>
            <w:shd w:val="clear" w:color="auto" w:fill="E6EDF3"/>
          </w:tcPr>
          <w:p>
            <w:pPr>
              <w:spacing w:after="0"/>
              <w:rPr>
                <w:sz w:val="12"/>
                <w:szCs w:val="12"/>
                <w:color w:val="auto"/>
              </w:rPr>
            </w:pPr>
          </w:p>
        </w:tc>
        <w:tc>
          <w:tcPr>
            <w:tcW w:w="1020" w:type="dxa"/>
            <w:vAlign w:val="bottom"/>
            <w:shd w:val="clear" w:color="auto" w:fill="E6EDF3"/>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6EDF3"/>
          </w:tcPr>
          <w:p>
            <w:pPr>
              <w:spacing w:after="0"/>
              <w:rPr>
                <w:sz w:val="12"/>
                <w:szCs w:val="12"/>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6EDF3"/>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r>
      <w:tr>
        <w:trPr>
          <w:trHeight w:val="149"/>
        </w:trPr>
        <w:tc>
          <w:tcPr>
            <w:tcW w:w="2240" w:type="dxa"/>
            <w:vAlign w:val="bottom"/>
            <w:shd w:val="clear" w:color="auto" w:fill="E6EDF3"/>
          </w:tcPr>
          <w:p>
            <w:pPr>
              <w:spacing w:after="0"/>
              <w:rPr>
                <w:sz w:val="12"/>
                <w:szCs w:val="12"/>
                <w:color w:val="auto"/>
              </w:rPr>
            </w:pPr>
          </w:p>
        </w:tc>
        <w:tc>
          <w:tcPr>
            <w:tcW w:w="18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16,812</w:t>
            </w:r>
          </w:p>
        </w:tc>
        <w:tc>
          <w:tcPr>
            <w:tcW w:w="260" w:type="dxa"/>
            <w:vAlign w:val="bottom"/>
            <w:shd w:val="clear" w:color="auto" w:fill="E6EDF3"/>
          </w:tcPr>
          <w:p>
            <w:pPr>
              <w:spacing w:after="0"/>
              <w:rPr>
                <w:sz w:val="12"/>
                <w:szCs w:val="12"/>
                <w:color w:val="auto"/>
              </w:rPr>
            </w:pPr>
          </w:p>
        </w:tc>
        <w:tc>
          <w:tcPr>
            <w:tcW w:w="1000" w:type="dxa"/>
            <w:vAlign w:val="bottom"/>
            <w:gridSpan w:val="2"/>
            <w:shd w:val="clear" w:color="auto" w:fill="E6EDF3"/>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6EDF3"/>
          </w:tcPr>
          <w:p>
            <w:pPr>
              <w:ind w:left="2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44.81</w:t>
            </w:r>
          </w:p>
        </w:tc>
        <w:tc>
          <w:tcPr>
            <w:tcW w:w="9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2/15/2022</w:t>
            </w:r>
          </w:p>
        </w:tc>
        <w:tc>
          <w:tcPr>
            <w:tcW w:w="80" w:type="dxa"/>
            <w:vAlign w:val="bottom"/>
            <w:shd w:val="clear" w:color="auto" w:fill="E6EDF3"/>
          </w:tcPr>
          <w:p>
            <w:pPr>
              <w:spacing w:after="0"/>
              <w:rPr>
                <w:sz w:val="12"/>
                <w:szCs w:val="12"/>
                <w:color w:val="auto"/>
              </w:rPr>
            </w:pPr>
          </w:p>
        </w:tc>
        <w:tc>
          <w:tcPr>
            <w:tcW w:w="1020" w:type="dxa"/>
            <w:vAlign w:val="bottom"/>
            <w:shd w:val="clear" w:color="auto" w:fill="E6EDF3"/>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6EDF3"/>
          </w:tcPr>
          <w:p>
            <w:pPr>
              <w:spacing w:after="0"/>
              <w:rPr>
                <w:sz w:val="12"/>
                <w:szCs w:val="12"/>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6EDF3"/>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r>
      <w:tr>
        <w:trPr>
          <w:trHeight w:val="149"/>
        </w:trPr>
        <w:tc>
          <w:tcPr>
            <w:tcW w:w="2240" w:type="dxa"/>
            <w:vAlign w:val="bottom"/>
            <w:shd w:val="clear" w:color="auto" w:fill="E6EDF3"/>
          </w:tcPr>
          <w:p>
            <w:pPr>
              <w:spacing w:after="0"/>
              <w:rPr>
                <w:sz w:val="12"/>
                <w:szCs w:val="12"/>
                <w:color w:val="auto"/>
              </w:rPr>
            </w:pPr>
          </w:p>
        </w:tc>
        <w:tc>
          <w:tcPr>
            <w:tcW w:w="18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18,662</w:t>
            </w:r>
          </w:p>
        </w:tc>
        <w:tc>
          <w:tcPr>
            <w:tcW w:w="1260" w:type="dxa"/>
            <w:vAlign w:val="bottom"/>
            <w:gridSpan w:val="3"/>
            <w:shd w:val="clear" w:color="auto" w:fill="E6EDF3"/>
          </w:tcPr>
          <w:p>
            <w:pPr>
              <w:jc w:val="right"/>
              <w:spacing w:after="0" w:line="149" w:lineRule="exact"/>
              <w:rPr>
                <w:sz w:val="20"/>
                <w:szCs w:val="20"/>
                <w:color w:val="auto"/>
              </w:rPr>
            </w:pPr>
            <w:r>
              <w:rPr>
                <w:rFonts w:ascii="Arial" w:cs="Arial" w:eastAsia="Arial" w:hAnsi="Arial"/>
                <w:sz w:val="14"/>
                <w:szCs w:val="14"/>
                <w:color w:val="auto"/>
              </w:rPr>
              <w:t>6,221(4)</w:t>
            </w:r>
          </w:p>
        </w:tc>
        <w:tc>
          <w:tcPr>
            <w:tcW w:w="10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6EDF3"/>
          </w:tcPr>
          <w:p>
            <w:pPr>
              <w:ind w:left="2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52.55</w:t>
            </w:r>
          </w:p>
        </w:tc>
        <w:tc>
          <w:tcPr>
            <w:tcW w:w="9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2/13/2023</w:t>
            </w:r>
          </w:p>
        </w:tc>
        <w:tc>
          <w:tcPr>
            <w:tcW w:w="80" w:type="dxa"/>
            <w:vAlign w:val="bottom"/>
            <w:shd w:val="clear" w:color="auto" w:fill="E6EDF3"/>
          </w:tcPr>
          <w:p>
            <w:pPr>
              <w:spacing w:after="0"/>
              <w:rPr>
                <w:sz w:val="12"/>
                <w:szCs w:val="12"/>
                <w:color w:val="auto"/>
              </w:rPr>
            </w:pPr>
          </w:p>
        </w:tc>
        <w:tc>
          <w:tcPr>
            <w:tcW w:w="1020" w:type="dxa"/>
            <w:vAlign w:val="bottom"/>
            <w:shd w:val="clear" w:color="auto" w:fill="E6EDF3"/>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6EDF3"/>
          </w:tcPr>
          <w:p>
            <w:pPr>
              <w:spacing w:after="0"/>
              <w:rPr>
                <w:sz w:val="12"/>
                <w:szCs w:val="12"/>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6EDF3"/>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r>
      <w:tr>
        <w:trPr>
          <w:trHeight w:val="149"/>
        </w:trPr>
        <w:tc>
          <w:tcPr>
            <w:tcW w:w="2240" w:type="dxa"/>
            <w:vAlign w:val="bottom"/>
            <w:shd w:val="clear" w:color="auto" w:fill="E6EDF3"/>
          </w:tcPr>
          <w:p>
            <w:pPr>
              <w:spacing w:after="0"/>
              <w:rPr>
                <w:sz w:val="12"/>
                <w:szCs w:val="12"/>
                <w:color w:val="auto"/>
              </w:rPr>
            </w:pPr>
          </w:p>
        </w:tc>
        <w:tc>
          <w:tcPr>
            <w:tcW w:w="18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7,840</w:t>
            </w:r>
          </w:p>
        </w:tc>
        <w:tc>
          <w:tcPr>
            <w:tcW w:w="260" w:type="dxa"/>
            <w:vAlign w:val="bottom"/>
            <w:shd w:val="clear" w:color="auto" w:fill="E6EDF3"/>
          </w:tcPr>
          <w:p>
            <w:pPr>
              <w:spacing w:after="0"/>
              <w:rPr>
                <w:sz w:val="12"/>
                <w:szCs w:val="12"/>
                <w:color w:val="auto"/>
              </w:rPr>
            </w:pPr>
          </w:p>
        </w:tc>
        <w:tc>
          <w:tcPr>
            <w:tcW w:w="1000" w:type="dxa"/>
            <w:vAlign w:val="bottom"/>
            <w:gridSpan w:val="2"/>
            <w:shd w:val="clear" w:color="auto" w:fill="E6EDF3"/>
          </w:tcPr>
          <w:p>
            <w:pPr>
              <w:jc w:val="right"/>
              <w:spacing w:after="0" w:line="149" w:lineRule="exact"/>
              <w:rPr>
                <w:sz w:val="20"/>
                <w:szCs w:val="20"/>
                <w:color w:val="auto"/>
              </w:rPr>
            </w:pPr>
            <w:r>
              <w:rPr>
                <w:rFonts w:ascii="Arial" w:cs="Arial" w:eastAsia="Arial" w:hAnsi="Arial"/>
                <w:sz w:val="14"/>
                <w:szCs w:val="14"/>
                <w:color w:val="auto"/>
              </w:rPr>
              <w:t>7,841(5)</w:t>
            </w:r>
          </w:p>
        </w:tc>
        <w:tc>
          <w:tcPr>
            <w:tcW w:w="10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6EDF3"/>
          </w:tcPr>
          <w:p>
            <w:pPr>
              <w:ind w:left="2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76.13</w:t>
            </w:r>
          </w:p>
        </w:tc>
        <w:tc>
          <w:tcPr>
            <w:tcW w:w="9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2/11/2024</w:t>
            </w:r>
          </w:p>
        </w:tc>
        <w:tc>
          <w:tcPr>
            <w:tcW w:w="80" w:type="dxa"/>
            <w:vAlign w:val="bottom"/>
            <w:shd w:val="clear" w:color="auto" w:fill="E6EDF3"/>
          </w:tcPr>
          <w:p>
            <w:pPr>
              <w:spacing w:after="0"/>
              <w:rPr>
                <w:sz w:val="12"/>
                <w:szCs w:val="12"/>
                <w:color w:val="auto"/>
              </w:rPr>
            </w:pPr>
          </w:p>
        </w:tc>
        <w:tc>
          <w:tcPr>
            <w:tcW w:w="1020" w:type="dxa"/>
            <w:vAlign w:val="bottom"/>
            <w:shd w:val="clear" w:color="auto" w:fill="E6EDF3"/>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6EDF3"/>
          </w:tcPr>
          <w:p>
            <w:pPr>
              <w:spacing w:after="0"/>
              <w:rPr>
                <w:sz w:val="12"/>
                <w:szCs w:val="12"/>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6EDF3"/>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r>
      <w:tr>
        <w:trPr>
          <w:trHeight w:val="149"/>
        </w:trPr>
        <w:tc>
          <w:tcPr>
            <w:tcW w:w="2240" w:type="dxa"/>
            <w:vAlign w:val="bottom"/>
            <w:shd w:val="clear" w:color="auto" w:fill="E6EDF3"/>
          </w:tcPr>
          <w:p>
            <w:pPr>
              <w:spacing w:after="0"/>
              <w:rPr>
                <w:sz w:val="12"/>
                <w:szCs w:val="12"/>
                <w:color w:val="auto"/>
              </w:rPr>
            </w:pPr>
          </w:p>
        </w:tc>
        <w:tc>
          <w:tcPr>
            <w:tcW w:w="18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13,255</w:t>
            </w:r>
          </w:p>
        </w:tc>
        <w:tc>
          <w:tcPr>
            <w:tcW w:w="260" w:type="dxa"/>
            <w:vAlign w:val="bottom"/>
            <w:shd w:val="clear" w:color="auto" w:fill="E6EDF3"/>
          </w:tcPr>
          <w:p>
            <w:pPr>
              <w:spacing w:after="0"/>
              <w:rPr>
                <w:sz w:val="12"/>
                <w:szCs w:val="12"/>
                <w:color w:val="auto"/>
              </w:rPr>
            </w:pPr>
          </w:p>
        </w:tc>
        <w:tc>
          <w:tcPr>
            <w:tcW w:w="1000" w:type="dxa"/>
            <w:vAlign w:val="bottom"/>
            <w:gridSpan w:val="2"/>
            <w:shd w:val="clear" w:color="auto" w:fill="E6EDF3"/>
          </w:tcPr>
          <w:p>
            <w:pPr>
              <w:jc w:val="right"/>
              <w:spacing w:after="0" w:line="149" w:lineRule="exact"/>
              <w:rPr>
                <w:sz w:val="20"/>
                <w:szCs w:val="20"/>
                <w:color w:val="auto"/>
              </w:rPr>
            </w:pPr>
            <w:r>
              <w:rPr>
                <w:rFonts w:ascii="Arial" w:cs="Arial" w:eastAsia="Arial" w:hAnsi="Arial"/>
                <w:sz w:val="14"/>
                <w:szCs w:val="14"/>
                <w:color w:val="auto"/>
              </w:rPr>
              <w:t>13,255(6)</w:t>
            </w:r>
          </w:p>
        </w:tc>
        <w:tc>
          <w:tcPr>
            <w:tcW w:w="10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6EDF3"/>
          </w:tcPr>
          <w:p>
            <w:pPr>
              <w:ind w:left="2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82.24</w:t>
            </w:r>
          </w:p>
        </w:tc>
        <w:tc>
          <w:tcPr>
            <w:tcW w:w="9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5/1/2024</w:t>
            </w:r>
          </w:p>
        </w:tc>
        <w:tc>
          <w:tcPr>
            <w:tcW w:w="80" w:type="dxa"/>
            <w:vAlign w:val="bottom"/>
            <w:shd w:val="clear" w:color="auto" w:fill="E6EDF3"/>
          </w:tcPr>
          <w:p>
            <w:pPr>
              <w:spacing w:after="0"/>
              <w:rPr>
                <w:sz w:val="12"/>
                <w:szCs w:val="12"/>
                <w:color w:val="auto"/>
              </w:rPr>
            </w:pPr>
          </w:p>
        </w:tc>
        <w:tc>
          <w:tcPr>
            <w:tcW w:w="1020" w:type="dxa"/>
            <w:vAlign w:val="bottom"/>
            <w:shd w:val="clear" w:color="auto" w:fill="E6EDF3"/>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6EDF3"/>
          </w:tcPr>
          <w:p>
            <w:pPr>
              <w:spacing w:after="0"/>
              <w:rPr>
                <w:sz w:val="12"/>
                <w:szCs w:val="12"/>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6EDF3"/>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r>
      <w:tr>
        <w:trPr>
          <w:trHeight w:val="148"/>
        </w:trPr>
        <w:tc>
          <w:tcPr>
            <w:tcW w:w="2240" w:type="dxa"/>
            <w:vAlign w:val="bottom"/>
            <w:shd w:val="clear" w:color="auto" w:fill="E6EDF3"/>
          </w:tcPr>
          <w:p>
            <w:pPr>
              <w:spacing w:after="0"/>
              <w:rPr>
                <w:sz w:val="12"/>
                <w:szCs w:val="12"/>
                <w:color w:val="auto"/>
              </w:rPr>
            </w:pPr>
          </w:p>
        </w:tc>
        <w:tc>
          <w:tcPr>
            <w:tcW w:w="18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8" w:lineRule="exact"/>
              <w:rPr>
                <w:sz w:val="20"/>
                <w:szCs w:val="20"/>
                <w:color w:val="auto"/>
              </w:rPr>
            </w:pPr>
            <w:r>
              <w:rPr>
                <w:rFonts w:ascii="Arial" w:cs="Arial" w:eastAsia="Arial" w:hAnsi="Arial"/>
                <w:sz w:val="14"/>
                <w:szCs w:val="14"/>
                <w:color w:val="auto"/>
              </w:rPr>
              <w:t>13,019</w:t>
            </w:r>
          </w:p>
        </w:tc>
        <w:tc>
          <w:tcPr>
            <w:tcW w:w="260" w:type="dxa"/>
            <w:vAlign w:val="bottom"/>
            <w:shd w:val="clear" w:color="auto" w:fill="E6EDF3"/>
          </w:tcPr>
          <w:p>
            <w:pPr>
              <w:spacing w:after="0"/>
              <w:rPr>
                <w:sz w:val="12"/>
                <w:szCs w:val="12"/>
                <w:color w:val="auto"/>
              </w:rPr>
            </w:pPr>
          </w:p>
        </w:tc>
        <w:tc>
          <w:tcPr>
            <w:tcW w:w="100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39,059(7)</w:t>
            </w:r>
          </w:p>
        </w:tc>
        <w:tc>
          <w:tcPr>
            <w:tcW w:w="10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340" w:type="dxa"/>
            <w:vAlign w:val="bottom"/>
          </w:tcPr>
          <w:p>
            <w:pPr>
              <w:ind w:left="240"/>
              <w:spacing w:after="0" w:line="148"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8" w:lineRule="exact"/>
              <w:rPr>
                <w:sz w:val="20"/>
                <w:szCs w:val="20"/>
                <w:color w:val="auto"/>
              </w:rPr>
            </w:pPr>
            <w:r>
              <w:rPr>
                <w:rFonts w:ascii="Arial" w:cs="Arial" w:eastAsia="Arial" w:hAnsi="Arial"/>
                <w:sz w:val="14"/>
                <w:szCs w:val="14"/>
                <w:color w:val="auto"/>
              </w:rPr>
              <w:t>76.97</w:t>
            </w:r>
          </w:p>
        </w:tc>
        <w:tc>
          <w:tcPr>
            <w:tcW w:w="900" w:type="dxa"/>
            <w:vAlign w:val="bottom"/>
          </w:tcPr>
          <w:p>
            <w:pPr>
              <w:jc w:val="right"/>
              <w:spacing w:after="0" w:line="148" w:lineRule="exact"/>
              <w:rPr>
                <w:sz w:val="20"/>
                <w:szCs w:val="20"/>
                <w:color w:val="auto"/>
              </w:rPr>
            </w:pPr>
            <w:r>
              <w:rPr>
                <w:rFonts w:ascii="Arial" w:cs="Arial" w:eastAsia="Arial" w:hAnsi="Arial"/>
                <w:sz w:val="14"/>
                <w:szCs w:val="14"/>
                <w:color w:val="auto"/>
              </w:rPr>
              <w:t>2/10/2025</w:t>
            </w:r>
          </w:p>
        </w:tc>
        <w:tc>
          <w:tcPr>
            <w:tcW w:w="80" w:type="dxa"/>
            <w:vAlign w:val="bottom"/>
          </w:tcPr>
          <w:p>
            <w:pPr>
              <w:spacing w:after="0"/>
              <w:rPr>
                <w:sz w:val="12"/>
                <w:szCs w:val="12"/>
                <w:color w:val="auto"/>
              </w:rPr>
            </w:pPr>
          </w:p>
        </w:tc>
        <w:tc>
          <w:tcPr>
            <w:tcW w:w="1020" w:type="dxa"/>
            <w:vAlign w:val="bottom"/>
          </w:tcPr>
          <w:p>
            <w:pPr>
              <w:jc w:val="right"/>
              <w:ind w:right="293"/>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253"/>
              <w:spacing w:after="0" w:line="14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tcPr>
          <w:p>
            <w:pPr>
              <w:jc w:val="right"/>
              <w:ind w:right="73"/>
              <w:spacing w:after="0" w:line="148" w:lineRule="exact"/>
              <w:rPr>
                <w:sz w:val="20"/>
                <w:szCs w:val="20"/>
                <w:color w:val="auto"/>
              </w:rPr>
            </w:pPr>
            <w:r>
              <w:rPr>
                <w:rFonts w:ascii="Arial" w:cs="Arial" w:eastAsia="Arial" w:hAnsi="Arial"/>
                <w:sz w:val="14"/>
                <w:szCs w:val="14"/>
                <w:color w:val="auto"/>
              </w:rPr>
              <w:t>—</w:t>
            </w:r>
          </w:p>
        </w:tc>
      </w:tr>
      <w:tr>
        <w:trPr>
          <w:trHeight w:val="149"/>
        </w:trPr>
        <w:tc>
          <w:tcPr>
            <w:tcW w:w="2240" w:type="dxa"/>
            <w:vAlign w:val="bottom"/>
            <w:shd w:val="clear" w:color="auto" w:fill="E6EDF3"/>
          </w:tcPr>
          <w:p>
            <w:pPr>
              <w:spacing w:after="0"/>
              <w:rPr>
                <w:sz w:val="12"/>
                <w:szCs w:val="12"/>
                <w:color w:val="auto"/>
              </w:rPr>
            </w:pPr>
          </w:p>
        </w:tc>
        <w:tc>
          <w:tcPr>
            <w:tcW w:w="18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76,220(8)</w:t>
            </w:r>
          </w:p>
        </w:tc>
        <w:tc>
          <w:tcPr>
            <w:tcW w:w="10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6EDF3"/>
          </w:tcPr>
          <w:p>
            <w:pPr>
              <w:ind w:left="2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75.07</w:t>
            </w:r>
          </w:p>
        </w:tc>
        <w:tc>
          <w:tcPr>
            <w:tcW w:w="9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2/16/2026</w:t>
            </w:r>
          </w:p>
        </w:tc>
        <w:tc>
          <w:tcPr>
            <w:tcW w:w="80" w:type="dxa"/>
            <w:vAlign w:val="bottom"/>
            <w:shd w:val="clear" w:color="auto" w:fill="E6EDF3"/>
          </w:tcPr>
          <w:p>
            <w:pPr>
              <w:spacing w:after="0"/>
              <w:rPr>
                <w:sz w:val="12"/>
                <w:szCs w:val="12"/>
                <w:color w:val="auto"/>
              </w:rPr>
            </w:pPr>
          </w:p>
        </w:tc>
        <w:tc>
          <w:tcPr>
            <w:tcW w:w="1020" w:type="dxa"/>
            <w:vAlign w:val="bottom"/>
            <w:shd w:val="clear" w:color="auto" w:fill="E6EDF3"/>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6EDF3"/>
          </w:tcPr>
          <w:p>
            <w:pPr>
              <w:spacing w:after="0"/>
              <w:rPr>
                <w:sz w:val="12"/>
                <w:szCs w:val="12"/>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6EDF3"/>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r>
      <w:tr>
        <w:trPr>
          <w:trHeight w:val="149"/>
        </w:trPr>
        <w:tc>
          <w:tcPr>
            <w:tcW w:w="2240" w:type="dxa"/>
            <w:vAlign w:val="bottom"/>
            <w:shd w:val="clear" w:color="auto" w:fill="E6EDF3"/>
          </w:tcPr>
          <w:p>
            <w:pPr>
              <w:spacing w:after="0"/>
              <w:rPr>
                <w:sz w:val="12"/>
                <w:szCs w:val="12"/>
                <w:color w:val="auto"/>
              </w:rPr>
            </w:pPr>
          </w:p>
        </w:tc>
        <w:tc>
          <w:tcPr>
            <w:tcW w:w="18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6EDF3"/>
          </w:tcPr>
          <w:p>
            <w:pPr>
              <w:spacing w:after="0"/>
              <w:rPr>
                <w:sz w:val="12"/>
                <w:szCs w:val="12"/>
                <w:color w:val="auto"/>
              </w:rPr>
            </w:pPr>
          </w:p>
        </w:tc>
        <w:tc>
          <w:tcPr>
            <w:tcW w:w="4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6EDF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30,528(11)</w:t>
            </w:r>
          </w:p>
        </w:tc>
        <w:tc>
          <w:tcPr>
            <w:tcW w:w="880" w:type="dxa"/>
            <w:vAlign w:val="bottom"/>
            <w:gridSpan w:val="2"/>
            <w:shd w:val="clear" w:color="auto" w:fill="E6EDF3"/>
          </w:tcPr>
          <w:p>
            <w:pPr>
              <w:jc w:val="right"/>
              <w:spacing w:after="0" w:line="149" w:lineRule="exact"/>
              <w:rPr>
                <w:sz w:val="20"/>
                <w:szCs w:val="20"/>
                <w:color w:val="auto"/>
              </w:rPr>
            </w:pPr>
            <w:r>
              <w:rPr>
                <w:rFonts w:ascii="Arial" w:cs="Arial" w:eastAsia="Arial" w:hAnsi="Arial"/>
                <w:sz w:val="14"/>
                <w:szCs w:val="14"/>
                <w:color w:val="auto"/>
              </w:rPr>
              <w:t>$2,713,023</w:t>
            </w:r>
          </w:p>
        </w:tc>
        <w:tc>
          <w:tcPr>
            <w:tcW w:w="1220" w:type="dxa"/>
            <w:vAlign w:val="bottom"/>
            <w:shd w:val="clear" w:color="auto" w:fill="E6EDF3"/>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r>
      <w:tr>
        <w:trPr>
          <w:trHeight w:val="149"/>
        </w:trPr>
        <w:tc>
          <w:tcPr>
            <w:tcW w:w="2240" w:type="dxa"/>
            <w:vAlign w:val="bottom"/>
            <w:shd w:val="clear" w:color="auto" w:fill="E6EDF3"/>
          </w:tcPr>
          <w:p>
            <w:pPr>
              <w:spacing w:after="0"/>
              <w:rPr>
                <w:sz w:val="12"/>
                <w:szCs w:val="12"/>
                <w:color w:val="auto"/>
              </w:rPr>
            </w:pPr>
          </w:p>
        </w:tc>
        <w:tc>
          <w:tcPr>
            <w:tcW w:w="18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6EDF3"/>
          </w:tcPr>
          <w:p>
            <w:pPr>
              <w:spacing w:after="0"/>
              <w:rPr>
                <w:sz w:val="12"/>
                <w:szCs w:val="12"/>
                <w:color w:val="auto"/>
              </w:rPr>
            </w:pPr>
          </w:p>
        </w:tc>
        <w:tc>
          <w:tcPr>
            <w:tcW w:w="4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6EDF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E6EDF3"/>
          </w:tcPr>
          <w:p>
            <w:pPr>
              <w:jc w:val="right"/>
              <w:ind w:right="133"/>
              <w:spacing w:after="0" w:line="149" w:lineRule="exact"/>
              <w:rPr>
                <w:sz w:val="20"/>
                <w:szCs w:val="20"/>
                <w:color w:val="auto"/>
              </w:rPr>
            </w:pPr>
            <w:r>
              <w:rPr>
                <w:rFonts w:ascii="Arial" w:cs="Arial" w:eastAsia="Arial" w:hAnsi="Arial"/>
                <w:sz w:val="14"/>
                <w:szCs w:val="14"/>
                <w:color w:val="auto"/>
              </w:rPr>
              <w:t>5,544(9)</w:t>
            </w:r>
          </w:p>
        </w:tc>
        <w:tc>
          <w:tcPr>
            <w:tcW w:w="220" w:type="dxa"/>
            <w:vAlign w:val="bottom"/>
            <w:shd w:val="clear" w:color="auto" w:fill="E6EDF3"/>
          </w:tcPr>
          <w:p>
            <w:pPr>
              <w:ind w:lef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492,695</w:t>
            </w:r>
          </w:p>
        </w:tc>
        <w:tc>
          <w:tcPr>
            <w:tcW w:w="1220" w:type="dxa"/>
            <w:vAlign w:val="bottom"/>
            <w:shd w:val="clear" w:color="auto" w:fill="E6EDF3"/>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r>
      <w:tr>
        <w:trPr>
          <w:trHeight w:val="149"/>
        </w:trPr>
        <w:tc>
          <w:tcPr>
            <w:tcW w:w="2240" w:type="dxa"/>
            <w:vAlign w:val="bottom"/>
            <w:shd w:val="clear" w:color="auto" w:fill="E6EDF3"/>
          </w:tcPr>
          <w:p>
            <w:pPr>
              <w:spacing w:after="0"/>
              <w:rPr>
                <w:sz w:val="12"/>
                <w:szCs w:val="12"/>
                <w:color w:val="auto"/>
              </w:rPr>
            </w:pPr>
          </w:p>
        </w:tc>
        <w:tc>
          <w:tcPr>
            <w:tcW w:w="18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6EDF3"/>
          </w:tcPr>
          <w:p>
            <w:pPr>
              <w:spacing w:after="0"/>
              <w:rPr>
                <w:sz w:val="12"/>
                <w:szCs w:val="12"/>
                <w:color w:val="auto"/>
              </w:rPr>
            </w:pPr>
          </w:p>
        </w:tc>
        <w:tc>
          <w:tcPr>
            <w:tcW w:w="4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6EDF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9,237(10)</w:t>
            </w:r>
          </w:p>
        </w:tc>
        <w:tc>
          <w:tcPr>
            <w:tcW w:w="220" w:type="dxa"/>
            <w:vAlign w:val="bottom"/>
            <w:shd w:val="clear" w:color="auto" w:fill="E6EDF3"/>
          </w:tcPr>
          <w:p>
            <w:pPr>
              <w:ind w:lef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820,892</w:t>
            </w:r>
          </w:p>
        </w:tc>
        <w:tc>
          <w:tcPr>
            <w:tcW w:w="1220" w:type="dxa"/>
            <w:vAlign w:val="bottom"/>
            <w:shd w:val="clear" w:color="auto" w:fill="E6EDF3"/>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r>
      <w:tr>
        <w:trPr>
          <w:trHeight w:val="149"/>
        </w:trPr>
        <w:tc>
          <w:tcPr>
            <w:tcW w:w="2240" w:type="dxa"/>
            <w:vAlign w:val="bottom"/>
            <w:shd w:val="clear" w:color="auto" w:fill="E6EDF3"/>
          </w:tcPr>
          <w:p>
            <w:pPr>
              <w:spacing w:after="0"/>
              <w:rPr>
                <w:sz w:val="12"/>
                <w:szCs w:val="12"/>
                <w:color w:val="auto"/>
              </w:rPr>
            </w:pPr>
          </w:p>
        </w:tc>
        <w:tc>
          <w:tcPr>
            <w:tcW w:w="18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6EDF3"/>
          </w:tcPr>
          <w:p>
            <w:pPr>
              <w:spacing w:after="0"/>
              <w:rPr>
                <w:sz w:val="12"/>
                <w:szCs w:val="12"/>
                <w:color w:val="auto"/>
              </w:rPr>
            </w:pPr>
          </w:p>
        </w:tc>
        <w:tc>
          <w:tcPr>
            <w:tcW w:w="4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6EDF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15,265(13)</w:t>
            </w:r>
          </w:p>
        </w:tc>
        <w:tc>
          <w:tcPr>
            <w:tcW w:w="880" w:type="dxa"/>
            <w:vAlign w:val="bottom"/>
            <w:gridSpan w:val="2"/>
            <w:shd w:val="clear" w:color="auto" w:fill="E6EDF3"/>
          </w:tcPr>
          <w:p>
            <w:pPr>
              <w:jc w:val="right"/>
              <w:spacing w:after="0" w:line="149" w:lineRule="exact"/>
              <w:rPr>
                <w:sz w:val="20"/>
                <w:szCs w:val="20"/>
                <w:color w:val="auto"/>
              </w:rPr>
            </w:pPr>
            <w:r>
              <w:rPr>
                <w:rFonts w:ascii="Arial" w:cs="Arial" w:eastAsia="Arial" w:hAnsi="Arial"/>
                <w:sz w:val="14"/>
                <w:szCs w:val="14"/>
                <w:color w:val="auto"/>
              </w:rPr>
              <w:t>$1,356,601</w:t>
            </w:r>
          </w:p>
        </w:tc>
        <w:tc>
          <w:tcPr>
            <w:tcW w:w="1220" w:type="dxa"/>
            <w:vAlign w:val="bottom"/>
            <w:shd w:val="clear" w:color="auto" w:fill="E6EDF3"/>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r>
      <w:tr>
        <w:trPr>
          <w:trHeight w:val="149"/>
        </w:trPr>
        <w:tc>
          <w:tcPr>
            <w:tcW w:w="2240" w:type="dxa"/>
            <w:vAlign w:val="bottom"/>
            <w:shd w:val="clear" w:color="auto" w:fill="E6EDF3"/>
          </w:tcPr>
          <w:p>
            <w:pPr>
              <w:spacing w:after="0"/>
              <w:rPr>
                <w:sz w:val="12"/>
                <w:szCs w:val="12"/>
                <w:color w:val="auto"/>
              </w:rPr>
            </w:pPr>
          </w:p>
        </w:tc>
        <w:tc>
          <w:tcPr>
            <w:tcW w:w="18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6EDF3"/>
          </w:tcPr>
          <w:p>
            <w:pPr>
              <w:spacing w:after="0"/>
              <w:rPr>
                <w:sz w:val="12"/>
                <w:szCs w:val="12"/>
                <w:color w:val="auto"/>
              </w:rPr>
            </w:pPr>
          </w:p>
        </w:tc>
        <w:tc>
          <w:tcPr>
            <w:tcW w:w="4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6EDF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20,429(14)</w:t>
            </w:r>
          </w:p>
        </w:tc>
        <w:tc>
          <w:tcPr>
            <w:tcW w:w="880" w:type="dxa"/>
            <w:vAlign w:val="bottom"/>
            <w:gridSpan w:val="2"/>
            <w:shd w:val="clear" w:color="auto" w:fill="E6EDF3"/>
          </w:tcPr>
          <w:p>
            <w:pPr>
              <w:jc w:val="right"/>
              <w:spacing w:after="0" w:line="149" w:lineRule="exact"/>
              <w:rPr>
                <w:sz w:val="20"/>
                <w:szCs w:val="20"/>
                <w:color w:val="auto"/>
              </w:rPr>
            </w:pPr>
            <w:r>
              <w:rPr>
                <w:rFonts w:ascii="Arial" w:cs="Arial" w:eastAsia="Arial" w:hAnsi="Arial"/>
                <w:sz w:val="14"/>
                <w:szCs w:val="14"/>
                <w:color w:val="auto"/>
              </w:rPr>
              <w:t>$1,815,525</w:t>
            </w:r>
          </w:p>
        </w:tc>
        <w:tc>
          <w:tcPr>
            <w:tcW w:w="1220" w:type="dxa"/>
            <w:vAlign w:val="bottom"/>
            <w:shd w:val="clear" w:color="auto" w:fill="E6EDF3"/>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r>
      <w:tr>
        <w:trPr>
          <w:trHeight w:val="149"/>
        </w:trPr>
        <w:tc>
          <w:tcPr>
            <w:tcW w:w="2240" w:type="dxa"/>
            <w:vAlign w:val="bottom"/>
            <w:shd w:val="clear" w:color="auto" w:fill="E6EDF3"/>
          </w:tcPr>
          <w:p>
            <w:pPr>
              <w:spacing w:after="0"/>
              <w:rPr>
                <w:sz w:val="12"/>
                <w:szCs w:val="12"/>
                <w:color w:val="auto"/>
              </w:rPr>
            </w:pPr>
          </w:p>
        </w:tc>
        <w:tc>
          <w:tcPr>
            <w:tcW w:w="18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6EDF3"/>
          </w:tcPr>
          <w:p>
            <w:pPr>
              <w:spacing w:after="0"/>
              <w:rPr>
                <w:sz w:val="12"/>
                <w:szCs w:val="12"/>
                <w:color w:val="auto"/>
              </w:rPr>
            </w:pPr>
          </w:p>
        </w:tc>
        <w:tc>
          <w:tcPr>
            <w:tcW w:w="4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6EDF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29,634(16)</w:t>
            </w:r>
          </w:p>
        </w:tc>
        <w:tc>
          <w:tcPr>
            <w:tcW w:w="880" w:type="dxa"/>
            <w:vAlign w:val="bottom"/>
            <w:gridSpan w:val="2"/>
            <w:shd w:val="clear" w:color="auto" w:fill="E6EDF3"/>
          </w:tcPr>
          <w:p>
            <w:pPr>
              <w:jc w:val="right"/>
              <w:spacing w:after="0" w:line="149" w:lineRule="exact"/>
              <w:rPr>
                <w:sz w:val="20"/>
                <w:szCs w:val="20"/>
                <w:color w:val="auto"/>
              </w:rPr>
            </w:pPr>
            <w:r>
              <w:rPr>
                <w:rFonts w:ascii="Arial" w:cs="Arial" w:eastAsia="Arial" w:hAnsi="Arial"/>
                <w:sz w:val="14"/>
                <w:szCs w:val="14"/>
                <w:color w:val="auto"/>
              </w:rPr>
              <w:t>$2,633,574</w:t>
            </w:r>
          </w:p>
        </w:tc>
        <w:tc>
          <w:tcPr>
            <w:tcW w:w="1220" w:type="dxa"/>
            <w:vAlign w:val="bottom"/>
            <w:shd w:val="clear" w:color="auto" w:fill="E6EDF3"/>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r>
      <w:tr>
        <w:trPr>
          <w:trHeight w:val="149"/>
        </w:trPr>
        <w:tc>
          <w:tcPr>
            <w:tcW w:w="2240" w:type="dxa"/>
            <w:vAlign w:val="bottom"/>
            <w:shd w:val="clear" w:color="auto" w:fill="E6EDF3"/>
          </w:tcPr>
          <w:p>
            <w:pPr>
              <w:spacing w:after="0"/>
              <w:rPr>
                <w:sz w:val="12"/>
                <w:szCs w:val="12"/>
                <w:color w:val="auto"/>
              </w:rPr>
            </w:pPr>
          </w:p>
        </w:tc>
        <w:tc>
          <w:tcPr>
            <w:tcW w:w="18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6EDF3"/>
          </w:tcPr>
          <w:p>
            <w:pPr>
              <w:spacing w:after="0"/>
              <w:rPr>
                <w:sz w:val="12"/>
                <w:szCs w:val="12"/>
                <w:color w:val="auto"/>
              </w:rPr>
            </w:pPr>
          </w:p>
        </w:tc>
        <w:tc>
          <w:tcPr>
            <w:tcW w:w="4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6EDF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49,378(16)</w:t>
            </w:r>
          </w:p>
        </w:tc>
        <w:tc>
          <w:tcPr>
            <w:tcW w:w="880" w:type="dxa"/>
            <w:vAlign w:val="bottom"/>
            <w:gridSpan w:val="2"/>
            <w:shd w:val="clear" w:color="auto" w:fill="E6EDF3"/>
          </w:tcPr>
          <w:p>
            <w:pPr>
              <w:jc w:val="right"/>
              <w:spacing w:after="0" w:line="149" w:lineRule="exact"/>
              <w:rPr>
                <w:sz w:val="20"/>
                <w:szCs w:val="20"/>
                <w:color w:val="auto"/>
              </w:rPr>
            </w:pPr>
            <w:r>
              <w:rPr>
                <w:rFonts w:ascii="Arial" w:cs="Arial" w:eastAsia="Arial" w:hAnsi="Arial"/>
                <w:sz w:val="14"/>
                <w:szCs w:val="14"/>
                <w:color w:val="auto"/>
              </w:rPr>
              <w:t>$4,388,223</w:t>
            </w:r>
          </w:p>
        </w:tc>
        <w:tc>
          <w:tcPr>
            <w:tcW w:w="1220" w:type="dxa"/>
            <w:vAlign w:val="bottom"/>
            <w:shd w:val="clear" w:color="auto" w:fill="E6EDF3"/>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r>
      <w:tr>
        <w:trPr>
          <w:trHeight w:val="149"/>
        </w:trPr>
        <w:tc>
          <w:tcPr>
            <w:tcW w:w="2240" w:type="dxa"/>
            <w:vAlign w:val="bottom"/>
            <w:shd w:val="clear" w:color="auto" w:fill="E6EDF3"/>
          </w:tcPr>
          <w:p>
            <w:pPr>
              <w:spacing w:after="0"/>
              <w:rPr>
                <w:sz w:val="12"/>
                <w:szCs w:val="12"/>
                <w:color w:val="auto"/>
              </w:rPr>
            </w:pPr>
          </w:p>
        </w:tc>
        <w:tc>
          <w:tcPr>
            <w:tcW w:w="18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6EDF3"/>
          </w:tcPr>
          <w:p>
            <w:pPr>
              <w:spacing w:after="0"/>
              <w:rPr>
                <w:sz w:val="12"/>
                <w:szCs w:val="12"/>
                <w:color w:val="auto"/>
              </w:rPr>
            </w:pPr>
          </w:p>
        </w:tc>
        <w:tc>
          <w:tcPr>
            <w:tcW w:w="4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6EDF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E6EDF3"/>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6EDF3"/>
          </w:tcPr>
          <w:p>
            <w:pPr>
              <w:spacing w:after="0"/>
              <w:rPr>
                <w:sz w:val="12"/>
                <w:szCs w:val="12"/>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6EDF3"/>
          </w:tcPr>
          <w:p>
            <w:pPr>
              <w:jc w:val="right"/>
              <w:ind w:right="13"/>
              <w:spacing w:after="0" w:line="149" w:lineRule="exact"/>
              <w:rPr>
                <w:sz w:val="20"/>
                <w:szCs w:val="20"/>
                <w:color w:val="auto"/>
              </w:rPr>
            </w:pPr>
            <w:r>
              <w:rPr>
                <w:rFonts w:ascii="Arial" w:cs="Arial" w:eastAsia="Arial" w:hAnsi="Arial"/>
                <w:sz w:val="14"/>
                <w:szCs w:val="14"/>
                <w:color w:val="auto"/>
              </w:rPr>
              <w:t>87,932(17)</w:t>
            </w:r>
          </w:p>
        </w:tc>
        <w:tc>
          <w:tcPr>
            <w:tcW w:w="140" w:type="dxa"/>
            <w:vAlign w:val="bottom"/>
            <w:shd w:val="clear" w:color="auto" w:fill="E6EDF3"/>
          </w:tcPr>
          <w:p>
            <w:pPr>
              <w:ind w:left="6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7,814,517</w:t>
            </w:r>
          </w:p>
        </w:tc>
      </w:tr>
      <w:tr>
        <w:trPr>
          <w:trHeight w:val="149"/>
        </w:trPr>
        <w:tc>
          <w:tcPr>
            <w:tcW w:w="2240" w:type="dxa"/>
            <w:vAlign w:val="bottom"/>
            <w:tcBorders>
              <w:bottom w:val="single" w:sz="8" w:color="auto"/>
            </w:tcBorders>
            <w:shd w:val="clear" w:color="auto" w:fill="E6EDF3"/>
          </w:tcPr>
          <w:p>
            <w:pPr>
              <w:spacing w:after="0"/>
              <w:rPr>
                <w:sz w:val="12"/>
                <w:szCs w:val="12"/>
                <w:color w:val="auto"/>
              </w:rPr>
            </w:pPr>
          </w:p>
        </w:tc>
        <w:tc>
          <w:tcPr>
            <w:tcW w:w="180" w:type="dxa"/>
            <w:vAlign w:val="bottom"/>
            <w:tcBorders>
              <w:bottom w:val="single" w:sz="8" w:color="auto"/>
            </w:tcBorders>
            <w:shd w:val="clear" w:color="auto" w:fill="E6EDF3"/>
          </w:tcPr>
          <w:p>
            <w:pPr>
              <w:spacing w:after="0"/>
              <w:rPr>
                <w:sz w:val="12"/>
                <w:szCs w:val="12"/>
                <w:color w:val="auto"/>
              </w:rPr>
            </w:pPr>
          </w:p>
        </w:tc>
        <w:tc>
          <w:tcPr>
            <w:tcW w:w="800" w:type="dxa"/>
            <w:vAlign w:val="bottom"/>
            <w:tcBorders>
              <w:bottom w:val="single" w:sz="8" w:color="auto"/>
            </w:tcBorders>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6EDF3"/>
          </w:tcPr>
          <w:p>
            <w:pPr>
              <w:spacing w:after="0"/>
              <w:rPr>
                <w:sz w:val="12"/>
                <w:szCs w:val="12"/>
                <w:color w:val="auto"/>
              </w:rPr>
            </w:pPr>
          </w:p>
        </w:tc>
        <w:tc>
          <w:tcPr>
            <w:tcW w:w="1000" w:type="dxa"/>
            <w:vAlign w:val="bottom"/>
            <w:tcBorders>
              <w:bottom w:val="single" w:sz="8" w:color="auto"/>
            </w:tcBorders>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6EDF3"/>
          </w:tcPr>
          <w:p>
            <w:pPr>
              <w:spacing w:after="0"/>
              <w:rPr>
                <w:sz w:val="12"/>
                <w:szCs w:val="12"/>
                <w:color w:val="auto"/>
              </w:rPr>
            </w:pPr>
          </w:p>
        </w:tc>
        <w:tc>
          <w:tcPr>
            <w:tcW w:w="460" w:type="dxa"/>
            <w:vAlign w:val="bottom"/>
            <w:tcBorders>
              <w:bottom w:val="single" w:sz="8" w:color="auto"/>
            </w:tcBorders>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shd w:val="clear" w:color="auto" w:fill="E6EDF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6EDF3"/>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6EDF3"/>
          </w:tcPr>
          <w:p>
            <w:pPr>
              <w:spacing w:after="0"/>
              <w:rPr>
                <w:sz w:val="12"/>
                <w:szCs w:val="12"/>
                <w:color w:val="auto"/>
              </w:rPr>
            </w:pPr>
          </w:p>
        </w:tc>
        <w:tc>
          <w:tcPr>
            <w:tcW w:w="660" w:type="dxa"/>
            <w:vAlign w:val="bottom"/>
            <w:tcBorders>
              <w:bottom w:val="single" w:sz="8" w:color="auto"/>
            </w:tcBorders>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E6EDF3"/>
          </w:tcPr>
          <w:p>
            <w:pPr>
              <w:jc w:val="right"/>
              <w:ind w:right="13"/>
              <w:spacing w:after="0" w:line="149" w:lineRule="exact"/>
              <w:rPr>
                <w:sz w:val="20"/>
                <w:szCs w:val="20"/>
                <w:color w:val="auto"/>
              </w:rPr>
            </w:pPr>
            <w:r>
              <w:rPr>
                <w:rFonts w:ascii="Arial" w:cs="Arial" w:eastAsia="Arial" w:hAnsi="Arial"/>
                <w:sz w:val="14"/>
                <w:szCs w:val="14"/>
                <w:color w:val="auto"/>
              </w:rPr>
              <w:t>119,890(18)</w:t>
            </w:r>
          </w:p>
        </w:tc>
        <w:tc>
          <w:tcPr>
            <w:tcW w:w="140" w:type="dxa"/>
            <w:vAlign w:val="bottom"/>
            <w:tcBorders>
              <w:bottom w:val="single" w:sz="8" w:color="auto"/>
            </w:tcBorders>
            <w:shd w:val="clear" w:color="auto" w:fill="E6EDF3"/>
          </w:tcPr>
          <w:p>
            <w:pPr>
              <w:ind w:left="6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10,654,624</w:t>
            </w:r>
          </w:p>
        </w:tc>
      </w:tr>
      <w:tr>
        <w:trPr>
          <w:trHeight w:val="127"/>
        </w:trPr>
        <w:tc>
          <w:tcPr>
            <w:tcW w:w="2240" w:type="dxa"/>
            <w:vAlign w:val="bottom"/>
          </w:tcPr>
          <w:p>
            <w:pPr>
              <w:ind w:left="80"/>
              <w:spacing w:after="0" w:line="127" w:lineRule="exact"/>
              <w:rPr>
                <w:sz w:val="20"/>
                <w:szCs w:val="20"/>
                <w:color w:val="auto"/>
              </w:rPr>
            </w:pPr>
            <w:r>
              <w:rPr>
                <w:rFonts w:ascii="Arial" w:cs="Arial" w:eastAsia="Arial" w:hAnsi="Arial"/>
                <w:sz w:val="14"/>
                <w:szCs w:val="14"/>
                <w:color w:val="auto"/>
              </w:rPr>
              <w:t>John T. McGinnis</w:t>
            </w:r>
          </w:p>
        </w:tc>
        <w:tc>
          <w:tcPr>
            <w:tcW w:w="180" w:type="dxa"/>
            <w:vAlign w:val="bottom"/>
          </w:tcPr>
          <w:p>
            <w:pPr>
              <w:spacing w:after="0"/>
              <w:rPr>
                <w:sz w:val="11"/>
                <w:szCs w:val="11"/>
                <w:color w:val="auto"/>
              </w:rPr>
            </w:pPr>
          </w:p>
        </w:tc>
        <w:tc>
          <w:tcPr>
            <w:tcW w:w="800" w:type="dxa"/>
            <w:vAlign w:val="bottom"/>
          </w:tcPr>
          <w:p>
            <w:pPr>
              <w:jc w:val="right"/>
              <w:spacing w:after="0" w:line="127" w:lineRule="exact"/>
              <w:rPr>
                <w:sz w:val="20"/>
                <w:szCs w:val="20"/>
                <w:color w:val="auto"/>
              </w:rPr>
            </w:pPr>
            <w:r>
              <w:rPr>
                <w:rFonts w:ascii="Arial" w:cs="Arial" w:eastAsia="Arial" w:hAnsi="Arial"/>
                <w:sz w:val="14"/>
                <w:szCs w:val="14"/>
                <w:color w:val="auto"/>
              </w:rPr>
              <w:t>—</w:t>
            </w:r>
          </w:p>
        </w:tc>
        <w:tc>
          <w:tcPr>
            <w:tcW w:w="1260" w:type="dxa"/>
            <w:vAlign w:val="bottom"/>
            <w:gridSpan w:val="3"/>
          </w:tcPr>
          <w:p>
            <w:pPr>
              <w:jc w:val="right"/>
              <w:spacing w:after="0" w:line="127" w:lineRule="exact"/>
              <w:rPr>
                <w:sz w:val="20"/>
                <w:szCs w:val="20"/>
                <w:color w:val="auto"/>
              </w:rPr>
            </w:pPr>
            <w:r>
              <w:rPr>
                <w:rFonts w:ascii="Arial" w:cs="Arial" w:eastAsia="Arial" w:hAnsi="Arial"/>
                <w:sz w:val="14"/>
                <w:szCs w:val="14"/>
                <w:color w:val="auto"/>
              </w:rPr>
              <w:t>20,326(8)</w:t>
            </w:r>
          </w:p>
        </w:tc>
        <w:tc>
          <w:tcPr>
            <w:tcW w:w="1000" w:type="dxa"/>
            <w:vAlign w:val="bottom"/>
          </w:tcPr>
          <w:p>
            <w:pPr>
              <w:jc w:val="right"/>
              <w:spacing w:after="0" w:line="127" w:lineRule="exact"/>
              <w:rPr>
                <w:sz w:val="20"/>
                <w:szCs w:val="20"/>
                <w:color w:val="auto"/>
              </w:rPr>
            </w:pPr>
            <w:r>
              <w:rPr>
                <w:rFonts w:ascii="Arial" w:cs="Arial" w:eastAsia="Arial" w:hAnsi="Arial"/>
                <w:sz w:val="14"/>
                <w:szCs w:val="14"/>
                <w:color w:val="auto"/>
              </w:rPr>
              <w:t>—</w:t>
            </w:r>
          </w:p>
        </w:tc>
        <w:tc>
          <w:tcPr>
            <w:tcW w:w="340" w:type="dxa"/>
            <w:vAlign w:val="bottom"/>
          </w:tcPr>
          <w:p>
            <w:pPr>
              <w:ind w:left="240"/>
              <w:spacing w:after="0" w:line="127"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27" w:lineRule="exact"/>
              <w:rPr>
                <w:sz w:val="20"/>
                <w:szCs w:val="20"/>
                <w:color w:val="auto"/>
              </w:rPr>
            </w:pPr>
            <w:r>
              <w:rPr>
                <w:rFonts w:ascii="Arial" w:cs="Arial" w:eastAsia="Arial" w:hAnsi="Arial"/>
                <w:sz w:val="14"/>
                <w:szCs w:val="14"/>
                <w:color w:val="auto"/>
              </w:rPr>
              <w:t>75.07</w:t>
            </w:r>
          </w:p>
        </w:tc>
        <w:tc>
          <w:tcPr>
            <w:tcW w:w="900" w:type="dxa"/>
            <w:vAlign w:val="bottom"/>
          </w:tcPr>
          <w:p>
            <w:pPr>
              <w:jc w:val="right"/>
              <w:spacing w:after="0" w:line="127" w:lineRule="exact"/>
              <w:rPr>
                <w:sz w:val="20"/>
                <w:szCs w:val="20"/>
                <w:color w:val="auto"/>
              </w:rPr>
            </w:pPr>
            <w:r>
              <w:rPr>
                <w:rFonts w:ascii="Arial" w:cs="Arial" w:eastAsia="Arial" w:hAnsi="Arial"/>
                <w:sz w:val="14"/>
                <w:szCs w:val="14"/>
                <w:color w:val="auto"/>
              </w:rPr>
              <w:t>2/16/2026</w:t>
            </w:r>
          </w:p>
        </w:tc>
        <w:tc>
          <w:tcPr>
            <w:tcW w:w="80" w:type="dxa"/>
            <w:vAlign w:val="bottom"/>
          </w:tcPr>
          <w:p>
            <w:pPr>
              <w:spacing w:after="0"/>
              <w:rPr>
                <w:sz w:val="11"/>
                <w:szCs w:val="11"/>
                <w:color w:val="auto"/>
              </w:rPr>
            </w:pPr>
          </w:p>
        </w:tc>
        <w:tc>
          <w:tcPr>
            <w:tcW w:w="1020" w:type="dxa"/>
            <w:vAlign w:val="bottom"/>
          </w:tcPr>
          <w:p>
            <w:pPr>
              <w:jc w:val="right"/>
              <w:ind w:right="293"/>
              <w:spacing w:after="0" w:line="12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660" w:type="dxa"/>
            <w:vAlign w:val="bottom"/>
          </w:tcPr>
          <w:p>
            <w:pPr>
              <w:jc w:val="right"/>
              <w:spacing w:after="0" w:line="127"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253"/>
              <w:spacing w:after="0" w:line="12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tcPr>
          <w:p>
            <w:pPr>
              <w:jc w:val="right"/>
              <w:ind w:right="73"/>
              <w:spacing w:after="0" w:line="127" w:lineRule="exact"/>
              <w:rPr>
                <w:sz w:val="20"/>
                <w:szCs w:val="20"/>
                <w:color w:val="auto"/>
              </w:rPr>
            </w:pPr>
            <w:r>
              <w:rPr>
                <w:rFonts w:ascii="Arial" w:cs="Arial" w:eastAsia="Arial" w:hAnsi="Arial"/>
                <w:sz w:val="14"/>
                <w:szCs w:val="14"/>
                <w:color w:val="auto"/>
              </w:rPr>
              <w:t>—</w:t>
            </w:r>
          </w:p>
        </w:tc>
      </w:tr>
      <w:tr>
        <w:trPr>
          <w:trHeight w:val="176"/>
        </w:trPr>
        <w:tc>
          <w:tcPr>
            <w:tcW w:w="2240" w:type="dxa"/>
            <w:vAlign w:val="bottom"/>
          </w:tcPr>
          <w:p>
            <w:pPr>
              <w:ind w:left="240"/>
              <w:spacing w:after="0"/>
              <w:rPr>
                <w:sz w:val="20"/>
                <w:szCs w:val="20"/>
                <w:color w:val="auto"/>
              </w:rPr>
            </w:pPr>
            <w:r>
              <w:rPr>
                <w:rFonts w:ascii="Arial" w:cs="Arial" w:eastAsia="Arial" w:hAnsi="Arial"/>
                <w:sz w:val="14"/>
                <w:szCs w:val="14"/>
                <w:i w:val="1"/>
                <w:iCs w:val="1"/>
                <w:color w:val="auto"/>
              </w:rPr>
              <w:t>CFO</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0" w:type="dxa"/>
            <w:vAlign w:val="bottom"/>
            <w:gridSpan w:val="2"/>
          </w:tcPr>
          <w:p>
            <w:pPr>
              <w:jc w:val="right"/>
              <w:ind w:right="137"/>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3"/>
              <w:spacing w:after="0"/>
              <w:rPr>
                <w:sz w:val="20"/>
                <w:szCs w:val="20"/>
                <w:color w:val="auto"/>
              </w:rPr>
            </w:pPr>
            <w:r>
              <w:rPr>
                <w:rFonts w:ascii="Arial" w:cs="Arial" w:eastAsia="Arial" w:hAnsi="Arial"/>
                <w:sz w:val="14"/>
                <w:szCs w:val="14"/>
                <w:color w:val="auto"/>
              </w:rPr>
              <w:t>5,448(14)</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484,164</w:t>
            </w:r>
          </w:p>
        </w:tc>
        <w:tc>
          <w:tcPr>
            <w:tcW w:w="1220" w:type="dxa"/>
            <w:vAlign w:val="bottom"/>
          </w:tcPr>
          <w:p>
            <w:pPr>
              <w:jc w:val="right"/>
              <w:ind w:right="25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ind w:right="73"/>
              <w:spacing w:after="0"/>
              <w:rPr>
                <w:sz w:val="20"/>
                <w:szCs w:val="20"/>
                <w:color w:val="auto"/>
              </w:rPr>
            </w:pPr>
            <w:r>
              <w:rPr>
                <w:rFonts w:ascii="Arial" w:cs="Arial" w:eastAsia="Arial" w:hAnsi="Arial"/>
                <w:sz w:val="14"/>
                <w:szCs w:val="14"/>
                <w:color w:val="auto"/>
              </w:rPr>
              <w:t>—</w:t>
            </w:r>
          </w:p>
        </w:tc>
      </w:tr>
      <w:tr>
        <w:trPr>
          <w:trHeight w:val="149"/>
        </w:trPr>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13,619(15)</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$1,210,321</w:t>
            </w:r>
          </w:p>
        </w:tc>
        <w:tc>
          <w:tcPr>
            <w:tcW w:w="122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r>
      <w:tr>
        <w:trPr>
          <w:trHeight w:val="149"/>
        </w:trPr>
        <w:tc>
          <w:tcPr>
            <w:tcW w:w="2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3"/>
              <w:spacing w:after="0" w:line="149" w:lineRule="exact"/>
              <w:rPr>
                <w:sz w:val="20"/>
                <w:szCs w:val="20"/>
                <w:color w:val="auto"/>
              </w:rPr>
            </w:pPr>
            <w:r>
              <w:rPr>
                <w:rFonts w:ascii="Arial" w:cs="Arial" w:eastAsia="Arial" w:hAnsi="Arial"/>
                <w:sz w:val="14"/>
                <w:szCs w:val="14"/>
                <w:color w:val="auto"/>
              </w:rPr>
              <w:t>31,972(18)</w:t>
            </w:r>
          </w:p>
        </w:tc>
        <w:tc>
          <w:tcPr>
            <w:tcW w:w="14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73"/>
              <w:spacing w:after="0" w:line="149" w:lineRule="exact"/>
              <w:rPr>
                <w:sz w:val="20"/>
                <w:szCs w:val="20"/>
                <w:color w:val="auto"/>
              </w:rPr>
            </w:pPr>
            <w:r>
              <w:rPr>
                <w:rFonts w:ascii="Arial" w:cs="Arial" w:eastAsia="Arial" w:hAnsi="Arial"/>
                <w:sz w:val="14"/>
                <w:szCs w:val="14"/>
                <w:color w:val="auto"/>
              </w:rPr>
              <w:t>2,841,352</w:t>
            </w:r>
          </w:p>
        </w:tc>
      </w:tr>
      <w:tr>
        <w:trPr>
          <w:trHeight w:val="127"/>
        </w:trPr>
        <w:tc>
          <w:tcPr>
            <w:tcW w:w="2240" w:type="dxa"/>
            <w:vAlign w:val="bottom"/>
            <w:shd w:val="clear" w:color="auto" w:fill="E6EDF3"/>
          </w:tcPr>
          <w:p>
            <w:pPr>
              <w:ind w:left="80"/>
              <w:spacing w:after="0" w:line="127" w:lineRule="exact"/>
              <w:rPr>
                <w:sz w:val="20"/>
                <w:szCs w:val="20"/>
                <w:color w:val="auto"/>
              </w:rPr>
            </w:pPr>
            <w:r>
              <w:rPr>
                <w:rFonts w:ascii="Arial" w:cs="Arial" w:eastAsia="Arial" w:hAnsi="Arial"/>
                <w:sz w:val="14"/>
                <w:szCs w:val="14"/>
                <w:color w:val="auto"/>
              </w:rPr>
              <w:t>Darryl Green</w:t>
            </w:r>
          </w:p>
        </w:tc>
        <w:tc>
          <w:tcPr>
            <w:tcW w:w="180" w:type="dxa"/>
            <w:vAlign w:val="bottom"/>
            <w:shd w:val="clear" w:color="auto" w:fill="E6EDF3"/>
          </w:tcPr>
          <w:p>
            <w:pPr>
              <w:spacing w:after="0"/>
              <w:rPr>
                <w:sz w:val="11"/>
                <w:szCs w:val="11"/>
                <w:color w:val="auto"/>
              </w:rPr>
            </w:pPr>
          </w:p>
        </w:tc>
        <w:tc>
          <w:tcPr>
            <w:tcW w:w="800" w:type="dxa"/>
            <w:vAlign w:val="bottom"/>
            <w:shd w:val="clear" w:color="auto" w:fill="E6EDF3"/>
          </w:tcPr>
          <w:p>
            <w:pPr>
              <w:jc w:val="right"/>
              <w:spacing w:after="0" w:line="127" w:lineRule="exact"/>
              <w:rPr>
                <w:sz w:val="20"/>
                <w:szCs w:val="20"/>
                <w:color w:val="auto"/>
              </w:rPr>
            </w:pPr>
            <w:r>
              <w:rPr>
                <w:rFonts w:ascii="Arial" w:cs="Arial" w:eastAsia="Arial" w:hAnsi="Arial"/>
                <w:sz w:val="14"/>
                <w:szCs w:val="14"/>
                <w:color w:val="auto"/>
              </w:rPr>
              <w:t>20,000</w:t>
            </w:r>
          </w:p>
        </w:tc>
        <w:tc>
          <w:tcPr>
            <w:tcW w:w="260" w:type="dxa"/>
            <w:vAlign w:val="bottom"/>
            <w:shd w:val="clear" w:color="auto" w:fill="E6EDF3"/>
          </w:tcPr>
          <w:p>
            <w:pPr>
              <w:spacing w:after="0"/>
              <w:rPr>
                <w:sz w:val="11"/>
                <w:szCs w:val="11"/>
                <w:color w:val="auto"/>
              </w:rPr>
            </w:pPr>
          </w:p>
        </w:tc>
        <w:tc>
          <w:tcPr>
            <w:tcW w:w="1000" w:type="dxa"/>
            <w:vAlign w:val="bottom"/>
            <w:gridSpan w:val="2"/>
            <w:shd w:val="clear" w:color="auto" w:fill="E6EDF3"/>
          </w:tcPr>
          <w:p>
            <w:pPr>
              <w:jc w:val="right"/>
              <w:ind w:right="137"/>
              <w:spacing w:after="0" w:line="127" w:lineRule="exact"/>
              <w:rPr>
                <w:sz w:val="20"/>
                <w:szCs w:val="20"/>
                <w:color w:val="auto"/>
              </w:rPr>
            </w:pPr>
            <w:r>
              <w:rPr>
                <w:rFonts w:ascii="Arial" w:cs="Arial" w:eastAsia="Arial" w:hAnsi="Arial"/>
                <w:sz w:val="14"/>
                <w:szCs w:val="14"/>
                <w:color w:val="auto"/>
              </w:rPr>
              <w:t>—</w:t>
            </w:r>
          </w:p>
        </w:tc>
        <w:tc>
          <w:tcPr>
            <w:tcW w:w="1000" w:type="dxa"/>
            <w:vAlign w:val="bottom"/>
            <w:shd w:val="clear" w:color="auto" w:fill="E6EDF3"/>
          </w:tcPr>
          <w:p>
            <w:pPr>
              <w:jc w:val="right"/>
              <w:spacing w:after="0" w:line="127" w:lineRule="exact"/>
              <w:rPr>
                <w:sz w:val="20"/>
                <w:szCs w:val="20"/>
                <w:color w:val="auto"/>
              </w:rPr>
            </w:pPr>
            <w:r>
              <w:rPr>
                <w:rFonts w:ascii="Arial" w:cs="Arial" w:eastAsia="Arial" w:hAnsi="Arial"/>
                <w:sz w:val="14"/>
                <w:szCs w:val="14"/>
                <w:color w:val="auto"/>
              </w:rPr>
              <w:t>—</w:t>
            </w:r>
          </w:p>
        </w:tc>
        <w:tc>
          <w:tcPr>
            <w:tcW w:w="340" w:type="dxa"/>
            <w:vAlign w:val="bottom"/>
            <w:shd w:val="clear" w:color="auto" w:fill="E6EDF3"/>
          </w:tcPr>
          <w:p>
            <w:pPr>
              <w:ind w:left="240"/>
              <w:spacing w:after="0" w:line="127" w:lineRule="exact"/>
              <w:rPr>
                <w:sz w:val="20"/>
                <w:szCs w:val="20"/>
                <w:color w:val="auto"/>
              </w:rPr>
            </w:pPr>
            <w:r>
              <w:rPr>
                <w:rFonts w:ascii="Arial" w:cs="Arial" w:eastAsia="Arial" w:hAnsi="Arial"/>
                <w:sz w:val="14"/>
                <w:szCs w:val="14"/>
                <w:color w:val="auto"/>
              </w:rPr>
              <w:t>$</w:t>
            </w:r>
          </w:p>
        </w:tc>
        <w:tc>
          <w:tcPr>
            <w:tcW w:w="460" w:type="dxa"/>
            <w:vAlign w:val="bottom"/>
            <w:shd w:val="clear" w:color="auto" w:fill="E6EDF3"/>
          </w:tcPr>
          <w:p>
            <w:pPr>
              <w:jc w:val="right"/>
              <w:spacing w:after="0" w:line="127" w:lineRule="exact"/>
              <w:rPr>
                <w:sz w:val="20"/>
                <w:szCs w:val="20"/>
                <w:color w:val="auto"/>
              </w:rPr>
            </w:pPr>
            <w:r>
              <w:rPr>
                <w:rFonts w:ascii="Arial" w:cs="Arial" w:eastAsia="Arial" w:hAnsi="Arial"/>
                <w:sz w:val="14"/>
                <w:szCs w:val="14"/>
                <w:color w:val="auto"/>
              </w:rPr>
              <w:t>93.24</w:t>
            </w:r>
          </w:p>
        </w:tc>
        <w:tc>
          <w:tcPr>
            <w:tcW w:w="900" w:type="dxa"/>
            <w:vAlign w:val="bottom"/>
            <w:shd w:val="clear" w:color="auto" w:fill="E6EDF3"/>
          </w:tcPr>
          <w:p>
            <w:pPr>
              <w:jc w:val="right"/>
              <w:spacing w:after="0" w:line="127" w:lineRule="exact"/>
              <w:rPr>
                <w:sz w:val="20"/>
                <w:szCs w:val="20"/>
                <w:color w:val="auto"/>
              </w:rPr>
            </w:pPr>
            <w:r>
              <w:rPr>
                <w:rFonts w:ascii="Arial" w:cs="Arial" w:eastAsia="Arial" w:hAnsi="Arial"/>
                <w:sz w:val="14"/>
                <w:szCs w:val="14"/>
                <w:color w:val="auto"/>
              </w:rPr>
              <w:t>5/28/2017</w:t>
            </w:r>
          </w:p>
        </w:tc>
        <w:tc>
          <w:tcPr>
            <w:tcW w:w="80" w:type="dxa"/>
            <w:vAlign w:val="bottom"/>
            <w:shd w:val="clear" w:color="auto" w:fill="E6EDF3"/>
          </w:tcPr>
          <w:p>
            <w:pPr>
              <w:spacing w:after="0"/>
              <w:rPr>
                <w:sz w:val="11"/>
                <w:szCs w:val="11"/>
                <w:color w:val="auto"/>
              </w:rPr>
            </w:pPr>
          </w:p>
        </w:tc>
        <w:tc>
          <w:tcPr>
            <w:tcW w:w="1020" w:type="dxa"/>
            <w:vAlign w:val="bottom"/>
            <w:shd w:val="clear" w:color="auto" w:fill="E6EDF3"/>
          </w:tcPr>
          <w:p>
            <w:pPr>
              <w:jc w:val="right"/>
              <w:ind w:right="293"/>
              <w:spacing w:after="0" w:line="127" w:lineRule="exact"/>
              <w:rPr>
                <w:sz w:val="20"/>
                <w:szCs w:val="20"/>
                <w:color w:val="auto"/>
              </w:rPr>
            </w:pPr>
            <w:r>
              <w:rPr>
                <w:rFonts w:ascii="Arial" w:cs="Arial" w:eastAsia="Arial" w:hAnsi="Arial"/>
                <w:sz w:val="14"/>
                <w:szCs w:val="14"/>
                <w:color w:val="auto"/>
              </w:rPr>
              <w:t>—</w:t>
            </w:r>
          </w:p>
        </w:tc>
        <w:tc>
          <w:tcPr>
            <w:tcW w:w="220" w:type="dxa"/>
            <w:vAlign w:val="bottom"/>
            <w:shd w:val="clear" w:color="auto" w:fill="E6EDF3"/>
          </w:tcPr>
          <w:p>
            <w:pPr>
              <w:spacing w:after="0"/>
              <w:rPr>
                <w:sz w:val="11"/>
                <w:szCs w:val="11"/>
                <w:color w:val="auto"/>
              </w:rPr>
            </w:pPr>
          </w:p>
        </w:tc>
        <w:tc>
          <w:tcPr>
            <w:tcW w:w="660" w:type="dxa"/>
            <w:vAlign w:val="bottom"/>
            <w:shd w:val="clear" w:color="auto" w:fill="E6EDF3"/>
          </w:tcPr>
          <w:p>
            <w:pPr>
              <w:jc w:val="right"/>
              <w:spacing w:after="0" w:line="127" w:lineRule="exact"/>
              <w:rPr>
                <w:sz w:val="20"/>
                <w:szCs w:val="20"/>
                <w:color w:val="auto"/>
              </w:rPr>
            </w:pPr>
            <w:r>
              <w:rPr>
                <w:rFonts w:ascii="Arial" w:cs="Arial" w:eastAsia="Arial" w:hAnsi="Arial"/>
                <w:sz w:val="14"/>
                <w:szCs w:val="14"/>
                <w:color w:val="auto"/>
              </w:rPr>
              <w:t>—</w:t>
            </w:r>
          </w:p>
        </w:tc>
        <w:tc>
          <w:tcPr>
            <w:tcW w:w="1220" w:type="dxa"/>
            <w:vAlign w:val="bottom"/>
            <w:shd w:val="clear" w:color="auto" w:fill="E6EDF3"/>
          </w:tcPr>
          <w:p>
            <w:pPr>
              <w:jc w:val="right"/>
              <w:ind w:right="253"/>
              <w:spacing w:after="0" w:line="127"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1"/>
                <w:szCs w:val="11"/>
                <w:color w:val="auto"/>
              </w:rPr>
            </w:pPr>
          </w:p>
        </w:tc>
        <w:tc>
          <w:tcPr>
            <w:tcW w:w="900" w:type="dxa"/>
            <w:vAlign w:val="bottom"/>
            <w:shd w:val="clear" w:color="auto" w:fill="E6EDF3"/>
          </w:tcPr>
          <w:p>
            <w:pPr>
              <w:jc w:val="right"/>
              <w:ind w:right="73"/>
              <w:spacing w:after="0" w:line="127" w:lineRule="exact"/>
              <w:rPr>
                <w:sz w:val="20"/>
                <w:szCs w:val="20"/>
                <w:color w:val="auto"/>
              </w:rPr>
            </w:pPr>
            <w:r>
              <w:rPr>
                <w:rFonts w:ascii="Arial" w:cs="Arial" w:eastAsia="Arial" w:hAnsi="Arial"/>
                <w:sz w:val="14"/>
                <w:szCs w:val="14"/>
                <w:color w:val="auto"/>
              </w:rPr>
              <w:t>—</w:t>
            </w:r>
          </w:p>
        </w:tc>
      </w:tr>
      <w:tr>
        <w:trPr>
          <w:trHeight w:val="176"/>
        </w:trPr>
        <w:tc>
          <w:tcPr>
            <w:tcW w:w="2240" w:type="dxa"/>
            <w:vAlign w:val="bottom"/>
            <w:shd w:val="clear" w:color="auto" w:fill="E6EDF3"/>
          </w:tcPr>
          <w:p>
            <w:pPr>
              <w:ind w:left="240"/>
              <w:spacing w:after="0"/>
              <w:rPr>
                <w:sz w:val="20"/>
                <w:szCs w:val="20"/>
                <w:color w:val="auto"/>
              </w:rPr>
            </w:pPr>
            <w:r>
              <w:rPr>
                <w:rFonts w:ascii="Arial" w:cs="Arial" w:eastAsia="Arial" w:hAnsi="Arial"/>
                <w:sz w:val="14"/>
                <w:szCs w:val="14"/>
                <w:i w:val="1"/>
                <w:iCs w:val="1"/>
                <w:color w:val="auto"/>
              </w:rPr>
              <w:t>President &amp; COO</w:t>
            </w:r>
          </w:p>
        </w:tc>
        <w:tc>
          <w:tcPr>
            <w:tcW w:w="180" w:type="dxa"/>
            <w:vAlign w:val="bottom"/>
            <w:shd w:val="clear" w:color="auto" w:fill="E6EDF3"/>
          </w:tcPr>
          <w:p>
            <w:pPr>
              <w:spacing w:after="0"/>
              <w:rPr>
                <w:sz w:val="15"/>
                <w:szCs w:val="15"/>
                <w:color w:val="auto"/>
              </w:rPr>
            </w:pPr>
          </w:p>
        </w:tc>
        <w:tc>
          <w:tcPr>
            <w:tcW w:w="800" w:type="dxa"/>
            <w:vAlign w:val="bottom"/>
            <w:shd w:val="clear" w:color="auto" w:fill="E6EDF3"/>
          </w:tcPr>
          <w:p>
            <w:pPr>
              <w:jc w:val="right"/>
              <w:spacing w:after="0"/>
              <w:rPr>
                <w:sz w:val="20"/>
                <w:szCs w:val="20"/>
                <w:color w:val="auto"/>
              </w:rPr>
            </w:pPr>
            <w:r>
              <w:rPr>
                <w:rFonts w:ascii="Arial" w:cs="Arial" w:eastAsia="Arial" w:hAnsi="Arial"/>
                <w:sz w:val="14"/>
                <w:szCs w:val="14"/>
                <w:color w:val="auto"/>
              </w:rPr>
              <w:t>18,875</w:t>
            </w:r>
          </w:p>
        </w:tc>
        <w:tc>
          <w:tcPr>
            <w:tcW w:w="260" w:type="dxa"/>
            <w:vAlign w:val="bottom"/>
            <w:shd w:val="clear" w:color="auto" w:fill="E6EDF3"/>
          </w:tcPr>
          <w:p>
            <w:pPr>
              <w:spacing w:after="0"/>
              <w:rPr>
                <w:sz w:val="15"/>
                <w:szCs w:val="15"/>
                <w:color w:val="auto"/>
              </w:rPr>
            </w:pPr>
          </w:p>
        </w:tc>
        <w:tc>
          <w:tcPr>
            <w:tcW w:w="1000" w:type="dxa"/>
            <w:vAlign w:val="bottom"/>
            <w:gridSpan w:val="2"/>
            <w:shd w:val="clear" w:color="auto" w:fill="E6EDF3"/>
          </w:tcPr>
          <w:p>
            <w:pPr>
              <w:jc w:val="right"/>
              <w:ind w:right="137"/>
              <w:spacing w:after="0"/>
              <w:rPr>
                <w:sz w:val="20"/>
                <w:szCs w:val="20"/>
                <w:color w:val="auto"/>
              </w:rPr>
            </w:pPr>
            <w:r>
              <w:rPr>
                <w:rFonts w:ascii="Arial" w:cs="Arial" w:eastAsia="Arial" w:hAnsi="Arial"/>
                <w:sz w:val="14"/>
                <w:szCs w:val="14"/>
                <w:color w:val="auto"/>
              </w:rPr>
              <w:t>—</w:t>
            </w:r>
          </w:p>
        </w:tc>
        <w:tc>
          <w:tcPr>
            <w:tcW w:w="100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E6EDF3"/>
          </w:tcPr>
          <w:p>
            <w:pPr>
              <w:ind w:left="240"/>
              <w:spacing w:after="0"/>
              <w:rPr>
                <w:sz w:val="20"/>
                <w:szCs w:val="20"/>
                <w:color w:val="auto"/>
              </w:rPr>
            </w:pPr>
            <w:r>
              <w:rPr>
                <w:rFonts w:ascii="Arial" w:cs="Arial" w:eastAsia="Arial" w:hAnsi="Arial"/>
                <w:sz w:val="14"/>
                <w:szCs w:val="14"/>
                <w:color w:val="auto"/>
              </w:rPr>
              <w:t>$</w:t>
            </w:r>
          </w:p>
        </w:tc>
        <w:tc>
          <w:tcPr>
            <w:tcW w:w="4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67.12</w:t>
            </w:r>
          </w:p>
        </w:tc>
        <w:tc>
          <w:tcPr>
            <w:tcW w:w="900" w:type="dxa"/>
            <w:vAlign w:val="bottom"/>
            <w:shd w:val="clear" w:color="auto" w:fill="E6EDF3"/>
          </w:tcPr>
          <w:p>
            <w:pPr>
              <w:jc w:val="right"/>
              <w:spacing w:after="0"/>
              <w:rPr>
                <w:sz w:val="20"/>
                <w:szCs w:val="20"/>
                <w:color w:val="auto"/>
              </w:rPr>
            </w:pPr>
            <w:r>
              <w:rPr>
                <w:rFonts w:ascii="Arial" w:cs="Arial" w:eastAsia="Arial" w:hAnsi="Arial"/>
                <w:sz w:val="14"/>
                <w:szCs w:val="14"/>
                <w:color w:val="auto"/>
              </w:rPr>
              <w:t>2/16/2021</w:t>
            </w:r>
          </w:p>
        </w:tc>
        <w:tc>
          <w:tcPr>
            <w:tcW w:w="80" w:type="dxa"/>
            <w:vAlign w:val="bottom"/>
            <w:shd w:val="clear" w:color="auto" w:fill="E6EDF3"/>
          </w:tcPr>
          <w:p>
            <w:pPr>
              <w:spacing w:after="0"/>
              <w:rPr>
                <w:sz w:val="15"/>
                <w:szCs w:val="15"/>
                <w:color w:val="auto"/>
              </w:rPr>
            </w:pPr>
          </w:p>
        </w:tc>
        <w:tc>
          <w:tcPr>
            <w:tcW w:w="1020" w:type="dxa"/>
            <w:vAlign w:val="bottom"/>
            <w:shd w:val="clear" w:color="auto" w:fill="E6EDF3"/>
          </w:tcPr>
          <w:p>
            <w:pPr>
              <w:jc w:val="right"/>
              <w:ind w:right="293"/>
              <w:spacing w:after="0"/>
              <w:rPr>
                <w:sz w:val="20"/>
                <w:szCs w:val="20"/>
                <w:color w:val="auto"/>
              </w:rPr>
            </w:pPr>
            <w:r>
              <w:rPr>
                <w:rFonts w:ascii="Arial" w:cs="Arial" w:eastAsia="Arial" w:hAnsi="Arial"/>
                <w:sz w:val="14"/>
                <w:szCs w:val="14"/>
                <w:color w:val="auto"/>
              </w:rPr>
              <w:t>—</w:t>
            </w:r>
          </w:p>
        </w:tc>
        <w:tc>
          <w:tcPr>
            <w:tcW w:w="220" w:type="dxa"/>
            <w:vAlign w:val="bottom"/>
            <w:shd w:val="clear" w:color="auto" w:fill="E6EDF3"/>
          </w:tcPr>
          <w:p>
            <w:pPr>
              <w:spacing w:after="0"/>
              <w:rPr>
                <w:sz w:val="15"/>
                <w:szCs w:val="15"/>
                <w:color w:val="auto"/>
              </w:rPr>
            </w:pPr>
          </w:p>
        </w:tc>
        <w:tc>
          <w:tcPr>
            <w:tcW w:w="66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E6EDF3"/>
          </w:tcPr>
          <w:p>
            <w:pPr>
              <w:jc w:val="right"/>
              <w:ind w:right="253"/>
              <w:spacing w:after="0"/>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5"/>
                <w:szCs w:val="15"/>
                <w:color w:val="auto"/>
              </w:rPr>
            </w:pPr>
          </w:p>
        </w:tc>
        <w:tc>
          <w:tcPr>
            <w:tcW w:w="900" w:type="dxa"/>
            <w:vAlign w:val="bottom"/>
            <w:shd w:val="clear" w:color="auto" w:fill="E6EDF3"/>
          </w:tcPr>
          <w:p>
            <w:pPr>
              <w:jc w:val="right"/>
              <w:ind w:right="73"/>
              <w:spacing w:after="0"/>
              <w:rPr>
                <w:sz w:val="20"/>
                <w:szCs w:val="20"/>
                <w:color w:val="auto"/>
              </w:rPr>
            </w:pPr>
            <w:r>
              <w:rPr>
                <w:rFonts w:ascii="Arial" w:cs="Arial" w:eastAsia="Arial" w:hAnsi="Arial"/>
                <w:sz w:val="14"/>
                <w:szCs w:val="14"/>
                <w:color w:val="auto"/>
              </w:rPr>
              <w:t>—</w:t>
            </w:r>
          </w:p>
        </w:tc>
      </w:tr>
      <w:tr>
        <w:trPr>
          <w:trHeight w:val="149"/>
        </w:trPr>
        <w:tc>
          <w:tcPr>
            <w:tcW w:w="2240" w:type="dxa"/>
            <w:vAlign w:val="bottom"/>
            <w:shd w:val="clear" w:color="auto" w:fill="E6EDF3"/>
          </w:tcPr>
          <w:p>
            <w:pPr>
              <w:spacing w:after="0"/>
              <w:rPr>
                <w:sz w:val="12"/>
                <w:szCs w:val="12"/>
                <w:color w:val="auto"/>
              </w:rPr>
            </w:pPr>
          </w:p>
        </w:tc>
        <w:tc>
          <w:tcPr>
            <w:tcW w:w="18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4,203</w:t>
            </w:r>
          </w:p>
        </w:tc>
        <w:tc>
          <w:tcPr>
            <w:tcW w:w="260" w:type="dxa"/>
            <w:vAlign w:val="bottom"/>
            <w:shd w:val="clear" w:color="auto" w:fill="E6EDF3"/>
          </w:tcPr>
          <w:p>
            <w:pPr>
              <w:spacing w:after="0"/>
              <w:rPr>
                <w:sz w:val="12"/>
                <w:szCs w:val="12"/>
                <w:color w:val="auto"/>
              </w:rPr>
            </w:pPr>
          </w:p>
        </w:tc>
        <w:tc>
          <w:tcPr>
            <w:tcW w:w="1000" w:type="dxa"/>
            <w:vAlign w:val="bottom"/>
            <w:gridSpan w:val="2"/>
            <w:shd w:val="clear" w:color="auto" w:fill="E6EDF3"/>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6EDF3"/>
          </w:tcPr>
          <w:p>
            <w:pPr>
              <w:ind w:left="2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44.81</w:t>
            </w:r>
          </w:p>
        </w:tc>
        <w:tc>
          <w:tcPr>
            <w:tcW w:w="9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2/15/2022</w:t>
            </w:r>
          </w:p>
        </w:tc>
        <w:tc>
          <w:tcPr>
            <w:tcW w:w="80" w:type="dxa"/>
            <w:vAlign w:val="bottom"/>
            <w:shd w:val="clear" w:color="auto" w:fill="E6EDF3"/>
          </w:tcPr>
          <w:p>
            <w:pPr>
              <w:spacing w:after="0"/>
              <w:rPr>
                <w:sz w:val="12"/>
                <w:szCs w:val="12"/>
                <w:color w:val="auto"/>
              </w:rPr>
            </w:pPr>
          </w:p>
        </w:tc>
        <w:tc>
          <w:tcPr>
            <w:tcW w:w="1020" w:type="dxa"/>
            <w:vAlign w:val="bottom"/>
            <w:shd w:val="clear" w:color="auto" w:fill="E6EDF3"/>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6EDF3"/>
          </w:tcPr>
          <w:p>
            <w:pPr>
              <w:spacing w:after="0"/>
              <w:rPr>
                <w:sz w:val="12"/>
                <w:szCs w:val="12"/>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6EDF3"/>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r>
      <w:tr>
        <w:trPr>
          <w:trHeight w:val="149"/>
        </w:trPr>
        <w:tc>
          <w:tcPr>
            <w:tcW w:w="2240" w:type="dxa"/>
            <w:vAlign w:val="bottom"/>
            <w:shd w:val="clear" w:color="auto" w:fill="E6EDF3"/>
          </w:tcPr>
          <w:p>
            <w:pPr>
              <w:spacing w:after="0"/>
              <w:rPr>
                <w:sz w:val="12"/>
                <w:szCs w:val="12"/>
                <w:color w:val="auto"/>
              </w:rPr>
            </w:pPr>
          </w:p>
        </w:tc>
        <w:tc>
          <w:tcPr>
            <w:tcW w:w="18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18,662</w:t>
            </w:r>
          </w:p>
        </w:tc>
        <w:tc>
          <w:tcPr>
            <w:tcW w:w="1260" w:type="dxa"/>
            <w:vAlign w:val="bottom"/>
            <w:gridSpan w:val="3"/>
            <w:shd w:val="clear" w:color="auto" w:fill="E6EDF3"/>
          </w:tcPr>
          <w:p>
            <w:pPr>
              <w:jc w:val="right"/>
              <w:spacing w:after="0" w:line="149" w:lineRule="exact"/>
              <w:rPr>
                <w:sz w:val="20"/>
                <w:szCs w:val="20"/>
                <w:color w:val="auto"/>
              </w:rPr>
            </w:pPr>
            <w:r>
              <w:rPr>
                <w:rFonts w:ascii="Arial" w:cs="Arial" w:eastAsia="Arial" w:hAnsi="Arial"/>
                <w:sz w:val="14"/>
                <w:szCs w:val="14"/>
                <w:color w:val="auto"/>
              </w:rPr>
              <w:t>6,221(4)</w:t>
            </w:r>
          </w:p>
        </w:tc>
        <w:tc>
          <w:tcPr>
            <w:tcW w:w="10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6EDF3"/>
          </w:tcPr>
          <w:p>
            <w:pPr>
              <w:ind w:left="2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52.55</w:t>
            </w:r>
          </w:p>
        </w:tc>
        <w:tc>
          <w:tcPr>
            <w:tcW w:w="9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2/13/2023</w:t>
            </w:r>
          </w:p>
        </w:tc>
        <w:tc>
          <w:tcPr>
            <w:tcW w:w="80" w:type="dxa"/>
            <w:vAlign w:val="bottom"/>
            <w:shd w:val="clear" w:color="auto" w:fill="E6EDF3"/>
          </w:tcPr>
          <w:p>
            <w:pPr>
              <w:spacing w:after="0"/>
              <w:rPr>
                <w:sz w:val="12"/>
                <w:szCs w:val="12"/>
                <w:color w:val="auto"/>
              </w:rPr>
            </w:pPr>
          </w:p>
        </w:tc>
        <w:tc>
          <w:tcPr>
            <w:tcW w:w="1020" w:type="dxa"/>
            <w:vAlign w:val="bottom"/>
            <w:shd w:val="clear" w:color="auto" w:fill="E6EDF3"/>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6EDF3"/>
          </w:tcPr>
          <w:p>
            <w:pPr>
              <w:spacing w:after="0"/>
              <w:rPr>
                <w:sz w:val="12"/>
                <w:szCs w:val="12"/>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6EDF3"/>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r>
      <w:tr>
        <w:trPr>
          <w:trHeight w:val="149"/>
        </w:trPr>
        <w:tc>
          <w:tcPr>
            <w:tcW w:w="2240" w:type="dxa"/>
            <w:vAlign w:val="bottom"/>
            <w:shd w:val="clear" w:color="auto" w:fill="E6EDF3"/>
          </w:tcPr>
          <w:p>
            <w:pPr>
              <w:spacing w:after="0"/>
              <w:rPr>
                <w:sz w:val="12"/>
                <w:szCs w:val="12"/>
                <w:color w:val="auto"/>
              </w:rPr>
            </w:pPr>
          </w:p>
        </w:tc>
        <w:tc>
          <w:tcPr>
            <w:tcW w:w="18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7,840</w:t>
            </w:r>
          </w:p>
        </w:tc>
        <w:tc>
          <w:tcPr>
            <w:tcW w:w="1260" w:type="dxa"/>
            <w:vAlign w:val="bottom"/>
            <w:gridSpan w:val="3"/>
            <w:shd w:val="clear" w:color="auto" w:fill="E6EDF3"/>
          </w:tcPr>
          <w:p>
            <w:pPr>
              <w:jc w:val="right"/>
              <w:spacing w:after="0" w:line="149" w:lineRule="exact"/>
              <w:rPr>
                <w:sz w:val="20"/>
                <w:szCs w:val="20"/>
                <w:color w:val="auto"/>
              </w:rPr>
            </w:pPr>
            <w:r>
              <w:rPr>
                <w:rFonts w:ascii="Arial" w:cs="Arial" w:eastAsia="Arial" w:hAnsi="Arial"/>
                <w:sz w:val="14"/>
                <w:szCs w:val="14"/>
                <w:color w:val="auto"/>
              </w:rPr>
              <w:t>7,841(5)</w:t>
            </w:r>
          </w:p>
        </w:tc>
        <w:tc>
          <w:tcPr>
            <w:tcW w:w="10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6EDF3"/>
          </w:tcPr>
          <w:p>
            <w:pPr>
              <w:ind w:left="2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76.13</w:t>
            </w:r>
          </w:p>
        </w:tc>
        <w:tc>
          <w:tcPr>
            <w:tcW w:w="9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2/11/2024</w:t>
            </w:r>
          </w:p>
        </w:tc>
        <w:tc>
          <w:tcPr>
            <w:tcW w:w="80" w:type="dxa"/>
            <w:vAlign w:val="bottom"/>
            <w:shd w:val="clear" w:color="auto" w:fill="E6EDF3"/>
          </w:tcPr>
          <w:p>
            <w:pPr>
              <w:spacing w:after="0"/>
              <w:rPr>
                <w:sz w:val="12"/>
                <w:szCs w:val="12"/>
                <w:color w:val="auto"/>
              </w:rPr>
            </w:pPr>
          </w:p>
        </w:tc>
        <w:tc>
          <w:tcPr>
            <w:tcW w:w="1020" w:type="dxa"/>
            <w:vAlign w:val="bottom"/>
            <w:shd w:val="clear" w:color="auto" w:fill="E6EDF3"/>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6EDF3"/>
          </w:tcPr>
          <w:p>
            <w:pPr>
              <w:spacing w:after="0"/>
              <w:rPr>
                <w:sz w:val="12"/>
                <w:szCs w:val="12"/>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6EDF3"/>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r>
      <w:tr>
        <w:trPr>
          <w:trHeight w:val="149"/>
        </w:trPr>
        <w:tc>
          <w:tcPr>
            <w:tcW w:w="2240" w:type="dxa"/>
            <w:vAlign w:val="bottom"/>
            <w:shd w:val="clear" w:color="auto" w:fill="E6EDF3"/>
          </w:tcPr>
          <w:p>
            <w:pPr>
              <w:spacing w:after="0"/>
              <w:rPr>
                <w:sz w:val="12"/>
                <w:szCs w:val="12"/>
                <w:color w:val="auto"/>
              </w:rPr>
            </w:pPr>
          </w:p>
        </w:tc>
        <w:tc>
          <w:tcPr>
            <w:tcW w:w="18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5,523</w:t>
            </w:r>
          </w:p>
        </w:tc>
        <w:tc>
          <w:tcPr>
            <w:tcW w:w="260" w:type="dxa"/>
            <w:vAlign w:val="bottom"/>
            <w:shd w:val="clear" w:color="auto" w:fill="E6EDF3"/>
          </w:tcPr>
          <w:p>
            <w:pPr>
              <w:spacing w:after="0"/>
              <w:rPr>
                <w:sz w:val="12"/>
                <w:szCs w:val="12"/>
                <w:color w:val="auto"/>
              </w:rPr>
            </w:pPr>
          </w:p>
        </w:tc>
        <w:tc>
          <w:tcPr>
            <w:tcW w:w="1000" w:type="dxa"/>
            <w:vAlign w:val="bottom"/>
            <w:gridSpan w:val="2"/>
            <w:shd w:val="clear" w:color="auto" w:fill="E6EDF3"/>
          </w:tcPr>
          <w:p>
            <w:pPr>
              <w:jc w:val="right"/>
              <w:spacing w:after="0" w:line="149" w:lineRule="exact"/>
              <w:rPr>
                <w:sz w:val="20"/>
                <w:szCs w:val="20"/>
                <w:color w:val="auto"/>
              </w:rPr>
            </w:pPr>
            <w:r>
              <w:rPr>
                <w:rFonts w:ascii="Arial" w:cs="Arial" w:eastAsia="Arial" w:hAnsi="Arial"/>
                <w:sz w:val="14"/>
                <w:szCs w:val="14"/>
                <w:color w:val="auto"/>
              </w:rPr>
              <w:t>5,523(6)</w:t>
            </w:r>
          </w:p>
        </w:tc>
        <w:tc>
          <w:tcPr>
            <w:tcW w:w="10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6EDF3"/>
          </w:tcPr>
          <w:p>
            <w:pPr>
              <w:ind w:left="2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82.24</w:t>
            </w:r>
          </w:p>
        </w:tc>
        <w:tc>
          <w:tcPr>
            <w:tcW w:w="9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5/1/2024</w:t>
            </w:r>
          </w:p>
        </w:tc>
        <w:tc>
          <w:tcPr>
            <w:tcW w:w="80" w:type="dxa"/>
            <w:vAlign w:val="bottom"/>
            <w:shd w:val="clear" w:color="auto" w:fill="E6EDF3"/>
          </w:tcPr>
          <w:p>
            <w:pPr>
              <w:spacing w:after="0"/>
              <w:rPr>
                <w:sz w:val="12"/>
                <w:szCs w:val="12"/>
                <w:color w:val="auto"/>
              </w:rPr>
            </w:pPr>
          </w:p>
        </w:tc>
        <w:tc>
          <w:tcPr>
            <w:tcW w:w="1020" w:type="dxa"/>
            <w:vAlign w:val="bottom"/>
            <w:shd w:val="clear" w:color="auto" w:fill="E6EDF3"/>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6EDF3"/>
          </w:tcPr>
          <w:p>
            <w:pPr>
              <w:spacing w:after="0"/>
              <w:rPr>
                <w:sz w:val="12"/>
                <w:szCs w:val="12"/>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6EDF3"/>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r>
      <w:tr>
        <w:trPr>
          <w:trHeight w:val="149"/>
        </w:trPr>
        <w:tc>
          <w:tcPr>
            <w:tcW w:w="2240" w:type="dxa"/>
            <w:vAlign w:val="bottom"/>
            <w:shd w:val="clear" w:color="auto" w:fill="E6EDF3"/>
          </w:tcPr>
          <w:p>
            <w:pPr>
              <w:spacing w:after="0"/>
              <w:rPr>
                <w:sz w:val="12"/>
                <w:szCs w:val="12"/>
                <w:color w:val="auto"/>
              </w:rPr>
            </w:pPr>
          </w:p>
        </w:tc>
        <w:tc>
          <w:tcPr>
            <w:tcW w:w="18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8,079</w:t>
            </w:r>
          </w:p>
        </w:tc>
        <w:tc>
          <w:tcPr>
            <w:tcW w:w="260" w:type="dxa"/>
            <w:vAlign w:val="bottom"/>
            <w:shd w:val="clear" w:color="auto" w:fill="E6EDF3"/>
          </w:tcPr>
          <w:p>
            <w:pPr>
              <w:spacing w:after="0"/>
              <w:rPr>
                <w:sz w:val="12"/>
                <w:szCs w:val="12"/>
                <w:color w:val="auto"/>
              </w:rPr>
            </w:pPr>
          </w:p>
        </w:tc>
        <w:tc>
          <w:tcPr>
            <w:tcW w:w="1000" w:type="dxa"/>
            <w:vAlign w:val="bottom"/>
            <w:gridSpan w:val="2"/>
            <w:shd w:val="clear" w:color="auto" w:fill="E6EDF3"/>
          </w:tcPr>
          <w:p>
            <w:pPr>
              <w:jc w:val="right"/>
              <w:spacing w:after="0" w:line="149" w:lineRule="exact"/>
              <w:rPr>
                <w:sz w:val="20"/>
                <w:szCs w:val="20"/>
                <w:color w:val="auto"/>
              </w:rPr>
            </w:pPr>
            <w:r>
              <w:rPr>
                <w:rFonts w:ascii="Arial" w:cs="Arial" w:eastAsia="Arial" w:hAnsi="Arial"/>
                <w:sz w:val="14"/>
                <w:szCs w:val="14"/>
                <w:color w:val="auto"/>
              </w:rPr>
              <w:t>24,239(7)</w:t>
            </w:r>
          </w:p>
        </w:tc>
        <w:tc>
          <w:tcPr>
            <w:tcW w:w="10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6EDF3"/>
          </w:tcPr>
          <w:p>
            <w:pPr>
              <w:ind w:left="2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76.97</w:t>
            </w:r>
          </w:p>
        </w:tc>
        <w:tc>
          <w:tcPr>
            <w:tcW w:w="9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2/10/2025</w:t>
            </w:r>
          </w:p>
        </w:tc>
        <w:tc>
          <w:tcPr>
            <w:tcW w:w="80" w:type="dxa"/>
            <w:vAlign w:val="bottom"/>
            <w:shd w:val="clear" w:color="auto" w:fill="E6EDF3"/>
          </w:tcPr>
          <w:p>
            <w:pPr>
              <w:spacing w:after="0"/>
              <w:rPr>
                <w:sz w:val="12"/>
                <w:szCs w:val="12"/>
                <w:color w:val="auto"/>
              </w:rPr>
            </w:pPr>
          </w:p>
        </w:tc>
        <w:tc>
          <w:tcPr>
            <w:tcW w:w="1020" w:type="dxa"/>
            <w:vAlign w:val="bottom"/>
            <w:shd w:val="clear" w:color="auto" w:fill="E6EDF3"/>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6EDF3"/>
          </w:tcPr>
          <w:p>
            <w:pPr>
              <w:spacing w:after="0"/>
              <w:rPr>
                <w:sz w:val="12"/>
                <w:szCs w:val="12"/>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6EDF3"/>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r>
      <w:tr>
        <w:trPr>
          <w:trHeight w:val="148"/>
        </w:trPr>
        <w:tc>
          <w:tcPr>
            <w:tcW w:w="2240" w:type="dxa"/>
            <w:vAlign w:val="bottom"/>
            <w:shd w:val="clear" w:color="auto" w:fill="E6EDF3"/>
          </w:tcPr>
          <w:p>
            <w:pPr>
              <w:spacing w:after="0"/>
              <w:rPr>
                <w:sz w:val="12"/>
                <w:szCs w:val="12"/>
                <w:color w:val="auto"/>
              </w:rPr>
            </w:pPr>
          </w:p>
        </w:tc>
        <w:tc>
          <w:tcPr>
            <w:tcW w:w="18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8"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100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35,570(8)</w:t>
            </w:r>
          </w:p>
        </w:tc>
        <w:tc>
          <w:tcPr>
            <w:tcW w:w="10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340" w:type="dxa"/>
            <w:vAlign w:val="bottom"/>
          </w:tcPr>
          <w:p>
            <w:pPr>
              <w:ind w:left="240"/>
              <w:spacing w:after="0" w:line="148"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8" w:lineRule="exact"/>
              <w:rPr>
                <w:sz w:val="20"/>
                <w:szCs w:val="20"/>
                <w:color w:val="auto"/>
              </w:rPr>
            </w:pPr>
            <w:r>
              <w:rPr>
                <w:rFonts w:ascii="Arial" w:cs="Arial" w:eastAsia="Arial" w:hAnsi="Arial"/>
                <w:sz w:val="14"/>
                <w:szCs w:val="14"/>
                <w:color w:val="auto"/>
              </w:rPr>
              <w:t>75.07</w:t>
            </w:r>
          </w:p>
        </w:tc>
        <w:tc>
          <w:tcPr>
            <w:tcW w:w="900" w:type="dxa"/>
            <w:vAlign w:val="bottom"/>
          </w:tcPr>
          <w:p>
            <w:pPr>
              <w:jc w:val="right"/>
              <w:spacing w:after="0" w:line="148" w:lineRule="exact"/>
              <w:rPr>
                <w:sz w:val="20"/>
                <w:szCs w:val="20"/>
                <w:color w:val="auto"/>
              </w:rPr>
            </w:pPr>
            <w:r>
              <w:rPr>
                <w:rFonts w:ascii="Arial" w:cs="Arial" w:eastAsia="Arial" w:hAnsi="Arial"/>
                <w:sz w:val="14"/>
                <w:szCs w:val="14"/>
                <w:color w:val="auto"/>
              </w:rPr>
              <w:t>2/16/2026</w:t>
            </w:r>
          </w:p>
        </w:tc>
        <w:tc>
          <w:tcPr>
            <w:tcW w:w="80" w:type="dxa"/>
            <w:vAlign w:val="bottom"/>
          </w:tcPr>
          <w:p>
            <w:pPr>
              <w:spacing w:after="0"/>
              <w:rPr>
                <w:sz w:val="12"/>
                <w:szCs w:val="12"/>
                <w:color w:val="auto"/>
              </w:rPr>
            </w:pPr>
          </w:p>
        </w:tc>
        <w:tc>
          <w:tcPr>
            <w:tcW w:w="1020" w:type="dxa"/>
            <w:vAlign w:val="bottom"/>
          </w:tcPr>
          <w:p>
            <w:pPr>
              <w:jc w:val="right"/>
              <w:ind w:right="293"/>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253"/>
              <w:spacing w:after="0" w:line="14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tcPr>
          <w:p>
            <w:pPr>
              <w:jc w:val="right"/>
              <w:ind w:right="73"/>
              <w:spacing w:after="0" w:line="148" w:lineRule="exact"/>
              <w:rPr>
                <w:sz w:val="20"/>
                <w:szCs w:val="20"/>
                <w:color w:val="auto"/>
              </w:rPr>
            </w:pPr>
            <w:r>
              <w:rPr>
                <w:rFonts w:ascii="Arial" w:cs="Arial" w:eastAsia="Arial" w:hAnsi="Arial"/>
                <w:sz w:val="14"/>
                <w:szCs w:val="14"/>
                <w:color w:val="auto"/>
              </w:rPr>
              <w:t>—</w:t>
            </w:r>
          </w:p>
        </w:tc>
      </w:tr>
      <w:tr>
        <w:trPr>
          <w:trHeight w:val="149"/>
        </w:trPr>
        <w:tc>
          <w:tcPr>
            <w:tcW w:w="2240" w:type="dxa"/>
            <w:vAlign w:val="bottom"/>
            <w:shd w:val="clear" w:color="auto" w:fill="E6EDF3"/>
          </w:tcPr>
          <w:p>
            <w:pPr>
              <w:spacing w:after="0"/>
              <w:rPr>
                <w:sz w:val="12"/>
                <w:szCs w:val="12"/>
                <w:color w:val="auto"/>
              </w:rPr>
            </w:pPr>
          </w:p>
        </w:tc>
        <w:tc>
          <w:tcPr>
            <w:tcW w:w="18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6EDF3"/>
          </w:tcPr>
          <w:p>
            <w:pPr>
              <w:spacing w:after="0"/>
              <w:rPr>
                <w:sz w:val="12"/>
                <w:szCs w:val="12"/>
                <w:color w:val="auto"/>
              </w:rPr>
            </w:pPr>
          </w:p>
        </w:tc>
        <w:tc>
          <w:tcPr>
            <w:tcW w:w="4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6EDF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E6EDF3"/>
          </w:tcPr>
          <w:p>
            <w:pPr>
              <w:jc w:val="right"/>
              <w:ind w:right="133"/>
              <w:spacing w:after="0" w:line="149" w:lineRule="exact"/>
              <w:rPr>
                <w:sz w:val="20"/>
                <w:szCs w:val="20"/>
                <w:color w:val="auto"/>
              </w:rPr>
            </w:pPr>
            <w:r>
              <w:rPr>
                <w:rFonts w:ascii="Arial" w:cs="Arial" w:eastAsia="Arial" w:hAnsi="Arial"/>
                <w:sz w:val="14"/>
                <w:szCs w:val="14"/>
                <w:color w:val="auto"/>
              </w:rPr>
              <w:t>5,544(9)</w:t>
            </w:r>
          </w:p>
        </w:tc>
        <w:tc>
          <w:tcPr>
            <w:tcW w:w="220" w:type="dxa"/>
            <w:vAlign w:val="bottom"/>
            <w:shd w:val="clear" w:color="auto" w:fill="E6EDF3"/>
          </w:tcPr>
          <w:p>
            <w:pPr>
              <w:ind w:lef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492,695</w:t>
            </w:r>
          </w:p>
        </w:tc>
        <w:tc>
          <w:tcPr>
            <w:tcW w:w="1220" w:type="dxa"/>
            <w:vAlign w:val="bottom"/>
            <w:shd w:val="clear" w:color="auto" w:fill="E6EDF3"/>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r>
      <w:tr>
        <w:trPr>
          <w:trHeight w:val="149"/>
        </w:trPr>
        <w:tc>
          <w:tcPr>
            <w:tcW w:w="2240" w:type="dxa"/>
            <w:vAlign w:val="bottom"/>
            <w:shd w:val="clear" w:color="auto" w:fill="E6EDF3"/>
          </w:tcPr>
          <w:p>
            <w:pPr>
              <w:spacing w:after="0"/>
              <w:rPr>
                <w:sz w:val="12"/>
                <w:szCs w:val="12"/>
                <w:color w:val="auto"/>
              </w:rPr>
            </w:pPr>
          </w:p>
        </w:tc>
        <w:tc>
          <w:tcPr>
            <w:tcW w:w="18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6EDF3"/>
          </w:tcPr>
          <w:p>
            <w:pPr>
              <w:spacing w:after="0"/>
              <w:rPr>
                <w:sz w:val="12"/>
                <w:szCs w:val="12"/>
                <w:color w:val="auto"/>
              </w:rPr>
            </w:pPr>
          </w:p>
        </w:tc>
        <w:tc>
          <w:tcPr>
            <w:tcW w:w="4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6EDF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3,848(10)</w:t>
            </w:r>
          </w:p>
        </w:tc>
        <w:tc>
          <w:tcPr>
            <w:tcW w:w="220" w:type="dxa"/>
            <w:vAlign w:val="bottom"/>
            <w:shd w:val="clear" w:color="auto" w:fill="E6EDF3"/>
          </w:tcPr>
          <w:p>
            <w:pPr>
              <w:ind w:lef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341,972</w:t>
            </w:r>
          </w:p>
        </w:tc>
        <w:tc>
          <w:tcPr>
            <w:tcW w:w="1220" w:type="dxa"/>
            <w:vAlign w:val="bottom"/>
            <w:shd w:val="clear" w:color="auto" w:fill="E6EDF3"/>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r>
      <w:tr>
        <w:trPr>
          <w:trHeight w:val="149"/>
        </w:trPr>
        <w:tc>
          <w:tcPr>
            <w:tcW w:w="2240" w:type="dxa"/>
            <w:vAlign w:val="bottom"/>
            <w:shd w:val="clear" w:color="auto" w:fill="E6EDF3"/>
          </w:tcPr>
          <w:p>
            <w:pPr>
              <w:spacing w:after="0"/>
              <w:rPr>
                <w:sz w:val="12"/>
                <w:szCs w:val="12"/>
                <w:color w:val="auto"/>
              </w:rPr>
            </w:pPr>
          </w:p>
        </w:tc>
        <w:tc>
          <w:tcPr>
            <w:tcW w:w="18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6EDF3"/>
          </w:tcPr>
          <w:p>
            <w:pPr>
              <w:spacing w:after="0"/>
              <w:rPr>
                <w:sz w:val="12"/>
                <w:szCs w:val="12"/>
                <w:color w:val="auto"/>
              </w:rPr>
            </w:pPr>
          </w:p>
        </w:tc>
        <w:tc>
          <w:tcPr>
            <w:tcW w:w="4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6EDF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9,473(13)</w:t>
            </w:r>
          </w:p>
        </w:tc>
        <w:tc>
          <w:tcPr>
            <w:tcW w:w="220" w:type="dxa"/>
            <w:vAlign w:val="bottom"/>
            <w:shd w:val="clear" w:color="auto" w:fill="E6EDF3"/>
          </w:tcPr>
          <w:p>
            <w:pPr>
              <w:ind w:lef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841,866</w:t>
            </w:r>
          </w:p>
        </w:tc>
        <w:tc>
          <w:tcPr>
            <w:tcW w:w="1220" w:type="dxa"/>
            <w:vAlign w:val="bottom"/>
            <w:shd w:val="clear" w:color="auto" w:fill="E6EDF3"/>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r>
      <w:tr>
        <w:trPr>
          <w:trHeight w:val="149"/>
        </w:trPr>
        <w:tc>
          <w:tcPr>
            <w:tcW w:w="2240" w:type="dxa"/>
            <w:vAlign w:val="bottom"/>
            <w:shd w:val="clear" w:color="auto" w:fill="E6EDF3"/>
          </w:tcPr>
          <w:p>
            <w:pPr>
              <w:spacing w:after="0"/>
              <w:rPr>
                <w:sz w:val="12"/>
                <w:szCs w:val="12"/>
                <w:color w:val="auto"/>
              </w:rPr>
            </w:pPr>
          </w:p>
        </w:tc>
        <w:tc>
          <w:tcPr>
            <w:tcW w:w="18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6EDF3"/>
          </w:tcPr>
          <w:p>
            <w:pPr>
              <w:spacing w:after="0"/>
              <w:rPr>
                <w:sz w:val="12"/>
                <w:szCs w:val="12"/>
                <w:color w:val="auto"/>
              </w:rPr>
            </w:pPr>
          </w:p>
        </w:tc>
        <w:tc>
          <w:tcPr>
            <w:tcW w:w="4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6EDF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9,534(14)</w:t>
            </w:r>
          </w:p>
        </w:tc>
        <w:tc>
          <w:tcPr>
            <w:tcW w:w="220" w:type="dxa"/>
            <w:vAlign w:val="bottom"/>
            <w:shd w:val="clear" w:color="auto" w:fill="E6EDF3"/>
          </w:tcPr>
          <w:p>
            <w:pPr>
              <w:ind w:lef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847,287</w:t>
            </w:r>
          </w:p>
        </w:tc>
        <w:tc>
          <w:tcPr>
            <w:tcW w:w="1220" w:type="dxa"/>
            <w:vAlign w:val="bottom"/>
            <w:shd w:val="clear" w:color="auto" w:fill="E6EDF3"/>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r>
      <w:tr>
        <w:trPr>
          <w:trHeight w:val="149"/>
        </w:trPr>
        <w:tc>
          <w:tcPr>
            <w:tcW w:w="2240" w:type="dxa"/>
            <w:vAlign w:val="bottom"/>
            <w:shd w:val="clear" w:color="auto" w:fill="E6EDF3"/>
          </w:tcPr>
          <w:p>
            <w:pPr>
              <w:spacing w:after="0"/>
              <w:rPr>
                <w:sz w:val="12"/>
                <w:szCs w:val="12"/>
                <w:color w:val="auto"/>
              </w:rPr>
            </w:pPr>
          </w:p>
        </w:tc>
        <w:tc>
          <w:tcPr>
            <w:tcW w:w="18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6EDF3"/>
          </w:tcPr>
          <w:p>
            <w:pPr>
              <w:spacing w:after="0"/>
              <w:rPr>
                <w:sz w:val="12"/>
                <w:szCs w:val="12"/>
                <w:color w:val="auto"/>
              </w:rPr>
            </w:pPr>
          </w:p>
        </w:tc>
        <w:tc>
          <w:tcPr>
            <w:tcW w:w="4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6EDF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29,634(16)</w:t>
            </w:r>
          </w:p>
        </w:tc>
        <w:tc>
          <w:tcPr>
            <w:tcW w:w="880" w:type="dxa"/>
            <w:vAlign w:val="bottom"/>
            <w:gridSpan w:val="2"/>
            <w:shd w:val="clear" w:color="auto" w:fill="E6EDF3"/>
          </w:tcPr>
          <w:p>
            <w:pPr>
              <w:jc w:val="right"/>
              <w:spacing w:after="0" w:line="149" w:lineRule="exact"/>
              <w:rPr>
                <w:sz w:val="20"/>
                <w:szCs w:val="20"/>
                <w:color w:val="auto"/>
              </w:rPr>
            </w:pPr>
            <w:r>
              <w:rPr>
                <w:rFonts w:ascii="Arial" w:cs="Arial" w:eastAsia="Arial" w:hAnsi="Arial"/>
                <w:sz w:val="14"/>
                <w:szCs w:val="14"/>
                <w:color w:val="auto"/>
              </w:rPr>
              <w:t>$2,633,574</w:t>
            </w:r>
          </w:p>
        </w:tc>
        <w:tc>
          <w:tcPr>
            <w:tcW w:w="1220" w:type="dxa"/>
            <w:vAlign w:val="bottom"/>
            <w:shd w:val="clear" w:color="auto" w:fill="E6EDF3"/>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r>
      <w:tr>
        <w:trPr>
          <w:trHeight w:val="149"/>
        </w:trPr>
        <w:tc>
          <w:tcPr>
            <w:tcW w:w="2240" w:type="dxa"/>
            <w:vAlign w:val="bottom"/>
            <w:shd w:val="clear" w:color="auto" w:fill="E6EDF3"/>
          </w:tcPr>
          <w:p>
            <w:pPr>
              <w:spacing w:after="0"/>
              <w:rPr>
                <w:sz w:val="12"/>
                <w:szCs w:val="12"/>
                <w:color w:val="auto"/>
              </w:rPr>
            </w:pPr>
          </w:p>
        </w:tc>
        <w:tc>
          <w:tcPr>
            <w:tcW w:w="18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6EDF3"/>
          </w:tcPr>
          <w:p>
            <w:pPr>
              <w:spacing w:after="0"/>
              <w:rPr>
                <w:sz w:val="12"/>
                <w:szCs w:val="12"/>
                <w:color w:val="auto"/>
              </w:rPr>
            </w:pPr>
          </w:p>
        </w:tc>
        <w:tc>
          <w:tcPr>
            <w:tcW w:w="4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6EDF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20,575(16)</w:t>
            </w:r>
          </w:p>
        </w:tc>
        <w:tc>
          <w:tcPr>
            <w:tcW w:w="880" w:type="dxa"/>
            <w:vAlign w:val="bottom"/>
            <w:gridSpan w:val="2"/>
            <w:shd w:val="clear" w:color="auto" w:fill="E6EDF3"/>
          </w:tcPr>
          <w:p>
            <w:pPr>
              <w:jc w:val="right"/>
              <w:spacing w:after="0" w:line="149" w:lineRule="exact"/>
              <w:rPr>
                <w:sz w:val="20"/>
                <w:szCs w:val="20"/>
                <w:color w:val="auto"/>
              </w:rPr>
            </w:pPr>
            <w:r>
              <w:rPr>
                <w:rFonts w:ascii="Arial" w:cs="Arial" w:eastAsia="Arial" w:hAnsi="Arial"/>
                <w:sz w:val="14"/>
                <w:szCs w:val="14"/>
                <w:color w:val="auto"/>
              </w:rPr>
              <w:t>$1,828,500</w:t>
            </w:r>
          </w:p>
        </w:tc>
        <w:tc>
          <w:tcPr>
            <w:tcW w:w="1220" w:type="dxa"/>
            <w:vAlign w:val="bottom"/>
            <w:shd w:val="clear" w:color="auto" w:fill="E6EDF3"/>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6EDF3"/>
          </w:tcPr>
          <w:p>
            <w:pPr>
              <w:spacing w:after="0"/>
              <w:rPr>
                <w:sz w:val="12"/>
                <w:szCs w:val="12"/>
                <w:color w:val="auto"/>
              </w:rPr>
            </w:pP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r>
      <w:tr>
        <w:trPr>
          <w:trHeight w:val="149"/>
        </w:trPr>
        <w:tc>
          <w:tcPr>
            <w:tcW w:w="2240" w:type="dxa"/>
            <w:vAlign w:val="bottom"/>
            <w:shd w:val="clear" w:color="auto" w:fill="E6EDF3"/>
          </w:tcPr>
          <w:p>
            <w:pPr>
              <w:spacing w:after="0"/>
              <w:rPr>
                <w:sz w:val="12"/>
                <w:szCs w:val="12"/>
                <w:color w:val="auto"/>
              </w:rPr>
            </w:pPr>
          </w:p>
        </w:tc>
        <w:tc>
          <w:tcPr>
            <w:tcW w:w="18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6EDF3"/>
          </w:tcPr>
          <w:p>
            <w:pPr>
              <w:spacing w:after="0"/>
              <w:rPr>
                <w:sz w:val="12"/>
                <w:szCs w:val="12"/>
                <w:color w:val="auto"/>
              </w:rPr>
            </w:pPr>
          </w:p>
        </w:tc>
        <w:tc>
          <w:tcPr>
            <w:tcW w:w="1000" w:type="dxa"/>
            <w:vAlign w:val="bottom"/>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6EDF3"/>
          </w:tcPr>
          <w:p>
            <w:pPr>
              <w:spacing w:after="0"/>
              <w:rPr>
                <w:sz w:val="12"/>
                <w:szCs w:val="12"/>
                <w:color w:val="auto"/>
              </w:rPr>
            </w:pPr>
          </w:p>
        </w:tc>
        <w:tc>
          <w:tcPr>
            <w:tcW w:w="4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6EDF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E6EDF3"/>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6EDF3"/>
          </w:tcPr>
          <w:p>
            <w:pPr>
              <w:spacing w:after="0"/>
              <w:rPr>
                <w:sz w:val="12"/>
                <w:szCs w:val="12"/>
                <w:color w:val="auto"/>
              </w:rPr>
            </w:pPr>
          </w:p>
        </w:tc>
        <w:tc>
          <w:tcPr>
            <w:tcW w:w="6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6EDF3"/>
          </w:tcPr>
          <w:p>
            <w:pPr>
              <w:jc w:val="right"/>
              <w:ind w:right="13"/>
              <w:spacing w:after="0" w:line="149" w:lineRule="exact"/>
              <w:rPr>
                <w:sz w:val="20"/>
                <w:szCs w:val="20"/>
                <w:color w:val="auto"/>
              </w:rPr>
            </w:pPr>
            <w:r>
              <w:rPr>
                <w:rFonts w:ascii="Arial" w:cs="Arial" w:eastAsia="Arial" w:hAnsi="Arial"/>
                <w:sz w:val="14"/>
                <w:szCs w:val="14"/>
                <w:color w:val="auto"/>
              </w:rPr>
              <w:t>54,568(17)</w:t>
            </w:r>
          </w:p>
        </w:tc>
        <w:tc>
          <w:tcPr>
            <w:tcW w:w="140" w:type="dxa"/>
            <w:vAlign w:val="bottom"/>
            <w:shd w:val="clear" w:color="auto" w:fill="E6EDF3"/>
          </w:tcPr>
          <w:p>
            <w:pPr>
              <w:ind w:left="6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4,849,458</w:t>
            </w:r>
          </w:p>
        </w:tc>
      </w:tr>
      <w:tr>
        <w:trPr>
          <w:trHeight w:val="149"/>
        </w:trPr>
        <w:tc>
          <w:tcPr>
            <w:tcW w:w="2240" w:type="dxa"/>
            <w:vAlign w:val="bottom"/>
            <w:tcBorders>
              <w:bottom w:val="single" w:sz="8" w:color="auto"/>
            </w:tcBorders>
            <w:shd w:val="clear" w:color="auto" w:fill="E6EDF3"/>
          </w:tcPr>
          <w:p>
            <w:pPr>
              <w:spacing w:after="0"/>
              <w:rPr>
                <w:sz w:val="12"/>
                <w:szCs w:val="12"/>
                <w:color w:val="auto"/>
              </w:rPr>
            </w:pPr>
          </w:p>
        </w:tc>
        <w:tc>
          <w:tcPr>
            <w:tcW w:w="180" w:type="dxa"/>
            <w:vAlign w:val="bottom"/>
            <w:tcBorders>
              <w:bottom w:val="single" w:sz="8" w:color="auto"/>
            </w:tcBorders>
            <w:shd w:val="clear" w:color="auto" w:fill="E6EDF3"/>
          </w:tcPr>
          <w:p>
            <w:pPr>
              <w:spacing w:after="0"/>
              <w:rPr>
                <w:sz w:val="12"/>
                <w:szCs w:val="12"/>
                <w:color w:val="auto"/>
              </w:rPr>
            </w:pPr>
          </w:p>
        </w:tc>
        <w:tc>
          <w:tcPr>
            <w:tcW w:w="800" w:type="dxa"/>
            <w:vAlign w:val="bottom"/>
            <w:tcBorders>
              <w:bottom w:val="single" w:sz="8" w:color="auto"/>
            </w:tcBorders>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6EDF3"/>
          </w:tcPr>
          <w:p>
            <w:pPr>
              <w:spacing w:after="0"/>
              <w:rPr>
                <w:sz w:val="12"/>
                <w:szCs w:val="12"/>
                <w:color w:val="auto"/>
              </w:rPr>
            </w:pPr>
          </w:p>
        </w:tc>
        <w:tc>
          <w:tcPr>
            <w:tcW w:w="1000" w:type="dxa"/>
            <w:vAlign w:val="bottom"/>
            <w:tcBorders>
              <w:bottom w:val="single" w:sz="8" w:color="auto"/>
            </w:tcBorders>
            <w:gridSpan w:val="2"/>
          </w:tcPr>
          <w:p>
            <w:pPr>
              <w:jc w:val="right"/>
              <w:ind w:right="137"/>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6EDF3"/>
          </w:tcPr>
          <w:p>
            <w:pPr>
              <w:spacing w:after="0"/>
              <w:rPr>
                <w:sz w:val="12"/>
                <w:szCs w:val="12"/>
                <w:color w:val="auto"/>
              </w:rPr>
            </w:pPr>
          </w:p>
        </w:tc>
        <w:tc>
          <w:tcPr>
            <w:tcW w:w="460" w:type="dxa"/>
            <w:vAlign w:val="bottom"/>
            <w:tcBorders>
              <w:bottom w:val="single" w:sz="8" w:color="auto"/>
            </w:tcBorders>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shd w:val="clear" w:color="auto" w:fill="E6EDF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6EDF3"/>
          </w:tcPr>
          <w:p>
            <w:pPr>
              <w:jc w:val="right"/>
              <w:ind w:right="293"/>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E6EDF3"/>
          </w:tcPr>
          <w:p>
            <w:pPr>
              <w:spacing w:after="0"/>
              <w:rPr>
                <w:sz w:val="12"/>
                <w:szCs w:val="12"/>
                <w:color w:val="auto"/>
              </w:rPr>
            </w:pPr>
          </w:p>
        </w:tc>
        <w:tc>
          <w:tcPr>
            <w:tcW w:w="660" w:type="dxa"/>
            <w:vAlign w:val="bottom"/>
            <w:tcBorders>
              <w:bottom w:val="single" w:sz="8" w:color="auto"/>
            </w:tcBorders>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E6EDF3"/>
          </w:tcPr>
          <w:p>
            <w:pPr>
              <w:jc w:val="right"/>
              <w:ind w:right="13"/>
              <w:spacing w:after="0" w:line="149" w:lineRule="exact"/>
              <w:rPr>
                <w:sz w:val="20"/>
                <w:szCs w:val="20"/>
                <w:color w:val="auto"/>
              </w:rPr>
            </w:pPr>
            <w:r>
              <w:rPr>
                <w:rFonts w:ascii="Arial" w:cs="Arial" w:eastAsia="Arial" w:hAnsi="Arial"/>
                <w:sz w:val="14"/>
                <w:szCs w:val="14"/>
                <w:color w:val="auto"/>
              </w:rPr>
              <w:t>55,948(18)</w:t>
            </w:r>
          </w:p>
        </w:tc>
        <w:tc>
          <w:tcPr>
            <w:tcW w:w="140" w:type="dxa"/>
            <w:vAlign w:val="bottom"/>
            <w:tcBorders>
              <w:bottom w:val="single" w:sz="8" w:color="auto"/>
            </w:tcBorders>
            <w:shd w:val="clear" w:color="auto" w:fill="E6EDF3"/>
          </w:tcPr>
          <w:p>
            <w:pPr>
              <w:ind w:left="6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4,972,099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-3060700</wp:posOffset>
            </wp:positionV>
            <wp:extent cx="5042535" cy="11322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042535" cy="1132205"/>
                    </a:xfrm>
                    <a:prstGeom prst="rect">
                      <a:avLst/>
                    </a:prstGeom>
                    <a:noFill/>
                  </pic:spPr>
                </pic:pic>
              </a:graphicData>
            </a:graphic>
          </wp:anchor>
        </w:drawing>
        <w:drawing>
          <wp:anchor simplePos="0" relativeHeight="251657728" behindDoc="1" locked="0" layoutInCell="0" allowOverlap="1">
            <wp:simplePos x="0" y="0"/>
            <wp:positionH relativeFrom="column">
              <wp:posOffset>2209165</wp:posOffset>
            </wp:positionH>
            <wp:positionV relativeFrom="paragraph">
              <wp:posOffset>-951230</wp:posOffset>
            </wp:positionV>
            <wp:extent cx="5042535" cy="9436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042535" cy="943610"/>
                    </a:xfrm>
                    <a:prstGeom prst="rect">
                      <a:avLst/>
                    </a:prstGeom>
                    <a:noFill/>
                  </pic:spPr>
                </pic:pic>
              </a:graphicData>
            </a:graphic>
          </wp:anchor>
        </w:drawing>
      </w:r>
    </w:p>
    <w:p>
      <w:pPr>
        <w:spacing w:after="0" w:line="122" w:lineRule="exact"/>
        <w:rPr>
          <w:sz w:val="20"/>
          <w:szCs w:val="20"/>
          <w:color w:val="auto"/>
        </w:rPr>
      </w:pPr>
    </w:p>
    <w:p>
      <w:pPr>
        <w:ind w:left="9880"/>
        <w:spacing w:after="0"/>
        <w:rPr>
          <w:sz w:val="20"/>
          <w:szCs w:val="20"/>
          <w:color w:val="auto"/>
        </w:rPr>
      </w:pPr>
      <w:r>
        <w:rPr>
          <w:rFonts w:ascii="Arial" w:cs="Arial" w:eastAsia="Arial" w:hAnsi="Arial"/>
          <w:sz w:val="16"/>
          <w:szCs w:val="16"/>
          <w:b w:val="1"/>
          <w:bCs w:val="1"/>
          <w:color w:val="5D89B4"/>
        </w:rPr>
        <w:t xml:space="preserve">61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Compensation Tables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900" w:type="dxa"/>
            <w:vAlign w:val="bottom"/>
            <w:tcBorders>
              <w:top w:val="single" w:sz="8" w:color="auto"/>
              <w:bottom w:val="single" w:sz="8" w:color="9DB8D2"/>
            </w:tcBorders>
            <w:shd w:val="clear" w:color="auto" w:fill="9DB8D2"/>
          </w:tcPr>
          <w:p>
            <w:pPr>
              <w:spacing w:after="0"/>
              <w:rPr>
                <w:sz w:val="21"/>
                <w:szCs w:val="21"/>
                <w:color w:val="auto"/>
              </w:rPr>
            </w:pPr>
          </w:p>
        </w:tc>
        <w:tc>
          <w:tcPr>
            <w:tcW w:w="200" w:type="dxa"/>
            <w:vAlign w:val="bottom"/>
            <w:tcBorders>
              <w:top w:val="single" w:sz="8" w:color="auto"/>
              <w:bottom w:val="single" w:sz="8" w:color="9DB8D2"/>
            </w:tcBorders>
            <w:shd w:val="clear" w:color="auto" w:fill="9DB8D2"/>
          </w:tcPr>
          <w:p>
            <w:pPr>
              <w:spacing w:after="0"/>
              <w:rPr>
                <w:sz w:val="21"/>
                <w:szCs w:val="21"/>
                <w:color w:val="auto"/>
              </w:rPr>
            </w:pPr>
          </w:p>
        </w:tc>
        <w:tc>
          <w:tcPr>
            <w:tcW w:w="800" w:type="dxa"/>
            <w:vAlign w:val="bottom"/>
            <w:tcBorders>
              <w:top w:val="single" w:sz="8" w:color="auto"/>
              <w:bottom w:val="single" w:sz="8" w:color="auto"/>
            </w:tcBorders>
            <w:shd w:val="clear" w:color="auto" w:fill="9DB8D2"/>
          </w:tcPr>
          <w:p>
            <w:pPr>
              <w:spacing w:after="0"/>
              <w:rPr>
                <w:sz w:val="21"/>
                <w:szCs w:val="21"/>
                <w:color w:val="auto"/>
              </w:rPr>
            </w:pPr>
          </w:p>
        </w:tc>
        <w:tc>
          <w:tcPr>
            <w:tcW w:w="1060" w:type="dxa"/>
            <w:vAlign w:val="bottom"/>
            <w:tcBorders>
              <w:top w:val="single" w:sz="8" w:color="auto"/>
              <w:bottom w:val="single" w:sz="8" w:color="auto"/>
            </w:tcBorders>
            <w:shd w:val="clear" w:color="auto" w:fill="9DB8D2"/>
          </w:tcPr>
          <w:p>
            <w:pPr>
              <w:spacing w:after="0"/>
              <w:rPr>
                <w:sz w:val="21"/>
                <w:szCs w:val="21"/>
                <w:color w:val="auto"/>
              </w:rPr>
            </w:pPr>
          </w:p>
        </w:tc>
        <w:tc>
          <w:tcPr>
            <w:tcW w:w="1280" w:type="dxa"/>
            <w:vAlign w:val="bottom"/>
            <w:tcBorders>
              <w:top w:val="single" w:sz="8" w:color="auto"/>
              <w:bottom w:val="single" w:sz="8" w:color="auto"/>
            </w:tcBorders>
            <w:gridSpan w:val="2"/>
            <w:shd w:val="clear" w:color="auto" w:fill="9DB8D2"/>
          </w:tcPr>
          <w:p>
            <w:pPr>
              <w:jc w:val="right"/>
              <w:ind w:right="173"/>
              <w:spacing w:after="0"/>
              <w:rPr>
                <w:sz w:val="20"/>
                <w:szCs w:val="20"/>
                <w:color w:val="auto"/>
              </w:rPr>
            </w:pPr>
            <w:r>
              <w:rPr>
                <w:rFonts w:ascii="Arial" w:cs="Arial" w:eastAsia="Arial" w:hAnsi="Arial"/>
                <w:sz w:val="13"/>
                <w:szCs w:val="13"/>
                <w:b w:val="1"/>
                <w:bCs w:val="1"/>
                <w:color w:val="auto"/>
              </w:rPr>
              <w:t>Option Awards</w:t>
            </w:r>
          </w:p>
        </w:tc>
        <w:tc>
          <w:tcPr>
            <w:tcW w:w="360" w:type="dxa"/>
            <w:vAlign w:val="bottom"/>
            <w:tcBorders>
              <w:top w:val="single" w:sz="8" w:color="auto"/>
              <w:bottom w:val="single" w:sz="8" w:color="auto"/>
            </w:tcBorders>
            <w:shd w:val="clear" w:color="auto" w:fill="9DB8D2"/>
          </w:tcPr>
          <w:p>
            <w:pPr>
              <w:spacing w:after="0"/>
              <w:rPr>
                <w:sz w:val="21"/>
                <w:szCs w:val="21"/>
                <w:color w:val="auto"/>
              </w:rPr>
            </w:pPr>
          </w:p>
        </w:tc>
        <w:tc>
          <w:tcPr>
            <w:tcW w:w="580" w:type="dxa"/>
            <w:vAlign w:val="bottom"/>
            <w:tcBorders>
              <w:top w:val="single" w:sz="8" w:color="auto"/>
              <w:bottom w:val="single" w:sz="8" w:color="auto"/>
            </w:tcBorders>
            <w:shd w:val="clear" w:color="auto" w:fill="9DB8D2"/>
          </w:tcPr>
          <w:p>
            <w:pPr>
              <w:spacing w:after="0"/>
              <w:rPr>
                <w:sz w:val="21"/>
                <w:szCs w:val="21"/>
                <w:color w:val="auto"/>
              </w:rPr>
            </w:pPr>
          </w:p>
        </w:tc>
        <w:tc>
          <w:tcPr>
            <w:tcW w:w="880" w:type="dxa"/>
            <w:vAlign w:val="bottom"/>
            <w:tcBorders>
              <w:top w:val="single" w:sz="8" w:color="auto"/>
              <w:bottom w:val="single" w:sz="8" w:color="auto"/>
            </w:tcBorders>
            <w:shd w:val="clear" w:color="auto" w:fill="9DB8D2"/>
          </w:tcPr>
          <w:p>
            <w:pPr>
              <w:spacing w:after="0"/>
              <w:rPr>
                <w:sz w:val="21"/>
                <w:szCs w:val="21"/>
                <w:color w:val="auto"/>
              </w:rPr>
            </w:pPr>
          </w:p>
        </w:tc>
        <w:tc>
          <w:tcPr>
            <w:tcW w:w="120" w:type="dxa"/>
            <w:vAlign w:val="bottom"/>
            <w:tcBorders>
              <w:top w:val="single" w:sz="8" w:color="auto"/>
              <w:bottom w:val="single" w:sz="8" w:color="9DB8D2"/>
            </w:tcBorders>
            <w:shd w:val="clear" w:color="auto" w:fill="9DB8D2"/>
          </w:tcPr>
          <w:p>
            <w:pPr>
              <w:spacing w:after="0"/>
              <w:rPr>
                <w:sz w:val="21"/>
                <w:szCs w:val="21"/>
                <w:color w:val="auto"/>
              </w:rPr>
            </w:pPr>
          </w:p>
        </w:tc>
        <w:tc>
          <w:tcPr>
            <w:tcW w:w="1040" w:type="dxa"/>
            <w:vAlign w:val="bottom"/>
            <w:tcBorders>
              <w:top w:val="single" w:sz="8" w:color="auto"/>
              <w:bottom w:val="single" w:sz="8" w:color="auto"/>
            </w:tcBorders>
            <w:shd w:val="clear" w:color="auto" w:fill="9DB8D2"/>
          </w:tcPr>
          <w:p>
            <w:pPr>
              <w:spacing w:after="0"/>
              <w:rPr>
                <w:sz w:val="21"/>
                <w:szCs w:val="21"/>
                <w:color w:val="auto"/>
              </w:rPr>
            </w:pPr>
          </w:p>
        </w:tc>
        <w:tc>
          <w:tcPr>
            <w:tcW w:w="200" w:type="dxa"/>
            <w:vAlign w:val="bottom"/>
            <w:tcBorders>
              <w:top w:val="single" w:sz="8" w:color="auto"/>
              <w:bottom w:val="single" w:sz="8" w:color="auto"/>
            </w:tcBorders>
            <w:shd w:val="clear" w:color="auto" w:fill="9DB8D2"/>
          </w:tcPr>
          <w:p>
            <w:pPr>
              <w:spacing w:after="0"/>
              <w:rPr>
                <w:sz w:val="21"/>
                <w:szCs w:val="21"/>
                <w:color w:val="auto"/>
              </w:rPr>
            </w:pPr>
          </w:p>
        </w:tc>
        <w:tc>
          <w:tcPr>
            <w:tcW w:w="1940" w:type="dxa"/>
            <w:vAlign w:val="bottom"/>
            <w:tcBorders>
              <w:top w:val="single" w:sz="8" w:color="auto"/>
              <w:bottom w:val="single" w:sz="8" w:color="auto"/>
            </w:tcBorders>
            <w:gridSpan w:val="2"/>
            <w:shd w:val="clear" w:color="auto" w:fill="9DB8D2"/>
          </w:tcPr>
          <w:p>
            <w:pPr>
              <w:jc w:val="right"/>
              <w:ind w:right="634"/>
              <w:spacing w:after="0"/>
              <w:rPr>
                <w:sz w:val="20"/>
                <w:szCs w:val="20"/>
                <w:color w:val="auto"/>
              </w:rPr>
            </w:pPr>
            <w:r>
              <w:rPr>
                <w:rFonts w:ascii="Arial" w:cs="Arial" w:eastAsia="Arial" w:hAnsi="Arial"/>
                <w:sz w:val="13"/>
                <w:szCs w:val="13"/>
                <w:b w:val="1"/>
                <w:bCs w:val="1"/>
                <w:color w:val="auto"/>
              </w:rPr>
              <w:t>Stock Awards</w:t>
            </w:r>
          </w:p>
        </w:tc>
        <w:tc>
          <w:tcPr>
            <w:tcW w:w="180" w:type="dxa"/>
            <w:vAlign w:val="bottom"/>
            <w:tcBorders>
              <w:top w:val="single" w:sz="8" w:color="auto"/>
              <w:bottom w:val="single" w:sz="8" w:color="auto"/>
            </w:tcBorders>
            <w:shd w:val="clear" w:color="auto" w:fill="9DB8D2"/>
          </w:tcPr>
          <w:p>
            <w:pPr>
              <w:spacing w:after="0"/>
              <w:rPr>
                <w:sz w:val="21"/>
                <w:szCs w:val="21"/>
                <w:color w:val="auto"/>
              </w:rPr>
            </w:pPr>
          </w:p>
        </w:tc>
        <w:tc>
          <w:tcPr>
            <w:tcW w:w="880" w:type="dxa"/>
            <w:vAlign w:val="bottom"/>
            <w:tcBorders>
              <w:top w:val="single" w:sz="8" w:color="auto"/>
              <w:bottom w:val="single" w:sz="8" w:color="auto"/>
            </w:tcBorders>
            <w:shd w:val="clear" w:color="auto" w:fill="9DB8D2"/>
          </w:tcPr>
          <w:p>
            <w:pPr>
              <w:spacing w:after="0"/>
              <w:rPr>
                <w:sz w:val="21"/>
                <w:szCs w:val="21"/>
                <w:color w:val="auto"/>
              </w:rPr>
            </w:pPr>
          </w:p>
        </w:tc>
      </w:tr>
      <w:tr>
        <w:trPr>
          <w:trHeight w:val="201"/>
        </w:trPr>
        <w:tc>
          <w:tcPr>
            <w:tcW w:w="1900" w:type="dxa"/>
            <w:vAlign w:val="bottom"/>
            <w:shd w:val="clear" w:color="auto" w:fill="9DB8D2"/>
          </w:tcPr>
          <w:p>
            <w:pPr>
              <w:spacing w:after="0"/>
              <w:rPr>
                <w:sz w:val="17"/>
                <w:szCs w:val="17"/>
                <w:color w:val="auto"/>
              </w:rPr>
            </w:pPr>
          </w:p>
        </w:tc>
        <w:tc>
          <w:tcPr>
            <w:tcW w:w="200" w:type="dxa"/>
            <w:vAlign w:val="bottom"/>
            <w:shd w:val="clear" w:color="auto" w:fill="9DB8D2"/>
          </w:tcPr>
          <w:p>
            <w:pPr>
              <w:spacing w:after="0"/>
              <w:rPr>
                <w:sz w:val="17"/>
                <w:szCs w:val="17"/>
                <w:color w:val="auto"/>
              </w:rPr>
            </w:pPr>
          </w:p>
        </w:tc>
        <w:tc>
          <w:tcPr>
            <w:tcW w:w="800" w:type="dxa"/>
            <w:vAlign w:val="bottom"/>
            <w:shd w:val="clear" w:color="auto" w:fill="9DB8D2"/>
          </w:tcPr>
          <w:p>
            <w:pPr>
              <w:spacing w:after="0"/>
              <w:rPr>
                <w:sz w:val="17"/>
                <w:szCs w:val="17"/>
                <w:color w:val="auto"/>
              </w:rPr>
            </w:pPr>
          </w:p>
        </w:tc>
        <w:tc>
          <w:tcPr>
            <w:tcW w:w="1060" w:type="dxa"/>
            <w:vAlign w:val="bottom"/>
            <w:shd w:val="clear" w:color="auto" w:fill="9DB8D2"/>
          </w:tcPr>
          <w:p>
            <w:pPr>
              <w:spacing w:after="0"/>
              <w:rPr>
                <w:sz w:val="17"/>
                <w:szCs w:val="17"/>
                <w:color w:val="auto"/>
              </w:rPr>
            </w:pPr>
          </w:p>
        </w:tc>
        <w:tc>
          <w:tcPr>
            <w:tcW w:w="390" w:type="dxa"/>
            <w:vAlign w:val="bottom"/>
            <w:shd w:val="clear" w:color="auto" w:fill="9DB8D2"/>
          </w:tcPr>
          <w:p>
            <w:pPr>
              <w:spacing w:after="0"/>
              <w:rPr>
                <w:sz w:val="17"/>
                <w:szCs w:val="17"/>
                <w:color w:val="auto"/>
              </w:rPr>
            </w:pPr>
          </w:p>
        </w:tc>
        <w:tc>
          <w:tcPr>
            <w:tcW w:w="890" w:type="dxa"/>
            <w:vAlign w:val="bottom"/>
            <w:shd w:val="clear" w:color="auto" w:fill="9DB8D2"/>
          </w:tcPr>
          <w:p>
            <w:pPr>
              <w:spacing w:after="0"/>
              <w:rPr>
                <w:sz w:val="17"/>
                <w:szCs w:val="17"/>
                <w:color w:val="auto"/>
              </w:rPr>
            </w:pPr>
          </w:p>
        </w:tc>
        <w:tc>
          <w:tcPr>
            <w:tcW w:w="360" w:type="dxa"/>
            <w:vAlign w:val="bottom"/>
            <w:shd w:val="clear" w:color="auto" w:fill="9DB8D2"/>
          </w:tcPr>
          <w:p>
            <w:pPr>
              <w:spacing w:after="0"/>
              <w:rPr>
                <w:sz w:val="17"/>
                <w:szCs w:val="17"/>
                <w:color w:val="auto"/>
              </w:rPr>
            </w:pPr>
          </w:p>
        </w:tc>
        <w:tc>
          <w:tcPr>
            <w:tcW w:w="580" w:type="dxa"/>
            <w:vAlign w:val="bottom"/>
            <w:shd w:val="clear" w:color="auto" w:fill="9DB8D2"/>
          </w:tcPr>
          <w:p>
            <w:pPr>
              <w:spacing w:after="0"/>
              <w:rPr>
                <w:sz w:val="17"/>
                <w:szCs w:val="17"/>
                <w:color w:val="auto"/>
              </w:rPr>
            </w:pPr>
          </w:p>
        </w:tc>
        <w:tc>
          <w:tcPr>
            <w:tcW w:w="880" w:type="dxa"/>
            <w:vAlign w:val="bottom"/>
            <w:shd w:val="clear" w:color="auto" w:fill="9DB8D2"/>
          </w:tcPr>
          <w:p>
            <w:pPr>
              <w:spacing w:after="0"/>
              <w:rPr>
                <w:sz w:val="17"/>
                <w:szCs w:val="17"/>
                <w:color w:val="auto"/>
              </w:rPr>
            </w:pPr>
          </w:p>
        </w:tc>
        <w:tc>
          <w:tcPr>
            <w:tcW w:w="120" w:type="dxa"/>
            <w:vAlign w:val="bottom"/>
            <w:shd w:val="clear" w:color="auto" w:fill="9DB8D2"/>
          </w:tcPr>
          <w:p>
            <w:pPr>
              <w:spacing w:after="0"/>
              <w:rPr>
                <w:sz w:val="17"/>
                <w:szCs w:val="17"/>
                <w:color w:val="auto"/>
              </w:rPr>
            </w:pPr>
          </w:p>
        </w:tc>
        <w:tc>
          <w:tcPr>
            <w:tcW w:w="1040" w:type="dxa"/>
            <w:vAlign w:val="bottom"/>
            <w:shd w:val="clear" w:color="auto" w:fill="9DB8D2"/>
          </w:tcPr>
          <w:p>
            <w:pPr>
              <w:spacing w:after="0"/>
              <w:rPr>
                <w:sz w:val="17"/>
                <w:szCs w:val="17"/>
                <w:color w:val="auto"/>
              </w:rPr>
            </w:pPr>
          </w:p>
        </w:tc>
        <w:tc>
          <w:tcPr>
            <w:tcW w:w="200" w:type="dxa"/>
            <w:vAlign w:val="bottom"/>
            <w:shd w:val="clear" w:color="auto" w:fill="9DB8D2"/>
          </w:tcPr>
          <w:p>
            <w:pPr>
              <w:spacing w:after="0"/>
              <w:rPr>
                <w:sz w:val="17"/>
                <w:szCs w:val="17"/>
                <w:color w:val="auto"/>
              </w:rPr>
            </w:pPr>
          </w:p>
        </w:tc>
        <w:tc>
          <w:tcPr>
            <w:tcW w:w="700" w:type="dxa"/>
            <w:vAlign w:val="bottom"/>
            <w:shd w:val="clear" w:color="auto" w:fill="9DB8D2"/>
          </w:tcPr>
          <w:p>
            <w:pPr>
              <w:spacing w:after="0"/>
              <w:rPr>
                <w:sz w:val="17"/>
                <w:szCs w:val="17"/>
                <w:color w:val="auto"/>
              </w:rPr>
            </w:pPr>
          </w:p>
        </w:tc>
        <w:tc>
          <w:tcPr>
            <w:tcW w:w="1240" w:type="dxa"/>
            <w:vAlign w:val="bottom"/>
            <w:shd w:val="clear" w:color="auto" w:fill="9DB8D2"/>
          </w:tcPr>
          <w:p>
            <w:pPr>
              <w:spacing w:after="0"/>
              <w:rPr>
                <w:sz w:val="17"/>
                <w:szCs w:val="17"/>
                <w:color w:val="auto"/>
              </w:rPr>
            </w:pPr>
          </w:p>
        </w:tc>
        <w:tc>
          <w:tcPr>
            <w:tcW w:w="180" w:type="dxa"/>
            <w:vAlign w:val="bottom"/>
            <w:shd w:val="clear" w:color="auto" w:fill="9DB8D2"/>
          </w:tcPr>
          <w:p>
            <w:pPr>
              <w:spacing w:after="0"/>
              <w:rPr>
                <w:sz w:val="17"/>
                <w:szCs w:val="17"/>
                <w:color w:val="auto"/>
              </w:rPr>
            </w:pPr>
          </w:p>
        </w:tc>
        <w:tc>
          <w:tcPr>
            <w:tcW w:w="880" w:type="dxa"/>
            <w:vAlign w:val="bottom"/>
            <w:shd w:val="clear" w:color="auto" w:fill="9DB8D2"/>
          </w:tcPr>
          <w:p>
            <w:pPr>
              <w:jc w:val="center"/>
              <w:ind w:right="153"/>
              <w:spacing w:after="0"/>
              <w:rPr>
                <w:sz w:val="20"/>
                <w:szCs w:val="20"/>
                <w:color w:val="auto"/>
              </w:rPr>
            </w:pPr>
            <w:r>
              <w:rPr>
                <w:rFonts w:ascii="Arial" w:cs="Arial" w:eastAsia="Arial" w:hAnsi="Arial"/>
                <w:sz w:val="13"/>
                <w:szCs w:val="13"/>
                <w:b w:val="1"/>
                <w:bCs w:val="1"/>
                <w:color w:val="auto"/>
                <w:w w:val="95"/>
              </w:rPr>
              <w:t>Equity</w:t>
            </w:r>
          </w:p>
        </w:tc>
      </w:tr>
      <w:tr>
        <w:trPr>
          <w:trHeight w:val="135"/>
        </w:trPr>
        <w:tc>
          <w:tcPr>
            <w:tcW w:w="190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1060" w:type="dxa"/>
            <w:vAlign w:val="bottom"/>
            <w:shd w:val="clear" w:color="auto" w:fill="9DB8D2"/>
          </w:tcPr>
          <w:p>
            <w:pPr>
              <w:spacing w:after="0"/>
              <w:rPr>
                <w:sz w:val="11"/>
                <w:szCs w:val="11"/>
                <w:color w:val="auto"/>
              </w:rPr>
            </w:pPr>
          </w:p>
        </w:tc>
        <w:tc>
          <w:tcPr>
            <w:tcW w:w="390" w:type="dxa"/>
            <w:vAlign w:val="bottom"/>
            <w:shd w:val="clear" w:color="auto" w:fill="9DB8D2"/>
          </w:tcPr>
          <w:p>
            <w:pPr>
              <w:spacing w:after="0"/>
              <w:rPr>
                <w:sz w:val="11"/>
                <w:szCs w:val="11"/>
                <w:color w:val="auto"/>
              </w:rPr>
            </w:pPr>
          </w:p>
        </w:tc>
        <w:tc>
          <w:tcPr>
            <w:tcW w:w="890" w:type="dxa"/>
            <w:vAlign w:val="bottom"/>
            <w:shd w:val="clear" w:color="auto" w:fill="9DB8D2"/>
          </w:tcPr>
          <w:p>
            <w:pPr>
              <w:spacing w:after="0"/>
              <w:rPr>
                <w:sz w:val="11"/>
                <w:szCs w:val="11"/>
                <w:color w:val="auto"/>
              </w:rPr>
            </w:pPr>
          </w:p>
        </w:tc>
        <w:tc>
          <w:tcPr>
            <w:tcW w:w="360" w:type="dxa"/>
            <w:vAlign w:val="bottom"/>
            <w:shd w:val="clear" w:color="auto" w:fill="9DB8D2"/>
          </w:tcPr>
          <w:p>
            <w:pPr>
              <w:spacing w:after="0"/>
              <w:rPr>
                <w:sz w:val="11"/>
                <w:szCs w:val="11"/>
                <w:color w:val="auto"/>
              </w:rPr>
            </w:pPr>
          </w:p>
        </w:tc>
        <w:tc>
          <w:tcPr>
            <w:tcW w:w="580" w:type="dxa"/>
            <w:vAlign w:val="bottom"/>
            <w:shd w:val="clear" w:color="auto" w:fill="9DB8D2"/>
          </w:tcPr>
          <w:p>
            <w:pPr>
              <w:spacing w:after="0"/>
              <w:rPr>
                <w:sz w:val="11"/>
                <w:szCs w:val="11"/>
                <w:color w:val="auto"/>
              </w:rPr>
            </w:pPr>
          </w:p>
        </w:tc>
        <w:tc>
          <w:tcPr>
            <w:tcW w:w="88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104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700" w:type="dxa"/>
            <w:vAlign w:val="bottom"/>
            <w:shd w:val="clear" w:color="auto" w:fill="9DB8D2"/>
          </w:tcPr>
          <w:p>
            <w:pPr>
              <w:spacing w:after="0"/>
              <w:rPr>
                <w:sz w:val="11"/>
                <w:szCs w:val="11"/>
                <w:color w:val="auto"/>
              </w:rPr>
            </w:pPr>
          </w:p>
        </w:tc>
        <w:tc>
          <w:tcPr>
            <w:tcW w:w="1240" w:type="dxa"/>
            <w:vAlign w:val="bottom"/>
            <w:shd w:val="clear" w:color="auto" w:fill="9DB8D2"/>
          </w:tcPr>
          <w:p>
            <w:pPr>
              <w:jc w:val="center"/>
              <w:ind w:right="194"/>
              <w:spacing w:after="0" w:line="135" w:lineRule="exact"/>
              <w:rPr>
                <w:sz w:val="20"/>
                <w:szCs w:val="20"/>
                <w:color w:val="auto"/>
              </w:rPr>
            </w:pPr>
            <w:r>
              <w:rPr>
                <w:rFonts w:ascii="Arial" w:cs="Arial" w:eastAsia="Arial" w:hAnsi="Arial"/>
                <w:sz w:val="13"/>
                <w:szCs w:val="13"/>
                <w:b w:val="1"/>
                <w:bCs w:val="1"/>
                <w:color w:val="auto"/>
                <w:w w:val="95"/>
              </w:rPr>
              <w:t>Equity</w:t>
            </w:r>
          </w:p>
        </w:tc>
        <w:tc>
          <w:tcPr>
            <w:tcW w:w="180" w:type="dxa"/>
            <w:vAlign w:val="bottom"/>
            <w:shd w:val="clear" w:color="auto" w:fill="9DB8D2"/>
          </w:tcPr>
          <w:p>
            <w:pPr>
              <w:spacing w:after="0"/>
              <w:rPr>
                <w:sz w:val="11"/>
                <w:szCs w:val="11"/>
                <w:color w:val="auto"/>
              </w:rPr>
            </w:pPr>
          </w:p>
        </w:tc>
        <w:tc>
          <w:tcPr>
            <w:tcW w:w="880" w:type="dxa"/>
            <w:vAlign w:val="bottom"/>
            <w:shd w:val="clear" w:color="auto" w:fill="9DB8D2"/>
          </w:tcPr>
          <w:p>
            <w:pPr>
              <w:jc w:val="center"/>
              <w:ind w:right="153"/>
              <w:spacing w:after="0" w:line="135" w:lineRule="exact"/>
              <w:rPr>
                <w:sz w:val="20"/>
                <w:szCs w:val="20"/>
                <w:color w:val="auto"/>
              </w:rPr>
            </w:pPr>
            <w:r>
              <w:rPr>
                <w:rFonts w:ascii="Arial" w:cs="Arial" w:eastAsia="Arial" w:hAnsi="Arial"/>
                <w:sz w:val="13"/>
                <w:szCs w:val="13"/>
                <w:b w:val="1"/>
                <w:bCs w:val="1"/>
                <w:color w:val="auto"/>
                <w:w w:val="95"/>
              </w:rPr>
              <w:t>Incentive</w:t>
            </w:r>
          </w:p>
        </w:tc>
      </w:tr>
      <w:tr>
        <w:trPr>
          <w:trHeight w:val="135"/>
        </w:trPr>
        <w:tc>
          <w:tcPr>
            <w:tcW w:w="190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1060" w:type="dxa"/>
            <w:vAlign w:val="bottom"/>
            <w:shd w:val="clear" w:color="auto" w:fill="9DB8D2"/>
          </w:tcPr>
          <w:p>
            <w:pPr>
              <w:spacing w:after="0"/>
              <w:rPr>
                <w:sz w:val="11"/>
                <w:szCs w:val="11"/>
                <w:color w:val="auto"/>
              </w:rPr>
            </w:pPr>
          </w:p>
        </w:tc>
        <w:tc>
          <w:tcPr>
            <w:tcW w:w="390" w:type="dxa"/>
            <w:vAlign w:val="bottom"/>
            <w:shd w:val="clear" w:color="auto" w:fill="9DB8D2"/>
          </w:tcPr>
          <w:p>
            <w:pPr>
              <w:spacing w:after="0"/>
              <w:rPr>
                <w:sz w:val="11"/>
                <w:szCs w:val="11"/>
                <w:color w:val="auto"/>
              </w:rPr>
            </w:pPr>
          </w:p>
        </w:tc>
        <w:tc>
          <w:tcPr>
            <w:tcW w:w="890" w:type="dxa"/>
            <w:vAlign w:val="bottom"/>
            <w:shd w:val="clear" w:color="auto" w:fill="9DB8D2"/>
          </w:tcPr>
          <w:p>
            <w:pPr>
              <w:spacing w:after="0"/>
              <w:rPr>
                <w:sz w:val="11"/>
                <w:szCs w:val="11"/>
                <w:color w:val="auto"/>
              </w:rPr>
            </w:pPr>
          </w:p>
        </w:tc>
        <w:tc>
          <w:tcPr>
            <w:tcW w:w="360" w:type="dxa"/>
            <w:vAlign w:val="bottom"/>
            <w:shd w:val="clear" w:color="auto" w:fill="9DB8D2"/>
          </w:tcPr>
          <w:p>
            <w:pPr>
              <w:spacing w:after="0"/>
              <w:rPr>
                <w:sz w:val="11"/>
                <w:szCs w:val="11"/>
                <w:color w:val="auto"/>
              </w:rPr>
            </w:pPr>
          </w:p>
        </w:tc>
        <w:tc>
          <w:tcPr>
            <w:tcW w:w="580" w:type="dxa"/>
            <w:vAlign w:val="bottom"/>
            <w:shd w:val="clear" w:color="auto" w:fill="9DB8D2"/>
          </w:tcPr>
          <w:p>
            <w:pPr>
              <w:spacing w:after="0"/>
              <w:rPr>
                <w:sz w:val="11"/>
                <w:szCs w:val="11"/>
                <w:color w:val="auto"/>
              </w:rPr>
            </w:pPr>
          </w:p>
        </w:tc>
        <w:tc>
          <w:tcPr>
            <w:tcW w:w="88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104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700" w:type="dxa"/>
            <w:vAlign w:val="bottom"/>
            <w:shd w:val="clear" w:color="auto" w:fill="9DB8D2"/>
          </w:tcPr>
          <w:p>
            <w:pPr>
              <w:spacing w:after="0"/>
              <w:rPr>
                <w:sz w:val="11"/>
                <w:szCs w:val="11"/>
                <w:color w:val="auto"/>
              </w:rPr>
            </w:pPr>
          </w:p>
        </w:tc>
        <w:tc>
          <w:tcPr>
            <w:tcW w:w="124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9"/>
              </w:rPr>
              <w:t>Incentive</w:t>
            </w:r>
          </w:p>
        </w:tc>
        <w:tc>
          <w:tcPr>
            <w:tcW w:w="1060" w:type="dxa"/>
            <w:vAlign w:val="bottom"/>
            <w:gridSpan w:val="2"/>
            <w:shd w:val="clear" w:color="auto" w:fill="9DB8D2"/>
          </w:tcPr>
          <w:p>
            <w:pPr>
              <w:ind w:left="120"/>
              <w:spacing w:after="0" w:line="135" w:lineRule="exact"/>
              <w:rPr>
                <w:sz w:val="20"/>
                <w:szCs w:val="20"/>
                <w:color w:val="auto"/>
              </w:rPr>
            </w:pPr>
            <w:r>
              <w:rPr>
                <w:rFonts w:ascii="Arial" w:cs="Arial" w:eastAsia="Arial" w:hAnsi="Arial"/>
                <w:sz w:val="13"/>
                <w:szCs w:val="13"/>
                <w:b w:val="1"/>
                <w:bCs w:val="1"/>
                <w:color w:val="auto"/>
              </w:rPr>
              <w:t>Plan Awards:</w:t>
            </w:r>
          </w:p>
        </w:tc>
      </w:tr>
      <w:tr>
        <w:trPr>
          <w:trHeight w:val="135"/>
        </w:trPr>
        <w:tc>
          <w:tcPr>
            <w:tcW w:w="190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1060" w:type="dxa"/>
            <w:vAlign w:val="bottom"/>
            <w:shd w:val="clear" w:color="auto" w:fill="9DB8D2"/>
          </w:tcPr>
          <w:p>
            <w:pPr>
              <w:spacing w:after="0"/>
              <w:rPr>
                <w:sz w:val="11"/>
                <w:szCs w:val="11"/>
                <w:color w:val="auto"/>
              </w:rPr>
            </w:pPr>
          </w:p>
        </w:tc>
        <w:tc>
          <w:tcPr>
            <w:tcW w:w="390" w:type="dxa"/>
            <w:vAlign w:val="bottom"/>
            <w:shd w:val="clear" w:color="auto" w:fill="9DB8D2"/>
          </w:tcPr>
          <w:p>
            <w:pPr>
              <w:spacing w:after="0"/>
              <w:rPr>
                <w:sz w:val="11"/>
                <w:szCs w:val="11"/>
                <w:color w:val="auto"/>
              </w:rPr>
            </w:pPr>
          </w:p>
        </w:tc>
        <w:tc>
          <w:tcPr>
            <w:tcW w:w="890" w:type="dxa"/>
            <w:vAlign w:val="bottom"/>
            <w:shd w:val="clear" w:color="auto" w:fill="9DB8D2"/>
          </w:tcPr>
          <w:p>
            <w:pPr>
              <w:jc w:val="center"/>
              <w:ind w:left="43"/>
              <w:spacing w:after="0" w:line="135" w:lineRule="exact"/>
              <w:rPr>
                <w:sz w:val="20"/>
                <w:szCs w:val="20"/>
                <w:color w:val="auto"/>
              </w:rPr>
            </w:pPr>
            <w:r>
              <w:rPr>
                <w:rFonts w:ascii="Arial" w:cs="Arial" w:eastAsia="Arial" w:hAnsi="Arial"/>
                <w:sz w:val="13"/>
                <w:szCs w:val="13"/>
                <w:b w:val="1"/>
                <w:bCs w:val="1"/>
                <w:color w:val="auto"/>
                <w:w w:val="95"/>
              </w:rPr>
              <w:t>Equity</w:t>
            </w:r>
          </w:p>
        </w:tc>
        <w:tc>
          <w:tcPr>
            <w:tcW w:w="360" w:type="dxa"/>
            <w:vAlign w:val="bottom"/>
            <w:shd w:val="clear" w:color="auto" w:fill="9DB8D2"/>
          </w:tcPr>
          <w:p>
            <w:pPr>
              <w:spacing w:after="0"/>
              <w:rPr>
                <w:sz w:val="11"/>
                <w:szCs w:val="11"/>
                <w:color w:val="auto"/>
              </w:rPr>
            </w:pPr>
          </w:p>
        </w:tc>
        <w:tc>
          <w:tcPr>
            <w:tcW w:w="580" w:type="dxa"/>
            <w:vAlign w:val="bottom"/>
            <w:shd w:val="clear" w:color="auto" w:fill="9DB8D2"/>
          </w:tcPr>
          <w:p>
            <w:pPr>
              <w:spacing w:after="0"/>
              <w:rPr>
                <w:sz w:val="11"/>
                <w:szCs w:val="11"/>
                <w:color w:val="auto"/>
              </w:rPr>
            </w:pPr>
          </w:p>
        </w:tc>
        <w:tc>
          <w:tcPr>
            <w:tcW w:w="88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104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700" w:type="dxa"/>
            <w:vAlign w:val="bottom"/>
            <w:shd w:val="clear" w:color="auto" w:fill="9DB8D2"/>
          </w:tcPr>
          <w:p>
            <w:pPr>
              <w:spacing w:after="0"/>
              <w:rPr>
                <w:sz w:val="11"/>
                <w:szCs w:val="11"/>
                <w:color w:val="auto"/>
              </w:rPr>
            </w:pPr>
          </w:p>
        </w:tc>
        <w:tc>
          <w:tcPr>
            <w:tcW w:w="124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7"/>
              </w:rPr>
              <w:t>Plan Awards:</w:t>
            </w:r>
          </w:p>
        </w:tc>
        <w:tc>
          <w:tcPr>
            <w:tcW w:w="180" w:type="dxa"/>
            <w:vAlign w:val="bottom"/>
            <w:shd w:val="clear" w:color="auto" w:fill="9DB8D2"/>
          </w:tcPr>
          <w:p>
            <w:pPr>
              <w:spacing w:after="0"/>
              <w:rPr>
                <w:sz w:val="11"/>
                <w:szCs w:val="11"/>
                <w:color w:val="auto"/>
              </w:rPr>
            </w:pPr>
          </w:p>
        </w:tc>
        <w:tc>
          <w:tcPr>
            <w:tcW w:w="880" w:type="dxa"/>
            <w:vAlign w:val="bottom"/>
            <w:shd w:val="clear" w:color="auto" w:fill="9DB8D2"/>
          </w:tcPr>
          <w:p>
            <w:pPr>
              <w:jc w:val="center"/>
              <w:ind w:right="153"/>
              <w:spacing w:after="0" w:line="135" w:lineRule="exact"/>
              <w:rPr>
                <w:sz w:val="20"/>
                <w:szCs w:val="20"/>
                <w:color w:val="auto"/>
              </w:rPr>
            </w:pPr>
            <w:r>
              <w:rPr>
                <w:rFonts w:ascii="Arial" w:cs="Arial" w:eastAsia="Arial" w:hAnsi="Arial"/>
                <w:sz w:val="13"/>
                <w:szCs w:val="13"/>
                <w:b w:val="1"/>
                <w:bCs w:val="1"/>
                <w:color w:val="auto"/>
                <w:w w:val="99"/>
              </w:rPr>
              <w:t>Market or</w:t>
            </w:r>
          </w:p>
        </w:tc>
      </w:tr>
      <w:tr>
        <w:trPr>
          <w:trHeight w:val="135"/>
        </w:trPr>
        <w:tc>
          <w:tcPr>
            <w:tcW w:w="190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800" w:type="dxa"/>
            <w:vAlign w:val="bottom"/>
            <w:shd w:val="clear" w:color="auto" w:fill="9DB8D2"/>
          </w:tcPr>
          <w:p>
            <w:pPr>
              <w:spacing w:after="0"/>
              <w:rPr>
                <w:sz w:val="11"/>
                <w:szCs w:val="11"/>
                <w:color w:val="auto"/>
              </w:rPr>
            </w:pPr>
          </w:p>
        </w:tc>
        <w:tc>
          <w:tcPr>
            <w:tcW w:w="1060" w:type="dxa"/>
            <w:vAlign w:val="bottom"/>
            <w:shd w:val="clear" w:color="auto" w:fill="9DB8D2"/>
          </w:tcPr>
          <w:p>
            <w:pPr>
              <w:spacing w:after="0"/>
              <w:rPr>
                <w:sz w:val="11"/>
                <w:szCs w:val="11"/>
                <w:color w:val="auto"/>
              </w:rPr>
            </w:pPr>
          </w:p>
        </w:tc>
        <w:tc>
          <w:tcPr>
            <w:tcW w:w="390" w:type="dxa"/>
            <w:vAlign w:val="bottom"/>
            <w:shd w:val="clear" w:color="auto" w:fill="9DB8D2"/>
          </w:tcPr>
          <w:p>
            <w:pPr>
              <w:spacing w:after="0"/>
              <w:rPr>
                <w:sz w:val="11"/>
                <w:szCs w:val="11"/>
                <w:color w:val="auto"/>
              </w:rPr>
            </w:pPr>
          </w:p>
        </w:tc>
        <w:tc>
          <w:tcPr>
            <w:tcW w:w="890" w:type="dxa"/>
            <w:vAlign w:val="bottom"/>
            <w:shd w:val="clear" w:color="auto" w:fill="9DB8D2"/>
          </w:tcPr>
          <w:p>
            <w:pPr>
              <w:jc w:val="center"/>
              <w:ind w:left="43"/>
              <w:spacing w:after="0" w:line="135" w:lineRule="exact"/>
              <w:rPr>
                <w:sz w:val="20"/>
                <w:szCs w:val="20"/>
                <w:color w:val="auto"/>
              </w:rPr>
            </w:pPr>
            <w:r>
              <w:rPr>
                <w:rFonts w:ascii="Arial" w:cs="Arial" w:eastAsia="Arial" w:hAnsi="Arial"/>
                <w:sz w:val="13"/>
                <w:szCs w:val="13"/>
                <w:b w:val="1"/>
                <w:bCs w:val="1"/>
                <w:color w:val="auto"/>
                <w:w w:val="95"/>
              </w:rPr>
              <w:t>Incentive</w:t>
            </w:r>
          </w:p>
        </w:tc>
        <w:tc>
          <w:tcPr>
            <w:tcW w:w="360" w:type="dxa"/>
            <w:vAlign w:val="bottom"/>
            <w:shd w:val="clear" w:color="auto" w:fill="9DB8D2"/>
          </w:tcPr>
          <w:p>
            <w:pPr>
              <w:spacing w:after="0"/>
              <w:rPr>
                <w:sz w:val="11"/>
                <w:szCs w:val="11"/>
                <w:color w:val="auto"/>
              </w:rPr>
            </w:pPr>
          </w:p>
        </w:tc>
        <w:tc>
          <w:tcPr>
            <w:tcW w:w="580" w:type="dxa"/>
            <w:vAlign w:val="bottom"/>
            <w:shd w:val="clear" w:color="auto" w:fill="9DB8D2"/>
          </w:tcPr>
          <w:p>
            <w:pPr>
              <w:spacing w:after="0"/>
              <w:rPr>
                <w:sz w:val="11"/>
                <w:szCs w:val="11"/>
                <w:color w:val="auto"/>
              </w:rPr>
            </w:pPr>
          </w:p>
        </w:tc>
        <w:tc>
          <w:tcPr>
            <w:tcW w:w="88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104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700" w:type="dxa"/>
            <w:vAlign w:val="bottom"/>
            <w:shd w:val="clear" w:color="auto" w:fill="9DB8D2"/>
          </w:tcPr>
          <w:p>
            <w:pPr>
              <w:jc w:val="center"/>
              <w:ind w:right="113"/>
              <w:spacing w:after="0" w:line="135" w:lineRule="exact"/>
              <w:rPr>
                <w:sz w:val="20"/>
                <w:szCs w:val="20"/>
                <w:color w:val="auto"/>
              </w:rPr>
            </w:pPr>
            <w:r>
              <w:rPr>
                <w:rFonts w:ascii="Arial" w:cs="Arial" w:eastAsia="Arial" w:hAnsi="Arial"/>
                <w:sz w:val="13"/>
                <w:szCs w:val="13"/>
                <w:b w:val="1"/>
                <w:bCs w:val="1"/>
                <w:color w:val="auto"/>
                <w:w w:val="95"/>
              </w:rPr>
              <w:t>Market</w:t>
            </w:r>
          </w:p>
        </w:tc>
        <w:tc>
          <w:tcPr>
            <w:tcW w:w="124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8"/>
              </w:rPr>
              <w:t>Number of</w:t>
            </w:r>
          </w:p>
        </w:tc>
        <w:tc>
          <w:tcPr>
            <w:tcW w:w="1060" w:type="dxa"/>
            <w:vAlign w:val="bottom"/>
            <w:gridSpan w:val="2"/>
            <w:shd w:val="clear" w:color="auto" w:fill="9DB8D2"/>
          </w:tcPr>
          <w:p>
            <w:pPr>
              <w:ind w:left="100"/>
              <w:spacing w:after="0" w:line="135" w:lineRule="exact"/>
              <w:rPr>
                <w:sz w:val="20"/>
                <w:szCs w:val="20"/>
                <w:color w:val="auto"/>
              </w:rPr>
            </w:pPr>
            <w:r>
              <w:rPr>
                <w:rFonts w:ascii="Arial" w:cs="Arial" w:eastAsia="Arial" w:hAnsi="Arial"/>
                <w:sz w:val="13"/>
                <w:szCs w:val="13"/>
                <w:b w:val="1"/>
                <w:bCs w:val="1"/>
                <w:color w:val="auto"/>
              </w:rPr>
              <w:t>Payout Value</w:t>
            </w:r>
          </w:p>
        </w:tc>
      </w:tr>
      <w:tr>
        <w:trPr>
          <w:trHeight w:val="135"/>
        </w:trPr>
        <w:tc>
          <w:tcPr>
            <w:tcW w:w="190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80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8"/>
              </w:rPr>
              <w:t>Number of</w:t>
            </w:r>
          </w:p>
        </w:tc>
        <w:tc>
          <w:tcPr>
            <w:tcW w:w="1450" w:type="dxa"/>
            <w:vAlign w:val="bottom"/>
            <w:gridSpan w:val="2"/>
            <w:shd w:val="clear" w:color="auto" w:fill="9DB8D2"/>
          </w:tcPr>
          <w:p>
            <w:pPr>
              <w:jc w:val="center"/>
              <w:ind w:right="127"/>
              <w:spacing w:after="0" w:line="135" w:lineRule="exact"/>
              <w:rPr>
                <w:sz w:val="20"/>
                <w:szCs w:val="20"/>
                <w:color w:val="auto"/>
              </w:rPr>
            </w:pPr>
            <w:r>
              <w:rPr>
                <w:rFonts w:ascii="Arial" w:cs="Arial" w:eastAsia="Arial" w:hAnsi="Arial"/>
                <w:sz w:val="13"/>
                <w:szCs w:val="13"/>
                <w:b w:val="1"/>
                <w:bCs w:val="1"/>
                <w:color w:val="auto"/>
                <w:w w:val="95"/>
              </w:rPr>
              <w:t>Number of</w:t>
            </w:r>
          </w:p>
        </w:tc>
        <w:tc>
          <w:tcPr>
            <w:tcW w:w="890" w:type="dxa"/>
            <w:vAlign w:val="bottom"/>
            <w:shd w:val="clear" w:color="auto" w:fill="9DB8D2"/>
          </w:tcPr>
          <w:p>
            <w:pPr>
              <w:jc w:val="right"/>
              <w:spacing w:after="0" w:line="135" w:lineRule="exact"/>
              <w:rPr>
                <w:sz w:val="20"/>
                <w:szCs w:val="20"/>
                <w:color w:val="auto"/>
              </w:rPr>
            </w:pPr>
            <w:r>
              <w:rPr>
                <w:rFonts w:ascii="Arial" w:cs="Arial" w:eastAsia="Arial" w:hAnsi="Arial"/>
                <w:sz w:val="13"/>
                <w:szCs w:val="13"/>
                <w:b w:val="1"/>
                <w:bCs w:val="1"/>
                <w:color w:val="auto"/>
              </w:rPr>
              <w:t>Plan Awards:</w:t>
            </w:r>
          </w:p>
        </w:tc>
        <w:tc>
          <w:tcPr>
            <w:tcW w:w="360" w:type="dxa"/>
            <w:vAlign w:val="bottom"/>
            <w:shd w:val="clear" w:color="auto" w:fill="9DB8D2"/>
          </w:tcPr>
          <w:p>
            <w:pPr>
              <w:spacing w:after="0"/>
              <w:rPr>
                <w:sz w:val="11"/>
                <w:szCs w:val="11"/>
                <w:color w:val="auto"/>
              </w:rPr>
            </w:pPr>
          </w:p>
        </w:tc>
        <w:tc>
          <w:tcPr>
            <w:tcW w:w="580" w:type="dxa"/>
            <w:vAlign w:val="bottom"/>
            <w:shd w:val="clear" w:color="auto" w:fill="9DB8D2"/>
          </w:tcPr>
          <w:p>
            <w:pPr>
              <w:spacing w:after="0"/>
              <w:rPr>
                <w:sz w:val="11"/>
                <w:szCs w:val="11"/>
                <w:color w:val="auto"/>
              </w:rPr>
            </w:pPr>
          </w:p>
        </w:tc>
        <w:tc>
          <w:tcPr>
            <w:tcW w:w="88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1040" w:type="dxa"/>
            <w:vAlign w:val="bottom"/>
            <w:shd w:val="clear" w:color="auto" w:fill="9DB8D2"/>
          </w:tcPr>
          <w:p>
            <w:pPr>
              <w:jc w:val="center"/>
              <w:ind w:right="313"/>
              <w:spacing w:after="0" w:line="135" w:lineRule="exact"/>
              <w:rPr>
                <w:sz w:val="20"/>
                <w:szCs w:val="20"/>
                <w:color w:val="auto"/>
              </w:rPr>
            </w:pPr>
            <w:r>
              <w:rPr>
                <w:rFonts w:ascii="Arial" w:cs="Arial" w:eastAsia="Arial" w:hAnsi="Arial"/>
                <w:sz w:val="13"/>
                <w:szCs w:val="13"/>
                <w:b w:val="1"/>
                <w:bCs w:val="1"/>
                <w:color w:val="auto"/>
                <w:w w:val="93"/>
              </w:rPr>
              <w:t>Number</w:t>
            </w:r>
          </w:p>
        </w:tc>
        <w:tc>
          <w:tcPr>
            <w:tcW w:w="200" w:type="dxa"/>
            <w:vAlign w:val="bottom"/>
            <w:shd w:val="clear" w:color="auto" w:fill="9DB8D2"/>
          </w:tcPr>
          <w:p>
            <w:pPr>
              <w:spacing w:after="0"/>
              <w:rPr>
                <w:sz w:val="11"/>
                <w:szCs w:val="11"/>
                <w:color w:val="auto"/>
              </w:rPr>
            </w:pPr>
          </w:p>
        </w:tc>
        <w:tc>
          <w:tcPr>
            <w:tcW w:w="700" w:type="dxa"/>
            <w:vAlign w:val="bottom"/>
            <w:shd w:val="clear" w:color="auto" w:fill="9DB8D2"/>
          </w:tcPr>
          <w:p>
            <w:pPr>
              <w:jc w:val="center"/>
              <w:ind w:right="113"/>
              <w:spacing w:after="0" w:line="135" w:lineRule="exact"/>
              <w:rPr>
                <w:sz w:val="20"/>
                <w:szCs w:val="20"/>
                <w:color w:val="auto"/>
              </w:rPr>
            </w:pPr>
            <w:r>
              <w:rPr>
                <w:rFonts w:ascii="Arial" w:cs="Arial" w:eastAsia="Arial" w:hAnsi="Arial"/>
                <w:sz w:val="13"/>
                <w:szCs w:val="13"/>
                <w:b w:val="1"/>
                <w:bCs w:val="1"/>
                <w:color w:val="auto"/>
                <w:w w:val="92"/>
              </w:rPr>
              <w:t>Value</w:t>
            </w:r>
          </w:p>
        </w:tc>
        <w:tc>
          <w:tcPr>
            <w:tcW w:w="1240" w:type="dxa"/>
            <w:vAlign w:val="bottom"/>
            <w:shd w:val="clear" w:color="auto" w:fill="9DB8D2"/>
          </w:tcPr>
          <w:p>
            <w:pPr>
              <w:jc w:val="center"/>
              <w:ind w:right="194"/>
              <w:spacing w:after="0" w:line="135" w:lineRule="exact"/>
              <w:rPr>
                <w:sz w:val="20"/>
                <w:szCs w:val="20"/>
                <w:color w:val="auto"/>
              </w:rPr>
            </w:pPr>
            <w:r>
              <w:rPr>
                <w:rFonts w:ascii="Arial" w:cs="Arial" w:eastAsia="Arial" w:hAnsi="Arial"/>
                <w:sz w:val="13"/>
                <w:szCs w:val="13"/>
                <w:b w:val="1"/>
                <w:bCs w:val="1"/>
                <w:color w:val="auto"/>
                <w:w w:val="96"/>
              </w:rPr>
              <w:t>Unearned</w:t>
            </w:r>
          </w:p>
        </w:tc>
        <w:tc>
          <w:tcPr>
            <w:tcW w:w="1060" w:type="dxa"/>
            <w:vAlign w:val="bottom"/>
            <w:gridSpan w:val="2"/>
            <w:shd w:val="clear" w:color="auto" w:fill="9DB8D2"/>
          </w:tcPr>
          <w:p>
            <w:pPr>
              <w:jc w:val="center"/>
              <w:ind w:right="13"/>
              <w:spacing w:after="0" w:line="135" w:lineRule="exact"/>
              <w:rPr>
                <w:sz w:val="20"/>
                <w:szCs w:val="20"/>
                <w:color w:val="auto"/>
              </w:rPr>
            </w:pPr>
            <w:r>
              <w:rPr>
                <w:rFonts w:ascii="Arial" w:cs="Arial" w:eastAsia="Arial" w:hAnsi="Arial"/>
                <w:sz w:val="13"/>
                <w:szCs w:val="13"/>
                <w:b w:val="1"/>
                <w:bCs w:val="1"/>
                <w:color w:val="auto"/>
                <w:w w:val="97"/>
              </w:rPr>
              <w:t>of Unearned</w:t>
            </w:r>
          </w:p>
        </w:tc>
      </w:tr>
      <w:tr>
        <w:trPr>
          <w:trHeight w:val="135"/>
        </w:trPr>
        <w:tc>
          <w:tcPr>
            <w:tcW w:w="190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80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1450" w:type="dxa"/>
            <w:vAlign w:val="bottom"/>
            <w:gridSpan w:val="2"/>
            <w:shd w:val="clear" w:color="auto" w:fill="9DB8D2"/>
          </w:tcPr>
          <w:p>
            <w:pPr>
              <w:jc w:val="center"/>
              <w:ind w:right="107"/>
              <w:spacing w:after="0" w:line="135" w:lineRule="exact"/>
              <w:rPr>
                <w:sz w:val="20"/>
                <w:szCs w:val="20"/>
                <w:color w:val="auto"/>
              </w:rPr>
            </w:pPr>
            <w:r>
              <w:rPr>
                <w:rFonts w:ascii="Arial" w:cs="Arial" w:eastAsia="Arial" w:hAnsi="Arial"/>
                <w:sz w:val="13"/>
                <w:szCs w:val="13"/>
                <w:b w:val="1"/>
                <w:bCs w:val="1"/>
                <w:color w:val="auto"/>
                <w:w w:val="96"/>
              </w:rPr>
              <w:t>Securities</w:t>
            </w:r>
          </w:p>
        </w:tc>
        <w:tc>
          <w:tcPr>
            <w:tcW w:w="890" w:type="dxa"/>
            <w:vAlign w:val="bottom"/>
            <w:shd w:val="clear" w:color="auto" w:fill="9DB8D2"/>
          </w:tcPr>
          <w:p>
            <w:pPr>
              <w:jc w:val="center"/>
              <w:ind w:left="43"/>
              <w:spacing w:after="0" w:line="135" w:lineRule="exact"/>
              <w:rPr>
                <w:sz w:val="20"/>
                <w:szCs w:val="20"/>
                <w:color w:val="auto"/>
              </w:rPr>
            </w:pPr>
            <w:r>
              <w:rPr>
                <w:rFonts w:ascii="Arial" w:cs="Arial" w:eastAsia="Arial" w:hAnsi="Arial"/>
                <w:sz w:val="13"/>
                <w:szCs w:val="13"/>
                <w:b w:val="1"/>
                <w:bCs w:val="1"/>
                <w:color w:val="auto"/>
                <w:w w:val="95"/>
              </w:rPr>
              <w:t>Number of</w:t>
            </w:r>
          </w:p>
        </w:tc>
        <w:tc>
          <w:tcPr>
            <w:tcW w:w="360" w:type="dxa"/>
            <w:vAlign w:val="bottom"/>
            <w:shd w:val="clear" w:color="auto" w:fill="9DB8D2"/>
          </w:tcPr>
          <w:p>
            <w:pPr>
              <w:spacing w:after="0"/>
              <w:rPr>
                <w:sz w:val="11"/>
                <w:szCs w:val="11"/>
                <w:color w:val="auto"/>
              </w:rPr>
            </w:pPr>
          </w:p>
        </w:tc>
        <w:tc>
          <w:tcPr>
            <w:tcW w:w="580" w:type="dxa"/>
            <w:vAlign w:val="bottom"/>
            <w:shd w:val="clear" w:color="auto" w:fill="9DB8D2"/>
          </w:tcPr>
          <w:p>
            <w:pPr>
              <w:spacing w:after="0"/>
              <w:rPr>
                <w:sz w:val="11"/>
                <w:szCs w:val="11"/>
                <w:color w:val="auto"/>
              </w:rPr>
            </w:pPr>
          </w:p>
        </w:tc>
        <w:tc>
          <w:tcPr>
            <w:tcW w:w="88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1040" w:type="dxa"/>
            <w:vAlign w:val="bottom"/>
            <w:shd w:val="clear" w:color="auto" w:fill="9DB8D2"/>
          </w:tcPr>
          <w:p>
            <w:pPr>
              <w:jc w:val="center"/>
              <w:ind w:right="313"/>
              <w:spacing w:after="0" w:line="135" w:lineRule="exact"/>
              <w:rPr>
                <w:sz w:val="20"/>
                <w:szCs w:val="20"/>
                <w:color w:val="auto"/>
              </w:rPr>
            </w:pPr>
            <w:r>
              <w:rPr>
                <w:rFonts w:ascii="Arial" w:cs="Arial" w:eastAsia="Arial" w:hAnsi="Arial"/>
                <w:sz w:val="13"/>
                <w:szCs w:val="13"/>
                <w:b w:val="1"/>
                <w:bCs w:val="1"/>
                <w:color w:val="auto"/>
                <w:w w:val="97"/>
              </w:rPr>
              <w:t>of Shares</w:t>
            </w:r>
          </w:p>
        </w:tc>
        <w:tc>
          <w:tcPr>
            <w:tcW w:w="900" w:type="dxa"/>
            <w:vAlign w:val="bottom"/>
            <w:gridSpan w:val="2"/>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of Shares</w:t>
            </w:r>
          </w:p>
        </w:tc>
        <w:tc>
          <w:tcPr>
            <w:tcW w:w="124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6"/>
              </w:rPr>
              <w:t>Shares, Units,</w:t>
            </w:r>
          </w:p>
        </w:tc>
        <w:tc>
          <w:tcPr>
            <w:tcW w:w="1060" w:type="dxa"/>
            <w:vAlign w:val="bottom"/>
            <w:gridSpan w:val="2"/>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6"/>
              </w:rPr>
              <w:t>Shares, Units,</w:t>
            </w:r>
          </w:p>
        </w:tc>
      </w:tr>
      <w:tr>
        <w:trPr>
          <w:trHeight w:val="135"/>
        </w:trPr>
        <w:tc>
          <w:tcPr>
            <w:tcW w:w="190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80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4"/>
              </w:rPr>
              <w:t>Underlying</w:t>
            </w:r>
          </w:p>
        </w:tc>
        <w:tc>
          <w:tcPr>
            <w:tcW w:w="1450" w:type="dxa"/>
            <w:vAlign w:val="bottom"/>
            <w:gridSpan w:val="2"/>
            <w:shd w:val="clear" w:color="auto" w:fill="9DB8D2"/>
          </w:tcPr>
          <w:p>
            <w:pPr>
              <w:jc w:val="center"/>
              <w:ind w:right="127"/>
              <w:spacing w:after="0" w:line="135" w:lineRule="exact"/>
              <w:rPr>
                <w:sz w:val="20"/>
                <w:szCs w:val="20"/>
                <w:color w:val="auto"/>
              </w:rPr>
            </w:pPr>
            <w:r>
              <w:rPr>
                <w:rFonts w:ascii="Arial" w:cs="Arial" w:eastAsia="Arial" w:hAnsi="Arial"/>
                <w:sz w:val="13"/>
                <w:szCs w:val="13"/>
                <w:b w:val="1"/>
                <w:bCs w:val="1"/>
                <w:color w:val="auto"/>
                <w:w w:val="97"/>
              </w:rPr>
              <w:t>Underlying</w:t>
            </w:r>
          </w:p>
        </w:tc>
        <w:tc>
          <w:tcPr>
            <w:tcW w:w="890" w:type="dxa"/>
            <w:vAlign w:val="bottom"/>
            <w:shd w:val="clear" w:color="auto" w:fill="9DB8D2"/>
          </w:tcPr>
          <w:p>
            <w:pPr>
              <w:jc w:val="center"/>
              <w:ind w:left="43"/>
              <w:spacing w:after="0" w:line="135" w:lineRule="exact"/>
              <w:rPr>
                <w:sz w:val="20"/>
                <w:szCs w:val="20"/>
                <w:color w:val="auto"/>
              </w:rPr>
            </w:pPr>
            <w:r>
              <w:rPr>
                <w:rFonts w:ascii="Arial" w:cs="Arial" w:eastAsia="Arial" w:hAnsi="Arial"/>
                <w:sz w:val="13"/>
                <w:szCs w:val="13"/>
                <w:b w:val="1"/>
                <w:bCs w:val="1"/>
                <w:color w:val="auto"/>
                <w:w w:val="99"/>
              </w:rPr>
              <w:t>Securities</w:t>
            </w:r>
          </w:p>
        </w:tc>
        <w:tc>
          <w:tcPr>
            <w:tcW w:w="360" w:type="dxa"/>
            <w:vAlign w:val="bottom"/>
            <w:shd w:val="clear" w:color="auto" w:fill="9DB8D2"/>
          </w:tcPr>
          <w:p>
            <w:pPr>
              <w:spacing w:after="0"/>
              <w:rPr>
                <w:sz w:val="11"/>
                <w:szCs w:val="11"/>
                <w:color w:val="auto"/>
              </w:rPr>
            </w:pPr>
          </w:p>
        </w:tc>
        <w:tc>
          <w:tcPr>
            <w:tcW w:w="580" w:type="dxa"/>
            <w:vAlign w:val="bottom"/>
            <w:shd w:val="clear" w:color="auto" w:fill="9DB8D2"/>
          </w:tcPr>
          <w:p>
            <w:pPr>
              <w:spacing w:after="0"/>
              <w:rPr>
                <w:sz w:val="11"/>
                <w:szCs w:val="11"/>
                <w:color w:val="auto"/>
              </w:rPr>
            </w:pPr>
          </w:p>
        </w:tc>
        <w:tc>
          <w:tcPr>
            <w:tcW w:w="88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1040" w:type="dxa"/>
            <w:vAlign w:val="bottom"/>
            <w:shd w:val="clear" w:color="auto" w:fill="9DB8D2"/>
          </w:tcPr>
          <w:p>
            <w:pPr>
              <w:jc w:val="center"/>
              <w:ind w:right="313"/>
              <w:spacing w:after="0" w:line="135" w:lineRule="exact"/>
              <w:rPr>
                <w:sz w:val="20"/>
                <w:szCs w:val="20"/>
                <w:color w:val="auto"/>
              </w:rPr>
            </w:pPr>
            <w:r>
              <w:rPr>
                <w:rFonts w:ascii="Arial" w:cs="Arial" w:eastAsia="Arial" w:hAnsi="Arial"/>
                <w:sz w:val="13"/>
                <w:szCs w:val="13"/>
                <w:b w:val="1"/>
                <w:bCs w:val="1"/>
                <w:color w:val="auto"/>
                <w:w w:val="93"/>
              </w:rPr>
              <w:t>or Units</w:t>
            </w:r>
          </w:p>
        </w:tc>
        <w:tc>
          <w:tcPr>
            <w:tcW w:w="200" w:type="dxa"/>
            <w:vAlign w:val="bottom"/>
            <w:shd w:val="clear" w:color="auto" w:fill="9DB8D2"/>
          </w:tcPr>
          <w:p>
            <w:pPr>
              <w:spacing w:after="0"/>
              <w:rPr>
                <w:sz w:val="11"/>
                <w:szCs w:val="11"/>
                <w:color w:val="auto"/>
              </w:rPr>
            </w:pPr>
          </w:p>
        </w:tc>
        <w:tc>
          <w:tcPr>
            <w:tcW w:w="700" w:type="dxa"/>
            <w:vAlign w:val="bottom"/>
            <w:shd w:val="clear" w:color="auto" w:fill="9DB8D2"/>
          </w:tcPr>
          <w:p>
            <w:pPr>
              <w:jc w:val="center"/>
              <w:ind w:right="113"/>
              <w:spacing w:after="0" w:line="135" w:lineRule="exact"/>
              <w:rPr>
                <w:sz w:val="20"/>
                <w:szCs w:val="20"/>
                <w:color w:val="auto"/>
              </w:rPr>
            </w:pPr>
            <w:r>
              <w:rPr>
                <w:rFonts w:ascii="Arial" w:cs="Arial" w:eastAsia="Arial" w:hAnsi="Arial"/>
                <w:sz w:val="13"/>
                <w:szCs w:val="13"/>
                <w:b w:val="1"/>
                <w:bCs w:val="1"/>
                <w:color w:val="auto"/>
                <w:w w:val="97"/>
              </w:rPr>
              <w:t>or Units</w:t>
            </w:r>
          </w:p>
        </w:tc>
        <w:tc>
          <w:tcPr>
            <w:tcW w:w="1240" w:type="dxa"/>
            <w:vAlign w:val="bottom"/>
            <w:shd w:val="clear" w:color="auto" w:fill="9DB8D2"/>
          </w:tcPr>
          <w:p>
            <w:pPr>
              <w:jc w:val="center"/>
              <w:ind w:right="194"/>
              <w:spacing w:after="0" w:line="135" w:lineRule="exact"/>
              <w:rPr>
                <w:sz w:val="20"/>
                <w:szCs w:val="20"/>
                <w:color w:val="auto"/>
              </w:rPr>
            </w:pPr>
            <w:r>
              <w:rPr>
                <w:rFonts w:ascii="Arial" w:cs="Arial" w:eastAsia="Arial" w:hAnsi="Arial"/>
                <w:sz w:val="13"/>
                <w:szCs w:val="13"/>
                <w:b w:val="1"/>
                <w:bCs w:val="1"/>
                <w:color w:val="auto"/>
                <w:w w:val="97"/>
              </w:rPr>
              <w:t>or Other</w:t>
            </w:r>
          </w:p>
        </w:tc>
        <w:tc>
          <w:tcPr>
            <w:tcW w:w="180" w:type="dxa"/>
            <w:vAlign w:val="bottom"/>
            <w:shd w:val="clear" w:color="auto" w:fill="9DB8D2"/>
          </w:tcPr>
          <w:p>
            <w:pPr>
              <w:spacing w:after="0"/>
              <w:rPr>
                <w:sz w:val="11"/>
                <w:szCs w:val="11"/>
                <w:color w:val="auto"/>
              </w:rPr>
            </w:pPr>
          </w:p>
        </w:tc>
        <w:tc>
          <w:tcPr>
            <w:tcW w:w="880" w:type="dxa"/>
            <w:vAlign w:val="bottom"/>
            <w:shd w:val="clear" w:color="auto" w:fill="9DB8D2"/>
          </w:tcPr>
          <w:p>
            <w:pPr>
              <w:jc w:val="center"/>
              <w:ind w:right="193"/>
              <w:spacing w:after="0" w:line="135" w:lineRule="exact"/>
              <w:rPr>
                <w:sz w:val="20"/>
                <w:szCs w:val="20"/>
                <w:color w:val="auto"/>
              </w:rPr>
            </w:pPr>
            <w:r>
              <w:rPr>
                <w:rFonts w:ascii="Arial" w:cs="Arial" w:eastAsia="Arial" w:hAnsi="Arial"/>
                <w:sz w:val="13"/>
                <w:szCs w:val="13"/>
                <w:b w:val="1"/>
                <w:bCs w:val="1"/>
                <w:color w:val="auto"/>
                <w:w w:val="97"/>
              </w:rPr>
              <w:t>or Other</w:t>
            </w:r>
          </w:p>
        </w:tc>
      </w:tr>
      <w:tr>
        <w:trPr>
          <w:trHeight w:val="135"/>
        </w:trPr>
        <w:tc>
          <w:tcPr>
            <w:tcW w:w="190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80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8"/>
              </w:rPr>
              <w:t>Unexercised</w:t>
            </w:r>
          </w:p>
        </w:tc>
        <w:tc>
          <w:tcPr>
            <w:tcW w:w="1450" w:type="dxa"/>
            <w:vAlign w:val="bottom"/>
            <w:gridSpan w:val="2"/>
            <w:shd w:val="clear" w:color="auto" w:fill="9DB8D2"/>
          </w:tcPr>
          <w:p>
            <w:pPr>
              <w:jc w:val="center"/>
              <w:ind w:right="127"/>
              <w:spacing w:after="0" w:line="135" w:lineRule="exact"/>
              <w:rPr>
                <w:sz w:val="20"/>
                <w:szCs w:val="20"/>
                <w:color w:val="auto"/>
              </w:rPr>
            </w:pPr>
            <w:r>
              <w:rPr>
                <w:rFonts w:ascii="Arial" w:cs="Arial" w:eastAsia="Arial" w:hAnsi="Arial"/>
                <w:sz w:val="13"/>
                <w:szCs w:val="13"/>
                <w:b w:val="1"/>
                <w:bCs w:val="1"/>
                <w:color w:val="auto"/>
                <w:w w:val="95"/>
              </w:rPr>
              <w:t>Unexercised</w:t>
            </w:r>
          </w:p>
        </w:tc>
        <w:tc>
          <w:tcPr>
            <w:tcW w:w="890" w:type="dxa"/>
            <w:vAlign w:val="bottom"/>
            <w:shd w:val="clear" w:color="auto" w:fill="9DB8D2"/>
          </w:tcPr>
          <w:p>
            <w:pPr>
              <w:jc w:val="center"/>
              <w:ind w:left="43"/>
              <w:spacing w:after="0" w:line="135" w:lineRule="exact"/>
              <w:rPr>
                <w:sz w:val="20"/>
                <w:szCs w:val="20"/>
                <w:color w:val="auto"/>
              </w:rPr>
            </w:pPr>
            <w:r>
              <w:rPr>
                <w:rFonts w:ascii="Arial" w:cs="Arial" w:eastAsia="Arial" w:hAnsi="Arial"/>
                <w:sz w:val="13"/>
                <w:szCs w:val="13"/>
                <w:b w:val="1"/>
                <w:bCs w:val="1"/>
                <w:color w:val="auto"/>
                <w:w w:val="97"/>
              </w:rPr>
              <w:t>Underlying</w:t>
            </w:r>
          </w:p>
        </w:tc>
        <w:tc>
          <w:tcPr>
            <w:tcW w:w="940" w:type="dxa"/>
            <w:vAlign w:val="bottom"/>
            <w:gridSpan w:val="2"/>
            <w:shd w:val="clear" w:color="auto" w:fill="9DB8D2"/>
          </w:tcPr>
          <w:p>
            <w:pPr>
              <w:jc w:val="center"/>
              <w:ind w:left="53"/>
              <w:spacing w:after="0" w:line="135" w:lineRule="exact"/>
              <w:rPr>
                <w:sz w:val="20"/>
                <w:szCs w:val="20"/>
                <w:color w:val="auto"/>
              </w:rPr>
            </w:pPr>
            <w:r>
              <w:rPr>
                <w:rFonts w:ascii="Arial" w:cs="Arial" w:eastAsia="Arial" w:hAnsi="Arial"/>
                <w:sz w:val="13"/>
                <w:szCs w:val="13"/>
                <w:b w:val="1"/>
                <w:bCs w:val="1"/>
                <w:color w:val="auto"/>
              </w:rPr>
              <w:t>Option</w:t>
            </w:r>
          </w:p>
        </w:tc>
        <w:tc>
          <w:tcPr>
            <w:tcW w:w="880" w:type="dxa"/>
            <w:vAlign w:val="bottom"/>
            <w:shd w:val="clear" w:color="auto" w:fill="9DB8D2"/>
          </w:tcPr>
          <w:p>
            <w:pPr>
              <w:spacing w:after="0"/>
              <w:rPr>
                <w:sz w:val="11"/>
                <w:szCs w:val="11"/>
                <w:color w:val="auto"/>
              </w:rPr>
            </w:pPr>
          </w:p>
        </w:tc>
        <w:tc>
          <w:tcPr>
            <w:tcW w:w="120" w:type="dxa"/>
            <w:vAlign w:val="bottom"/>
            <w:shd w:val="clear" w:color="auto" w:fill="9DB8D2"/>
          </w:tcPr>
          <w:p>
            <w:pPr>
              <w:spacing w:after="0"/>
              <w:rPr>
                <w:sz w:val="11"/>
                <w:szCs w:val="11"/>
                <w:color w:val="auto"/>
              </w:rPr>
            </w:pPr>
          </w:p>
        </w:tc>
        <w:tc>
          <w:tcPr>
            <w:tcW w:w="1040" w:type="dxa"/>
            <w:vAlign w:val="bottom"/>
            <w:shd w:val="clear" w:color="auto" w:fill="9DB8D2"/>
          </w:tcPr>
          <w:p>
            <w:pPr>
              <w:jc w:val="center"/>
              <w:ind w:right="313"/>
              <w:spacing w:after="0" w:line="135" w:lineRule="exact"/>
              <w:rPr>
                <w:sz w:val="20"/>
                <w:szCs w:val="20"/>
                <w:color w:val="auto"/>
              </w:rPr>
            </w:pPr>
            <w:r>
              <w:rPr>
                <w:rFonts w:ascii="Arial" w:cs="Arial" w:eastAsia="Arial" w:hAnsi="Arial"/>
                <w:sz w:val="13"/>
                <w:szCs w:val="13"/>
                <w:b w:val="1"/>
                <w:bCs w:val="1"/>
                <w:color w:val="auto"/>
                <w:w w:val="97"/>
              </w:rPr>
              <w:t>of Stock</w:t>
            </w:r>
          </w:p>
        </w:tc>
        <w:tc>
          <w:tcPr>
            <w:tcW w:w="200" w:type="dxa"/>
            <w:vAlign w:val="bottom"/>
            <w:shd w:val="clear" w:color="auto" w:fill="9DB8D2"/>
          </w:tcPr>
          <w:p>
            <w:pPr>
              <w:spacing w:after="0"/>
              <w:rPr>
                <w:sz w:val="11"/>
                <w:szCs w:val="11"/>
                <w:color w:val="auto"/>
              </w:rPr>
            </w:pPr>
          </w:p>
        </w:tc>
        <w:tc>
          <w:tcPr>
            <w:tcW w:w="700" w:type="dxa"/>
            <w:vAlign w:val="bottom"/>
            <w:shd w:val="clear" w:color="auto" w:fill="9DB8D2"/>
          </w:tcPr>
          <w:p>
            <w:pPr>
              <w:jc w:val="center"/>
              <w:ind w:right="93"/>
              <w:spacing w:after="0" w:line="135" w:lineRule="exact"/>
              <w:rPr>
                <w:sz w:val="20"/>
                <w:szCs w:val="20"/>
                <w:color w:val="auto"/>
              </w:rPr>
            </w:pPr>
            <w:r>
              <w:rPr>
                <w:rFonts w:ascii="Arial" w:cs="Arial" w:eastAsia="Arial" w:hAnsi="Arial"/>
                <w:sz w:val="13"/>
                <w:szCs w:val="13"/>
                <w:b w:val="1"/>
                <w:bCs w:val="1"/>
                <w:color w:val="auto"/>
                <w:w w:val="97"/>
              </w:rPr>
              <w:t>of Stock</w:t>
            </w:r>
          </w:p>
        </w:tc>
        <w:tc>
          <w:tcPr>
            <w:tcW w:w="124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8"/>
              </w:rPr>
              <w:t>Rights</w:t>
            </w:r>
          </w:p>
        </w:tc>
        <w:tc>
          <w:tcPr>
            <w:tcW w:w="180" w:type="dxa"/>
            <w:vAlign w:val="bottom"/>
            <w:shd w:val="clear" w:color="auto" w:fill="9DB8D2"/>
          </w:tcPr>
          <w:p>
            <w:pPr>
              <w:spacing w:after="0"/>
              <w:rPr>
                <w:sz w:val="11"/>
                <w:szCs w:val="11"/>
                <w:color w:val="auto"/>
              </w:rPr>
            </w:pPr>
          </w:p>
        </w:tc>
        <w:tc>
          <w:tcPr>
            <w:tcW w:w="880" w:type="dxa"/>
            <w:vAlign w:val="bottom"/>
            <w:shd w:val="clear" w:color="auto" w:fill="9DB8D2"/>
          </w:tcPr>
          <w:p>
            <w:pPr>
              <w:jc w:val="center"/>
              <w:ind w:right="153"/>
              <w:spacing w:after="0" w:line="135" w:lineRule="exact"/>
              <w:rPr>
                <w:sz w:val="20"/>
                <w:szCs w:val="20"/>
                <w:color w:val="auto"/>
              </w:rPr>
            </w:pPr>
            <w:r>
              <w:rPr>
                <w:rFonts w:ascii="Arial" w:cs="Arial" w:eastAsia="Arial" w:hAnsi="Arial"/>
                <w:sz w:val="13"/>
                <w:szCs w:val="13"/>
                <w:b w:val="1"/>
                <w:bCs w:val="1"/>
                <w:color w:val="auto"/>
                <w:w w:val="93"/>
              </w:rPr>
              <w:t>Rights</w:t>
            </w:r>
          </w:p>
        </w:tc>
      </w:tr>
      <w:tr>
        <w:trPr>
          <w:trHeight w:val="135"/>
        </w:trPr>
        <w:tc>
          <w:tcPr>
            <w:tcW w:w="1900" w:type="dxa"/>
            <w:vAlign w:val="bottom"/>
            <w:shd w:val="clear" w:color="auto" w:fill="9DB8D2"/>
          </w:tcPr>
          <w:p>
            <w:pPr>
              <w:spacing w:after="0"/>
              <w:rPr>
                <w:sz w:val="11"/>
                <w:szCs w:val="11"/>
                <w:color w:val="auto"/>
              </w:rPr>
            </w:pPr>
          </w:p>
        </w:tc>
        <w:tc>
          <w:tcPr>
            <w:tcW w:w="200" w:type="dxa"/>
            <w:vAlign w:val="bottom"/>
            <w:shd w:val="clear" w:color="auto" w:fill="9DB8D2"/>
          </w:tcPr>
          <w:p>
            <w:pPr>
              <w:spacing w:after="0"/>
              <w:rPr>
                <w:sz w:val="11"/>
                <w:szCs w:val="11"/>
                <w:color w:val="auto"/>
              </w:rPr>
            </w:pPr>
          </w:p>
        </w:tc>
        <w:tc>
          <w:tcPr>
            <w:tcW w:w="800" w:type="dxa"/>
            <w:vAlign w:val="bottom"/>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7"/>
              </w:rPr>
              <w:t>Options</w:t>
            </w:r>
          </w:p>
        </w:tc>
        <w:tc>
          <w:tcPr>
            <w:tcW w:w="1450" w:type="dxa"/>
            <w:vAlign w:val="bottom"/>
            <w:gridSpan w:val="2"/>
            <w:shd w:val="clear" w:color="auto" w:fill="9DB8D2"/>
          </w:tcPr>
          <w:p>
            <w:pPr>
              <w:jc w:val="center"/>
              <w:ind w:right="107"/>
              <w:spacing w:after="0" w:line="135" w:lineRule="exact"/>
              <w:rPr>
                <w:sz w:val="20"/>
                <w:szCs w:val="20"/>
                <w:color w:val="auto"/>
              </w:rPr>
            </w:pPr>
            <w:r>
              <w:rPr>
                <w:rFonts w:ascii="Arial" w:cs="Arial" w:eastAsia="Arial" w:hAnsi="Arial"/>
                <w:sz w:val="13"/>
                <w:szCs w:val="13"/>
                <w:b w:val="1"/>
                <w:bCs w:val="1"/>
                <w:color w:val="auto"/>
                <w:w w:val="97"/>
              </w:rPr>
              <w:t>Options</w:t>
            </w:r>
          </w:p>
        </w:tc>
        <w:tc>
          <w:tcPr>
            <w:tcW w:w="890" w:type="dxa"/>
            <w:vAlign w:val="bottom"/>
            <w:shd w:val="clear" w:color="auto" w:fill="9DB8D2"/>
          </w:tcPr>
          <w:p>
            <w:pPr>
              <w:jc w:val="right"/>
              <w:spacing w:after="0" w:line="135" w:lineRule="exact"/>
              <w:rPr>
                <w:sz w:val="20"/>
                <w:szCs w:val="20"/>
                <w:color w:val="auto"/>
              </w:rPr>
            </w:pPr>
            <w:r>
              <w:rPr>
                <w:rFonts w:ascii="Arial" w:cs="Arial" w:eastAsia="Arial" w:hAnsi="Arial"/>
                <w:sz w:val="13"/>
                <w:szCs w:val="13"/>
                <w:b w:val="1"/>
                <w:bCs w:val="1"/>
                <w:color w:val="auto"/>
              </w:rPr>
              <w:t>Unexercised</w:t>
            </w:r>
          </w:p>
        </w:tc>
        <w:tc>
          <w:tcPr>
            <w:tcW w:w="940" w:type="dxa"/>
            <w:vAlign w:val="bottom"/>
            <w:gridSpan w:val="2"/>
            <w:shd w:val="clear" w:color="auto" w:fill="9DB8D2"/>
          </w:tcPr>
          <w:p>
            <w:pPr>
              <w:ind w:left="260"/>
              <w:spacing w:after="0" w:line="135" w:lineRule="exact"/>
              <w:rPr>
                <w:sz w:val="20"/>
                <w:szCs w:val="20"/>
                <w:color w:val="auto"/>
              </w:rPr>
            </w:pPr>
            <w:r>
              <w:rPr>
                <w:rFonts w:ascii="Arial" w:cs="Arial" w:eastAsia="Arial" w:hAnsi="Arial"/>
                <w:sz w:val="13"/>
                <w:szCs w:val="13"/>
                <w:b w:val="1"/>
                <w:bCs w:val="1"/>
                <w:color w:val="auto"/>
              </w:rPr>
              <w:t>Exercise</w:t>
            </w:r>
          </w:p>
        </w:tc>
        <w:tc>
          <w:tcPr>
            <w:tcW w:w="1000" w:type="dxa"/>
            <w:vAlign w:val="bottom"/>
            <w:gridSpan w:val="2"/>
            <w:shd w:val="clear" w:color="auto" w:fill="9DB8D2"/>
          </w:tcPr>
          <w:p>
            <w:pPr>
              <w:jc w:val="center"/>
              <w:ind w:right="60"/>
              <w:spacing w:after="0" w:line="135" w:lineRule="exact"/>
              <w:rPr>
                <w:sz w:val="20"/>
                <w:szCs w:val="20"/>
                <w:color w:val="auto"/>
              </w:rPr>
            </w:pPr>
            <w:r>
              <w:rPr>
                <w:rFonts w:ascii="Arial" w:cs="Arial" w:eastAsia="Arial" w:hAnsi="Arial"/>
                <w:sz w:val="13"/>
                <w:szCs w:val="13"/>
                <w:b w:val="1"/>
                <w:bCs w:val="1"/>
                <w:color w:val="auto"/>
              </w:rPr>
              <w:t>Option</w:t>
            </w:r>
          </w:p>
        </w:tc>
        <w:tc>
          <w:tcPr>
            <w:tcW w:w="1040" w:type="dxa"/>
            <w:vAlign w:val="bottom"/>
            <w:shd w:val="clear" w:color="auto" w:fill="9DB8D2"/>
          </w:tcPr>
          <w:p>
            <w:pPr>
              <w:jc w:val="center"/>
              <w:ind w:right="313"/>
              <w:spacing w:after="0" w:line="135" w:lineRule="exact"/>
              <w:rPr>
                <w:sz w:val="20"/>
                <w:szCs w:val="20"/>
                <w:color w:val="auto"/>
              </w:rPr>
            </w:pPr>
            <w:r>
              <w:rPr>
                <w:rFonts w:ascii="Arial" w:cs="Arial" w:eastAsia="Arial" w:hAnsi="Arial"/>
                <w:sz w:val="13"/>
                <w:szCs w:val="13"/>
                <w:b w:val="1"/>
                <w:bCs w:val="1"/>
                <w:color w:val="auto"/>
                <w:w w:val="99"/>
              </w:rPr>
              <w:t>that Have</w:t>
            </w:r>
          </w:p>
        </w:tc>
        <w:tc>
          <w:tcPr>
            <w:tcW w:w="900" w:type="dxa"/>
            <w:vAlign w:val="bottom"/>
            <w:gridSpan w:val="2"/>
            <w:shd w:val="clear" w:color="auto" w:fill="9DB8D2"/>
          </w:tcPr>
          <w:p>
            <w:pPr>
              <w:jc w:val="center"/>
              <w:spacing w:after="0" w:line="135" w:lineRule="exact"/>
              <w:rPr>
                <w:sz w:val="20"/>
                <w:szCs w:val="20"/>
                <w:color w:val="auto"/>
              </w:rPr>
            </w:pPr>
            <w:r>
              <w:rPr>
                <w:rFonts w:ascii="Arial" w:cs="Arial" w:eastAsia="Arial" w:hAnsi="Arial"/>
                <w:sz w:val="13"/>
                <w:szCs w:val="13"/>
                <w:b w:val="1"/>
                <w:bCs w:val="1"/>
                <w:color w:val="auto"/>
                <w:w w:val="95"/>
              </w:rPr>
              <w:t>that Have</w:t>
            </w:r>
          </w:p>
        </w:tc>
        <w:tc>
          <w:tcPr>
            <w:tcW w:w="124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5"/>
              </w:rPr>
              <w:t>that Have</w:t>
            </w:r>
          </w:p>
        </w:tc>
        <w:tc>
          <w:tcPr>
            <w:tcW w:w="180" w:type="dxa"/>
            <w:vAlign w:val="bottom"/>
            <w:shd w:val="clear" w:color="auto" w:fill="9DB8D2"/>
          </w:tcPr>
          <w:p>
            <w:pPr>
              <w:spacing w:after="0"/>
              <w:rPr>
                <w:sz w:val="11"/>
                <w:szCs w:val="11"/>
                <w:color w:val="auto"/>
              </w:rPr>
            </w:pPr>
          </w:p>
        </w:tc>
        <w:tc>
          <w:tcPr>
            <w:tcW w:w="880" w:type="dxa"/>
            <w:vAlign w:val="bottom"/>
            <w:shd w:val="clear" w:color="auto" w:fill="9DB8D2"/>
          </w:tcPr>
          <w:p>
            <w:pPr>
              <w:jc w:val="center"/>
              <w:ind w:right="153"/>
              <w:spacing w:after="0" w:line="135" w:lineRule="exact"/>
              <w:rPr>
                <w:sz w:val="20"/>
                <w:szCs w:val="20"/>
                <w:color w:val="auto"/>
              </w:rPr>
            </w:pPr>
            <w:r>
              <w:rPr>
                <w:rFonts w:ascii="Arial" w:cs="Arial" w:eastAsia="Arial" w:hAnsi="Arial"/>
                <w:sz w:val="13"/>
                <w:szCs w:val="13"/>
                <w:b w:val="1"/>
                <w:bCs w:val="1"/>
                <w:color w:val="auto"/>
                <w:w w:val="99"/>
              </w:rPr>
              <w:t>that Have</w:t>
            </w:r>
          </w:p>
        </w:tc>
      </w:tr>
      <w:tr>
        <w:trPr>
          <w:trHeight w:val="135"/>
        </w:trPr>
        <w:tc>
          <w:tcPr>
            <w:tcW w:w="1900" w:type="dxa"/>
            <w:vAlign w:val="bottom"/>
            <w:shd w:val="clear" w:color="auto" w:fill="9DB8D2"/>
          </w:tcPr>
          <w:p>
            <w:pPr>
              <w:ind w:left="80"/>
              <w:spacing w:after="0" w:line="135" w:lineRule="exact"/>
              <w:rPr>
                <w:sz w:val="20"/>
                <w:szCs w:val="20"/>
                <w:color w:val="auto"/>
              </w:rPr>
            </w:pPr>
            <w:r>
              <w:rPr>
                <w:rFonts w:ascii="Arial" w:cs="Arial" w:eastAsia="Arial" w:hAnsi="Arial"/>
                <w:sz w:val="13"/>
                <w:szCs w:val="13"/>
                <w:b w:val="1"/>
                <w:bCs w:val="1"/>
                <w:color w:val="auto"/>
              </w:rPr>
              <w:t>Name &amp; Principal</w:t>
            </w:r>
          </w:p>
        </w:tc>
        <w:tc>
          <w:tcPr>
            <w:tcW w:w="1000" w:type="dxa"/>
            <w:vAlign w:val="bottom"/>
            <w:gridSpan w:val="2"/>
            <w:shd w:val="clear" w:color="auto" w:fill="9DB8D2"/>
          </w:tcPr>
          <w:p>
            <w:pPr>
              <w:jc w:val="center"/>
              <w:ind w:left="93"/>
              <w:spacing w:after="0" w:line="135" w:lineRule="exact"/>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9DB8D2"/>
          </w:tcPr>
          <w:p>
            <w:pPr>
              <w:jc w:val="center"/>
              <w:ind w:left="133"/>
              <w:spacing w:after="0" w:line="135" w:lineRule="exact"/>
              <w:rPr>
                <w:sz w:val="20"/>
                <w:szCs w:val="20"/>
                <w:color w:val="auto"/>
              </w:rPr>
            </w:pPr>
            <w:r>
              <w:rPr>
                <w:rFonts w:ascii="Arial" w:cs="Arial" w:eastAsia="Arial" w:hAnsi="Arial"/>
                <w:sz w:val="13"/>
                <w:szCs w:val="13"/>
                <w:b w:val="1"/>
                <w:bCs w:val="1"/>
                <w:color w:val="auto"/>
                <w:w w:val="87"/>
              </w:rPr>
              <w:t>(#)</w:t>
            </w:r>
          </w:p>
        </w:tc>
        <w:tc>
          <w:tcPr>
            <w:tcW w:w="390" w:type="dxa"/>
            <w:vAlign w:val="bottom"/>
            <w:shd w:val="clear" w:color="auto" w:fill="9DB8D2"/>
          </w:tcPr>
          <w:p>
            <w:pPr>
              <w:spacing w:after="0"/>
              <w:rPr>
                <w:sz w:val="11"/>
                <w:szCs w:val="11"/>
                <w:color w:val="auto"/>
              </w:rPr>
            </w:pPr>
          </w:p>
        </w:tc>
        <w:tc>
          <w:tcPr>
            <w:tcW w:w="890" w:type="dxa"/>
            <w:vAlign w:val="bottom"/>
            <w:shd w:val="clear" w:color="auto" w:fill="9DB8D2"/>
          </w:tcPr>
          <w:p>
            <w:pPr>
              <w:jc w:val="center"/>
              <w:ind w:left="43"/>
              <w:spacing w:after="0" w:line="135" w:lineRule="exact"/>
              <w:rPr>
                <w:sz w:val="20"/>
                <w:szCs w:val="20"/>
                <w:color w:val="auto"/>
              </w:rPr>
            </w:pPr>
            <w:r>
              <w:rPr>
                <w:rFonts w:ascii="Arial" w:cs="Arial" w:eastAsia="Arial" w:hAnsi="Arial"/>
                <w:sz w:val="13"/>
                <w:szCs w:val="13"/>
                <w:b w:val="1"/>
                <w:bCs w:val="1"/>
                <w:color w:val="auto"/>
                <w:w w:val="96"/>
              </w:rPr>
              <w:t>Unearned</w:t>
            </w:r>
          </w:p>
        </w:tc>
        <w:tc>
          <w:tcPr>
            <w:tcW w:w="360" w:type="dxa"/>
            <w:vAlign w:val="bottom"/>
            <w:shd w:val="clear" w:color="auto" w:fill="9DB8D2"/>
          </w:tcPr>
          <w:p>
            <w:pPr>
              <w:spacing w:after="0"/>
              <w:rPr>
                <w:sz w:val="11"/>
                <w:szCs w:val="11"/>
                <w:color w:val="auto"/>
              </w:rPr>
            </w:pPr>
          </w:p>
        </w:tc>
        <w:tc>
          <w:tcPr>
            <w:tcW w:w="580" w:type="dxa"/>
            <w:vAlign w:val="bottom"/>
            <w:shd w:val="clear" w:color="auto" w:fill="9DB8D2"/>
          </w:tcPr>
          <w:p>
            <w:pPr>
              <w:jc w:val="center"/>
              <w:ind w:right="173"/>
              <w:spacing w:after="0" w:line="135" w:lineRule="exact"/>
              <w:rPr>
                <w:sz w:val="20"/>
                <w:szCs w:val="20"/>
                <w:color w:val="auto"/>
              </w:rPr>
            </w:pPr>
            <w:r>
              <w:rPr>
                <w:rFonts w:ascii="Arial" w:cs="Arial" w:eastAsia="Arial" w:hAnsi="Arial"/>
                <w:sz w:val="13"/>
                <w:szCs w:val="13"/>
                <w:b w:val="1"/>
                <w:bCs w:val="1"/>
                <w:color w:val="auto"/>
                <w:w w:val="94"/>
              </w:rPr>
              <w:t>Price</w:t>
            </w:r>
          </w:p>
        </w:tc>
        <w:tc>
          <w:tcPr>
            <w:tcW w:w="1000" w:type="dxa"/>
            <w:vAlign w:val="bottom"/>
            <w:gridSpan w:val="2"/>
            <w:shd w:val="clear" w:color="auto" w:fill="9DB8D2"/>
          </w:tcPr>
          <w:p>
            <w:pPr>
              <w:jc w:val="center"/>
              <w:ind w:right="60"/>
              <w:spacing w:after="0" w:line="135" w:lineRule="exact"/>
              <w:rPr>
                <w:sz w:val="20"/>
                <w:szCs w:val="20"/>
                <w:color w:val="auto"/>
              </w:rPr>
            </w:pPr>
            <w:r>
              <w:rPr>
                <w:rFonts w:ascii="Arial" w:cs="Arial" w:eastAsia="Arial" w:hAnsi="Arial"/>
                <w:sz w:val="13"/>
                <w:szCs w:val="13"/>
                <w:b w:val="1"/>
                <w:bCs w:val="1"/>
                <w:color w:val="auto"/>
                <w:w w:val="97"/>
              </w:rPr>
              <w:t>Expiration</w:t>
            </w:r>
          </w:p>
        </w:tc>
        <w:tc>
          <w:tcPr>
            <w:tcW w:w="1040" w:type="dxa"/>
            <w:vAlign w:val="bottom"/>
            <w:shd w:val="clear" w:color="auto" w:fill="9DB8D2"/>
          </w:tcPr>
          <w:p>
            <w:pPr>
              <w:jc w:val="center"/>
              <w:ind w:right="313"/>
              <w:spacing w:after="0" w:line="135" w:lineRule="exact"/>
              <w:rPr>
                <w:sz w:val="20"/>
                <w:szCs w:val="20"/>
                <w:color w:val="auto"/>
              </w:rPr>
            </w:pPr>
            <w:r>
              <w:rPr>
                <w:rFonts w:ascii="Arial" w:cs="Arial" w:eastAsia="Arial" w:hAnsi="Arial"/>
                <w:sz w:val="13"/>
                <w:szCs w:val="13"/>
                <w:b w:val="1"/>
                <w:bCs w:val="1"/>
                <w:color w:val="auto"/>
                <w:w w:val="97"/>
              </w:rPr>
              <w:t>Not Vested</w:t>
            </w:r>
          </w:p>
        </w:tc>
        <w:tc>
          <w:tcPr>
            <w:tcW w:w="900" w:type="dxa"/>
            <w:vAlign w:val="bottom"/>
            <w:gridSpan w:val="2"/>
            <w:shd w:val="clear" w:color="auto" w:fill="9DB8D2"/>
          </w:tcPr>
          <w:p>
            <w:pPr>
              <w:ind w:left="140"/>
              <w:spacing w:after="0" w:line="135" w:lineRule="exact"/>
              <w:rPr>
                <w:sz w:val="20"/>
                <w:szCs w:val="20"/>
                <w:color w:val="auto"/>
              </w:rPr>
            </w:pPr>
            <w:r>
              <w:rPr>
                <w:rFonts w:ascii="Arial" w:cs="Arial" w:eastAsia="Arial" w:hAnsi="Arial"/>
                <w:sz w:val="13"/>
                <w:szCs w:val="13"/>
                <w:b w:val="1"/>
                <w:bCs w:val="1"/>
                <w:color w:val="auto"/>
              </w:rPr>
              <w:t>Not Vested</w:t>
            </w:r>
          </w:p>
        </w:tc>
        <w:tc>
          <w:tcPr>
            <w:tcW w:w="1240" w:type="dxa"/>
            <w:vAlign w:val="bottom"/>
            <w:shd w:val="clear" w:color="auto" w:fill="9DB8D2"/>
          </w:tcPr>
          <w:p>
            <w:pPr>
              <w:jc w:val="center"/>
              <w:ind w:right="174"/>
              <w:spacing w:after="0" w:line="135" w:lineRule="exact"/>
              <w:rPr>
                <w:sz w:val="20"/>
                <w:szCs w:val="20"/>
                <w:color w:val="auto"/>
              </w:rPr>
            </w:pPr>
            <w:r>
              <w:rPr>
                <w:rFonts w:ascii="Arial" w:cs="Arial" w:eastAsia="Arial" w:hAnsi="Arial"/>
                <w:sz w:val="13"/>
                <w:szCs w:val="13"/>
                <w:b w:val="1"/>
                <w:bCs w:val="1"/>
                <w:color w:val="auto"/>
                <w:w w:val="94"/>
              </w:rPr>
              <w:t>Not Vested</w:t>
            </w:r>
          </w:p>
        </w:tc>
        <w:tc>
          <w:tcPr>
            <w:tcW w:w="180" w:type="dxa"/>
            <w:vAlign w:val="bottom"/>
            <w:shd w:val="clear" w:color="auto" w:fill="9DB8D2"/>
          </w:tcPr>
          <w:p>
            <w:pPr>
              <w:spacing w:after="0"/>
              <w:rPr>
                <w:sz w:val="11"/>
                <w:szCs w:val="11"/>
                <w:color w:val="auto"/>
              </w:rPr>
            </w:pPr>
          </w:p>
        </w:tc>
        <w:tc>
          <w:tcPr>
            <w:tcW w:w="880" w:type="dxa"/>
            <w:vAlign w:val="bottom"/>
            <w:shd w:val="clear" w:color="auto" w:fill="9DB8D2"/>
          </w:tcPr>
          <w:p>
            <w:pPr>
              <w:jc w:val="center"/>
              <w:ind w:right="153"/>
              <w:spacing w:after="0" w:line="135" w:lineRule="exact"/>
              <w:rPr>
                <w:sz w:val="20"/>
                <w:szCs w:val="20"/>
                <w:color w:val="auto"/>
              </w:rPr>
            </w:pPr>
            <w:r>
              <w:rPr>
                <w:rFonts w:ascii="Arial" w:cs="Arial" w:eastAsia="Arial" w:hAnsi="Arial"/>
                <w:sz w:val="13"/>
                <w:szCs w:val="13"/>
                <w:b w:val="1"/>
                <w:bCs w:val="1"/>
                <w:color w:val="auto"/>
                <w:w w:val="97"/>
              </w:rPr>
              <w:t>Not Vested</w:t>
            </w:r>
          </w:p>
        </w:tc>
      </w:tr>
      <w:tr>
        <w:trPr>
          <w:trHeight w:val="169"/>
        </w:trPr>
        <w:tc>
          <w:tcPr>
            <w:tcW w:w="190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3"/>
                <w:szCs w:val="13"/>
                <w:b w:val="1"/>
                <w:bCs w:val="1"/>
                <w:color w:val="auto"/>
              </w:rPr>
              <w:t>Position</w:t>
            </w:r>
          </w:p>
        </w:tc>
        <w:tc>
          <w:tcPr>
            <w:tcW w:w="200" w:type="dxa"/>
            <w:vAlign w:val="bottom"/>
            <w:tcBorders>
              <w:bottom w:val="single" w:sz="8" w:color="auto"/>
            </w:tcBorders>
            <w:shd w:val="clear" w:color="auto" w:fill="9DB8D2"/>
          </w:tcPr>
          <w:p>
            <w:pPr>
              <w:spacing w:after="0"/>
              <w:rPr>
                <w:sz w:val="14"/>
                <w:szCs w:val="14"/>
                <w:color w:val="auto"/>
              </w:rPr>
            </w:pPr>
          </w:p>
        </w:tc>
        <w:tc>
          <w:tcPr>
            <w:tcW w:w="8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3"/>
                <w:szCs w:val="13"/>
                <w:b w:val="1"/>
                <w:bCs w:val="1"/>
                <w:color w:val="auto"/>
                <w:w w:val="96"/>
              </w:rPr>
              <w:t>Exercisable</w:t>
            </w:r>
          </w:p>
        </w:tc>
        <w:tc>
          <w:tcPr>
            <w:tcW w:w="1450" w:type="dxa"/>
            <w:vAlign w:val="bottom"/>
            <w:tcBorders>
              <w:bottom w:val="single" w:sz="8" w:color="auto"/>
            </w:tcBorders>
            <w:gridSpan w:val="2"/>
            <w:shd w:val="clear" w:color="auto" w:fill="9DB8D2"/>
          </w:tcPr>
          <w:p>
            <w:pPr>
              <w:jc w:val="center"/>
              <w:ind w:right="127"/>
              <w:spacing w:after="0"/>
              <w:rPr>
                <w:sz w:val="20"/>
                <w:szCs w:val="20"/>
                <w:color w:val="auto"/>
              </w:rPr>
            </w:pPr>
            <w:r>
              <w:rPr>
                <w:rFonts w:ascii="Arial" w:cs="Arial" w:eastAsia="Arial" w:hAnsi="Arial"/>
                <w:sz w:val="13"/>
                <w:szCs w:val="13"/>
                <w:b w:val="1"/>
                <w:bCs w:val="1"/>
                <w:color w:val="auto"/>
                <w:w w:val="97"/>
              </w:rPr>
              <w:t>Unexercisable</w:t>
            </w:r>
          </w:p>
        </w:tc>
        <w:tc>
          <w:tcPr>
            <w:tcW w:w="890" w:type="dxa"/>
            <w:vAlign w:val="bottom"/>
            <w:tcBorders>
              <w:bottom w:val="single" w:sz="8" w:color="auto"/>
            </w:tcBorders>
            <w:shd w:val="clear" w:color="auto" w:fill="9DB8D2"/>
          </w:tcPr>
          <w:p>
            <w:pPr>
              <w:jc w:val="center"/>
              <w:ind w:left="43"/>
              <w:spacing w:after="0"/>
              <w:rPr>
                <w:sz w:val="20"/>
                <w:szCs w:val="20"/>
                <w:color w:val="auto"/>
              </w:rPr>
            </w:pPr>
            <w:r>
              <w:rPr>
                <w:rFonts w:ascii="Arial" w:cs="Arial" w:eastAsia="Arial" w:hAnsi="Arial"/>
                <w:sz w:val="13"/>
                <w:szCs w:val="13"/>
                <w:b w:val="1"/>
                <w:bCs w:val="1"/>
                <w:color w:val="auto"/>
                <w:w w:val="96"/>
              </w:rPr>
              <w:t>Options (#)</w:t>
            </w:r>
          </w:p>
        </w:tc>
        <w:tc>
          <w:tcPr>
            <w:tcW w:w="360" w:type="dxa"/>
            <w:vAlign w:val="bottom"/>
            <w:tcBorders>
              <w:bottom w:val="single" w:sz="8" w:color="auto"/>
            </w:tcBorders>
            <w:shd w:val="clear" w:color="auto" w:fill="9DB8D2"/>
          </w:tcPr>
          <w:p>
            <w:pPr>
              <w:spacing w:after="0"/>
              <w:rPr>
                <w:sz w:val="14"/>
                <w:szCs w:val="14"/>
                <w:color w:val="auto"/>
              </w:rPr>
            </w:pPr>
          </w:p>
        </w:tc>
        <w:tc>
          <w:tcPr>
            <w:tcW w:w="580" w:type="dxa"/>
            <w:vAlign w:val="bottom"/>
            <w:tcBorders>
              <w:bottom w:val="single" w:sz="8" w:color="auto"/>
            </w:tcBorders>
            <w:shd w:val="clear" w:color="auto" w:fill="9DB8D2"/>
          </w:tcPr>
          <w:p>
            <w:pPr>
              <w:jc w:val="center"/>
              <w:ind w:right="173"/>
              <w:spacing w:after="0"/>
              <w:rPr>
                <w:sz w:val="20"/>
                <w:szCs w:val="20"/>
                <w:color w:val="auto"/>
              </w:rPr>
            </w:pPr>
            <w:r>
              <w:rPr>
                <w:rFonts w:ascii="Arial" w:cs="Arial" w:eastAsia="Arial" w:hAnsi="Arial"/>
                <w:sz w:val="13"/>
                <w:szCs w:val="13"/>
                <w:b w:val="1"/>
                <w:bCs w:val="1"/>
                <w:color w:val="auto"/>
                <w:w w:val="87"/>
              </w:rPr>
              <w:t>($)</w:t>
            </w:r>
          </w:p>
        </w:tc>
        <w:tc>
          <w:tcPr>
            <w:tcW w:w="1000" w:type="dxa"/>
            <w:vAlign w:val="bottom"/>
            <w:tcBorders>
              <w:bottom w:val="single" w:sz="8" w:color="auto"/>
            </w:tcBorders>
            <w:gridSpan w:val="2"/>
            <w:shd w:val="clear" w:color="auto" w:fill="9DB8D2"/>
          </w:tcPr>
          <w:p>
            <w:pPr>
              <w:jc w:val="center"/>
              <w:ind w:right="60"/>
              <w:spacing w:after="0"/>
              <w:rPr>
                <w:sz w:val="20"/>
                <w:szCs w:val="20"/>
                <w:color w:val="auto"/>
              </w:rPr>
            </w:pPr>
            <w:r>
              <w:rPr>
                <w:rFonts w:ascii="Arial" w:cs="Arial" w:eastAsia="Arial" w:hAnsi="Arial"/>
                <w:sz w:val="13"/>
                <w:szCs w:val="13"/>
                <w:b w:val="1"/>
                <w:bCs w:val="1"/>
                <w:color w:val="auto"/>
                <w:w w:val="92"/>
              </w:rPr>
              <w:t>Date</w:t>
            </w:r>
          </w:p>
        </w:tc>
        <w:tc>
          <w:tcPr>
            <w:tcW w:w="1040" w:type="dxa"/>
            <w:vAlign w:val="bottom"/>
            <w:tcBorders>
              <w:bottom w:val="single" w:sz="8" w:color="auto"/>
            </w:tcBorders>
            <w:shd w:val="clear" w:color="auto" w:fill="9DB8D2"/>
          </w:tcPr>
          <w:p>
            <w:pPr>
              <w:jc w:val="center"/>
              <w:ind w:right="313"/>
              <w:spacing w:after="0"/>
              <w:rPr>
                <w:sz w:val="20"/>
                <w:szCs w:val="20"/>
                <w:color w:val="auto"/>
              </w:rPr>
            </w:pPr>
            <w:r>
              <w:rPr>
                <w:rFonts w:ascii="Arial" w:cs="Arial" w:eastAsia="Arial" w:hAnsi="Arial"/>
                <w:sz w:val="13"/>
                <w:szCs w:val="13"/>
                <w:b w:val="1"/>
                <w:bCs w:val="1"/>
                <w:color w:val="auto"/>
                <w:w w:val="94"/>
              </w:rPr>
              <w:t>(#)(1)</w:t>
            </w:r>
          </w:p>
        </w:tc>
        <w:tc>
          <w:tcPr>
            <w:tcW w:w="200" w:type="dxa"/>
            <w:vAlign w:val="bottom"/>
            <w:tcBorders>
              <w:bottom w:val="single" w:sz="8" w:color="auto"/>
            </w:tcBorders>
            <w:shd w:val="clear" w:color="auto" w:fill="9DB8D2"/>
          </w:tcPr>
          <w:p>
            <w:pPr>
              <w:spacing w:after="0"/>
              <w:rPr>
                <w:sz w:val="14"/>
                <w:szCs w:val="14"/>
                <w:color w:val="auto"/>
              </w:rPr>
            </w:pPr>
          </w:p>
        </w:tc>
        <w:tc>
          <w:tcPr>
            <w:tcW w:w="700" w:type="dxa"/>
            <w:vAlign w:val="bottom"/>
            <w:tcBorders>
              <w:bottom w:val="single" w:sz="8" w:color="auto"/>
            </w:tcBorders>
            <w:shd w:val="clear" w:color="auto" w:fill="9DB8D2"/>
          </w:tcPr>
          <w:p>
            <w:pPr>
              <w:jc w:val="center"/>
              <w:ind w:right="93"/>
              <w:spacing w:after="0"/>
              <w:rPr>
                <w:sz w:val="20"/>
                <w:szCs w:val="20"/>
                <w:color w:val="auto"/>
              </w:rPr>
            </w:pPr>
            <w:r>
              <w:rPr>
                <w:rFonts w:ascii="Arial" w:cs="Arial" w:eastAsia="Arial" w:hAnsi="Arial"/>
                <w:sz w:val="13"/>
                <w:szCs w:val="13"/>
                <w:b w:val="1"/>
                <w:bCs w:val="1"/>
                <w:color w:val="auto"/>
                <w:w w:val="94"/>
              </w:rPr>
              <w:t>($)(2)</w:t>
            </w:r>
          </w:p>
        </w:tc>
        <w:tc>
          <w:tcPr>
            <w:tcW w:w="1240" w:type="dxa"/>
            <w:vAlign w:val="bottom"/>
            <w:tcBorders>
              <w:bottom w:val="single" w:sz="8" w:color="auto"/>
            </w:tcBorders>
            <w:shd w:val="clear" w:color="auto" w:fill="9DB8D2"/>
          </w:tcPr>
          <w:p>
            <w:pPr>
              <w:jc w:val="center"/>
              <w:ind w:right="174"/>
              <w:spacing w:after="0"/>
              <w:rPr>
                <w:sz w:val="20"/>
                <w:szCs w:val="20"/>
                <w:color w:val="auto"/>
              </w:rPr>
            </w:pPr>
            <w:r>
              <w:rPr>
                <w:rFonts w:ascii="Arial" w:cs="Arial" w:eastAsia="Arial" w:hAnsi="Arial"/>
                <w:sz w:val="13"/>
                <w:szCs w:val="13"/>
                <w:b w:val="1"/>
                <w:bCs w:val="1"/>
                <w:color w:val="auto"/>
              </w:rPr>
              <w:t>(#)(3)</w:t>
            </w:r>
          </w:p>
        </w:tc>
        <w:tc>
          <w:tcPr>
            <w:tcW w:w="180" w:type="dxa"/>
            <w:vAlign w:val="bottom"/>
            <w:tcBorders>
              <w:bottom w:val="single" w:sz="8" w:color="auto"/>
            </w:tcBorders>
            <w:shd w:val="clear" w:color="auto" w:fill="9DB8D2"/>
          </w:tcPr>
          <w:p>
            <w:pPr>
              <w:spacing w:after="0"/>
              <w:rPr>
                <w:sz w:val="14"/>
                <w:szCs w:val="14"/>
                <w:color w:val="auto"/>
              </w:rPr>
            </w:pPr>
          </w:p>
        </w:tc>
        <w:tc>
          <w:tcPr>
            <w:tcW w:w="880" w:type="dxa"/>
            <w:vAlign w:val="bottom"/>
            <w:tcBorders>
              <w:bottom w:val="single" w:sz="8" w:color="auto"/>
            </w:tcBorders>
            <w:shd w:val="clear" w:color="auto" w:fill="9DB8D2"/>
          </w:tcPr>
          <w:p>
            <w:pPr>
              <w:jc w:val="center"/>
              <w:ind w:right="153"/>
              <w:spacing w:after="0"/>
              <w:rPr>
                <w:sz w:val="20"/>
                <w:szCs w:val="20"/>
                <w:color w:val="auto"/>
              </w:rPr>
            </w:pPr>
            <w:r>
              <w:rPr>
                <w:rFonts w:ascii="Arial" w:cs="Arial" w:eastAsia="Arial" w:hAnsi="Arial"/>
                <w:sz w:val="13"/>
                <w:szCs w:val="13"/>
                <w:b w:val="1"/>
                <w:bCs w:val="1"/>
                <w:color w:val="auto"/>
                <w:w w:val="94"/>
              </w:rPr>
              <w:t>($)(2)</w:t>
            </w:r>
          </w:p>
        </w:tc>
      </w:tr>
      <w:tr>
        <w:trPr>
          <w:trHeight w:val="129"/>
        </w:trPr>
        <w:tc>
          <w:tcPr>
            <w:tcW w:w="1900" w:type="dxa"/>
            <w:vAlign w:val="bottom"/>
          </w:tcPr>
          <w:p>
            <w:pPr>
              <w:ind w:left="100"/>
              <w:spacing w:after="0" w:line="129" w:lineRule="exact"/>
              <w:rPr>
                <w:sz w:val="20"/>
                <w:szCs w:val="20"/>
                <w:color w:val="auto"/>
              </w:rPr>
            </w:pPr>
            <w:r>
              <w:rPr>
                <w:rFonts w:ascii="Arial" w:cs="Arial" w:eastAsia="Arial" w:hAnsi="Arial"/>
                <w:sz w:val="14"/>
                <w:szCs w:val="14"/>
                <w:color w:val="auto"/>
              </w:rPr>
              <w:t>Ram Chandrashekar</w:t>
            </w:r>
          </w:p>
        </w:tc>
        <w:tc>
          <w:tcPr>
            <w:tcW w:w="20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450" w:type="dxa"/>
            <w:vAlign w:val="bottom"/>
            <w:gridSpan w:val="2"/>
          </w:tcPr>
          <w:p>
            <w:pPr>
              <w:jc w:val="right"/>
              <w:ind w:right="147"/>
              <w:spacing w:after="0" w:line="129" w:lineRule="exact"/>
              <w:rPr>
                <w:sz w:val="20"/>
                <w:szCs w:val="20"/>
                <w:color w:val="auto"/>
              </w:rPr>
            </w:pPr>
            <w:r>
              <w:rPr>
                <w:rFonts w:ascii="Arial" w:cs="Arial" w:eastAsia="Arial" w:hAnsi="Arial"/>
                <w:sz w:val="14"/>
                <w:szCs w:val="14"/>
                <w:color w:val="auto"/>
              </w:rPr>
              <w:t>1,659(4)</w:t>
            </w:r>
          </w:p>
        </w:tc>
        <w:tc>
          <w:tcPr>
            <w:tcW w:w="89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360" w:type="dxa"/>
            <w:vAlign w:val="bottom"/>
          </w:tcPr>
          <w:p>
            <w:pPr>
              <w:ind w:left="260"/>
              <w:spacing w:after="0" w:line="12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73"/>
              <w:spacing w:after="0" w:line="129" w:lineRule="exact"/>
              <w:rPr>
                <w:sz w:val="20"/>
                <w:szCs w:val="20"/>
                <w:color w:val="auto"/>
              </w:rPr>
            </w:pPr>
            <w:r>
              <w:rPr>
                <w:rFonts w:ascii="Arial" w:cs="Arial" w:eastAsia="Arial" w:hAnsi="Arial"/>
                <w:sz w:val="14"/>
                <w:szCs w:val="14"/>
                <w:color w:val="auto"/>
              </w:rPr>
              <w:t>52.55</w:t>
            </w:r>
          </w:p>
        </w:tc>
        <w:tc>
          <w:tcPr>
            <w:tcW w:w="880" w:type="dxa"/>
            <w:vAlign w:val="bottom"/>
          </w:tcPr>
          <w:p>
            <w:pPr>
              <w:jc w:val="right"/>
              <w:spacing w:after="0" w:line="129" w:lineRule="exact"/>
              <w:rPr>
                <w:sz w:val="20"/>
                <w:szCs w:val="20"/>
                <w:color w:val="auto"/>
              </w:rPr>
            </w:pPr>
            <w:r>
              <w:rPr>
                <w:rFonts w:ascii="Arial" w:cs="Arial" w:eastAsia="Arial" w:hAnsi="Arial"/>
                <w:sz w:val="14"/>
                <w:szCs w:val="14"/>
                <w:color w:val="auto"/>
              </w:rPr>
              <w:t>2/13/2023</w:t>
            </w:r>
          </w:p>
        </w:tc>
        <w:tc>
          <w:tcPr>
            <w:tcW w:w="120" w:type="dxa"/>
            <w:vAlign w:val="bottom"/>
          </w:tcPr>
          <w:p>
            <w:pPr>
              <w:spacing w:after="0"/>
              <w:rPr>
                <w:sz w:val="11"/>
                <w:szCs w:val="11"/>
                <w:color w:val="auto"/>
              </w:rPr>
            </w:pPr>
          </w:p>
        </w:tc>
        <w:tc>
          <w:tcPr>
            <w:tcW w:w="1040" w:type="dxa"/>
            <w:vAlign w:val="bottom"/>
          </w:tcPr>
          <w:p>
            <w:pPr>
              <w:jc w:val="right"/>
              <w:ind w:right="313"/>
              <w:spacing w:after="0" w:line="12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00" w:type="dxa"/>
            <w:vAlign w:val="bottom"/>
          </w:tcPr>
          <w:p>
            <w:pPr>
              <w:jc w:val="right"/>
              <w:ind w:right="33"/>
              <w:spacing w:after="0" w:line="12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254"/>
              <w:spacing w:after="0" w:line="12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tcPr>
          <w:p>
            <w:pPr>
              <w:jc w:val="right"/>
              <w:ind w:right="53"/>
              <w:spacing w:after="0" w:line="129" w:lineRule="exact"/>
              <w:rPr>
                <w:sz w:val="20"/>
                <w:szCs w:val="20"/>
                <w:color w:val="auto"/>
              </w:rPr>
            </w:pPr>
            <w:r>
              <w:rPr>
                <w:rFonts w:ascii="Arial" w:cs="Arial" w:eastAsia="Arial" w:hAnsi="Arial"/>
                <w:sz w:val="14"/>
                <w:szCs w:val="14"/>
                <w:color w:val="auto"/>
              </w:rPr>
              <w:t>—</w:t>
            </w:r>
          </w:p>
        </w:tc>
      </w:tr>
      <w:tr>
        <w:trPr>
          <w:trHeight w:val="149"/>
        </w:trPr>
        <w:tc>
          <w:tcPr>
            <w:tcW w:w="1900" w:type="dxa"/>
            <w:vAlign w:val="bottom"/>
          </w:tcPr>
          <w:p>
            <w:pPr>
              <w:ind w:left="240"/>
              <w:spacing w:after="0" w:line="149" w:lineRule="exact"/>
              <w:rPr>
                <w:sz w:val="20"/>
                <w:szCs w:val="20"/>
                <w:color w:val="auto"/>
              </w:rPr>
            </w:pPr>
            <w:r>
              <w:rPr>
                <w:rFonts w:ascii="Arial" w:cs="Arial" w:eastAsia="Arial" w:hAnsi="Arial"/>
                <w:sz w:val="14"/>
                <w:szCs w:val="14"/>
                <w:i w:val="1"/>
                <w:iCs w:val="1"/>
                <w:color w:val="auto"/>
              </w:rPr>
              <w:t>EVP, Operational</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5,488</w:t>
            </w:r>
          </w:p>
        </w:tc>
        <w:tc>
          <w:tcPr>
            <w:tcW w:w="1450" w:type="dxa"/>
            <w:vAlign w:val="bottom"/>
            <w:gridSpan w:val="2"/>
          </w:tcPr>
          <w:p>
            <w:pPr>
              <w:jc w:val="right"/>
              <w:ind w:right="147"/>
              <w:spacing w:after="0" w:line="149" w:lineRule="exact"/>
              <w:rPr>
                <w:sz w:val="20"/>
                <w:szCs w:val="20"/>
                <w:color w:val="auto"/>
              </w:rPr>
            </w:pPr>
            <w:r>
              <w:rPr>
                <w:rFonts w:ascii="Arial" w:cs="Arial" w:eastAsia="Arial" w:hAnsi="Arial"/>
                <w:sz w:val="14"/>
                <w:szCs w:val="14"/>
                <w:color w:val="auto"/>
              </w:rPr>
              <w:t>5,489(5)</w:t>
            </w:r>
          </w:p>
        </w:tc>
        <w:tc>
          <w:tcPr>
            <w:tcW w:w="89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73"/>
              <w:spacing w:after="0" w:line="149" w:lineRule="exact"/>
              <w:rPr>
                <w:sz w:val="20"/>
                <w:szCs w:val="20"/>
                <w:color w:val="auto"/>
              </w:rPr>
            </w:pPr>
            <w:r>
              <w:rPr>
                <w:rFonts w:ascii="Arial" w:cs="Arial" w:eastAsia="Arial" w:hAnsi="Arial"/>
                <w:sz w:val="14"/>
                <w:szCs w:val="14"/>
                <w:color w:val="auto"/>
              </w:rPr>
              <w:t>76.13</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2/11/2024</w:t>
            </w:r>
          </w:p>
        </w:tc>
        <w:tc>
          <w:tcPr>
            <w:tcW w:w="120" w:type="dxa"/>
            <w:vAlign w:val="bottom"/>
          </w:tcPr>
          <w:p>
            <w:pPr>
              <w:spacing w:after="0"/>
              <w:rPr>
                <w:sz w:val="12"/>
                <w:szCs w:val="12"/>
                <w:color w:val="auto"/>
              </w:rPr>
            </w:pPr>
          </w:p>
        </w:tc>
        <w:tc>
          <w:tcPr>
            <w:tcW w:w="104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25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r>
      <w:tr>
        <w:trPr>
          <w:trHeight w:val="149"/>
        </w:trPr>
        <w:tc>
          <w:tcPr>
            <w:tcW w:w="1900" w:type="dxa"/>
            <w:vAlign w:val="bottom"/>
          </w:tcPr>
          <w:p>
            <w:pPr>
              <w:ind w:left="240"/>
              <w:spacing w:after="0" w:line="149" w:lineRule="exact"/>
              <w:rPr>
                <w:sz w:val="20"/>
                <w:szCs w:val="20"/>
                <w:color w:val="auto"/>
              </w:rPr>
            </w:pPr>
            <w:r>
              <w:rPr>
                <w:rFonts w:ascii="Arial" w:cs="Arial" w:eastAsia="Arial" w:hAnsi="Arial"/>
                <w:sz w:val="14"/>
                <w:szCs w:val="14"/>
                <w:i w:val="1"/>
                <w:iCs w:val="1"/>
                <w:color w:val="auto"/>
              </w:rPr>
              <w:t>Excellence &amp; IT and</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3,232</w:t>
            </w:r>
          </w:p>
        </w:tc>
        <w:tc>
          <w:tcPr>
            <w:tcW w:w="1450" w:type="dxa"/>
            <w:vAlign w:val="bottom"/>
            <w:gridSpan w:val="2"/>
          </w:tcPr>
          <w:p>
            <w:pPr>
              <w:jc w:val="right"/>
              <w:ind w:right="147"/>
              <w:spacing w:after="0" w:line="149" w:lineRule="exact"/>
              <w:rPr>
                <w:sz w:val="20"/>
                <w:szCs w:val="20"/>
                <w:color w:val="auto"/>
              </w:rPr>
            </w:pPr>
            <w:r>
              <w:rPr>
                <w:rFonts w:ascii="Arial" w:cs="Arial" w:eastAsia="Arial" w:hAnsi="Arial"/>
                <w:sz w:val="14"/>
                <w:szCs w:val="14"/>
                <w:color w:val="auto"/>
              </w:rPr>
              <w:t>9,696(7)</w:t>
            </w:r>
          </w:p>
        </w:tc>
        <w:tc>
          <w:tcPr>
            <w:tcW w:w="89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73"/>
              <w:spacing w:after="0" w:line="149" w:lineRule="exact"/>
              <w:rPr>
                <w:sz w:val="20"/>
                <w:szCs w:val="20"/>
                <w:color w:val="auto"/>
              </w:rPr>
            </w:pPr>
            <w:r>
              <w:rPr>
                <w:rFonts w:ascii="Arial" w:cs="Arial" w:eastAsia="Arial" w:hAnsi="Arial"/>
                <w:sz w:val="14"/>
                <w:szCs w:val="14"/>
                <w:color w:val="auto"/>
              </w:rPr>
              <w:t>76.97</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2/10/2025</w:t>
            </w:r>
          </w:p>
        </w:tc>
        <w:tc>
          <w:tcPr>
            <w:tcW w:w="120" w:type="dxa"/>
            <w:vAlign w:val="bottom"/>
          </w:tcPr>
          <w:p>
            <w:pPr>
              <w:spacing w:after="0"/>
              <w:rPr>
                <w:sz w:val="12"/>
                <w:szCs w:val="12"/>
                <w:color w:val="auto"/>
              </w:rPr>
            </w:pPr>
          </w:p>
        </w:tc>
        <w:tc>
          <w:tcPr>
            <w:tcW w:w="104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25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r>
      <w:tr>
        <w:trPr>
          <w:trHeight w:val="149"/>
        </w:trPr>
        <w:tc>
          <w:tcPr>
            <w:tcW w:w="1900" w:type="dxa"/>
            <w:vAlign w:val="bottom"/>
          </w:tcPr>
          <w:p>
            <w:pPr>
              <w:ind w:left="240"/>
              <w:spacing w:after="0" w:line="149" w:lineRule="exact"/>
              <w:rPr>
                <w:sz w:val="20"/>
                <w:szCs w:val="20"/>
                <w:color w:val="auto"/>
              </w:rPr>
            </w:pPr>
            <w:r>
              <w:rPr>
                <w:rFonts w:ascii="Arial" w:cs="Arial" w:eastAsia="Arial" w:hAnsi="Arial"/>
                <w:sz w:val="14"/>
                <w:szCs w:val="14"/>
                <w:i w:val="1"/>
                <w:iCs w:val="1"/>
                <w:color w:val="auto"/>
              </w:rPr>
              <w:t>President, Asia Pacific</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50" w:type="dxa"/>
            <w:vAlign w:val="bottom"/>
            <w:gridSpan w:val="2"/>
          </w:tcPr>
          <w:p>
            <w:pPr>
              <w:jc w:val="right"/>
              <w:ind w:right="147"/>
              <w:spacing w:after="0" w:line="149" w:lineRule="exact"/>
              <w:rPr>
                <w:sz w:val="20"/>
                <w:szCs w:val="20"/>
                <w:color w:val="auto"/>
              </w:rPr>
            </w:pPr>
            <w:r>
              <w:rPr>
                <w:rFonts w:ascii="Arial" w:cs="Arial" w:eastAsia="Arial" w:hAnsi="Arial"/>
                <w:sz w:val="14"/>
                <w:szCs w:val="14"/>
                <w:color w:val="auto"/>
              </w:rPr>
              <w:t>14,228(8)</w:t>
            </w:r>
          </w:p>
        </w:tc>
        <w:tc>
          <w:tcPr>
            <w:tcW w:w="89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73"/>
              <w:spacing w:after="0" w:line="149" w:lineRule="exact"/>
              <w:rPr>
                <w:sz w:val="20"/>
                <w:szCs w:val="20"/>
                <w:color w:val="auto"/>
              </w:rPr>
            </w:pPr>
            <w:r>
              <w:rPr>
                <w:rFonts w:ascii="Arial" w:cs="Arial" w:eastAsia="Arial" w:hAnsi="Arial"/>
                <w:sz w:val="14"/>
                <w:szCs w:val="14"/>
                <w:color w:val="auto"/>
              </w:rPr>
              <w:t>75.07</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2/16/2026</w:t>
            </w:r>
          </w:p>
        </w:tc>
        <w:tc>
          <w:tcPr>
            <w:tcW w:w="120" w:type="dxa"/>
            <w:vAlign w:val="bottom"/>
          </w:tcPr>
          <w:p>
            <w:pPr>
              <w:spacing w:after="0"/>
              <w:rPr>
                <w:sz w:val="12"/>
                <w:szCs w:val="12"/>
                <w:color w:val="auto"/>
              </w:rPr>
            </w:pPr>
          </w:p>
        </w:tc>
        <w:tc>
          <w:tcPr>
            <w:tcW w:w="104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25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r>
      <w:tr>
        <w:trPr>
          <w:trHeight w:val="163"/>
        </w:trPr>
        <w:tc>
          <w:tcPr>
            <w:tcW w:w="1900" w:type="dxa"/>
            <w:vAlign w:val="bottom"/>
          </w:tcPr>
          <w:p>
            <w:pPr>
              <w:ind w:left="240"/>
              <w:spacing w:after="0"/>
              <w:rPr>
                <w:sz w:val="20"/>
                <w:szCs w:val="20"/>
                <w:color w:val="auto"/>
              </w:rPr>
            </w:pPr>
            <w:r>
              <w:rPr>
                <w:rFonts w:ascii="Arial" w:cs="Arial" w:eastAsia="Arial" w:hAnsi="Arial"/>
                <w:sz w:val="14"/>
                <w:szCs w:val="14"/>
                <w:i w:val="1"/>
                <w:iCs w:val="1"/>
                <w:color w:val="auto"/>
              </w:rPr>
              <w:t>Middle Ea</w:t>
            </w:r>
            <w:r>
              <w:rPr>
                <w:rFonts w:ascii="Arial" w:cs="Arial" w:eastAsia="Arial" w:hAnsi="Arial"/>
                <w:sz w:val="14"/>
                <w:szCs w:val="14"/>
                <w:color w:val="auto"/>
              </w:rPr>
              <w:t>st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50" w:type="dxa"/>
            <w:vAlign w:val="bottom"/>
            <w:gridSpan w:val="2"/>
          </w:tcPr>
          <w:p>
            <w:pPr>
              <w:jc w:val="right"/>
              <w:ind w:right="327"/>
              <w:spacing w:after="0"/>
              <w:rPr>
                <w:sz w:val="20"/>
                <w:szCs w:val="20"/>
                <w:color w:val="auto"/>
              </w:rPr>
            </w:pPr>
            <w:r>
              <w:rPr>
                <w:rFonts w:ascii="Arial" w:cs="Arial" w:eastAsia="Arial" w:hAnsi="Arial"/>
                <w:sz w:val="14"/>
                <w:szCs w:val="14"/>
                <w:color w:val="auto"/>
              </w:rPr>
              <w:t>—</w:t>
            </w:r>
          </w:p>
        </w:tc>
        <w:tc>
          <w:tcPr>
            <w:tcW w:w="89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53"/>
              <w:spacing w:after="0"/>
              <w:rPr>
                <w:sz w:val="20"/>
                <w:szCs w:val="20"/>
                <w:color w:val="auto"/>
              </w:rPr>
            </w:pPr>
            <w:r>
              <w:rPr>
                <w:rFonts w:ascii="Arial" w:cs="Arial" w:eastAsia="Arial" w:hAnsi="Arial"/>
                <w:sz w:val="14"/>
                <w:szCs w:val="14"/>
                <w:color w:val="auto"/>
              </w:rPr>
              <w:t>3,880(9)</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344,816</w:t>
            </w:r>
          </w:p>
        </w:tc>
        <w:tc>
          <w:tcPr>
            <w:tcW w:w="1240" w:type="dxa"/>
            <w:vAlign w:val="bottom"/>
          </w:tcPr>
          <w:p>
            <w:pPr>
              <w:jc w:val="right"/>
              <w:ind w:right="254"/>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w:t>
            </w:r>
          </w:p>
        </w:tc>
      </w:tr>
      <w:tr>
        <w:trPr>
          <w:trHeight w:val="149"/>
        </w:trPr>
        <w:tc>
          <w:tcPr>
            <w:tcW w:w="1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50" w:type="dxa"/>
            <w:vAlign w:val="bottom"/>
            <w:gridSpan w:val="2"/>
          </w:tcPr>
          <w:p>
            <w:pPr>
              <w:jc w:val="right"/>
              <w:ind w:right="327"/>
              <w:spacing w:after="0" w:line="149" w:lineRule="exact"/>
              <w:rPr>
                <w:sz w:val="20"/>
                <w:szCs w:val="20"/>
                <w:color w:val="auto"/>
              </w:rPr>
            </w:pPr>
            <w:r>
              <w:rPr>
                <w:rFonts w:ascii="Arial" w:cs="Arial" w:eastAsia="Arial" w:hAnsi="Arial"/>
                <w:sz w:val="14"/>
                <w:szCs w:val="14"/>
                <w:color w:val="auto"/>
              </w:rPr>
              <w:t>—</w:t>
            </w:r>
          </w:p>
        </w:tc>
        <w:tc>
          <w:tcPr>
            <w:tcW w:w="89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8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73"/>
              <w:spacing w:after="0" w:line="149" w:lineRule="exact"/>
              <w:rPr>
                <w:sz w:val="20"/>
                <w:szCs w:val="20"/>
                <w:color w:val="auto"/>
              </w:rPr>
            </w:pPr>
            <w:r>
              <w:rPr>
                <w:rFonts w:ascii="Arial" w:cs="Arial" w:eastAsia="Arial" w:hAnsi="Arial"/>
                <w:sz w:val="14"/>
                <w:szCs w:val="14"/>
                <w:color w:val="auto"/>
              </w:rPr>
              <w:t>6,929(12)</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615,780</w:t>
            </w:r>
          </w:p>
        </w:tc>
        <w:tc>
          <w:tcPr>
            <w:tcW w:w="1240" w:type="dxa"/>
            <w:vAlign w:val="bottom"/>
          </w:tcPr>
          <w:p>
            <w:pPr>
              <w:jc w:val="right"/>
              <w:ind w:right="25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r>
      <w:tr>
        <w:trPr>
          <w:trHeight w:val="149"/>
        </w:trPr>
        <w:tc>
          <w:tcPr>
            <w:tcW w:w="1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50" w:type="dxa"/>
            <w:vAlign w:val="bottom"/>
            <w:gridSpan w:val="2"/>
          </w:tcPr>
          <w:p>
            <w:pPr>
              <w:jc w:val="right"/>
              <w:ind w:right="327"/>
              <w:spacing w:after="0" w:line="149" w:lineRule="exact"/>
              <w:rPr>
                <w:sz w:val="20"/>
                <w:szCs w:val="20"/>
                <w:color w:val="auto"/>
              </w:rPr>
            </w:pPr>
            <w:r>
              <w:rPr>
                <w:rFonts w:ascii="Arial" w:cs="Arial" w:eastAsia="Arial" w:hAnsi="Arial"/>
                <w:sz w:val="14"/>
                <w:szCs w:val="14"/>
                <w:color w:val="auto"/>
              </w:rPr>
              <w:t>—</w:t>
            </w:r>
          </w:p>
        </w:tc>
        <w:tc>
          <w:tcPr>
            <w:tcW w:w="89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8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73"/>
              <w:spacing w:after="0" w:line="149" w:lineRule="exact"/>
              <w:rPr>
                <w:sz w:val="20"/>
                <w:szCs w:val="20"/>
                <w:color w:val="auto"/>
              </w:rPr>
            </w:pPr>
            <w:r>
              <w:rPr>
                <w:rFonts w:ascii="Arial" w:cs="Arial" w:eastAsia="Arial" w:hAnsi="Arial"/>
                <w:sz w:val="14"/>
                <w:szCs w:val="14"/>
                <w:color w:val="auto"/>
              </w:rPr>
              <w:t>3,789(13)</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336,728</w:t>
            </w:r>
          </w:p>
        </w:tc>
        <w:tc>
          <w:tcPr>
            <w:tcW w:w="1240" w:type="dxa"/>
            <w:vAlign w:val="bottom"/>
          </w:tcPr>
          <w:p>
            <w:pPr>
              <w:jc w:val="right"/>
              <w:ind w:right="25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r>
      <w:tr>
        <w:trPr>
          <w:trHeight w:val="149"/>
        </w:trPr>
        <w:tc>
          <w:tcPr>
            <w:tcW w:w="1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50" w:type="dxa"/>
            <w:vAlign w:val="bottom"/>
            <w:gridSpan w:val="2"/>
          </w:tcPr>
          <w:p>
            <w:pPr>
              <w:jc w:val="right"/>
              <w:ind w:right="327"/>
              <w:spacing w:after="0" w:line="149" w:lineRule="exact"/>
              <w:rPr>
                <w:sz w:val="20"/>
                <w:szCs w:val="20"/>
                <w:color w:val="auto"/>
              </w:rPr>
            </w:pPr>
            <w:r>
              <w:rPr>
                <w:rFonts w:ascii="Arial" w:cs="Arial" w:eastAsia="Arial" w:hAnsi="Arial"/>
                <w:sz w:val="14"/>
                <w:szCs w:val="14"/>
                <w:color w:val="auto"/>
              </w:rPr>
              <w:t>—</w:t>
            </w:r>
          </w:p>
        </w:tc>
        <w:tc>
          <w:tcPr>
            <w:tcW w:w="89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8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73"/>
              <w:spacing w:after="0" w:line="149" w:lineRule="exact"/>
              <w:rPr>
                <w:sz w:val="20"/>
                <w:szCs w:val="20"/>
                <w:color w:val="auto"/>
              </w:rPr>
            </w:pPr>
            <w:r>
              <w:rPr>
                <w:rFonts w:ascii="Arial" w:cs="Arial" w:eastAsia="Arial" w:hAnsi="Arial"/>
                <w:sz w:val="14"/>
                <w:szCs w:val="14"/>
                <w:color w:val="auto"/>
              </w:rPr>
              <w:t>3,813(14)</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338,861</w:t>
            </w:r>
          </w:p>
        </w:tc>
        <w:tc>
          <w:tcPr>
            <w:tcW w:w="1240" w:type="dxa"/>
            <w:vAlign w:val="bottom"/>
          </w:tcPr>
          <w:p>
            <w:pPr>
              <w:jc w:val="right"/>
              <w:ind w:right="25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r>
      <w:tr>
        <w:trPr>
          <w:trHeight w:val="149"/>
        </w:trPr>
        <w:tc>
          <w:tcPr>
            <w:tcW w:w="1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50" w:type="dxa"/>
            <w:vAlign w:val="bottom"/>
            <w:gridSpan w:val="2"/>
          </w:tcPr>
          <w:p>
            <w:pPr>
              <w:jc w:val="right"/>
              <w:ind w:right="327"/>
              <w:spacing w:after="0" w:line="149" w:lineRule="exact"/>
              <w:rPr>
                <w:sz w:val="20"/>
                <w:szCs w:val="20"/>
                <w:color w:val="auto"/>
              </w:rPr>
            </w:pPr>
            <w:r>
              <w:rPr>
                <w:rFonts w:ascii="Arial" w:cs="Arial" w:eastAsia="Arial" w:hAnsi="Arial"/>
                <w:sz w:val="14"/>
                <w:szCs w:val="14"/>
                <w:color w:val="auto"/>
              </w:rPr>
              <w:t>—</w:t>
            </w:r>
          </w:p>
        </w:tc>
        <w:tc>
          <w:tcPr>
            <w:tcW w:w="89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8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73"/>
              <w:spacing w:after="0" w:line="149" w:lineRule="exact"/>
              <w:rPr>
                <w:sz w:val="20"/>
                <w:szCs w:val="20"/>
                <w:color w:val="auto"/>
              </w:rPr>
            </w:pPr>
            <w:r>
              <w:rPr>
                <w:rFonts w:ascii="Arial" w:cs="Arial" w:eastAsia="Arial" w:hAnsi="Arial"/>
                <w:sz w:val="14"/>
                <w:szCs w:val="14"/>
                <w:color w:val="auto"/>
              </w:rPr>
              <w:t>6,810(15)</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605,205</w:t>
            </w:r>
          </w:p>
        </w:tc>
        <w:tc>
          <w:tcPr>
            <w:tcW w:w="1240" w:type="dxa"/>
            <w:vAlign w:val="bottom"/>
          </w:tcPr>
          <w:p>
            <w:pPr>
              <w:jc w:val="right"/>
              <w:ind w:right="25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r>
      <w:tr>
        <w:trPr>
          <w:trHeight w:val="149"/>
        </w:trPr>
        <w:tc>
          <w:tcPr>
            <w:tcW w:w="1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50" w:type="dxa"/>
            <w:vAlign w:val="bottom"/>
            <w:gridSpan w:val="2"/>
          </w:tcPr>
          <w:p>
            <w:pPr>
              <w:jc w:val="right"/>
              <w:ind w:right="327"/>
              <w:spacing w:after="0" w:line="149" w:lineRule="exact"/>
              <w:rPr>
                <w:sz w:val="20"/>
                <w:szCs w:val="20"/>
                <w:color w:val="auto"/>
              </w:rPr>
            </w:pPr>
            <w:r>
              <w:rPr>
                <w:rFonts w:ascii="Arial" w:cs="Arial" w:eastAsia="Arial" w:hAnsi="Arial"/>
                <w:sz w:val="14"/>
                <w:szCs w:val="14"/>
                <w:color w:val="auto"/>
              </w:rPr>
              <w:t>—</w:t>
            </w:r>
          </w:p>
        </w:tc>
        <w:tc>
          <w:tcPr>
            <w:tcW w:w="89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8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73"/>
              <w:spacing w:after="0" w:line="149" w:lineRule="exact"/>
              <w:rPr>
                <w:sz w:val="20"/>
                <w:szCs w:val="20"/>
                <w:color w:val="auto"/>
              </w:rPr>
            </w:pPr>
            <w:r>
              <w:rPr>
                <w:rFonts w:ascii="Arial" w:cs="Arial" w:eastAsia="Arial" w:hAnsi="Arial"/>
                <w:sz w:val="14"/>
                <w:szCs w:val="14"/>
                <w:color w:val="auto"/>
              </w:rPr>
              <w:t>20,744(16)</w:t>
            </w:r>
          </w:p>
        </w:tc>
        <w:tc>
          <w:tcPr>
            <w:tcW w:w="90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$1,843,519</w:t>
            </w:r>
          </w:p>
        </w:tc>
        <w:tc>
          <w:tcPr>
            <w:tcW w:w="1240" w:type="dxa"/>
            <w:vAlign w:val="bottom"/>
          </w:tcPr>
          <w:p>
            <w:pPr>
              <w:jc w:val="right"/>
              <w:ind w:right="25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r>
      <w:tr>
        <w:trPr>
          <w:trHeight w:val="149"/>
        </w:trPr>
        <w:tc>
          <w:tcPr>
            <w:tcW w:w="1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50" w:type="dxa"/>
            <w:vAlign w:val="bottom"/>
            <w:gridSpan w:val="2"/>
          </w:tcPr>
          <w:p>
            <w:pPr>
              <w:jc w:val="right"/>
              <w:ind w:right="327"/>
              <w:spacing w:after="0" w:line="149" w:lineRule="exact"/>
              <w:rPr>
                <w:sz w:val="20"/>
                <w:szCs w:val="20"/>
                <w:color w:val="auto"/>
              </w:rPr>
            </w:pPr>
            <w:r>
              <w:rPr>
                <w:rFonts w:ascii="Arial" w:cs="Arial" w:eastAsia="Arial" w:hAnsi="Arial"/>
                <w:sz w:val="14"/>
                <w:szCs w:val="14"/>
                <w:color w:val="auto"/>
              </w:rPr>
              <w:t>—</w:t>
            </w:r>
          </w:p>
        </w:tc>
        <w:tc>
          <w:tcPr>
            <w:tcW w:w="89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8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14"/>
              <w:spacing w:after="0" w:line="149" w:lineRule="exact"/>
              <w:rPr>
                <w:sz w:val="20"/>
                <w:szCs w:val="20"/>
                <w:color w:val="auto"/>
              </w:rPr>
            </w:pPr>
            <w:r>
              <w:rPr>
                <w:rFonts w:ascii="Arial" w:cs="Arial" w:eastAsia="Arial" w:hAnsi="Arial"/>
                <w:sz w:val="14"/>
                <w:szCs w:val="14"/>
                <w:color w:val="auto"/>
              </w:rPr>
              <w:t>21,828(17)</w:t>
            </w:r>
          </w:p>
        </w:tc>
        <w:tc>
          <w:tcPr>
            <w:tcW w:w="1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1,939,854</w:t>
            </w:r>
          </w:p>
        </w:tc>
      </w:tr>
      <w:tr>
        <w:trPr>
          <w:trHeight w:val="149"/>
        </w:trPr>
        <w:tc>
          <w:tcPr>
            <w:tcW w:w="19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50" w:type="dxa"/>
            <w:vAlign w:val="bottom"/>
            <w:tcBorders>
              <w:bottom w:val="single" w:sz="8" w:color="auto"/>
            </w:tcBorders>
            <w:gridSpan w:val="2"/>
          </w:tcPr>
          <w:p>
            <w:pPr>
              <w:jc w:val="right"/>
              <w:ind w:right="327"/>
              <w:spacing w:after="0" w:line="149" w:lineRule="exact"/>
              <w:rPr>
                <w:sz w:val="20"/>
                <w:szCs w:val="20"/>
                <w:color w:val="auto"/>
              </w:rPr>
            </w:pPr>
            <w:r>
              <w:rPr>
                <w:rFonts w:ascii="Arial" w:cs="Arial" w:eastAsia="Arial" w:hAnsi="Arial"/>
                <w:sz w:val="14"/>
                <w:szCs w:val="14"/>
                <w:color w:val="auto"/>
              </w:rPr>
              <w:t>—</w:t>
            </w:r>
          </w:p>
        </w:tc>
        <w:tc>
          <w:tcPr>
            <w:tcW w:w="89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313"/>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4"/>
              <w:spacing w:after="0" w:line="149" w:lineRule="exact"/>
              <w:rPr>
                <w:sz w:val="20"/>
                <w:szCs w:val="20"/>
                <w:color w:val="auto"/>
              </w:rPr>
            </w:pPr>
            <w:r>
              <w:rPr>
                <w:rFonts w:ascii="Arial" w:cs="Arial" w:eastAsia="Arial" w:hAnsi="Arial"/>
                <w:sz w:val="14"/>
                <w:szCs w:val="14"/>
                <w:color w:val="auto"/>
              </w:rPr>
              <w:t>22,380(18)</w:t>
            </w:r>
          </w:p>
        </w:tc>
        <w:tc>
          <w:tcPr>
            <w:tcW w:w="180" w:type="dxa"/>
            <w:vAlign w:val="bottom"/>
            <w:tcBorders>
              <w:bottom w:val="single" w:sz="8" w:color="auto"/>
            </w:tcBorders>
          </w:tcPr>
          <w:p>
            <w:pPr>
              <w:ind w:left="80"/>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53"/>
              <w:spacing w:after="0" w:line="149" w:lineRule="exact"/>
              <w:rPr>
                <w:sz w:val="20"/>
                <w:szCs w:val="20"/>
                <w:color w:val="auto"/>
              </w:rPr>
            </w:pPr>
            <w:r>
              <w:rPr>
                <w:rFonts w:ascii="Arial" w:cs="Arial" w:eastAsia="Arial" w:hAnsi="Arial"/>
                <w:sz w:val="14"/>
                <w:szCs w:val="14"/>
                <w:color w:val="auto"/>
              </w:rPr>
              <w:t>1,988,911</w:t>
            </w:r>
          </w:p>
        </w:tc>
      </w:tr>
      <w:tr>
        <w:trPr>
          <w:trHeight w:val="127"/>
        </w:trPr>
        <w:tc>
          <w:tcPr>
            <w:tcW w:w="1900" w:type="dxa"/>
            <w:vAlign w:val="bottom"/>
            <w:shd w:val="clear" w:color="auto" w:fill="E6EDF3"/>
          </w:tcPr>
          <w:p>
            <w:pPr>
              <w:ind w:left="80"/>
              <w:spacing w:after="0" w:line="127" w:lineRule="exact"/>
              <w:rPr>
                <w:sz w:val="20"/>
                <w:szCs w:val="20"/>
                <w:color w:val="auto"/>
              </w:rPr>
            </w:pPr>
            <w:r>
              <w:rPr>
                <w:rFonts w:ascii="Arial" w:cs="Arial" w:eastAsia="Arial" w:hAnsi="Arial"/>
                <w:sz w:val="14"/>
                <w:szCs w:val="14"/>
                <w:color w:val="auto"/>
              </w:rPr>
              <w:t>Mara E. Swan</w:t>
            </w:r>
          </w:p>
        </w:tc>
        <w:tc>
          <w:tcPr>
            <w:tcW w:w="200" w:type="dxa"/>
            <w:vAlign w:val="bottom"/>
            <w:shd w:val="clear" w:color="auto" w:fill="E6EDF3"/>
          </w:tcPr>
          <w:p>
            <w:pPr>
              <w:spacing w:after="0"/>
              <w:rPr>
                <w:sz w:val="11"/>
                <w:szCs w:val="11"/>
                <w:color w:val="auto"/>
              </w:rPr>
            </w:pPr>
          </w:p>
        </w:tc>
        <w:tc>
          <w:tcPr>
            <w:tcW w:w="800" w:type="dxa"/>
            <w:vAlign w:val="bottom"/>
            <w:shd w:val="clear" w:color="auto" w:fill="E6EDF3"/>
          </w:tcPr>
          <w:p>
            <w:pPr>
              <w:jc w:val="right"/>
              <w:spacing w:after="0" w:line="127" w:lineRule="exact"/>
              <w:rPr>
                <w:sz w:val="20"/>
                <w:szCs w:val="20"/>
                <w:color w:val="auto"/>
              </w:rPr>
            </w:pPr>
            <w:r>
              <w:rPr>
                <w:rFonts w:ascii="Arial" w:cs="Arial" w:eastAsia="Arial" w:hAnsi="Arial"/>
                <w:sz w:val="14"/>
                <w:szCs w:val="14"/>
                <w:color w:val="auto"/>
              </w:rPr>
              <w:t>7,451</w:t>
            </w:r>
          </w:p>
        </w:tc>
        <w:tc>
          <w:tcPr>
            <w:tcW w:w="1450" w:type="dxa"/>
            <w:vAlign w:val="bottom"/>
            <w:gridSpan w:val="2"/>
            <w:shd w:val="clear" w:color="auto" w:fill="E6EDF3"/>
          </w:tcPr>
          <w:p>
            <w:pPr>
              <w:jc w:val="right"/>
              <w:ind w:right="327"/>
              <w:spacing w:after="0" w:line="127" w:lineRule="exact"/>
              <w:rPr>
                <w:sz w:val="20"/>
                <w:szCs w:val="20"/>
                <w:color w:val="auto"/>
              </w:rPr>
            </w:pPr>
            <w:r>
              <w:rPr>
                <w:rFonts w:ascii="Arial" w:cs="Arial" w:eastAsia="Arial" w:hAnsi="Arial"/>
                <w:sz w:val="14"/>
                <w:szCs w:val="14"/>
                <w:color w:val="auto"/>
              </w:rPr>
              <w:t>—</w:t>
            </w:r>
          </w:p>
        </w:tc>
        <w:tc>
          <w:tcPr>
            <w:tcW w:w="890" w:type="dxa"/>
            <w:vAlign w:val="bottom"/>
            <w:shd w:val="clear" w:color="auto" w:fill="E6EDF3"/>
          </w:tcPr>
          <w:p>
            <w:pPr>
              <w:jc w:val="right"/>
              <w:spacing w:after="0" w:line="127" w:lineRule="exact"/>
              <w:rPr>
                <w:sz w:val="20"/>
                <w:szCs w:val="20"/>
                <w:color w:val="auto"/>
              </w:rPr>
            </w:pPr>
            <w:r>
              <w:rPr>
                <w:rFonts w:ascii="Arial" w:cs="Arial" w:eastAsia="Arial" w:hAnsi="Arial"/>
                <w:sz w:val="14"/>
                <w:szCs w:val="14"/>
                <w:color w:val="auto"/>
              </w:rPr>
              <w:t>—</w:t>
            </w:r>
          </w:p>
        </w:tc>
        <w:tc>
          <w:tcPr>
            <w:tcW w:w="360" w:type="dxa"/>
            <w:vAlign w:val="bottom"/>
            <w:shd w:val="clear" w:color="auto" w:fill="E6EDF3"/>
          </w:tcPr>
          <w:p>
            <w:pPr>
              <w:ind w:left="260"/>
              <w:spacing w:after="0" w:line="127" w:lineRule="exact"/>
              <w:rPr>
                <w:sz w:val="20"/>
                <w:szCs w:val="20"/>
                <w:color w:val="auto"/>
              </w:rPr>
            </w:pPr>
            <w:r>
              <w:rPr>
                <w:rFonts w:ascii="Arial" w:cs="Arial" w:eastAsia="Arial" w:hAnsi="Arial"/>
                <w:sz w:val="14"/>
                <w:szCs w:val="14"/>
                <w:color w:val="auto"/>
              </w:rPr>
              <w:t>$</w:t>
            </w:r>
          </w:p>
        </w:tc>
        <w:tc>
          <w:tcPr>
            <w:tcW w:w="580" w:type="dxa"/>
            <w:vAlign w:val="bottom"/>
            <w:shd w:val="clear" w:color="auto" w:fill="E6EDF3"/>
          </w:tcPr>
          <w:p>
            <w:pPr>
              <w:jc w:val="right"/>
              <w:ind w:right="73"/>
              <w:spacing w:after="0" w:line="127" w:lineRule="exact"/>
              <w:rPr>
                <w:sz w:val="20"/>
                <w:szCs w:val="20"/>
                <w:color w:val="auto"/>
              </w:rPr>
            </w:pPr>
            <w:r>
              <w:rPr>
                <w:rFonts w:ascii="Arial" w:cs="Arial" w:eastAsia="Arial" w:hAnsi="Arial"/>
                <w:sz w:val="14"/>
                <w:szCs w:val="14"/>
                <w:color w:val="auto"/>
              </w:rPr>
              <w:t>67.12</w:t>
            </w:r>
          </w:p>
        </w:tc>
        <w:tc>
          <w:tcPr>
            <w:tcW w:w="880" w:type="dxa"/>
            <w:vAlign w:val="bottom"/>
            <w:shd w:val="clear" w:color="auto" w:fill="E6EDF3"/>
          </w:tcPr>
          <w:p>
            <w:pPr>
              <w:jc w:val="right"/>
              <w:spacing w:after="0" w:line="127" w:lineRule="exact"/>
              <w:rPr>
                <w:sz w:val="20"/>
                <w:szCs w:val="20"/>
                <w:color w:val="auto"/>
              </w:rPr>
            </w:pPr>
            <w:r>
              <w:rPr>
                <w:rFonts w:ascii="Arial" w:cs="Arial" w:eastAsia="Arial" w:hAnsi="Arial"/>
                <w:sz w:val="14"/>
                <w:szCs w:val="14"/>
                <w:color w:val="auto"/>
              </w:rPr>
              <w:t>2/16/2021</w:t>
            </w:r>
          </w:p>
        </w:tc>
        <w:tc>
          <w:tcPr>
            <w:tcW w:w="120" w:type="dxa"/>
            <w:vAlign w:val="bottom"/>
            <w:shd w:val="clear" w:color="auto" w:fill="E6EDF3"/>
          </w:tcPr>
          <w:p>
            <w:pPr>
              <w:spacing w:after="0"/>
              <w:rPr>
                <w:sz w:val="11"/>
                <w:szCs w:val="11"/>
                <w:color w:val="auto"/>
              </w:rPr>
            </w:pPr>
          </w:p>
        </w:tc>
        <w:tc>
          <w:tcPr>
            <w:tcW w:w="1040" w:type="dxa"/>
            <w:vAlign w:val="bottom"/>
            <w:shd w:val="clear" w:color="auto" w:fill="E6EDF3"/>
          </w:tcPr>
          <w:p>
            <w:pPr>
              <w:jc w:val="right"/>
              <w:ind w:right="313"/>
              <w:spacing w:after="0" w:line="127"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1"/>
                <w:szCs w:val="11"/>
                <w:color w:val="auto"/>
              </w:rPr>
            </w:pPr>
          </w:p>
        </w:tc>
        <w:tc>
          <w:tcPr>
            <w:tcW w:w="700" w:type="dxa"/>
            <w:vAlign w:val="bottom"/>
            <w:shd w:val="clear" w:color="auto" w:fill="E6EDF3"/>
          </w:tcPr>
          <w:p>
            <w:pPr>
              <w:jc w:val="right"/>
              <w:ind w:right="33"/>
              <w:spacing w:after="0" w:line="127" w:lineRule="exact"/>
              <w:rPr>
                <w:sz w:val="20"/>
                <w:szCs w:val="20"/>
                <w:color w:val="auto"/>
              </w:rPr>
            </w:pPr>
            <w:r>
              <w:rPr>
                <w:rFonts w:ascii="Arial" w:cs="Arial" w:eastAsia="Arial" w:hAnsi="Arial"/>
                <w:sz w:val="14"/>
                <w:szCs w:val="14"/>
                <w:color w:val="auto"/>
              </w:rPr>
              <w:t>—</w:t>
            </w:r>
          </w:p>
        </w:tc>
        <w:tc>
          <w:tcPr>
            <w:tcW w:w="1240" w:type="dxa"/>
            <w:vAlign w:val="bottom"/>
            <w:shd w:val="clear" w:color="auto" w:fill="E6EDF3"/>
          </w:tcPr>
          <w:p>
            <w:pPr>
              <w:jc w:val="right"/>
              <w:ind w:right="254"/>
              <w:spacing w:after="0" w:line="127"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1"/>
                <w:szCs w:val="11"/>
                <w:color w:val="auto"/>
              </w:rPr>
            </w:pPr>
          </w:p>
        </w:tc>
        <w:tc>
          <w:tcPr>
            <w:tcW w:w="880" w:type="dxa"/>
            <w:vAlign w:val="bottom"/>
            <w:shd w:val="clear" w:color="auto" w:fill="E6EDF3"/>
          </w:tcPr>
          <w:p>
            <w:pPr>
              <w:jc w:val="right"/>
              <w:ind w:right="53"/>
              <w:spacing w:after="0" w:line="127" w:lineRule="exact"/>
              <w:rPr>
                <w:sz w:val="20"/>
                <w:szCs w:val="20"/>
                <w:color w:val="auto"/>
              </w:rPr>
            </w:pPr>
            <w:r>
              <w:rPr>
                <w:rFonts w:ascii="Arial" w:cs="Arial" w:eastAsia="Arial" w:hAnsi="Arial"/>
                <w:sz w:val="14"/>
                <w:szCs w:val="14"/>
                <w:color w:val="auto"/>
              </w:rPr>
              <w:t>—</w:t>
            </w:r>
          </w:p>
        </w:tc>
      </w:tr>
      <w:tr>
        <w:trPr>
          <w:trHeight w:val="149"/>
        </w:trPr>
        <w:tc>
          <w:tcPr>
            <w:tcW w:w="1900" w:type="dxa"/>
            <w:vAlign w:val="bottom"/>
            <w:shd w:val="clear" w:color="auto" w:fill="E6EDF3"/>
          </w:tcPr>
          <w:p>
            <w:pPr>
              <w:ind w:left="240"/>
              <w:spacing w:after="0" w:line="149" w:lineRule="exact"/>
              <w:rPr>
                <w:sz w:val="20"/>
                <w:szCs w:val="20"/>
                <w:color w:val="auto"/>
              </w:rPr>
            </w:pPr>
            <w:r>
              <w:rPr>
                <w:rFonts w:ascii="Arial" w:cs="Arial" w:eastAsia="Arial" w:hAnsi="Arial"/>
                <w:sz w:val="14"/>
                <w:szCs w:val="14"/>
                <w:i w:val="1"/>
                <w:iCs w:val="1"/>
                <w:color w:val="auto"/>
              </w:rPr>
              <w:t>EVP, Global</w:t>
            </w:r>
          </w:p>
        </w:tc>
        <w:tc>
          <w:tcPr>
            <w:tcW w:w="20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13,755</w:t>
            </w:r>
          </w:p>
        </w:tc>
        <w:tc>
          <w:tcPr>
            <w:tcW w:w="1450" w:type="dxa"/>
            <w:vAlign w:val="bottom"/>
            <w:gridSpan w:val="2"/>
            <w:shd w:val="clear" w:color="auto" w:fill="E6EDF3"/>
          </w:tcPr>
          <w:p>
            <w:pPr>
              <w:jc w:val="right"/>
              <w:ind w:right="327"/>
              <w:spacing w:after="0" w:line="149" w:lineRule="exact"/>
              <w:rPr>
                <w:sz w:val="20"/>
                <w:szCs w:val="20"/>
                <w:color w:val="auto"/>
              </w:rPr>
            </w:pPr>
            <w:r>
              <w:rPr>
                <w:rFonts w:ascii="Arial" w:cs="Arial" w:eastAsia="Arial" w:hAnsi="Arial"/>
                <w:sz w:val="14"/>
                <w:szCs w:val="14"/>
                <w:color w:val="auto"/>
              </w:rPr>
              <w:t>—</w:t>
            </w:r>
          </w:p>
        </w:tc>
        <w:tc>
          <w:tcPr>
            <w:tcW w:w="89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6EDF3"/>
          </w:tcPr>
          <w:p>
            <w:pPr>
              <w:ind w:left="2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44.81</w:t>
            </w:r>
          </w:p>
        </w:tc>
        <w:tc>
          <w:tcPr>
            <w:tcW w:w="8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2/15/2022</w:t>
            </w:r>
          </w:p>
        </w:tc>
        <w:tc>
          <w:tcPr>
            <w:tcW w:w="120" w:type="dxa"/>
            <w:vAlign w:val="bottom"/>
            <w:shd w:val="clear" w:color="auto" w:fill="E6EDF3"/>
          </w:tcPr>
          <w:p>
            <w:pPr>
              <w:spacing w:after="0"/>
              <w:rPr>
                <w:sz w:val="12"/>
                <w:szCs w:val="12"/>
                <w:color w:val="auto"/>
              </w:rPr>
            </w:pPr>
          </w:p>
        </w:tc>
        <w:tc>
          <w:tcPr>
            <w:tcW w:w="1040" w:type="dxa"/>
            <w:vAlign w:val="bottom"/>
            <w:shd w:val="clear" w:color="auto" w:fill="E6EDF3"/>
          </w:tcPr>
          <w:p>
            <w:pPr>
              <w:jc w:val="right"/>
              <w:ind w:right="31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700" w:type="dxa"/>
            <w:vAlign w:val="bottom"/>
            <w:shd w:val="clear" w:color="auto" w:fill="E6EDF3"/>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E6EDF3"/>
          </w:tcPr>
          <w:p>
            <w:pPr>
              <w:jc w:val="right"/>
              <w:ind w:right="254"/>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88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r>
      <w:tr>
        <w:trPr>
          <w:trHeight w:val="149"/>
        </w:trPr>
        <w:tc>
          <w:tcPr>
            <w:tcW w:w="1900" w:type="dxa"/>
            <w:vAlign w:val="bottom"/>
            <w:shd w:val="clear" w:color="auto" w:fill="E6EDF3"/>
          </w:tcPr>
          <w:p>
            <w:pPr>
              <w:ind w:left="240"/>
              <w:spacing w:after="0" w:line="149" w:lineRule="exact"/>
              <w:rPr>
                <w:sz w:val="20"/>
                <w:szCs w:val="20"/>
                <w:color w:val="auto"/>
              </w:rPr>
            </w:pPr>
            <w:r>
              <w:rPr>
                <w:rFonts w:ascii="Arial" w:cs="Arial" w:eastAsia="Arial" w:hAnsi="Arial"/>
                <w:sz w:val="14"/>
                <w:szCs w:val="14"/>
                <w:i w:val="1"/>
                <w:iCs w:val="1"/>
                <w:color w:val="auto"/>
              </w:rPr>
              <w:t>Strategy and</w:t>
            </w:r>
          </w:p>
        </w:tc>
        <w:tc>
          <w:tcPr>
            <w:tcW w:w="20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13,686</w:t>
            </w:r>
          </w:p>
        </w:tc>
        <w:tc>
          <w:tcPr>
            <w:tcW w:w="1450" w:type="dxa"/>
            <w:vAlign w:val="bottom"/>
            <w:gridSpan w:val="2"/>
            <w:shd w:val="clear" w:color="auto" w:fill="E6EDF3"/>
          </w:tcPr>
          <w:p>
            <w:pPr>
              <w:jc w:val="right"/>
              <w:ind w:right="147"/>
              <w:spacing w:after="0" w:line="149" w:lineRule="exact"/>
              <w:rPr>
                <w:sz w:val="20"/>
                <w:szCs w:val="20"/>
                <w:color w:val="auto"/>
              </w:rPr>
            </w:pPr>
            <w:r>
              <w:rPr>
                <w:rFonts w:ascii="Arial" w:cs="Arial" w:eastAsia="Arial" w:hAnsi="Arial"/>
                <w:sz w:val="14"/>
                <w:szCs w:val="14"/>
                <w:color w:val="auto"/>
              </w:rPr>
              <w:t>4,562(4)</w:t>
            </w:r>
          </w:p>
        </w:tc>
        <w:tc>
          <w:tcPr>
            <w:tcW w:w="89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6EDF3"/>
          </w:tcPr>
          <w:p>
            <w:pPr>
              <w:ind w:left="2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52.55</w:t>
            </w:r>
          </w:p>
        </w:tc>
        <w:tc>
          <w:tcPr>
            <w:tcW w:w="8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2/13/2023</w:t>
            </w:r>
          </w:p>
        </w:tc>
        <w:tc>
          <w:tcPr>
            <w:tcW w:w="120" w:type="dxa"/>
            <w:vAlign w:val="bottom"/>
            <w:shd w:val="clear" w:color="auto" w:fill="E6EDF3"/>
          </w:tcPr>
          <w:p>
            <w:pPr>
              <w:spacing w:after="0"/>
              <w:rPr>
                <w:sz w:val="12"/>
                <w:szCs w:val="12"/>
                <w:color w:val="auto"/>
              </w:rPr>
            </w:pPr>
          </w:p>
        </w:tc>
        <w:tc>
          <w:tcPr>
            <w:tcW w:w="1040" w:type="dxa"/>
            <w:vAlign w:val="bottom"/>
            <w:shd w:val="clear" w:color="auto" w:fill="E6EDF3"/>
          </w:tcPr>
          <w:p>
            <w:pPr>
              <w:jc w:val="right"/>
              <w:ind w:right="31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700" w:type="dxa"/>
            <w:vAlign w:val="bottom"/>
            <w:shd w:val="clear" w:color="auto" w:fill="E6EDF3"/>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E6EDF3"/>
          </w:tcPr>
          <w:p>
            <w:pPr>
              <w:jc w:val="right"/>
              <w:ind w:right="254"/>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88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r>
      <w:tr>
        <w:trPr>
          <w:trHeight w:val="176"/>
        </w:trPr>
        <w:tc>
          <w:tcPr>
            <w:tcW w:w="1900" w:type="dxa"/>
            <w:vAlign w:val="bottom"/>
            <w:shd w:val="clear" w:color="auto" w:fill="E6EDF3"/>
          </w:tcPr>
          <w:p>
            <w:pPr>
              <w:ind w:left="240"/>
              <w:spacing w:after="0"/>
              <w:rPr>
                <w:sz w:val="20"/>
                <w:szCs w:val="20"/>
                <w:color w:val="auto"/>
              </w:rPr>
            </w:pPr>
            <w:r>
              <w:rPr>
                <w:rFonts w:ascii="Arial" w:cs="Arial" w:eastAsia="Arial" w:hAnsi="Arial"/>
                <w:sz w:val="14"/>
                <w:szCs w:val="14"/>
                <w:i w:val="1"/>
                <w:iCs w:val="1"/>
                <w:color w:val="auto"/>
              </w:rPr>
              <w:t>Talent</w:t>
            </w:r>
          </w:p>
        </w:tc>
        <w:tc>
          <w:tcPr>
            <w:tcW w:w="200" w:type="dxa"/>
            <w:vAlign w:val="bottom"/>
            <w:shd w:val="clear" w:color="auto" w:fill="E6EDF3"/>
          </w:tcPr>
          <w:p>
            <w:pPr>
              <w:spacing w:after="0"/>
              <w:rPr>
                <w:sz w:val="15"/>
                <w:szCs w:val="15"/>
                <w:color w:val="auto"/>
              </w:rPr>
            </w:pPr>
          </w:p>
        </w:tc>
        <w:tc>
          <w:tcPr>
            <w:tcW w:w="800" w:type="dxa"/>
            <w:vAlign w:val="bottom"/>
            <w:shd w:val="clear" w:color="auto" w:fill="E6EDF3"/>
          </w:tcPr>
          <w:p>
            <w:pPr>
              <w:jc w:val="right"/>
              <w:spacing w:after="0"/>
              <w:rPr>
                <w:sz w:val="20"/>
                <w:szCs w:val="20"/>
                <w:color w:val="auto"/>
              </w:rPr>
            </w:pPr>
            <w:r>
              <w:rPr>
                <w:rFonts w:ascii="Arial" w:cs="Arial" w:eastAsia="Arial" w:hAnsi="Arial"/>
                <w:sz w:val="14"/>
                <w:szCs w:val="14"/>
                <w:color w:val="auto"/>
              </w:rPr>
              <w:t>4,704</w:t>
            </w:r>
          </w:p>
        </w:tc>
        <w:tc>
          <w:tcPr>
            <w:tcW w:w="1450" w:type="dxa"/>
            <w:vAlign w:val="bottom"/>
            <w:gridSpan w:val="2"/>
            <w:shd w:val="clear" w:color="auto" w:fill="E6EDF3"/>
          </w:tcPr>
          <w:p>
            <w:pPr>
              <w:jc w:val="right"/>
              <w:ind w:right="147"/>
              <w:spacing w:after="0"/>
              <w:rPr>
                <w:sz w:val="20"/>
                <w:szCs w:val="20"/>
                <w:color w:val="auto"/>
              </w:rPr>
            </w:pPr>
            <w:r>
              <w:rPr>
                <w:rFonts w:ascii="Arial" w:cs="Arial" w:eastAsia="Arial" w:hAnsi="Arial"/>
                <w:sz w:val="14"/>
                <w:szCs w:val="14"/>
                <w:color w:val="auto"/>
              </w:rPr>
              <w:t>4,705(5)</w:t>
            </w:r>
          </w:p>
        </w:tc>
        <w:tc>
          <w:tcPr>
            <w:tcW w:w="890" w:type="dxa"/>
            <w:vAlign w:val="bottom"/>
            <w:shd w:val="clear" w:color="auto" w:fill="E6EDF3"/>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E6EDF3"/>
          </w:tcPr>
          <w:p>
            <w:pPr>
              <w:ind w:left="260"/>
              <w:spacing w:after="0"/>
              <w:rPr>
                <w:sz w:val="20"/>
                <w:szCs w:val="20"/>
                <w:color w:val="auto"/>
              </w:rPr>
            </w:pPr>
            <w:r>
              <w:rPr>
                <w:rFonts w:ascii="Arial" w:cs="Arial" w:eastAsia="Arial" w:hAnsi="Arial"/>
                <w:sz w:val="14"/>
                <w:szCs w:val="14"/>
                <w:color w:val="auto"/>
              </w:rPr>
              <w:t>$</w:t>
            </w:r>
          </w:p>
        </w:tc>
        <w:tc>
          <w:tcPr>
            <w:tcW w:w="580" w:type="dxa"/>
            <w:vAlign w:val="bottom"/>
            <w:shd w:val="clear" w:color="auto" w:fill="E6EDF3"/>
          </w:tcPr>
          <w:p>
            <w:pPr>
              <w:jc w:val="right"/>
              <w:ind w:right="73"/>
              <w:spacing w:after="0"/>
              <w:rPr>
                <w:sz w:val="20"/>
                <w:szCs w:val="20"/>
                <w:color w:val="auto"/>
              </w:rPr>
            </w:pPr>
            <w:r>
              <w:rPr>
                <w:rFonts w:ascii="Arial" w:cs="Arial" w:eastAsia="Arial" w:hAnsi="Arial"/>
                <w:sz w:val="14"/>
                <w:szCs w:val="14"/>
                <w:color w:val="auto"/>
              </w:rPr>
              <w:t>76.13</w:t>
            </w:r>
          </w:p>
        </w:tc>
        <w:tc>
          <w:tcPr>
            <w:tcW w:w="880" w:type="dxa"/>
            <w:vAlign w:val="bottom"/>
            <w:shd w:val="clear" w:color="auto" w:fill="E6EDF3"/>
          </w:tcPr>
          <w:p>
            <w:pPr>
              <w:jc w:val="right"/>
              <w:spacing w:after="0"/>
              <w:rPr>
                <w:sz w:val="20"/>
                <w:szCs w:val="20"/>
                <w:color w:val="auto"/>
              </w:rPr>
            </w:pPr>
            <w:r>
              <w:rPr>
                <w:rFonts w:ascii="Arial" w:cs="Arial" w:eastAsia="Arial" w:hAnsi="Arial"/>
                <w:sz w:val="14"/>
                <w:szCs w:val="14"/>
                <w:color w:val="auto"/>
              </w:rPr>
              <w:t>2/11/2024</w:t>
            </w:r>
          </w:p>
        </w:tc>
        <w:tc>
          <w:tcPr>
            <w:tcW w:w="120" w:type="dxa"/>
            <w:vAlign w:val="bottom"/>
            <w:shd w:val="clear" w:color="auto" w:fill="E6EDF3"/>
          </w:tcPr>
          <w:p>
            <w:pPr>
              <w:spacing w:after="0"/>
              <w:rPr>
                <w:sz w:val="15"/>
                <w:szCs w:val="15"/>
                <w:color w:val="auto"/>
              </w:rPr>
            </w:pPr>
          </w:p>
        </w:tc>
        <w:tc>
          <w:tcPr>
            <w:tcW w:w="1040" w:type="dxa"/>
            <w:vAlign w:val="bottom"/>
            <w:shd w:val="clear" w:color="auto" w:fill="E6EDF3"/>
          </w:tcPr>
          <w:p>
            <w:pPr>
              <w:jc w:val="right"/>
              <w:ind w:right="313"/>
              <w:spacing w:after="0"/>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5"/>
                <w:szCs w:val="15"/>
                <w:color w:val="auto"/>
              </w:rPr>
            </w:pPr>
          </w:p>
        </w:tc>
        <w:tc>
          <w:tcPr>
            <w:tcW w:w="700" w:type="dxa"/>
            <w:vAlign w:val="bottom"/>
            <w:shd w:val="clear" w:color="auto" w:fill="E6EDF3"/>
          </w:tcPr>
          <w:p>
            <w:pPr>
              <w:jc w:val="right"/>
              <w:ind w:right="33"/>
              <w:spacing w:after="0"/>
              <w:rPr>
                <w:sz w:val="20"/>
                <w:szCs w:val="20"/>
                <w:color w:val="auto"/>
              </w:rPr>
            </w:pPr>
            <w:r>
              <w:rPr>
                <w:rFonts w:ascii="Arial" w:cs="Arial" w:eastAsia="Arial" w:hAnsi="Arial"/>
                <w:sz w:val="14"/>
                <w:szCs w:val="14"/>
                <w:color w:val="auto"/>
              </w:rPr>
              <w:t>—</w:t>
            </w:r>
          </w:p>
        </w:tc>
        <w:tc>
          <w:tcPr>
            <w:tcW w:w="1240" w:type="dxa"/>
            <w:vAlign w:val="bottom"/>
            <w:shd w:val="clear" w:color="auto" w:fill="E6EDF3"/>
          </w:tcPr>
          <w:p>
            <w:pPr>
              <w:jc w:val="right"/>
              <w:ind w:right="254"/>
              <w:spacing w:after="0"/>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5"/>
                <w:szCs w:val="15"/>
                <w:color w:val="auto"/>
              </w:rPr>
            </w:pPr>
          </w:p>
        </w:tc>
        <w:tc>
          <w:tcPr>
            <w:tcW w:w="880" w:type="dxa"/>
            <w:vAlign w:val="bottom"/>
            <w:shd w:val="clear" w:color="auto" w:fill="E6EDF3"/>
          </w:tcPr>
          <w:p>
            <w:pPr>
              <w:jc w:val="right"/>
              <w:ind w:right="53"/>
              <w:spacing w:after="0"/>
              <w:rPr>
                <w:sz w:val="20"/>
                <w:szCs w:val="20"/>
                <w:color w:val="auto"/>
              </w:rPr>
            </w:pPr>
            <w:r>
              <w:rPr>
                <w:rFonts w:ascii="Arial" w:cs="Arial" w:eastAsia="Arial" w:hAnsi="Arial"/>
                <w:sz w:val="14"/>
                <w:szCs w:val="14"/>
                <w:color w:val="auto"/>
              </w:rPr>
              <w:t>—</w:t>
            </w:r>
          </w:p>
        </w:tc>
      </w:tr>
      <w:tr>
        <w:trPr>
          <w:trHeight w:val="149"/>
        </w:trPr>
        <w:tc>
          <w:tcPr>
            <w:tcW w:w="1900" w:type="dxa"/>
            <w:vAlign w:val="bottom"/>
            <w:shd w:val="clear" w:color="auto" w:fill="E6EDF3"/>
          </w:tcPr>
          <w:p>
            <w:pPr>
              <w:spacing w:after="0"/>
              <w:rPr>
                <w:sz w:val="12"/>
                <w:szCs w:val="12"/>
                <w:color w:val="auto"/>
              </w:rPr>
            </w:pPr>
          </w:p>
        </w:tc>
        <w:tc>
          <w:tcPr>
            <w:tcW w:w="20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2,770</w:t>
            </w:r>
          </w:p>
        </w:tc>
        <w:tc>
          <w:tcPr>
            <w:tcW w:w="1450" w:type="dxa"/>
            <w:vAlign w:val="bottom"/>
            <w:gridSpan w:val="2"/>
            <w:shd w:val="clear" w:color="auto" w:fill="E6EDF3"/>
          </w:tcPr>
          <w:p>
            <w:pPr>
              <w:jc w:val="right"/>
              <w:ind w:right="147"/>
              <w:spacing w:after="0" w:line="149" w:lineRule="exact"/>
              <w:rPr>
                <w:sz w:val="20"/>
                <w:szCs w:val="20"/>
                <w:color w:val="auto"/>
              </w:rPr>
            </w:pPr>
            <w:r>
              <w:rPr>
                <w:rFonts w:ascii="Arial" w:cs="Arial" w:eastAsia="Arial" w:hAnsi="Arial"/>
                <w:sz w:val="14"/>
                <w:szCs w:val="14"/>
                <w:color w:val="auto"/>
              </w:rPr>
              <w:t>8,311(7)</w:t>
            </w:r>
          </w:p>
        </w:tc>
        <w:tc>
          <w:tcPr>
            <w:tcW w:w="89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6EDF3"/>
          </w:tcPr>
          <w:p>
            <w:pPr>
              <w:ind w:left="2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76.97</w:t>
            </w:r>
          </w:p>
        </w:tc>
        <w:tc>
          <w:tcPr>
            <w:tcW w:w="8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2/10/2025</w:t>
            </w:r>
          </w:p>
        </w:tc>
        <w:tc>
          <w:tcPr>
            <w:tcW w:w="120" w:type="dxa"/>
            <w:vAlign w:val="bottom"/>
            <w:shd w:val="clear" w:color="auto" w:fill="E6EDF3"/>
          </w:tcPr>
          <w:p>
            <w:pPr>
              <w:spacing w:after="0"/>
              <w:rPr>
                <w:sz w:val="12"/>
                <w:szCs w:val="12"/>
                <w:color w:val="auto"/>
              </w:rPr>
            </w:pPr>
          </w:p>
        </w:tc>
        <w:tc>
          <w:tcPr>
            <w:tcW w:w="1040" w:type="dxa"/>
            <w:vAlign w:val="bottom"/>
            <w:shd w:val="clear" w:color="auto" w:fill="E6EDF3"/>
          </w:tcPr>
          <w:p>
            <w:pPr>
              <w:jc w:val="right"/>
              <w:ind w:right="31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700" w:type="dxa"/>
            <w:vAlign w:val="bottom"/>
            <w:shd w:val="clear" w:color="auto" w:fill="E6EDF3"/>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E6EDF3"/>
          </w:tcPr>
          <w:p>
            <w:pPr>
              <w:jc w:val="right"/>
              <w:ind w:right="254"/>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88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r>
      <w:tr>
        <w:trPr>
          <w:trHeight w:val="149"/>
        </w:trPr>
        <w:tc>
          <w:tcPr>
            <w:tcW w:w="1900" w:type="dxa"/>
            <w:vAlign w:val="bottom"/>
            <w:shd w:val="clear" w:color="auto" w:fill="E6EDF3"/>
          </w:tcPr>
          <w:p>
            <w:pPr>
              <w:spacing w:after="0"/>
              <w:rPr>
                <w:sz w:val="12"/>
                <w:szCs w:val="12"/>
                <w:color w:val="auto"/>
              </w:rPr>
            </w:pPr>
          </w:p>
        </w:tc>
        <w:tc>
          <w:tcPr>
            <w:tcW w:w="20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450" w:type="dxa"/>
            <w:vAlign w:val="bottom"/>
            <w:gridSpan w:val="2"/>
            <w:shd w:val="clear" w:color="auto" w:fill="E6EDF3"/>
          </w:tcPr>
          <w:p>
            <w:pPr>
              <w:jc w:val="right"/>
              <w:ind w:right="147"/>
              <w:spacing w:after="0" w:line="149" w:lineRule="exact"/>
              <w:rPr>
                <w:sz w:val="20"/>
                <w:szCs w:val="20"/>
                <w:color w:val="auto"/>
              </w:rPr>
            </w:pPr>
            <w:r>
              <w:rPr>
                <w:rFonts w:ascii="Arial" w:cs="Arial" w:eastAsia="Arial" w:hAnsi="Arial"/>
                <w:sz w:val="14"/>
                <w:szCs w:val="14"/>
                <w:color w:val="auto"/>
              </w:rPr>
              <w:t>12,196(8)</w:t>
            </w:r>
          </w:p>
        </w:tc>
        <w:tc>
          <w:tcPr>
            <w:tcW w:w="89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6EDF3"/>
          </w:tcPr>
          <w:p>
            <w:pPr>
              <w:ind w:left="2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75.07</w:t>
            </w:r>
          </w:p>
        </w:tc>
        <w:tc>
          <w:tcPr>
            <w:tcW w:w="88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2/16/2026</w:t>
            </w:r>
          </w:p>
        </w:tc>
        <w:tc>
          <w:tcPr>
            <w:tcW w:w="120" w:type="dxa"/>
            <w:vAlign w:val="bottom"/>
            <w:shd w:val="clear" w:color="auto" w:fill="E6EDF3"/>
          </w:tcPr>
          <w:p>
            <w:pPr>
              <w:spacing w:after="0"/>
              <w:rPr>
                <w:sz w:val="12"/>
                <w:szCs w:val="12"/>
                <w:color w:val="auto"/>
              </w:rPr>
            </w:pPr>
          </w:p>
        </w:tc>
        <w:tc>
          <w:tcPr>
            <w:tcW w:w="1040" w:type="dxa"/>
            <w:vAlign w:val="bottom"/>
            <w:shd w:val="clear" w:color="auto" w:fill="E6EDF3"/>
          </w:tcPr>
          <w:p>
            <w:pPr>
              <w:jc w:val="right"/>
              <w:ind w:right="31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700" w:type="dxa"/>
            <w:vAlign w:val="bottom"/>
            <w:shd w:val="clear" w:color="auto" w:fill="E6EDF3"/>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E6EDF3"/>
          </w:tcPr>
          <w:p>
            <w:pPr>
              <w:jc w:val="right"/>
              <w:ind w:right="254"/>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88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r>
      <w:tr>
        <w:trPr>
          <w:trHeight w:val="149"/>
        </w:trPr>
        <w:tc>
          <w:tcPr>
            <w:tcW w:w="1900" w:type="dxa"/>
            <w:vAlign w:val="bottom"/>
            <w:shd w:val="clear" w:color="auto" w:fill="E6EDF3"/>
          </w:tcPr>
          <w:p>
            <w:pPr>
              <w:spacing w:after="0"/>
              <w:rPr>
                <w:sz w:val="12"/>
                <w:szCs w:val="12"/>
                <w:color w:val="auto"/>
              </w:rPr>
            </w:pPr>
          </w:p>
        </w:tc>
        <w:tc>
          <w:tcPr>
            <w:tcW w:w="20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90" w:type="dxa"/>
            <w:vAlign w:val="bottom"/>
            <w:shd w:val="clear" w:color="auto" w:fill="E6EDF3"/>
          </w:tcPr>
          <w:p>
            <w:pPr>
              <w:spacing w:after="0"/>
              <w:rPr>
                <w:sz w:val="12"/>
                <w:szCs w:val="12"/>
                <w:color w:val="auto"/>
              </w:rPr>
            </w:pPr>
          </w:p>
        </w:tc>
        <w:tc>
          <w:tcPr>
            <w:tcW w:w="89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6EDF3"/>
          </w:tcPr>
          <w:p>
            <w:pPr>
              <w:spacing w:after="0"/>
              <w:rPr>
                <w:sz w:val="12"/>
                <w:szCs w:val="12"/>
                <w:color w:val="auto"/>
              </w:rPr>
            </w:pPr>
          </w:p>
        </w:tc>
        <w:tc>
          <w:tcPr>
            <w:tcW w:w="58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E6EDF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E6EDF3"/>
          </w:tcPr>
          <w:p>
            <w:pPr>
              <w:jc w:val="right"/>
              <w:ind w:right="153"/>
              <w:spacing w:after="0" w:line="149" w:lineRule="exact"/>
              <w:rPr>
                <w:sz w:val="20"/>
                <w:szCs w:val="20"/>
                <w:color w:val="auto"/>
              </w:rPr>
            </w:pPr>
            <w:r>
              <w:rPr>
                <w:rFonts w:ascii="Arial" w:cs="Arial" w:eastAsia="Arial" w:hAnsi="Arial"/>
                <w:sz w:val="14"/>
                <w:szCs w:val="14"/>
                <w:color w:val="auto"/>
              </w:rPr>
              <w:t>3,326(9)</w:t>
            </w:r>
          </w:p>
        </w:tc>
        <w:tc>
          <w:tcPr>
            <w:tcW w:w="200" w:type="dxa"/>
            <w:vAlign w:val="bottom"/>
            <w:shd w:val="clear" w:color="auto" w:fill="E6EDF3"/>
          </w:tcPr>
          <w:p>
            <w:pPr>
              <w:ind w:left="1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E6EDF3"/>
          </w:tcPr>
          <w:p>
            <w:pPr>
              <w:jc w:val="right"/>
              <w:ind w:right="33"/>
              <w:spacing w:after="0" w:line="149" w:lineRule="exact"/>
              <w:rPr>
                <w:sz w:val="20"/>
                <w:szCs w:val="20"/>
                <w:color w:val="auto"/>
              </w:rPr>
            </w:pPr>
            <w:r>
              <w:rPr>
                <w:rFonts w:ascii="Arial" w:cs="Arial" w:eastAsia="Arial" w:hAnsi="Arial"/>
                <w:sz w:val="14"/>
                <w:szCs w:val="14"/>
                <w:color w:val="auto"/>
              </w:rPr>
              <w:t>295,582</w:t>
            </w:r>
          </w:p>
        </w:tc>
        <w:tc>
          <w:tcPr>
            <w:tcW w:w="1240" w:type="dxa"/>
            <w:vAlign w:val="bottom"/>
            <w:shd w:val="clear" w:color="auto" w:fill="E6EDF3"/>
          </w:tcPr>
          <w:p>
            <w:pPr>
              <w:jc w:val="right"/>
              <w:ind w:right="254"/>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88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r>
      <w:tr>
        <w:trPr>
          <w:trHeight w:val="149"/>
        </w:trPr>
        <w:tc>
          <w:tcPr>
            <w:tcW w:w="1900" w:type="dxa"/>
            <w:vAlign w:val="bottom"/>
            <w:shd w:val="clear" w:color="auto" w:fill="E6EDF3"/>
          </w:tcPr>
          <w:p>
            <w:pPr>
              <w:spacing w:after="0"/>
              <w:rPr>
                <w:sz w:val="12"/>
                <w:szCs w:val="12"/>
                <w:color w:val="auto"/>
              </w:rPr>
            </w:pPr>
          </w:p>
        </w:tc>
        <w:tc>
          <w:tcPr>
            <w:tcW w:w="20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90" w:type="dxa"/>
            <w:vAlign w:val="bottom"/>
            <w:shd w:val="clear" w:color="auto" w:fill="E6EDF3"/>
          </w:tcPr>
          <w:p>
            <w:pPr>
              <w:spacing w:after="0"/>
              <w:rPr>
                <w:sz w:val="12"/>
                <w:szCs w:val="12"/>
                <w:color w:val="auto"/>
              </w:rPr>
            </w:pPr>
          </w:p>
        </w:tc>
        <w:tc>
          <w:tcPr>
            <w:tcW w:w="89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6EDF3"/>
          </w:tcPr>
          <w:p>
            <w:pPr>
              <w:spacing w:after="0"/>
              <w:rPr>
                <w:sz w:val="12"/>
                <w:szCs w:val="12"/>
                <w:color w:val="auto"/>
              </w:rPr>
            </w:pPr>
          </w:p>
        </w:tc>
        <w:tc>
          <w:tcPr>
            <w:tcW w:w="58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E6EDF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6,929(12)</w:t>
            </w:r>
          </w:p>
        </w:tc>
        <w:tc>
          <w:tcPr>
            <w:tcW w:w="200" w:type="dxa"/>
            <w:vAlign w:val="bottom"/>
            <w:shd w:val="clear" w:color="auto" w:fill="E6EDF3"/>
          </w:tcPr>
          <w:p>
            <w:pPr>
              <w:ind w:left="1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E6EDF3"/>
          </w:tcPr>
          <w:p>
            <w:pPr>
              <w:jc w:val="right"/>
              <w:ind w:right="33"/>
              <w:spacing w:after="0" w:line="149" w:lineRule="exact"/>
              <w:rPr>
                <w:sz w:val="20"/>
                <w:szCs w:val="20"/>
                <w:color w:val="auto"/>
              </w:rPr>
            </w:pPr>
            <w:r>
              <w:rPr>
                <w:rFonts w:ascii="Arial" w:cs="Arial" w:eastAsia="Arial" w:hAnsi="Arial"/>
                <w:sz w:val="14"/>
                <w:szCs w:val="14"/>
                <w:color w:val="auto"/>
              </w:rPr>
              <w:t>615,780</w:t>
            </w:r>
          </w:p>
        </w:tc>
        <w:tc>
          <w:tcPr>
            <w:tcW w:w="1240" w:type="dxa"/>
            <w:vAlign w:val="bottom"/>
            <w:shd w:val="clear" w:color="auto" w:fill="E6EDF3"/>
          </w:tcPr>
          <w:p>
            <w:pPr>
              <w:jc w:val="right"/>
              <w:ind w:right="254"/>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88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r>
      <w:tr>
        <w:trPr>
          <w:trHeight w:val="149"/>
        </w:trPr>
        <w:tc>
          <w:tcPr>
            <w:tcW w:w="1900" w:type="dxa"/>
            <w:vAlign w:val="bottom"/>
            <w:shd w:val="clear" w:color="auto" w:fill="E6EDF3"/>
          </w:tcPr>
          <w:p>
            <w:pPr>
              <w:spacing w:after="0"/>
              <w:rPr>
                <w:sz w:val="12"/>
                <w:szCs w:val="12"/>
                <w:color w:val="auto"/>
              </w:rPr>
            </w:pPr>
          </w:p>
        </w:tc>
        <w:tc>
          <w:tcPr>
            <w:tcW w:w="20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90" w:type="dxa"/>
            <w:vAlign w:val="bottom"/>
            <w:shd w:val="clear" w:color="auto" w:fill="E6EDF3"/>
          </w:tcPr>
          <w:p>
            <w:pPr>
              <w:spacing w:after="0"/>
              <w:rPr>
                <w:sz w:val="12"/>
                <w:szCs w:val="12"/>
                <w:color w:val="auto"/>
              </w:rPr>
            </w:pPr>
          </w:p>
        </w:tc>
        <w:tc>
          <w:tcPr>
            <w:tcW w:w="89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6EDF3"/>
          </w:tcPr>
          <w:p>
            <w:pPr>
              <w:spacing w:after="0"/>
              <w:rPr>
                <w:sz w:val="12"/>
                <w:szCs w:val="12"/>
                <w:color w:val="auto"/>
              </w:rPr>
            </w:pPr>
          </w:p>
        </w:tc>
        <w:tc>
          <w:tcPr>
            <w:tcW w:w="58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E6EDF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3,248(13)</w:t>
            </w:r>
          </w:p>
        </w:tc>
        <w:tc>
          <w:tcPr>
            <w:tcW w:w="200" w:type="dxa"/>
            <w:vAlign w:val="bottom"/>
            <w:shd w:val="clear" w:color="auto" w:fill="E6EDF3"/>
          </w:tcPr>
          <w:p>
            <w:pPr>
              <w:ind w:left="1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E6EDF3"/>
          </w:tcPr>
          <w:p>
            <w:pPr>
              <w:jc w:val="right"/>
              <w:ind w:right="33"/>
              <w:spacing w:after="0" w:line="149" w:lineRule="exact"/>
              <w:rPr>
                <w:sz w:val="20"/>
                <w:szCs w:val="20"/>
                <w:color w:val="auto"/>
              </w:rPr>
            </w:pPr>
            <w:r>
              <w:rPr>
                <w:rFonts w:ascii="Arial" w:cs="Arial" w:eastAsia="Arial" w:hAnsi="Arial"/>
                <w:sz w:val="14"/>
                <w:szCs w:val="14"/>
                <w:color w:val="auto"/>
              </w:rPr>
              <w:t>288,650</w:t>
            </w:r>
          </w:p>
        </w:tc>
        <w:tc>
          <w:tcPr>
            <w:tcW w:w="1240" w:type="dxa"/>
            <w:vAlign w:val="bottom"/>
            <w:shd w:val="clear" w:color="auto" w:fill="E6EDF3"/>
          </w:tcPr>
          <w:p>
            <w:pPr>
              <w:jc w:val="right"/>
              <w:ind w:right="254"/>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88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r>
      <w:tr>
        <w:trPr>
          <w:trHeight w:val="149"/>
        </w:trPr>
        <w:tc>
          <w:tcPr>
            <w:tcW w:w="1900" w:type="dxa"/>
            <w:vAlign w:val="bottom"/>
            <w:shd w:val="clear" w:color="auto" w:fill="E6EDF3"/>
          </w:tcPr>
          <w:p>
            <w:pPr>
              <w:spacing w:after="0"/>
              <w:rPr>
                <w:sz w:val="12"/>
                <w:szCs w:val="12"/>
                <w:color w:val="auto"/>
              </w:rPr>
            </w:pPr>
          </w:p>
        </w:tc>
        <w:tc>
          <w:tcPr>
            <w:tcW w:w="20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90" w:type="dxa"/>
            <w:vAlign w:val="bottom"/>
            <w:shd w:val="clear" w:color="auto" w:fill="E6EDF3"/>
          </w:tcPr>
          <w:p>
            <w:pPr>
              <w:spacing w:after="0"/>
              <w:rPr>
                <w:sz w:val="12"/>
                <w:szCs w:val="12"/>
                <w:color w:val="auto"/>
              </w:rPr>
            </w:pPr>
          </w:p>
        </w:tc>
        <w:tc>
          <w:tcPr>
            <w:tcW w:w="89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6EDF3"/>
          </w:tcPr>
          <w:p>
            <w:pPr>
              <w:spacing w:after="0"/>
              <w:rPr>
                <w:sz w:val="12"/>
                <w:szCs w:val="12"/>
                <w:color w:val="auto"/>
              </w:rPr>
            </w:pPr>
          </w:p>
        </w:tc>
        <w:tc>
          <w:tcPr>
            <w:tcW w:w="58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E6EDF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3,269(14)</w:t>
            </w:r>
          </w:p>
        </w:tc>
        <w:tc>
          <w:tcPr>
            <w:tcW w:w="200" w:type="dxa"/>
            <w:vAlign w:val="bottom"/>
            <w:shd w:val="clear" w:color="auto" w:fill="E6EDF3"/>
          </w:tcPr>
          <w:p>
            <w:pPr>
              <w:ind w:left="1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E6EDF3"/>
          </w:tcPr>
          <w:p>
            <w:pPr>
              <w:jc w:val="right"/>
              <w:ind w:right="33"/>
              <w:spacing w:after="0" w:line="149" w:lineRule="exact"/>
              <w:rPr>
                <w:sz w:val="20"/>
                <w:szCs w:val="20"/>
                <w:color w:val="auto"/>
              </w:rPr>
            </w:pPr>
            <w:r>
              <w:rPr>
                <w:rFonts w:ascii="Arial" w:cs="Arial" w:eastAsia="Arial" w:hAnsi="Arial"/>
                <w:sz w:val="14"/>
                <w:szCs w:val="14"/>
                <w:color w:val="auto"/>
              </w:rPr>
              <w:t>290,516</w:t>
            </w:r>
          </w:p>
        </w:tc>
        <w:tc>
          <w:tcPr>
            <w:tcW w:w="1240" w:type="dxa"/>
            <w:vAlign w:val="bottom"/>
            <w:shd w:val="clear" w:color="auto" w:fill="E6EDF3"/>
          </w:tcPr>
          <w:p>
            <w:pPr>
              <w:jc w:val="right"/>
              <w:ind w:right="254"/>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88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r>
      <w:tr>
        <w:trPr>
          <w:trHeight w:val="149"/>
        </w:trPr>
        <w:tc>
          <w:tcPr>
            <w:tcW w:w="1900" w:type="dxa"/>
            <w:vAlign w:val="bottom"/>
            <w:shd w:val="clear" w:color="auto" w:fill="E6EDF3"/>
          </w:tcPr>
          <w:p>
            <w:pPr>
              <w:spacing w:after="0"/>
              <w:rPr>
                <w:sz w:val="12"/>
                <w:szCs w:val="12"/>
                <w:color w:val="auto"/>
              </w:rPr>
            </w:pPr>
          </w:p>
        </w:tc>
        <w:tc>
          <w:tcPr>
            <w:tcW w:w="20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90" w:type="dxa"/>
            <w:vAlign w:val="bottom"/>
            <w:shd w:val="clear" w:color="auto" w:fill="E6EDF3"/>
          </w:tcPr>
          <w:p>
            <w:pPr>
              <w:spacing w:after="0"/>
              <w:rPr>
                <w:sz w:val="12"/>
                <w:szCs w:val="12"/>
                <w:color w:val="auto"/>
              </w:rPr>
            </w:pPr>
          </w:p>
        </w:tc>
        <w:tc>
          <w:tcPr>
            <w:tcW w:w="89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6EDF3"/>
          </w:tcPr>
          <w:p>
            <w:pPr>
              <w:spacing w:after="0"/>
              <w:rPr>
                <w:sz w:val="12"/>
                <w:szCs w:val="12"/>
                <w:color w:val="auto"/>
              </w:rPr>
            </w:pPr>
          </w:p>
        </w:tc>
        <w:tc>
          <w:tcPr>
            <w:tcW w:w="58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E6EDF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17,781(16)</w:t>
            </w:r>
          </w:p>
        </w:tc>
        <w:tc>
          <w:tcPr>
            <w:tcW w:w="900" w:type="dxa"/>
            <w:vAlign w:val="bottom"/>
            <w:gridSpan w:val="2"/>
            <w:shd w:val="clear" w:color="auto" w:fill="E6EDF3"/>
          </w:tcPr>
          <w:p>
            <w:pPr>
              <w:jc w:val="right"/>
              <w:ind w:right="33"/>
              <w:spacing w:after="0" w:line="149" w:lineRule="exact"/>
              <w:rPr>
                <w:sz w:val="20"/>
                <w:szCs w:val="20"/>
                <w:color w:val="auto"/>
              </w:rPr>
            </w:pPr>
            <w:r>
              <w:rPr>
                <w:rFonts w:ascii="Arial" w:cs="Arial" w:eastAsia="Arial" w:hAnsi="Arial"/>
                <w:sz w:val="14"/>
                <w:szCs w:val="14"/>
                <w:color w:val="auto"/>
              </w:rPr>
              <w:t>$1,580,197</w:t>
            </w:r>
          </w:p>
        </w:tc>
        <w:tc>
          <w:tcPr>
            <w:tcW w:w="1240" w:type="dxa"/>
            <w:vAlign w:val="bottom"/>
            <w:shd w:val="clear" w:color="auto" w:fill="E6EDF3"/>
          </w:tcPr>
          <w:p>
            <w:pPr>
              <w:jc w:val="right"/>
              <w:ind w:right="254"/>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DF3"/>
          </w:tcPr>
          <w:p>
            <w:pPr>
              <w:spacing w:after="0"/>
              <w:rPr>
                <w:sz w:val="12"/>
                <w:szCs w:val="12"/>
                <w:color w:val="auto"/>
              </w:rPr>
            </w:pPr>
          </w:p>
        </w:tc>
        <w:tc>
          <w:tcPr>
            <w:tcW w:w="88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w:t>
            </w:r>
          </w:p>
        </w:tc>
      </w:tr>
      <w:tr>
        <w:trPr>
          <w:trHeight w:val="149"/>
        </w:trPr>
        <w:tc>
          <w:tcPr>
            <w:tcW w:w="1900" w:type="dxa"/>
            <w:vAlign w:val="bottom"/>
            <w:shd w:val="clear" w:color="auto" w:fill="E6EDF3"/>
          </w:tcPr>
          <w:p>
            <w:pPr>
              <w:spacing w:after="0"/>
              <w:rPr>
                <w:sz w:val="12"/>
                <w:szCs w:val="12"/>
                <w:color w:val="auto"/>
              </w:rPr>
            </w:pPr>
          </w:p>
        </w:tc>
        <w:tc>
          <w:tcPr>
            <w:tcW w:w="200" w:type="dxa"/>
            <w:vAlign w:val="bottom"/>
            <w:shd w:val="clear" w:color="auto" w:fill="E6EDF3"/>
          </w:tcPr>
          <w:p>
            <w:pPr>
              <w:spacing w:after="0"/>
              <w:rPr>
                <w:sz w:val="12"/>
                <w:szCs w:val="12"/>
                <w:color w:val="auto"/>
              </w:rPr>
            </w:pPr>
          </w:p>
        </w:tc>
        <w:tc>
          <w:tcPr>
            <w:tcW w:w="80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90" w:type="dxa"/>
            <w:vAlign w:val="bottom"/>
            <w:shd w:val="clear" w:color="auto" w:fill="E6EDF3"/>
          </w:tcPr>
          <w:p>
            <w:pPr>
              <w:spacing w:after="0"/>
              <w:rPr>
                <w:sz w:val="12"/>
                <w:szCs w:val="12"/>
                <w:color w:val="auto"/>
              </w:rPr>
            </w:pPr>
          </w:p>
        </w:tc>
        <w:tc>
          <w:tcPr>
            <w:tcW w:w="890" w:type="dxa"/>
            <w:vAlign w:val="bottom"/>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6EDF3"/>
          </w:tcPr>
          <w:p>
            <w:pPr>
              <w:spacing w:after="0"/>
              <w:rPr>
                <w:sz w:val="12"/>
                <w:szCs w:val="12"/>
                <w:color w:val="auto"/>
              </w:rPr>
            </w:pPr>
          </w:p>
        </w:tc>
        <w:tc>
          <w:tcPr>
            <w:tcW w:w="580" w:type="dxa"/>
            <w:vAlign w:val="bottom"/>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E6EDF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E6EDF3"/>
          </w:tcPr>
          <w:p>
            <w:pPr>
              <w:jc w:val="right"/>
              <w:ind w:right="31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6EDF3"/>
          </w:tcPr>
          <w:p>
            <w:pPr>
              <w:spacing w:after="0"/>
              <w:rPr>
                <w:sz w:val="12"/>
                <w:szCs w:val="12"/>
                <w:color w:val="auto"/>
              </w:rPr>
            </w:pPr>
          </w:p>
        </w:tc>
        <w:tc>
          <w:tcPr>
            <w:tcW w:w="700" w:type="dxa"/>
            <w:vAlign w:val="bottom"/>
            <w:shd w:val="clear" w:color="auto" w:fill="E6EDF3"/>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E6EDF3"/>
          </w:tcPr>
          <w:p>
            <w:pPr>
              <w:jc w:val="right"/>
              <w:ind w:right="14"/>
              <w:spacing w:after="0" w:line="149" w:lineRule="exact"/>
              <w:rPr>
                <w:sz w:val="20"/>
                <w:szCs w:val="20"/>
                <w:color w:val="auto"/>
              </w:rPr>
            </w:pPr>
            <w:r>
              <w:rPr>
                <w:rFonts w:ascii="Arial" w:cs="Arial" w:eastAsia="Arial" w:hAnsi="Arial"/>
                <w:sz w:val="14"/>
                <w:szCs w:val="14"/>
                <w:color w:val="auto"/>
              </w:rPr>
              <w:t>18,710(17)</w:t>
            </w:r>
          </w:p>
        </w:tc>
        <w:tc>
          <w:tcPr>
            <w:tcW w:w="180" w:type="dxa"/>
            <w:vAlign w:val="bottom"/>
            <w:shd w:val="clear" w:color="auto" w:fill="E6EDF3"/>
          </w:tcPr>
          <w:p>
            <w:pPr>
              <w:ind w:left="8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1,662,758</w:t>
            </w:r>
          </w:p>
        </w:tc>
      </w:tr>
      <w:tr>
        <w:trPr>
          <w:trHeight w:val="149"/>
        </w:trPr>
        <w:tc>
          <w:tcPr>
            <w:tcW w:w="1900" w:type="dxa"/>
            <w:vAlign w:val="bottom"/>
            <w:tcBorders>
              <w:bottom w:val="single" w:sz="8" w:color="auto"/>
            </w:tcBorders>
            <w:shd w:val="clear" w:color="auto" w:fill="E6EDF3"/>
          </w:tcPr>
          <w:p>
            <w:pPr>
              <w:spacing w:after="0"/>
              <w:rPr>
                <w:sz w:val="12"/>
                <w:szCs w:val="12"/>
                <w:color w:val="auto"/>
              </w:rPr>
            </w:pPr>
          </w:p>
        </w:tc>
        <w:tc>
          <w:tcPr>
            <w:tcW w:w="200" w:type="dxa"/>
            <w:vAlign w:val="bottom"/>
            <w:tcBorders>
              <w:bottom w:val="single" w:sz="8" w:color="auto"/>
            </w:tcBorders>
            <w:shd w:val="clear" w:color="auto" w:fill="E6EDF3"/>
          </w:tcPr>
          <w:p>
            <w:pPr>
              <w:spacing w:after="0"/>
              <w:rPr>
                <w:sz w:val="12"/>
                <w:szCs w:val="12"/>
                <w:color w:val="auto"/>
              </w:rPr>
            </w:pPr>
          </w:p>
        </w:tc>
        <w:tc>
          <w:tcPr>
            <w:tcW w:w="800" w:type="dxa"/>
            <w:vAlign w:val="bottom"/>
            <w:tcBorders>
              <w:bottom w:val="single" w:sz="8" w:color="auto"/>
            </w:tcBorders>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90" w:type="dxa"/>
            <w:vAlign w:val="bottom"/>
            <w:tcBorders>
              <w:bottom w:val="single" w:sz="8" w:color="auto"/>
            </w:tcBorders>
            <w:shd w:val="clear" w:color="auto" w:fill="E6EDF3"/>
          </w:tcPr>
          <w:p>
            <w:pPr>
              <w:spacing w:after="0"/>
              <w:rPr>
                <w:sz w:val="12"/>
                <w:szCs w:val="12"/>
                <w:color w:val="auto"/>
              </w:rPr>
            </w:pPr>
          </w:p>
        </w:tc>
        <w:tc>
          <w:tcPr>
            <w:tcW w:w="890" w:type="dxa"/>
            <w:vAlign w:val="bottom"/>
            <w:tcBorders>
              <w:bottom w:val="single" w:sz="8" w:color="auto"/>
            </w:tcBorders>
            <w:shd w:val="clear" w:color="auto" w:fill="E6EDF3"/>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6EDF3"/>
          </w:tcPr>
          <w:p>
            <w:pPr>
              <w:spacing w:after="0"/>
              <w:rPr>
                <w:sz w:val="12"/>
                <w:szCs w:val="12"/>
                <w:color w:val="auto"/>
              </w:rPr>
            </w:pPr>
          </w:p>
        </w:tc>
        <w:tc>
          <w:tcPr>
            <w:tcW w:w="580" w:type="dxa"/>
            <w:vAlign w:val="bottom"/>
            <w:tcBorders>
              <w:bottom w:val="single" w:sz="8" w:color="auto"/>
            </w:tcBorders>
            <w:shd w:val="clear" w:color="auto" w:fill="E6EDF3"/>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shd w:val="clear" w:color="auto" w:fill="E6EDF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E6EDF3"/>
          </w:tcPr>
          <w:p>
            <w:pPr>
              <w:jc w:val="right"/>
              <w:ind w:right="313"/>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6EDF3"/>
          </w:tcPr>
          <w:p>
            <w:pPr>
              <w:spacing w:after="0"/>
              <w:rPr>
                <w:sz w:val="12"/>
                <w:szCs w:val="12"/>
                <w:color w:val="auto"/>
              </w:rPr>
            </w:pPr>
          </w:p>
        </w:tc>
        <w:tc>
          <w:tcPr>
            <w:tcW w:w="700" w:type="dxa"/>
            <w:vAlign w:val="bottom"/>
            <w:tcBorders>
              <w:bottom w:val="single" w:sz="8" w:color="auto"/>
            </w:tcBorders>
            <w:shd w:val="clear" w:color="auto" w:fill="E6EDF3"/>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6EDF3"/>
          </w:tcPr>
          <w:p>
            <w:pPr>
              <w:jc w:val="right"/>
              <w:ind w:right="14"/>
              <w:spacing w:after="0" w:line="149" w:lineRule="exact"/>
              <w:rPr>
                <w:sz w:val="20"/>
                <w:szCs w:val="20"/>
                <w:color w:val="auto"/>
              </w:rPr>
            </w:pPr>
            <w:r>
              <w:rPr>
                <w:rFonts w:ascii="Arial" w:cs="Arial" w:eastAsia="Arial" w:hAnsi="Arial"/>
                <w:sz w:val="14"/>
                <w:szCs w:val="14"/>
                <w:color w:val="auto"/>
              </w:rPr>
              <w:t>19,184(18)</w:t>
            </w:r>
          </w:p>
        </w:tc>
        <w:tc>
          <w:tcPr>
            <w:tcW w:w="180" w:type="dxa"/>
            <w:vAlign w:val="bottom"/>
            <w:tcBorders>
              <w:bottom w:val="single" w:sz="8" w:color="auto"/>
            </w:tcBorders>
            <w:shd w:val="clear" w:color="auto" w:fill="E6EDF3"/>
          </w:tcPr>
          <w:p>
            <w:pPr>
              <w:ind w:left="80"/>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E6EDF3"/>
          </w:tcPr>
          <w:p>
            <w:pPr>
              <w:jc w:val="right"/>
              <w:ind w:right="53"/>
              <w:spacing w:after="0" w:line="149" w:lineRule="exact"/>
              <w:rPr>
                <w:sz w:val="20"/>
                <w:szCs w:val="20"/>
                <w:color w:val="auto"/>
              </w:rPr>
            </w:pPr>
            <w:r>
              <w:rPr>
                <w:rFonts w:ascii="Arial" w:cs="Arial" w:eastAsia="Arial" w:hAnsi="Arial"/>
                <w:sz w:val="14"/>
                <w:szCs w:val="14"/>
                <w:color w:val="auto"/>
              </w:rPr>
              <w:t>1,704,882</w:t>
            </w:r>
          </w:p>
        </w:tc>
      </w:tr>
      <w:tr>
        <w:trPr>
          <w:trHeight w:val="127"/>
        </w:trPr>
        <w:tc>
          <w:tcPr>
            <w:tcW w:w="1900" w:type="dxa"/>
            <w:vAlign w:val="bottom"/>
          </w:tcPr>
          <w:p>
            <w:pPr>
              <w:ind w:left="100"/>
              <w:spacing w:after="0" w:line="127" w:lineRule="exact"/>
              <w:rPr>
                <w:sz w:val="20"/>
                <w:szCs w:val="20"/>
                <w:color w:val="auto"/>
              </w:rPr>
            </w:pPr>
            <w:r>
              <w:rPr>
                <w:rFonts w:ascii="Arial" w:cs="Arial" w:eastAsia="Arial" w:hAnsi="Arial"/>
                <w:sz w:val="14"/>
                <w:szCs w:val="14"/>
                <w:color w:val="auto"/>
              </w:rPr>
              <w:t>Michael J. Van Handel</w:t>
            </w:r>
          </w:p>
        </w:tc>
        <w:tc>
          <w:tcPr>
            <w:tcW w:w="1000" w:type="dxa"/>
            <w:vAlign w:val="bottom"/>
            <w:gridSpan w:val="2"/>
          </w:tcPr>
          <w:p>
            <w:pPr>
              <w:jc w:val="right"/>
              <w:spacing w:after="0" w:line="127" w:lineRule="exact"/>
              <w:rPr>
                <w:sz w:val="20"/>
                <w:szCs w:val="20"/>
                <w:color w:val="auto"/>
              </w:rPr>
            </w:pPr>
            <w:r>
              <w:rPr>
                <w:rFonts w:ascii="Arial" w:cs="Arial" w:eastAsia="Arial" w:hAnsi="Arial"/>
                <w:sz w:val="14"/>
                <w:szCs w:val="14"/>
                <w:color w:val="auto"/>
              </w:rPr>
              <w:t>21,000</w:t>
            </w:r>
          </w:p>
        </w:tc>
        <w:tc>
          <w:tcPr>
            <w:tcW w:w="1450" w:type="dxa"/>
            <w:vAlign w:val="bottom"/>
            <w:gridSpan w:val="2"/>
          </w:tcPr>
          <w:p>
            <w:pPr>
              <w:jc w:val="right"/>
              <w:ind w:right="327"/>
              <w:spacing w:after="0" w:line="127" w:lineRule="exact"/>
              <w:rPr>
                <w:sz w:val="20"/>
                <w:szCs w:val="20"/>
                <w:color w:val="auto"/>
              </w:rPr>
            </w:pPr>
            <w:r>
              <w:rPr>
                <w:rFonts w:ascii="Arial" w:cs="Arial" w:eastAsia="Arial" w:hAnsi="Arial"/>
                <w:sz w:val="14"/>
                <w:szCs w:val="14"/>
                <w:color w:val="auto"/>
              </w:rPr>
              <w:t>—</w:t>
            </w:r>
          </w:p>
        </w:tc>
        <w:tc>
          <w:tcPr>
            <w:tcW w:w="890" w:type="dxa"/>
            <w:vAlign w:val="bottom"/>
          </w:tcPr>
          <w:p>
            <w:pPr>
              <w:jc w:val="right"/>
              <w:spacing w:after="0" w:line="127" w:lineRule="exact"/>
              <w:rPr>
                <w:sz w:val="20"/>
                <w:szCs w:val="20"/>
                <w:color w:val="auto"/>
              </w:rPr>
            </w:pPr>
            <w:r>
              <w:rPr>
                <w:rFonts w:ascii="Arial" w:cs="Arial" w:eastAsia="Arial" w:hAnsi="Arial"/>
                <w:sz w:val="14"/>
                <w:szCs w:val="14"/>
                <w:color w:val="auto"/>
              </w:rPr>
              <w:t>—</w:t>
            </w:r>
          </w:p>
        </w:tc>
        <w:tc>
          <w:tcPr>
            <w:tcW w:w="360" w:type="dxa"/>
            <w:vAlign w:val="bottom"/>
          </w:tcPr>
          <w:p>
            <w:pPr>
              <w:ind w:left="260"/>
              <w:spacing w:after="0" w:line="127"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73"/>
              <w:spacing w:after="0" w:line="127" w:lineRule="exact"/>
              <w:rPr>
                <w:sz w:val="20"/>
                <w:szCs w:val="20"/>
                <w:color w:val="auto"/>
              </w:rPr>
            </w:pPr>
            <w:r>
              <w:rPr>
                <w:rFonts w:ascii="Arial" w:cs="Arial" w:eastAsia="Arial" w:hAnsi="Arial"/>
                <w:sz w:val="14"/>
                <w:szCs w:val="14"/>
                <w:color w:val="auto"/>
              </w:rPr>
              <w:t>53.01</w:t>
            </w:r>
          </w:p>
        </w:tc>
        <w:tc>
          <w:tcPr>
            <w:tcW w:w="880" w:type="dxa"/>
            <w:vAlign w:val="bottom"/>
          </w:tcPr>
          <w:p>
            <w:pPr>
              <w:jc w:val="right"/>
              <w:spacing w:after="0" w:line="127" w:lineRule="exact"/>
              <w:rPr>
                <w:sz w:val="20"/>
                <w:szCs w:val="20"/>
                <w:color w:val="auto"/>
              </w:rPr>
            </w:pPr>
            <w:r>
              <w:rPr>
                <w:rFonts w:ascii="Arial" w:cs="Arial" w:eastAsia="Arial" w:hAnsi="Arial"/>
                <w:sz w:val="14"/>
                <w:szCs w:val="14"/>
                <w:color w:val="auto"/>
              </w:rPr>
              <w:t>02/18/2020</w:t>
            </w:r>
          </w:p>
        </w:tc>
        <w:tc>
          <w:tcPr>
            <w:tcW w:w="120" w:type="dxa"/>
            <w:vAlign w:val="bottom"/>
          </w:tcPr>
          <w:p>
            <w:pPr>
              <w:spacing w:after="0"/>
              <w:rPr>
                <w:sz w:val="11"/>
                <w:szCs w:val="11"/>
                <w:color w:val="auto"/>
              </w:rPr>
            </w:pPr>
          </w:p>
        </w:tc>
        <w:tc>
          <w:tcPr>
            <w:tcW w:w="1040" w:type="dxa"/>
            <w:vAlign w:val="bottom"/>
          </w:tcPr>
          <w:p>
            <w:pPr>
              <w:jc w:val="right"/>
              <w:ind w:right="313"/>
              <w:spacing w:after="0" w:line="12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00" w:type="dxa"/>
            <w:vAlign w:val="bottom"/>
          </w:tcPr>
          <w:p>
            <w:pPr>
              <w:jc w:val="right"/>
              <w:ind w:right="33"/>
              <w:spacing w:after="0" w:line="127"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254"/>
              <w:spacing w:after="0" w:line="12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tcPr>
          <w:p>
            <w:pPr>
              <w:jc w:val="right"/>
              <w:ind w:right="53"/>
              <w:spacing w:after="0" w:line="127" w:lineRule="exact"/>
              <w:rPr>
                <w:sz w:val="20"/>
                <w:szCs w:val="20"/>
                <w:color w:val="auto"/>
              </w:rPr>
            </w:pPr>
            <w:r>
              <w:rPr>
                <w:rFonts w:ascii="Arial" w:cs="Arial" w:eastAsia="Arial" w:hAnsi="Arial"/>
                <w:sz w:val="14"/>
                <w:szCs w:val="14"/>
                <w:color w:val="auto"/>
              </w:rPr>
              <w:t>—</w:t>
            </w:r>
          </w:p>
        </w:tc>
      </w:tr>
      <w:tr>
        <w:trPr>
          <w:trHeight w:val="149"/>
        </w:trPr>
        <w:tc>
          <w:tcPr>
            <w:tcW w:w="1900" w:type="dxa"/>
            <w:vAlign w:val="bottom"/>
          </w:tcPr>
          <w:p>
            <w:pPr>
              <w:ind w:left="240"/>
              <w:spacing w:after="0" w:line="149" w:lineRule="exact"/>
              <w:rPr>
                <w:sz w:val="20"/>
                <w:szCs w:val="20"/>
                <w:color w:val="auto"/>
              </w:rPr>
            </w:pPr>
            <w:r>
              <w:rPr>
                <w:rFonts w:ascii="Arial" w:cs="Arial" w:eastAsia="Arial" w:hAnsi="Arial"/>
                <w:sz w:val="14"/>
                <w:szCs w:val="14"/>
                <w:i w:val="1"/>
                <w:iCs w:val="1"/>
                <w:color w:val="auto"/>
              </w:rPr>
              <w:t>Senior EVP and Former</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24,835</w:t>
            </w:r>
          </w:p>
        </w:tc>
        <w:tc>
          <w:tcPr>
            <w:tcW w:w="1450" w:type="dxa"/>
            <w:vAlign w:val="bottom"/>
            <w:gridSpan w:val="2"/>
          </w:tcPr>
          <w:p>
            <w:pPr>
              <w:jc w:val="right"/>
              <w:ind w:right="327"/>
              <w:spacing w:after="0" w:line="149" w:lineRule="exact"/>
              <w:rPr>
                <w:sz w:val="20"/>
                <w:szCs w:val="20"/>
                <w:color w:val="auto"/>
              </w:rPr>
            </w:pPr>
            <w:r>
              <w:rPr>
                <w:rFonts w:ascii="Arial" w:cs="Arial" w:eastAsia="Arial" w:hAnsi="Arial"/>
                <w:sz w:val="14"/>
                <w:szCs w:val="14"/>
                <w:color w:val="auto"/>
              </w:rPr>
              <w:t>—</w:t>
            </w:r>
          </w:p>
        </w:tc>
        <w:tc>
          <w:tcPr>
            <w:tcW w:w="89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73"/>
              <w:spacing w:after="0" w:line="149" w:lineRule="exact"/>
              <w:rPr>
                <w:sz w:val="20"/>
                <w:szCs w:val="20"/>
                <w:color w:val="auto"/>
              </w:rPr>
            </w:pPr>
            <w:r>
              <w:rPr>
                <w:rFonts w:ascii="Arial" w:cs="Arial" w:eastAsia="Arial" w:hAnsi="Arial"/>
                <w:sz w:val="14"/>
                <w:szCs w:val="14"/>
                <w:color w:val="auto"/>
              </w:rPr>
              <w:t>67.12</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02/16/2021</w:t>
            </w:r>
          </w:p>
        </w:tc>
        <w:tc>
          <w:tcPr>
            <w:tcW w:w="120" w:type="dxa"/>
            <w:vAlign w:val="bottom"/>
          </w:tcPr>
          <w:p>
            <w:pPr>
              <w:spacing w:after="0"/>
              <w:rPr>
                <w:sz w:val="12"/>
                <w:szCs w:val="12"/>
                <w:color w:val="auto"/>
              </w:rPr>
            </w:pPr>
          </w:p>
        </w:tc>
        <w:tc>
          <w:tcPr>
            <w:tcW w:w="104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25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r>
      <w:tr>
        <w:trPr>
          <w:trHeight w:val="163"/>
        </w:trPr>
        <w:tc>
          <w:tcPr>
            <w:tcW w:w="1900" w:type="dxa"/>
            <w:vAlign w:val="bottom"/>
          </w:tcPr>
          <w:p>
            <w:pPr>
              <w:ind w:left="240"/>
              <w:spacing w:after="0"/>
              <w:rPr>
                <w:sz w:val="20"/>
                <w:szCs w:val="20"/>
                <w:color w:val="auto"/>
              </w:rPr>
            </w:pPr>
            <w:r>
              <w:rPr>
                <w:rFonts w:ascii="Arial" w:cs="Arial" w:eastAsia="Arial" w:hAnsi="Arial"/>
                <w:sz w:val="14"/>
                <w:szCs w:val="14"/>
                <w:i w:val="1"/>
                <w:iCs w:val="1"/>
                <w:color w:val="auto"/>
              </w:rPr>
              <w:t>CFO</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50" w:type="dxa"/>
            <w:vAlign w:val="bottom"/>
            <w:gridSpan w:val="2"/>
          </w:tcPr>
          <w:p>
            <w:pPr>
              <w:jc w:val="right"/>
              <w:ind w:right="147"/>
              <w:spacing w:after="0"/>
              <w:rPr>
                <w:sz w:val="20"/>
                <w:szCs w:val="20"/>
                <w:color w:val="auto"/>
              </w:rPr>
            </w:pPr>
            <w:r>
              <w:rPr>
                <w:rFonts w:ascii="Arial" w:cs="Arial" w:eastAsia="Arial" w:hAnsi="Arial"/>
                <w:sz w:val="14"/>
                <w:szCs w:val="14"/>
                <w:color w:val="auto"/>
              </w:rPr>
              <w:t>10,368(4)</w:t>
            </w:r>
          </w:p>
        </w:tc>
        <w:tc>
          <w:tcPr>
            <w:tcW w:w="89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ind w:left="26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73"/>
              <w:spacing w:after="0"/>
              <w:rPr>
                <w:sz w:val="20"/>
                <w:szCs w:val="20"/>
                <w:color w:val="auto"/>
              </w:rPr>
            </w:pPr>
            <w:r>
              <w:rPr>
                <w:rFonts w:ascii="Arial" w:cs="Arial" w:eastAsia="Arial" w:hAnsi="Arial"/>
                <w:sz w:val="14"/>
                <w:szCs w:val="14"/>
                <w:color w:val="auto"/>
              </w:rPr>
              <w:t>52.55</w:t>
            </w:r>
          </w:p>
        </w:tc>
        <w:tc>
          <w:tcPr>
            <w:tcW w:w="880" w:type="dxa"/>
            <w:vAlign w:val="bottom"/>
          </w:tcPr>
          <w:p>
            <w:pPr>
              <w:jc w:val="right"/>
              <w:spacing w:after="0"/>
              <w:rPr>
                <w:sz w:val="20"/>
                <w:szCs w:val="20"/>
                <w:color w:val="auto"/>
              </w:rPr>
            </w:pPr>
            <w:r>
              <w:rPr>
                <w:rFonts w:ascii="Arial" w:cs="Arial" w:eastAsia="Arial" w:hAnsi="Arial"/>
                <w:sz w:val="14"/>
                <w:szCs w:val="14"/>
                <w:color w:val="auto"/>
              </w:rPr>
              <w:t>02/13/2023</w:t>
            </w:r>
          </w:p>
        </w:tc>
        <w:tc>
          <w:tcPr>
            <w:tcW w:w="120" w:type="dxa"/>
            <w:vAlign w:val="bottom"/>
          </w:tcPr>
          <w:p>
            <w:pPr>
              <w:spacing w:after="0"/>
              <w:rPr>
                <w:sz w:val="14"/>
                <w:szCs w:val="14"/>
                <w:color w:val="auto"/>
              </w:rPr>
            </w:pPr>
          </w:p>
        </w:tc>
        <w:tc>
          <w:tcPr>
            <w:tcW w:w="104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54"/>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w:t>
            </w:r>
          </w:p>
        </w:tc>
      </w:tr>
      <w:tr>
        <w:trPr>
          <w:trHeight w:val="149"/>
        </w:trPr>
        <w:tc>
          <w:tcPr>
            <w:tcW w:w="190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10,192</w:t>
            </w:r>
          </w:p>
        </w:tc>
        <w:tc>
          <w:tcPr>
            <w:tcW w:w="1450" w:type="dxa"/>
            <w:vAlign w:val="bottom"/>
            <w:gridSpan w:val="2"/>
          </w:tcPr>
          <w:p>
            <w:pPr>
              <w:jc w:val="right"/>
              <w:ind w:right="87"/>
              <w:spacing w:after="0" w:line="149" w:lineRule="exact"/>
              <w:rPr>
                <w:sz w:val="20"/>
                <w:szCs w:val="20"/>
                <w:color w:val="auto"/>
              </w:rPr>
            </w:pPr>
            <w:r>
              <w:rPr>
                <w:rFonts w:ascii="Arial" w:cs="Arial" w:eastAsia="Arial" w:hAnsi="Arial"/>
                <w:sz w:val="14"/>
                <w:szCs w:val="14"/>
                <w:color w:val="auto"/>
              </w:rPr>
              <w:t>10,193(19)</w:t>
            </w:r>
          </w:p>
        </w:tc>
        <w:tc>
          <w:tcPr>
            <w:tcW w:w="89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73"/>
              <w:spacing w:after="0" w:line="149" w:lineRule="exact"/>
              <w:rPr>
                <w:sz w:val="20"/>
                <w:szCs w:val="20"/>
                <w:color w:val="auto"/>
              </w:rPr>
            </w:pPr>
            <w:r>
              <w:rPr>
                <w:rFonts w:ascii="Arial" w:cs="Arial" w:eastAsia="Arial" w:hAnsi="Arial"/>
                <w:sz w:val="14"/>
                <w:szCs w:val="14"/>
                <w:color w:val="auto"/>
              </w:rPr>
              <w:t>76.13</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02/11/2024</w:t>
            </w:r>
          </w:p>
        </w:tc>
        <w:tc>
          <w:tcPr>
            <w:tcW w:w="120" w:type="dxa"/>
            <w:vAlign w:val="bottom"/>
          </w:tcPr>
          <w:p>
            <w:pPr>
              <w:spacing w:after="0"/>
              <w:rPr>
                <w:sz w:val="12"/>
                <w:szCs w:val="12"/>
                <w:color w:val="auto"/>
              </w:rPr>
            </w:pPr>
          </w:p>
        </w:tc>
        <w:tc>
          <w:tcPr>
            <w:tcW w:w="104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25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r>
      <w:tr>
        <w:trPr>
          <w:trHeight w:val="149"/>
        </w:trPr>
        <w:tc>
          <w:tcPr>
            <w:tcW w:w="190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6,002</w:t>
            </w:r>
          </w:p>
        </w:tc>
        <w:tc>
          <w:tcPr>
            <w:tcW w:w="1450" w:type="dxa"/>
            <w:vAlign w:val="bottom"/>
            <w:gridSpan w:val="2"/>
          </w:tcPr>
          <w:p>
            <w:pPr>
              <w:jc w:val="right"/>
              <w:ind w:right="87"/>
              <w:spacing w:after="0" w:line="149" w:lineRule="exact"/>
              <w:rPr>
                <w:sz w:val="20"/>
                <w:szCs w:val="20"/>
                <w:color w:val="auto"/>
              </w:rPr>
            </w:pPr>
            <w:r>
              <w:rPr>
                <w:rFonts w:ascii="Arial" w:cs="Arial" w:eastAsia="Arial" w:hAnsi="Arial"/>
                <w:sz w:val="14"/>
                <w:szCs w:val="14"/>
                <w:color w:val="auto"/>
              </w:rPr>
              <w:t>18,006(19)</w:t>
            </w:r>
          </w:p>
        </w:tc>
        <w:tc>
          <w:tcPr>
            <w:tcW w:w="89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73"/>
              <w:spacing w:after="0" w:line="149" w:lineRule="exact"/>
              <w:rPr>
                <w:sz w:val="20"/>
                <w:szCs w:val="20"/>
                <w:color w:val="auto"/>
              </w:rPr>
            </w:pPr>
            <w:r>
              <w:rPr>
                <w:rFonts w:ascii="Arial" w:cs="Arial" w:eastAsia="Arial" w:hAnsi="Arial"/>
                <w:sz w:val="14"/>
                <w:szCs w:val="14"/>
                <w:color w:val="auto"/>
              </w:rPr>
              <w:t>76.97</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02/10/2015</w:t>
            </w:r>
          </w:p>
        </w:tc>
        <w:tc>
          <w:tcPr>
            <w:tcW w:w="120" w:type="dxa"/>
            <w:vAlign w:val="bottom"/>
          </w:tcPr>
          <w:p>
            <w:pPr>
              <w:spacing w:after="0"/>
              <w:rPr>
                <w:sz w:val="12"/>
                <w:szCs w:val="12"/>
                <w:color w:val="auto"/>
              </w:rPr>
            </w:pPr>
          </w:p>
        </w:tc>
        <w:tc>
          <w:tcPr>
            <w:tcW w:w="104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25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r>
      <w:tr>
        <w:trPr>
          <w:trHeight w:val="149"/>
        </w:trPr>
        <w:tc>
          <w:tcPr>
            <w:tcW w:w="1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50" w:type="dxa"/>
            <w:vAlign w:val="bottom"/>
            <w:gridSpan w:val="2"/>
          </w:tcPr>
          <w:p>
            <w:pPr>
              <w:jc w:val="right"/>
              <w:ind w:right="327"/>
              <w:spacing w:after="0" w:line="149" w:lineRule="exact"/>
              <w:rPr>
                <w:sz w:val="20"/>
                <w:szCs w:val="20"/>
                <w:color w:val="auto"/>
              </w:rPr>
            </w:pPr>
            <w:r>
              <w:rPr>
                <w:rFonts w:ascii="Arial" w:cs="Arial" w:eastAsia="Arial" w:hAnsi="Arial"/>
                <w:sz w:val="14"/>
                <w:szCs w:val="14"/>
                <w:color w:val="auto"/>
              </w:rPr>
              <w:t>—</w:t>
            </w:r>
          </w:p>
        </w:tc>
        <w:tc>
          <w:tcPr>
            <w:tcW w:w="89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8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7,207(9)</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640,486</w:t>
            </w:r>
          </w:p>
        </w:tc>
        <w:tc>
          <w:tcPr>
            <w:tcW w:w="1240" w:type="dxa"/>
            <w:vAlign w:val="bottom"/>
          </w:tcPr>
          <w:p>
            <w:pPr>
              <w:jc w:val="right"/>
              <w:ind w:right="25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r>
      <w:tr>
        <w:trPr>
          <w:trHeight w:val="149"/>
        </w:trPr>
        <w:tc>
          <w:tcPr>
            <w:tcW w:w="1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50" w:type="dxa"/>
            <w:vAlign w:val="bottom"/>
            <w:gridSpan w:val="2"/>
          </w:tcPr>
          <w:p>
            <w:pPr>
              <w:jc w:val="right"/>
              <w:ind w:right="327"/>
              <w:spacing w:after="0" w:line="149" w:lineRule="exact"/>
              <w:rPr>
                <w:sz w:val="20"/>
                <w:szCs w:val="20"/>
                <w:color w:val="auto"/>
              </w:rPr>
            </w:pPr>
            <w:r>
              <w:rPr>
                <w:rFonts w:ascii="Arial" w:cs="Arial" w:eastAsia="Arial" w:hAnsi="Arial"/>
                <w:sz w:val="14"/>
                <w:szCs w:val="14"/>
                <w:color w:val="auto"/>
              </w:rPr>
              <w:t>—</w:t>
            </w:r>
          </w:p>
        </w:tc>
        <w:tc>
          <w:tcPr>
            <w:tcW w:w="89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8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73"/>
              <w:spacing w:after="0" w:line="149" w:lineRule="exact"/>
              <w:rPr>
                <w:sz w:val="20"/>
                <w:szCs w:val="20"/>
                <w:color w:val="auto"/>
              </w:rPr>
            </w:pPr>
            <w:r>
              <w:rPr>
                <w:rFonts w:ascii="Arial" w:cs="Arial" w:eastAsia="Arial" w:hAnsi="Arial"/>
                <w:sz w:val="14"/>
                <w:szCs w:val="14"/>
                <w:color w:val="auto"/>
              </w:rPr>
              <w:t>7,036(20)</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625,289</w:t>
            </w:r>
          </w:p>
        </w:tc>
        <w:tc>
          <w:tcPr>
            <w:tcW w:w="1240" w:type="dxa"/>
            <w:vAlign w:val="bottom"/>
          </w:tcPr>
          <w:p>
            <w:pPr>
              <w:jc w:val="right"/>
              <w:ind w:right="25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r>
      <w:tr>
        <w:trPr>
          <w:trHeight w:val="149"/>
        </w:trPr>
        <w:tc>
          <w:tcPr>
            <w:tcW w:w="1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50" w:type="dxa"/>
            <w:vAlign w:val="bottom"/>
            <w:gridSpan w:val="2"/>
          </w:tcPr>
          <w:p>
            <w:pPr>
              <w:jc w:val="right"/>
              <w:ind w:right="327"/>
              <w:spacing w:after="0" w:line="149" w:lineRule="exact"/>
              <w:rPr>
                <w:sz w:val="20"/>
                <w:szCs w:val="20"/>
                <w:color w:val="auto"/>
              </w:rPr>
            </w:pPr>
            <w:r>
              <w:rPr>
                <w:rFonts w:ascii="Arial" w:cs="Arial" w:eastAsia="Arial" w:hAnsi="Arial"/>
                <w:sz w:val="14"/>
                <w:szCs w:val="14"/>
                <w:color w:val="auto"/>
              </w:rPr>
              <w:t>—</w:t>
            </w:r>
          </w:p>
        </w:tc>
        <w:tc>
          <w:tcPr>
            <w:tcW w:w="89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8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73"/>
              <w:spacing w:after="0" w:line="149" w:lineRule="exact"/>
              <w:rPr>
                <w:sz w:val="20"/>
                <w:szCs w:val="20"/>
                <w:color w:val="auto"/>
              </w:rPr>
            </w:pPr>
            <w:r>
              <w:rPr>
                <w:rFonts w:ascii="Arial" w:cs="Arial" w:eastAsia="Arial" w:hAnsi="Arial"/>
                <w:sz w:val="14"/>
                <w:szCs w:val="14"/>
                <w:color w:val="auto"/>
              </w:rPr>
              <w:t>35,411(20)</w:t>
            </w:r>
          </w:p>
        </w:tc>
        <w:tc>
          <w:tcPr>
            <w:tcW w:w="90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$3,146,976</w:t>
            </w:r>
          </w:p>
        </w:tc>
        <w:tc>
          <w:tcPr>
            <w:tcW w:w="1240" w:type="dxa"/>
            <w:vAlign w:val="bottom"/>
          </w:tcPr>
          <w:p>
            <w:pPr>
              <w:jc w:val="right"/>
              <w:ind w:right="25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r>
      <w:tr>
        <w:trPr>
          <w:trHeight w:val="149"/>
        </w:trPr>
        <w:tc>
          <w:tcPr>
            <w:tcW w:w="1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50" w:type="dxa"/>
            <w:vAlign w:val="bottom"/>
            <w:gridSpan w:val="2"/>
          </w:tcPr>
          <w:p>
            <w:pPr>
              <w:jc w:val="right"/>
              <w:ind w:right="327"/>
              <w:spacing w:after="0" w:line="149" w:lineRule="exact"/>
              <w:rPr>
                <w:sz w:val="20"/>
                <w:szCs w:val="20"/>
                <w:color w:val="auto"/>
              </w:rPr>
            </w:pPr>
            <w:r>
              <w:rPr>
                <w:rFonts w:ascii="Arial" w:cs="Arial" w:eastAsia="Arial" w:hAnsi="Arial"/>
                <w:sz w:val="14"/>
                <w:szCs w:val="14"/>
                <w:color w:val="auto"/>
              </w:rPr>
              <w:t>—</w:t>
            </w:r>
          </w:p>
        </w:tc>
        <w:tc>
          <w:tcPr>
            <w:tcW w:w="89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8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73"/>
              <w:spacing w:after="0" w:line="149" w:lineRule="exact"/>
              <w:rPr>
                <w:sz w:val="20"/>
                <w:szCs w:val="20"/>
                <w:color w:val="auto"/>
              </w:rPr>
            </w:pPr>
            <w:r>
              <w:rPr>
                <w:rFonts w:ascii="Arial" w:cs="Arial" w:eastAsia="Arial" w:hAnsi="Arial"/>
                <w:sz w:val="14"/>
                <w:szCs w:val="14"/>
                <w:color w:val="auto"/>
              </w:rPr>
              <w:t>38,525(20)</w:t>
            </w:r>
          </w:p>
        </w:tc>
        <w:tc>
          <w:tcPr>
            <w:tcW w:w="90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$3,423,717</w:t>
            </w:r>
          </w:p>
        </w:tc>
        <w:tc>
          <w:tcPr>
            <w:tcW w:w="1240" w:type="dxa"/>
            <w:vAlign w:val="bottom"/>
          </w:tcPr>
          <w:p>
            <w:pPr>
              <w:jc w:val="right"/>
              <w:ind w:right="254"/>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r>
      <w:tr>
        <w:trPr>
          <w:trHeight w:val="149"/>
        </w:trPr>
        <w:tc>
          <w:tcPr>
            <w:tcW w:w="19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50" w:type="dxa"/>
            <w:vAlign w:val="bottom"/>
            <w:tcBorders>
              <w:bottom w:val="single" w:sz="8" w:color="auto"/>
            </w:tcBorders>
            <w:gridSpan w:val="2"/>
          </w:tcPr>
          <w:p>
            <w:pPr>
              <w:jc w:val="right"/>
              <w:ind w:right="327"/>
              <w:spacing w:after="0" w:line="149" w:lineRule="exact"/>
              <w:rPr>
                <w:sz w:val="20"/>
                <w:szCs w:val="20"/>
                <w:color w:val="auto"/>
              </w:rPr>
            </w:pPr>
            <w:r>
              <w:rPr>
                <w:rFonts w:ascii="Arial" w:cs="Arial" w:eastAsia="Arial" w:hAnsi="Arial"/>
                <w:sz w:val="14"/>
                <w:szCs w:val="14"/>
                <w:color w:val="auto"/>
              </w:rPr>
              <w:t>—</w:t>
            </w:r>
          </w:p>
        </w:tc>
        <w:tc>
          <w:tcPr>
            <w:tcW w:w="89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313"/>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4"/>
              <w:spacing w:after="0" w:line="149" w:lineRule="exact"/>
              <w:rPr>
                <w:sz w:val="20"/>
                <w:szCs w:val="20"/>
                <w:color w:val="auto"/>
              </w:rPr>
            </w:pPr>
            <w:r>
              <w:rPr>
                <w:rFonts w:ascii="Arial" w:cs="Arial" w:eastAsia="Arial" w:hAnsi="Arial"/>
                <w:sz w:val="14"/>
                <w:szCs w:val="14"/>
                <w:color w:val="auto"/>
              </w:rPr>
              <w:t>40,536(17)</w:t>
            </w:r>
          </w:p>
        </w:tc>
        <w:tc>
          <w:tcPr>
            <w:tcW w:w="180" w:type="dxa"/>
            <w:vAlign w:val="bottom"/>
            <w:tcBorders>
              <w:bottom w:val="single" w:sz="8" w:color="auto"/>
            </w:tcBorders>
          </w:tcPr>
          <w:p>
            <w:pPr>
              <w:ind w:left="80"/>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53"/>
              <w:spacing w:after="0" w:line="149" w:lineRule="exact"/>
              <w:rPr>
                <w:sz w:val="20"/>
                <w:szCs w:val="20"/>
                <w:color w:val="auto"/>
              </w:rPr>
            </w:pPr>
            <w:r>
              <w:rPr>
                <w:rFonts w:ascii="Arial" w:cs="Arial" w:eastAsia="Arial" w:hAnsi="Arial"/>
                <w:sz w:val="14"/>
                <w:szCs w:val="14"/>
                <w:color w:val="auto"/>
              </w:rPr>
              <w:t>3,602,434</w:t>
            </w:r>
          </w:p>
        </w:tc>
      </w:tr>
    </w:tbl>
    <w:p>
      <w:pPr>
        <w:spacing w:after="0" w:line="72"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outstanding grants of restricted stock, restricted stock units, career shares or earned but unvested performance share units.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Value based on the closing price of $88.87 on December 31, 2016.</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outstanding grants of performance share units, measured at target levels, except as otherwise provided herein.</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remaining unvested options vested on February 13, 2017.</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50% of the remaining unvested options vested on February 11, 2017 and the remaining unvested options are scheduled to vest on February 11, 2018.</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50% of the unvested options are scheduled to vest on each of May 1, 2017 and 2018.</w:t>
      </w:r>
    </w:p>
    <w:p>
      <w:pPr>
        <w:spacing w:after="0" w:line="68" w:lineRule="exact"/>
        <w:rPr>
          <w:rFonts w:ascii="Arial" w:cs="Arial" w:eastAsia="Arial" w:hAnsi="Arial"/>
          <w:sz w:val="14"/>
          <w:szCs w:val="14"/>
          <w:color w:val="auto"/>
        </w:rPr>
      </w:pPr>
    </w:p>
    <w:p>
      <w:pPr>
        <w:ind w:left="340" w:right="240" w:hanging="332"/>
        <w:spacing w:after="0" w:line="258"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33% of the remaining unvested options vested on February 10, 2017, and 33% of the remaining unvested options are scheduled to vest on each of February 10, 2018 and 2019.</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9600"/>
        <w:spacing w:after="0"/>
        <w:rPr>
          <w:sz w:val="20"/>
          <w:szCs w:val="20"/>
          <w:color w:val="auto"/>
        </w:rPr>
      </w:pPr>
      <w:r>
        <w:rPr>
          <w:rFonts w:ascii="Arial" w:cs="Arial" w:eastAsia="Arial" w:hAnsi="Arial"/>
          <w:sz w:val="18"/>
          <w:szCs w:val="18"/>
          <w:color w:val="FFFFFF"/>
        </w:rPr>
        <w:t>Compensation Tables</w:t>
      </w:r>
    </w:p>
    <w:p>
      <w:pPr>
        <w:spacing w:after="0" w:line="312"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25% of the unvested options vested on February 16, 2017 and 25% of the remaining unvested options are scheduled to vest on each of February 16, 2018, 2019 and 2020.</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These restricted stock units vested on February 11, 2017.</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Restricted stock units scheduled to vest on May 1, 2017.</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Career shares scheduled to vest on February 13, 2018.</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Career shares scheduled to vest on February 11, 2018.</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Restricted stock units scheduled to vest on February 10, 2018.</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Restricted stock units scheduled to vest on February 16, 2019.</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Career shares scheduled to vest on February 16, 2021.</w:t>
      </w:r>
    </w:p>
    <w:p>
      <w:pPr>
        <w:spacing w:after="0" w:line="68" w:lineRule="exact"/>
        <w:rPr>
          <w:rFonts w:ascii="Arial" w:cs="Arial" w:eastAsia="Arial" w:hAnsi="Arial"/>
          <w:sz w:val="14"/>
          <w:szCs w:val="14"/>
          <w:color w:val="auto"/>
        </w:rPr>
      </w:pPr>
    </w:p>
    <w:p>
      <w:pPr>
        <w:ind w:left="340" w:right="560" w:hanging="332"/>
        <w:spacing w:after="0" w:line="258" w:lineRule="auto"/>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These performance shares represent the actual shares achieved during the 2014-2016 performance period. These shares were earned on February 9, 2017 after the Committee certified that the performance target was achieved as of December 31, 2016.</w:t>
      </w:r>
    </w:p>
    <w:p>
      <w:pPr>
        <w:spacing w:after="0" w:line="45" w:lineRule="exact"/>
        <w:rPr>
          <w:rFonts w:ascii="Arial" w:cs="Arial" w:eastAsia="Arial" w:hAnsi="Arial"/>
          <w:sz w:val="14"/>
          <w:szCs w:val="14"/>
          <w:color w:val="auto"/>
        </w:rPr>
      </w:pPr>
    </w:p>
    <w:p>
      <w:pPr>
        <w:ind w:left="340" w:right="660" w:hanging="332"/>
        <w:spacing w:after="0" w:line="258" w:lineRule="auto"/>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Performance shares, reported at the outstanding level, scheduled to vest in February 2018 if the committee certifies that the performance targets are achieved as of December 31, 2017.</w:t>
      </w:r>
    </w:p>
    <w:p>
      <w:pPr>
        <w:spacing w:after="0" w:line="45" w:lineRule="exact"/>
        <w:rPr>
          <w:rFonts w:ascii="Arial" w:cs="Arial" w:eastAsia="Arial" w:hAnsi="Arial"/>
          <w:sz w:val="14"/>
          <w:szCs w:val="14"/>
          <w:color w:val="auto"/>
        </w:rPr>
      </w:pPr>
    </w:p>
    <w:p>
      <w:pPr>
        <w:ind w:left="340" w:right="660" w:hanging="332"/>
        <w:spacing w:after="0" w:line="258" w:lineRule="auto"/>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Performance shares, reported at the outstanding level, scheduled to vest in February 2019 if the committee certifies that the performance targets are achieved as of December 31, 2018.</w:t>
      </w:r>
    </w:p>
    <w:p>
      <w:pPr>
        <w:spacing w:after="0" w:line="45" w:lineRule="exact"/>
        <w:rPr>
          <w:rFonts w:ascii="Arial" w:cs="Arial" w:eastAsia="Arial" w:hAnsi="Arial"/>
          <w:sz w:val="14"/>
          <w:szCs w:val="14"/>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These options fully vested upon Mr. Van Handel’s retirement on February 15, 2017.</w:t>
      </w:r>
    </w:p>
    <w:p>
      <w:pPr>
        <w:spacing w:after="0" w:line="68"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These restricted stock units vested upon Mr. Van Handel’s retirement on February 15, 2017. In accordance with section 409A of the Internal Revenue Code, the distribution of these shares are subject to a 6 month delay and will be distributed in August 2017.</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Option Exercises and Stock Vested in 2016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960" w:type="dxa"/>
            <w:vAlign w:val="bottom"/>
            <w:tcBorders>
              <w:top w:val="single" w:sz="8" w:color="auto"/>
            </w:tcBorders>
            <w:shd w:val="clear" w:color="auto" w:fill="9DB8D2"/>
          </w:tcPr>
          <w:p>
            <w:pPr>
              <w:spacing w:after="0"/>
              <w:rPr>
                <w:sz w:val="23"/>
                <w:szCs w:val="23"/>
                <w:color w:val="auto"/>
              </w:rPr>
            </w:pPr>
          </w:p>
        </w:tc>
        <w:tc>
          <w:tcPr>
            <w:tcW w:w="660" w:type="dxa"/>
            <w:vAlign w:val="bottom"/>
            <w:tcBorders>
              <w:top w:val="single" w:sz="8" w:color="auto"/>
            </w:tcBorders>
            <w:shd w:val="clear" w:color="auto" w:fill="9DB8D2"/>
          </w:tcPr>
          <w:p>
            <w:pPr>
              <w:spacing w:after="0"/>
              <w:rPr>
                <w:sz w:val="23"/>
                <w:szCs w:val="23"/>
                <w:color w:val="auto"/>
              </w:rPr>
            </w:pPr>
          </w:p>
        </w:tc>
        <w:tc>
          <w:tcPr>
            <w:tcW w:w="3800" w:type="dxa"/>
            <w:vAlign w:val="bottom"/>
            <w:tcBorders>
              <w:top w:val="single" w:sz="8" w:color="auto"/>
            </w:tcBorders>
            <w:gridSpan w:val="3"/>
            <w:shd w:val="clear" w:color="auto" w:fill="9DB8D2"/>
          </w:tcPr>
          <w:p>
            <w:pPr>
              <w:ind w:left="1020"/>
              <w:spacing w:after="0"/>
              <w:rPr>
                <w:sz w:val="20"/>
                <w:szCs w:val="20"/>
                <w:color w:val="auto"/>
              </w:rPr>
            </w:pPr>
            <w:r>
              <w:rPr>
                <w:rFonts w:ascii="Arial" w:cs="Arial" w:eastAsia="Arial" w:hAnsi="Arial"/>
                <w:sz w:val="14"/>
                <w:szCs w:val="14"/>
                <w:b w:val="1"/>
                <w:bCs w:val="1"/>
                <w:color w:val="auto"/>
              </w:rPr>
              <w:t>Option Awards</w:t>
            </w:r>
          </w:p>
        </w:tc>
        <w:tc>
          <w:tcPr>
            <w:tcW w:w="3000" w:type="dxa"/>
            <w:vAlign w:val="bottom"/>
            <w:tcBorders>
              <w:top w:val="single" w:sz="8" w:color="auto"/>
            </w:tcBorders>
            <w:gridSpan w:val="2"/>
            <w:shd w:val="clear" w:color="auto" w:fill="9DB8D2"/>
          </w:tcPr>
          <w:p>
            <w:pPr>
              <w:jc w:val="right"/>
              <w:ind w:right="1082"/>
              <w:spacing w:after="0"/>
              <w:rPr>
                <w:sz w:val="20"/>
                <w:szCs w:val="20"/>
                <w:color w:val="auto"/>
              </w:rPr>
            </w:pPr>
            <w:r>
              <w:rPr>
                <w:rFonts w:ascii="Arial" w:cs="Arial" w:eastAsia="Arial" w:hAnsi="Arial"/>
                <w:sz w:val="14"/>
                <w:szCs w:val="14"/>
                <w:b w:val="1"/>
                <w:bCs w:val="1"/>
                <w:color w:val="auto"/>
              </w:rPr>
              <w:t>Stock Awards</w:t>
            </w:r>
          </w:p>
        </w:tc>
      </w:tr>
      <w:tr>
        <w:trPr>
          <w:trHeight w:val="237"/>
        </w:trPr>
        <w:tc>
          <w:tcPr>
            <w:tcW w:w="3960" w:type="dxa"/>
            <w:vAlign w:val="bottom"/>
            <w:tcBorders>
              <w:top w:val="single" w:sz="8" w:color="9DB8D2"/>
            </w:tcBorders>
            <w:shd w:val="clear" w:color="auto" w:fill="9DB8D2"/>
          </w:tcPr>
          <w:p>
            <w:pPr>
              <w:spacing w:after="0"/>
              <w:rPr>
                <w:sz w:val="20"/>
                <w:szCs w:val="20"/>
                <w:color w:val="auto"/>
              </w:rPr>
            </w:pPr>
          </w:p>
        </w:tc>
        <w:tc>
          <w:tcPr>
            <w:tcW w:w="660" w:type="dxa"/>
            <w:vAlign w:val="bottom"/>
            <w:tcBorders>
              <w:top w:val="single" w:sz="8" w:color="9DB8D2"/>
            </w:tcBorders>
            <w:shd w:val="clear" w:color="auto" w:fill="9DB8D2"/>
          </w:tcPr>
          <w:p>
            <w:pPr>
              <w:spacing w:after="0"/>
              <w:rPr>
                <w:sz w:val="20"/>
                <w:szCs w:val="20"/>
                <w:color w:val="auto"/>
              </w:rPr>
            </w:pPr>
          </w:p>
        </w:tc>
        <w:tc>
          <w:tcPr>
            <w:tcW w:w="1500" w:type="dxa"/>
            <w:vAlign w:val="bottom"/>
            <w:tcBorders>
              <w:top w:val="single" w:sz="8" w:color="auto"/>
            </w:tcBorders>
            <w:shd w:val="clear" w:color="auto" w:fill="9DB8D2"/>
          </w:tcPr>
          <w:p>
            <w:pPr>
              <w:jc w:val="center"/>
              <w:ind w:right="304"/>
              <w:spacing w:after="0"/>
              <w:rPr>
                <w:sz w:val="20"/>
                <w:szCs w:val="20"/>
                <w:color w:val="auto"/>
              </w:rPr>
            </w:pPr>
            <w:r>
              <w:rPr>
                <w:rFonts w:ascii="Arial" w:cs="Arial" w:eastAsia="Arial" w:hAnsi="Arial"/>
                <w:sz w:val="14"/>
                <w:szCs w:val="14"/>
                <w:b w:val="1"/>
                <w:bCs w:val="1"/>
                <w:color w:val="auto"/>
              </w:rPr>
              <w:t>Number of</w:t>
            </w:r>
          </w:p>
        </w:tc>
        <w:tc>
          <w:tcPr>
            <w:tcW w:w="1640" w:type="dxa"/>
            <w:vAlign w:val="bottom"/>
            <w:tcBorders>
              <w:top w:val="single" w:sz="8" w:color="auto"/>
            </w:tcBorders>
            <w:shd w:val="clear" w:color="auto" w:fill="9DB8D2"/>
          </w:tcPr>
          <w:p>
            <w:pPr>
              <w:spacing w:after="0"/>
              <w:rPr>
                <w:sz w:val="20"/>
                <w:szCs w:val="20"/>
                <w:color w:val="auto"/>
              </w:rPr>
            </w:pPr>
          </w:p>
        </w:tc>
        <w:tc>
          <w:tcPr>
            <w:tcW w:w="660" w:type="dxa"/>
            <w:vAlign w:val="bottom"/>
            <w:tcBorders>
              <w:top w:val="single" w:sz="8" w:color="9DB8D2"/>
            </w:tcBorders>
            <w:shd w:val="clear" w:color="auto" w:fill="9DB8D2"/>
          </w:tcPr>
          <w:p>
            <w:pPr>
              <w:spacing w:after="0"/>
              <w:rPr>
                <w:sz w:val="20"/>
                <w:szCs w:val="20"/>
                <w:color w:val="auto"/>
              </w:rPr>
            </w:pPr>
          </w:p>
        </w:tc>
        <w:tc>
          <w:tcPr>
            <w:tcW w:w="1500" w:type="dxa"/>
            <w:vAlign w:val="bottom"/>
            <w:tcBorders>
              <w:top w:val="single" w:sz="8" w:color="auto"/>
            </w:tcBorders>
            <w:shd w:val="clear" w:color="auto" w:fill="9DB8D2"/>
          </w:tcPr>
          <w:p>
            <w:pPr>
              <w:jc w:val="center"/>
              <w:ind w:right="183"/>
              <w:spacing w:after="0"/>
              <w:rPr>
                <w:sz w:val="20"/>
                <w:szCs w:val="20"/>
                <w:color w:val="auto"/>
              </w:rPr>
            </w:pPr>
            <w:r>
              <w:rPr>
                <w:rFonts w:ascii="Arial" w:cs="Arial" w:eastAsia="Arial" w:hAnsi="Arial"/>
                <w:sz w:val="14"/>
                <w:szCs w:val="14"/>
                <w:b w:val="1"/>
                <w:bCs w:val="1"/>
                <w:color w:val="auto"/>
              </w:rPr>
              <w:t>Number of Shares</w:t>
            </w:r>
          </w:p>
        </w:tc>
        <w:tc>
          <w:tcPr>
            <w:tcW w:w="1500" w:type="dxa"/>
            <w:vAlign w:val="bottom"/>
            <w:tcBorders>
              <w:top w:val="single" w:sz="8" w:color="auto"/>
            </w:tcBorders>
            <w:shd w:val="clear" w:color="auto" w:fill="9DB8D2"/>
          </w:tcPr>
          <w:p>
            <w:pPr>
              <w:spacing w:after="0"/>
              <w:rPr>
                <w:sz w:val="20"/>
                <w:szCs w:val="20"/>
                <w:color w:val="auto"/>
              </w:rPr>
            </w:pPr>
          </w:p>
        </w:tc>
      </w:tr>
      <w:tr>
        <w:trPr>
          <w:trHeight w:val="162"/>
        </w:trPr>
        <w:tc>
          <w:tcPr>
            <w:tcW w:w="3960" w:type="dxa"/>
            <w:vAlign w:val="bottom"/>
            <w:shd w:val="clear" w:color="auto" w:fill="9DB8D2"/>
          </w:tcPr>
          <w:p>
            <w:pPr>
              <w:spacing w:after="0"/>
              <w:rPr>
                <w:sz w:val="14"/>
                <w:szCs w:val="14"/>
                <w:color w:val="auto"/>
              </w:rPr>
            </w:pPr>
          </w:p>
        </w:tc>
        <w:tc>
          <w:tcPr>
            <w:tcW w:w="660" w:type="dxa"/>
            <w:vAlign w:val="bottom"/>
            <w:shd w:val="clear" w:color="auto" w:fill="9DB8D2"/>
          </w:tcPr>
          <w:p>
            <w:pPr>
              <w:spacing w:after="0"/>
              <w:rPr>
                <w:sz w:val="14"/>
                <w:szCs w:val="14"/>
                <w:color w:val="auto"/>
              </w:rPr>
            </w:pPr>
          </w:p>
        </w:tc>
        <w:tc>
          <w:tcPr>
            <w:tcW w:w="1500" w:type="dxa"/>
            <w:vAlign w:val="bottom"/>
            <w:shd w:val="clear" w:color="auto" w:fill="9DB8D2"/>
          </w:tcPr>
          <w:p>
            <w:pPr>
              <w:jc w:val="center"/>
              <w:ind w:right="284"/>
              <w:spacing w:after="0"/>
              <w:rPr>
                <w:sz w:val="20"/>
                <w:szCs w:val="20"/>
                <w:color w:val="auto"/>
              </w:rPr>
            </w:pPr>
            <w:r>
              <w:rPr>
                <w:rFonts w:ascii="Arial" w:cs="Arial" w:eastAsia="Arial" w:hAnsi="Arial"/>
                <w:sz w:val="14"/>
                <w:szCs w:val="14"/>
                <w:b w:val="1"/>
                <w:bCs w:val="1"/>
                <w:color w:val="auto"/>
              </w:rPr>
              <w:t>Shares Acquired</w:t>
            </w:r>
          </w:p>
        </w:tc>
        <w:tc>
          <w:tcPr>
            <w:tcW w:w="2300" w:type="dxa"/>
            <w:vAlign w:val="bottom"/>
            <w:gridSpan w:val="2"/>
            <w:shd w:val="clear" w:color="auto" w:fill="9DB8D2"/>
          </w:tcPr>
          <w:p>
            <w:pPr>
              <w:jc w:val="center"/>
              <w:ind w:right="360"/>
              <w:spacing w:after="0"/>
              <w:rPr>
                <w:sz w:val="20"/>
                <w:szCs w:val="20"/>
                <w:color w:val="auto"/>
              </w:rPr>
            </w:pPr>
            <w:r>
              <w:rPr>
                <w:rFonts w:ascii="Arial" w:cs="Arial" w:eastAsia="Arial" w:hAnsi="Arial"/>
                <w:sz w:val="14"/>
                <w:szCs w:val="14"/>
                <w:b w:val="1"/>
                <w:bCs w:val="1"/>
                <w:color w:val="auto"/>
              </w:rPr>
              <w:t>Value Realized on</w:t>
            </w:r>
          </w:p>
        </w:tc>
        <w:tc>
          <w:tcPr>
            <w:tcW w:w="1500" w:type="dxa"/>
            <w:vAlign w:val="bottom"/>
            <w:shd w:val="clear" w:color="auto" w:fill="9DB8D2"/>
          </w:tcPr>
          <w:p>
            <w:pPr>
              <w:jc w:val="center"/>
              <w:ind w:right="183"/>
              <w:spacing w:after="0"/>
              <w:rPr>
                <w:sz w:val="20"/>
                <w:szCs w:val="20"/>
                <w:color w:val="auto"/>
              </w:rPr>
            </w:pPr>
            <w:r>
              <w:rPr>
                <w:rFonts w:ascii="Arial" w:cs="Arial" w:eastAsia="Arial" w:hAnsi="Arial"/>
                <w:sz w:val="14"/>
                <w:szCs w:val="14"/>
                <w:b w:val="1"/>
                <w:bCs w:val="1"/>
                <w:color w:val="auto"/>
              </w:rPr>
              <w:t>Acquired on</w:t>
            </w:r>
          </w:p>
        </w:tc>
        <w:tc>
          <w:tcPr>
            <w:tcW w:w="15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Value Realized</w:t>
            </w:r>
          </w:p>
        </w:tc>
      </w:tr>
      <w:tr>
        <w:trPr>
          <w:trHeight w:val="162"/>
        </w:trPr>
        <w:tc>
          <w:tcPr>
            <w:tcW w:w="3960" w:type="dxa"/>
            <w:vAlign w:val="bottom"/>
            <w:shd w:val="clear" w:color="auto" w:fill="9DB8D2"/>
          </w:tcPr>
          <w:p>
            <w:pPr>
              <w:spacing w:after="0"/>
              <w:rPr>
                <w:sz w:val="14"/>
                <w:szCs w:val="14"/>
                <w:color w:val="auto"/>
              </w:rPr>
            </w:pPr>
          </w:p>
        </w:tc>
        <w:tc>
          <w:tcPr>
            <w:tcW w:w="660" w:type="dxa"/>
            <w:vAlign w:val="bottom"/>
            <w:shd w:val="clear" w:color="auto" w:fill="9DB8D2"/>
          </w:tcPr>
          <w:p>
            <w:pPr>
              <w:spacing w:after="0"/>
              <w:rPr>
                <w:sz w:val="14"/>
                <w:szCs w:val="14"/>
                <w:color w:val="auto"/>
              </w:rPr>
            </w:pPr>
          </w:p>
        </w:tc>
        <w:tc>
          <w:tcPr>
            <w:tcW w:w="1500" w:type="dxa"/>
            <w:vAlign w:val="bottom"/>
            <w:shd w:val="clear" w:color="auto" w:fill="9DB8D2"/>
          </w:tcPr>
          <w:p>
            <w:pPr>
              <w:jc w:val="center"/>
              <w:ind w:right="284"/>
              <w:spacing w:after="0"/>
              <w:rPr>
                <w:sz w:val="20"/>
                <w:szCs w:val="20"/>
                <w:color w:val="auto"/>
              </w:rPr>
            </w:pPr>
            <w:r>
              <w:rPr>
                <w:rFonts w:ascii="Arial" w:cs="Arial" w:eastAsia="Arial" w:hAnsi="Arial"/>
                <w:sz w:val="14"/>
                <w:szCs w:val="14"/>
                <w:b w:val="1"/>
                <w:bCs w:val="1"/>
                <w:color w:val="auto"/>
              </w:rPr>
              <w:t>on Exercise</w:t>
            </w:r>
          </w:p>
        </w:tc>
        <w:tc>
          <w:tcPr>
            <w:tcW w:w="2300" w:type="dxa"/>
            <w:vAlign w:val="bottom"/>
            <w:gridSpan w:val="2"/>
            <w:shd w:val="clear" w:color="auto" w:fill="9DB8D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1500" w:type="dxa"/>
            <w:vAlign w:val="bottom"/>
            <w:shd w:val="clear" w:color="auto" w:fill="9DB8D2"/>
          </w:tcPr>
          <w:p>
            <w:pPr>
              <w:jc w:val="center"/>
              <w:ind w:right="183"/>
              <w:spacing w:after="0"/>
              <w:rPr>
                <w:sz w:val="20"/>
                <w:szCs w:val="20"/>
                <w:color w:val="auto"/>
              </w:rPr>
            </w:pPr>
            <w:r>
              <w:rPr>
                <w:rFonts w:ascii="Arial" w:cs="Arial" w:eastAsia="Arial" w:hAnsi="Arial"/>
                <w:sz w:val="14"/>
                <w:szCs w:val="14"/>
                <w:b w:val="1"/>
                <w:bCs w:val="1"/>
                <w:color w:val="auto"/>
              </w:rPr>
              <w:t>Vesting</w:t>
            </w:r>
          </w:p>
        </w:tc>
        <w:tc>
          <w:tcPr>
            <w:tcW w:w="15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on Vesting</w:t>
            </w:r>
          </w:p>
        </w:tc>
      </w:tr>
      <w:tr>
        <w:trPr>
          <w:trHeight w:val="189"/>
        </w:trPr>
        <w:tc>
          <w:tcPr>
            <w:tcW w:w="396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Name &amp; Principal Position</w:t>
            </w:r>
          </w:p>
        </w:tc>
        <w:tc>
          <w:tcPr>
            <w:tcW w:w="2160" w:type="dxa"/>
            <w:vAlign w:val="bottom"/>
            <w:tcBorders>
              <w:bottom w:val="single" w:sz="8" w:color="auto"/>
            </w:tcBorders>
            <w:gridSpan w:val="2"/>
            <w:shd w:val="clear" w:color="auto" w:fill="9DB8D2"/>
          </w:tcPr>
          <w:p>
            <w:pPr>
              <w:jc w:val="center"/>
              <w:ind w:left="221"/>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tcBorders>
            <w:shd w:val="clear" w:color="auto" w:fill="9DB8D2"/>
          </w:tcPr>
          <w:p>
            <w:pPr>
              <w:jc w:val="center"/>
              <w:ind w:left="222"/>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9DB8D2"/>
          </w:tcPr>
          <w:p>
            <w:pPr>
              <w:spacing w:after="0"/>
              <w:rPr>
                <w:sz w:val="16"/>
                <w:szCs w:val="16"/>
                <w:color w:val="auto"/>
              </w:rPr>
            </w:pPr>
          </w:p>
        </w:tc>
        <w:tc>
          <w:tcPr>
            <w:tcW w:w="1500" w:type="dxa"/>
            <w:vAlign w:val="bottom"/>
            <w:tcBorders>
              <w:bottom w:val="single" w:sz="8" w:color="auto"/>
            </w:tcBorders>
            <w:shd w:val="clear" w:color="auto" w:fill="9DB8D2"/>
          </w:tcPr>
          <w:p>
            <w:pPr>
              <w:jc w:val="center"/>
              <w:ind w:right="183"/>
              <w:spacing w:after="0"/>
              <w:rPr>
                <w:sz w:val="20"/>
                <w:szCs w:val="20"/>
                <w:color w:val="auto"/>
              </w:rPr>
            </w:pPr>
            <w:r>
              <w:rPr>
                <w:rFonts w:ascii="Arial" w:cs="Arial" w:eastAsia="Arial" w:hAnsi="Arial"/>
                <w:sz w:val="14"/>
                <w:szCs w:val="14"/>
                <w:b w:val="1"/>
                <w:bCs w:val="1"/>
                <w:color w:val="auto"/>
              </w:rPr>
              <w:t>(#)(1)</w:t>
            </w:r>
          </w:p>
        </w:tc>
        <w:tc>
          <w:tcPr>
            <w:tcW w:w="15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w:t>
            </w:r>
          </w:p>
        </w:tc>
      </w:tr>
      <w:tr>
        <w:trPr>
          <w:trHeight w:val="168"/>
        </w:trPr>
        <w:tc>
          <w:tcPr>
            <w:tcW w:w="3960" w:type="dxa"/>
            <w:vAlign w:val="bottom"/>
            <w:shd w:val="clear" w:color="auto" w:fill="E6EDF3"/>
          </w:tcPr>
          <w:p>
            <w:pPr>
              <w:ind w:left="80"/>
              <w:spacing w:after="0" w:line="168" w:lineRule="exact"/>
              <w:rPr>
                <w:sz w:val="20"/>
                <w:szCs w:val="20"/>
                <w:color w:val="auto"/>
              </w:rPr>
            </w:pPr>
            <w:r>
              <w:rPr>
                <w:rFonts w:ascii="Arial" w:cs="Arial" w:eastAsia="Arial" w:hAnsi="Arial"/>
                <w:sz w:val="16"/>
                <w:szCs w:val="16"/>
                <w:color w:val="auto"/>
              </w:rPr>
              <w:t>Jonas Prising</w:t>
            </w:r>
          </w:p>
        </w:tc>
        <w:tc>
          <w:tcPr>
            <w:tcW w:w="660" w:type="dxa"/>
            <w:vAlign w:val="bottom"/>
            <w:shd w:val="clear" w:color="auto" w:fill="E6EDF3"/>
          </w:tcPr>
          <w:p>
            <w:pPr>
              <w:spacing w:after="0"/>
              <w:rPr>
                <w:sz w:val="14"/>
                <w:szCs w:val="14"/>
                <w:color w:val="auto"/>
              </w:rPr>
            </w:pPr>
          </w:p>
        </w:tc>
        <w:tc>
          <w:tcPr>
            <w:tcW w:w="1500" w:type="dxa"/>
            <w:vAlign w:val="bottom"/>
            <w:shd w:val="clear" w:color="auto" w:fill="E6EDF3"/>
          </w:tcPr>
          <w:p>
            <w:pPr>
              <w:spacing w:after="0"/>
              <w:rPr>
                <w:sz w:val="14"/>
                <w:szCs w:val="14"/>
                <w:color w:val="auto"/>
              </w:rPr>
            </w:pPr>
          </w:p>
        </w:tc>
        <w:tc>
          <w:tcPr>
            <w:tcW w:w="1640" w:type="dxa"/>
            <w:vAlign w:val="bottom"/>
            <w:shd w:val="clear" w:color="auto" w:fill="E6EDF3"/>
          </w:tcPr>
          <w:p>
            <w:pPr>
              <w:spacing w:after="0"/>
              <w:rPr>
                <w:sz w:val="14"/>
                <w:szCs w:val="14"/>
                <w:color w:val="auto"/>
              </w:rPr>
            </w:pPr>
          </w:p>
        </w:tc>
        <w:tc>
          <w:tcPr>
            <w:tcW w:w="660" w:type="dxa"/>
            <w:vAlign w:val="bottom"/>
            <w:shd w:val="clear" w:color="auto" w:fill="E6EDF3"/>
          </w:tcPr>
          <w:p>
            <w:pPr>
              <w:spacing w:after="0"/>
              <w:rPr>
                <w:sz w:val="14"/>
                <w:szCs w:val="14"/>
                <w:color w:val="auto"/>
              </w:rPr>
            </w:pPr>
          </w:p>
        </w:tc>
        <w:tc>
          <w:tcPr>
            <w:tcW w:w="1500" w:type="dxa"/>
            <w:vAlign w:val="bottom"/>
            <w:shd w:val="clear" w:color="auto" w:fill="E6EDF3"/>
          </w:tcPr>
          <w:p>
            <w:pPr>
              <w:spacing w:after="0"/>
              <w:rPr>
                <w:sz w:val="14"/>
                <w:szCs w:val="14"/>
                <w:color w:val="auto"/>
              </w:rPr>
            </w:pPr>
          </w:p>
        </w:tc>
        <w:tc>
          <w:tcPr>
            <w:tcW w:w="1500" w:type="dxa"/>
            <w:vAlign w:val="bottom"/>
            <w:shd w:val="clear" w:color="auto" w:fill="E6EDF3"/>
          </w:tcPr>
          <w:p>
            <w:pPr>
              <w:spacing w:after="0"/>
              <w:rPr>
                <w:sz w:val="14"/>
                <w:szCs w:val="14"/>
                <w:color w:val="auto"/>
              </w:rPr>
            </w:pPr>
          </w:p>
        </w:tc>
      </w:tr>
      <w:tr>
        <w:trPr>
          <w:trHeight w:val="217"/>
        </w:trPr>
        <w:tc>
          <w:tcPr>
            <w:tcW w:w="3960" w:type="dxa"/>
            <w:vAlign w:val="bottom"/>
            <w:shd w:val="clear" w:color="auto" w:fill="E6EDF3"/>
          </w:tcPr>
          <w:p>
            <w:pPr>
              <w:ind w:left="240"/>
              <w:spacing w:after="0"/>
              <w:rPr>
                <w:sz w:val="20"/>
                <w:szCs w:val="20"/>
                <w:color w:val="auto"/>
              </w:rPr>
            </w:pPr>
            <w:r>
              <w:rPr>
                <w:rFonts w:ascii="Arial" w:cs="Arial" w:eastAsia="Arial" w:hAnsi="Arial"/>
                <w:sz w:val="16"/>
                <w:szCs w:val="16"/>
                <w:i w:val="1"/>
                <w:iCs w:val="1"/>
                <w:color w:val="auto"/>
              </w:rPr>
              <w:t>CEO</w:t>
            </w:r>
          </w:p>
        </w:tc>
        <w:tc>
          <w:tcPr>
            <w:tcW w:w="660" w:type="dxa"/>
            <w:vAlign w:val="bottom"/>
            <w:shd w:val="clear" w:color="auto" w:fill="E6EDF3"/>
          </w:tcPr>
          <w:p>
            <w:pPr>
              <w:spacing w:after="0"/>
              <w:rPr>
                <w:sz w:val="18"/>
                <w:szCs w:val="18"/>
                <w:color w:val="auto"/>
              </w:rPr>
            </w:pPr>
          </w:p>
        </w:tc>
        <w:tc>
          <w:tcPr>
            <w:tcW w:w="1500" w:type="dxa"/>
            <w:vAlign w:val="bottom"/>
            <w:shd w:val="clear" w:color="auto" w:fill="E6EDF3"/>
          </w:tcPr>
          <w:p>
            <w:pPr>
              <w:jc w:val="right"/>
              <w:ind w:right="284"/>
              <w:spacing w:after="0"/>
              <w:rPr>
                <w:sz w:val="20"/>
                <w:szCs w:val="20"/>
                <w:color w:val="auto"/>
              </w:rPr>
            </w:pPr>
            <w:r>
              <w:rPr>
                <w:rFonts w:ascii="Arial" w:cs="Arial" w:eastAsia="Arial" w:hAnsi="Arial"/>
                <w:sz w:val="16"/>
                <w:szCs w:val="16"/>
                <w:color w:val="auto"/>
              </w:rPr>
              <w:t>—</w:t>
            </w:r>
          </w:p>
        </w:tc>
        <w:tc>
          <w:tcPr>
            <w:tcW w:w="2300" w:type="dxa"/>
            <w:vAlign w:val="bottom"/>
            <w:gridSpan w:val="2"/>
            <w:shd w:val="clear" w:color="auto" w:fill="E6EDF3"/>
          </w:tcPr>
          <w:p>
            <w:pPr>
              <w:jc w:val="right"/>
              <w:ind w:right="720"/>
              <w:spacing w:after="0"/>
              <w:rPr>
                <w:sz w:val="20"/>
                <w:szCs w:val="20"/>
                <w:color w:val="auto"/>
              </w:rPr>
            </w:pPr>
            <w:r>
              <w:rPr>
                <w:rFonts w:ascii="Arial" w:cs="Arial" w:eastAsia="Arial" w:hAnsi="Arial"/>
                <w:sz w:val="16"/>
                <w:szCs w:val="16"/>
                <w:color w:val="auto"/>
              </w:rPr>
              <w:t>—</w:t>
            </w:r>
          </w:p>
        </w:tc>
        <w:tc>
          <w:tcPr>
            <w:tcW w:w="1500" w:type="dxa"/>
            <w:vAlign w:val="bottom"/>
            <w:shd w:val="clear" w:color="auto" w:fill="E6EDF3"/>
          </w:tcPr>
          <w:p>
            <w:pPr>
              <w:jc w:val="right"/>
              <w:ind w:right="183"/>
              <w:spacing w:after="0"/>
              <w:rPr>
                <w:sz w:val="20"/>
                <w:szCs w:val="20"/>
                <w:color w:val="auto"/>
              </w:rPr>
            </w:pPr>
            <w:r>
              <w:rPr>
                <w:rFonts w:ascii="Arial" w:cs="Arial" w:eastAsia="Arial" w:hAnsi="Arial"/>
                <w:sz w:val="16"/>
                <w:szCs w:val="16"/>
                <w:color w:val="auto"/>
              </w:rPr>
              <w:t>22,163</w:t>
            </w:r>
          </w:p>
        </w:tc>
        <w:tc>
          <w:tcPr>
            <w:tcW w:w="1500" w:type="dxa"/>
            <w:vAlign w:val="bottom"/>
            <w:shd w:val="clear" w:color="auto" w:fill="E6EDF3"/>
          </w:tcPr>
          <w:p>
            <w:pPr>
              <w:jc w:val="right"/>
              <w:ind w:right="182"/>
              <w:spacing w:after="0"/>
              <w:rPr>
                <w:sz w:val="20"/>
                <w:szCs w:val="20"/>
                <w:color w:val="auto"/>
              </w:rPr>
            </w:pPr>
            <w:r>
              <w:rPr>
                <w:rFonts w:ascii="Arial" w:cs="Arial" w:eastAsia="Arial" w:hAnsi="Arial"/>
                <w:sz w:val="16"/>
                <w:szCs w:val="16"/>
                <w:color w:val="auto"/>
              </w:rPr>
              <w:t>1,612,137</w:t>
            </w:r>
          </w:p>
        </w:tc>
      </w:tr>
      <w:tr>
        <w:trPr>
          <w:trHeight w:val="175"/>
        </w:trPr>
        <w:tc>
          <w:tcPr>
            <w:tcW w:w="3960" w:type="dxa"/>
            <w:vAlign w:val="bottom"/>
          </w:tcPr>
          <w:p>
            <w:pPr>
              <w:ind w:left="80"/>
              <w:spacing w:after="0" w:line="175" w:lineRule="exact"/>
              <w:rPr>
                <w:sz w:val="20"/>
                <w:szCs w:val="20"/>
                <w:color w:val="auto"/>
              </w:rPr>
            </w:pPr>
            <w:r>
              <w:rPr>
                <w:rFonts w:ascii="Arial" w:cs="Arial" w:eastAsia="Arial" w:hAnsi="Arial"/>
                <w:sz w:val="16"/>
                <w:szCs w:val="16"/>
                <w:color w:val="auto"/>
              </w:rPr>
              <w:t>John T. McGinnis</w:t>
            </w:r>
          </w:p>
        </w:tc>
        <w:tc>
          <w:tcPr>
            <w:tcW w:w="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17"/>
        </w:trPr>
        <w:tc>
          <w:tcPr>
            <w:tcW w:w="3960" w:type="dxa"/>
            <w:vAlign w:val="bottom"/>
          </w:tcPr>
          <w:p>
            <w:pPr>
              <w:ind w:left="240"/>
              <w:spacing w:after="0"/>
              <w:rPr>
                <w:sz w:val="20"/>
                <w:szCs w:val="20"/>
                <w:color w:val="auto"/>
              </w:rPr>
            </w:pPr>
            <w:r>
              <w:rPr>
                <w:rFonts w:ascii="Arial" w:cs="Arial" w:eastAsia="Arial" w:hAnsi="Arial"/>
                <w:sz w:val="16"/>
                <w:szCs w:val="16"/>
                <w:i w:val="1"/>
                <w:iCs w:val="1"/>
                <w:color w:val="auto"/>
              </w:rPr>
              <w:t>CFO</w:t>
            </w:r>
          </w:p>
        </w:tc>
        <w:tc>
          <w:tcPr>
            <w:tcW w:w="660" w:type="dxa"/>
            <w:vAlign w:val="bottom"/>
          </w:tcPr>
          <w:p>
            <w:pPr>
              <w:spacing w:after="0"/>
              <w:rPr>
                <w:sz w:val="18"/>
                <w:szCs w:val="18"/>
                <w:color w:val="auto"/>
              </w:rPr>
            </w:pPr>
          </w:p>
        </w:tc>
        <w:tc>
          <w:tcPr>
            <w:tcW w:w="1500" w:type="dxa"/>
            <w:vAlign w:val="bottom"/>
          </w:tcPr>
          <w:p>
            <w:pPr>
              <w:jc w:val="right"/>
              <w:ind w:right="284"/>
              <w:spacing w:after="0"/>
              <w:rPr>
                <w:sz w:val="20"/>
                <w:szCs w:val="20"/>
                <w:color w:val="auto"/>
              </w:rPr>
            </w:pPr>
            <w:r>
              <w:rPr>
                <w:rFonts w:ascii="Arial" w:cs="Arial" w:eastAsia="Arial" w:hAnsi="Arial"/>
                <w:sz w:val="16"/>
                <w:szCs w:val="16"/>
                <w:color w:val="auto"/>
              </w:rPr>
              <w:t>—</w:t>
            </w:r>
          </w:p>
        </w:tc>
        <w:tc>
          <w:tcPr>
            <w:tcW w:w="2300" w:type="dxa"/>
            <w:vAlign w:val="bottom"/>
            <w:gridSpan w:val="2"/>
          </w:tcPr>
          <w:p>
            <w:pPr>
              <w:jc w:val="right"/>
              <w:ind w:right="72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83"/>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82"/>
              <w:spacing w:after="0"/>
              <w:rPr>
                <w:sz w:val="20"/>
                <w:szCs w:val="20"/>
                <w:color w:val="auto"/>
              </w:rPr>
            </w:pPr>
            <w:r>
              <w:rPr>
                <w:rFonts w:ascii="Arial" w:cs="Arial" w:eastAsia="Arial" w:hAnsi="Arial"/>
                <w:sz w:val="16"/>
                <w:szCs w:val="16"/>
                <w:color w:val="auto"/>
              </w:rPr>
              <w:t>—</w:t>
            </w:r>
          </w:p>
        </w:tc>
      </w:tr>
      <w:tr>
        <w:trPr>
          <w:trHeight w:val="175"/>
        </w:trPr>
        <w:tc>
          <w:tcPr>
            <w:tcW w:w="3960" w:type="dxa"/>
            <w:vAlign w:val="bottom"/>
            <w:shd w:val="clear" w:color="auto" w:fill="E6EDF3"/>
          </w:tcPr>
          <w:p>
            <w:pPr>
              <w:ind w:left="80"/>
              <w:spacing w:after="0" w:line="175" w:lineRule="exact"/>
              <w:rPr>
                <w:sz w:val="20"/>
                <w:szCs w:val="20"/>
                <w:color w:val="auto"/>
              </w:rPr>
            </w:pPr>
            <w:r>
              <w:rPr>
                <w:rFonts w:ascii="Arial" w:cs="Arial" w:eastAsia="Arial" w:hAnsi="Arial"/>
                <w:sz w:val="16"/>
                <w:szCs w:val="16"/>
                <w:color w:val="auto"/>
              </w:rPr>
              <w:t>Darryl Green</w:t>
            </w:r>
          </w:p>
        </w:tc>
        <w:tc>
          <w:tcPr>
            <w:tcW w:w="660" w:type="dxa"/>
            <w:vAlign w:val="bottom"/>
            <w:shd w:val="clear" w:color="auto" w:fill="E6EDF3"/>
          </w:tcPr>
          <w:p>
            <w:pPr>
              <w:spacing w:after="0"/>
              <w:rPr>
                <w:sz w:val="15"/>
                <w:szCs w:val="15"/>
                <w:color w:val="auto"/>
              </w:rPr>
            </w:pPr>
          </w:p>
        </w:tc>
        <w:tc>
          <w:tcPr>
            <w:tcW w:w="1500" w:type="dxa"/>
            <w:vAlign w:val="bottom"/>
            <w:shd w:val="clear" w:color="auto" w:fill="E6EDF3"/>
          </w:tcPr>
          <w:p>
            <w:pPr>
              <w:spacing w:after="0"/>
              <w:rPr>
                <w:sz w:val="15"/>
                <w:szCs w:val="15"/>
                <w:color w:val="auto"/>
              </w:rPr>
            </w:pPr>
          </w:p>
        </w:tc>
        <w:tc>
          <w:tcPr>
            <w:tcW w:w="1640" w:type="dxa"/>
            <w:vAlign w:val="bottom"/>
            <w:shd w:val="clear" w:color="auto" w:fill="E6EDF3"/>
          </w:tcPr>
          <w:p>
            <w:pPr>
              <w:spacing w:after="0"/>
              <w:rPr>
                <w:sz w:val="15"/>
                <w:szCs w:val="15"/>
                <w:color w:val="auto"/>
              </w:rPr>
            </w:pPr>
          </w:p>
        </w:tc>
        <w:tc>
          <w:tcPr>
            <w:tcW w:w="660" w:type="dxa"/>
            <w:vAlign w:val="bottom"/>
            <w:shd w:val="clear" w:color="auto" w:fill="E6EDF3"/>
          </w:tcPr>
          <w:p>
            <w:pPr>
              <w:spacing w:after="0"/>
              <w:rPr>
                <w:sz w:val="15"/>
                <w:szCs w:val="15"/>
                <w:color w:val="auto"/>
              </w:rPr>
            </w:pPr>
          </w:p>
        </w:tc>
        <w:tc>
          <w:tcPr>
            <w:tcW w:w="1500" w:type="dxa"/>
            <w:vAlign w:val="bottom"/>
            <w:shd w:val="clear" w:color="auto" w:fill="E6EDF3"/>
          </w:tcPr>
          <w:p>
            <w:pPr>
              <w:spacing w:after="0"/>
              <w:rPr>
                <w:sz w:val="15"/>
                <w:szCs w:val="15"/>
                <w:color w:val="auto"/>
              </w:rPr>
            </w:pPr>
          </w:p>
        </w:tc>
        <w:tc>
          <w:tcPr>
            <w:tcW w:w="1500" w:type="dxa"/>
            <w:vAlign w:val="bottom"/>
            <w:shd w:val="clear" w:color="auto" w:fill="E6EDF3"/>
          </w:tcPr>
          <w:p>
            <w:pPr>
              <w:spacing w:after="0"/>
              <w:rPr>
                <w:sz w:val="15"/>
                <w:szCs w:val="15"/>
                <w:color w:val="auto"/>
              </w:rPr>
            </w:pPr>
          </w:p>
        </w:tc>
      </w:tr>
      <w:tr>
        <w:trPr>
          <w:trHeight w:val="217"/>
        </w:trPr>
        <w:tc>
          <w:tcPr>
            <w:tcW w:w="3960" w:type="dxa"/>
            <w:vAlign w:val="bottom"/>
            <w:shd w:val="clear" w:color="auto" w:fill="E6EDF3"/>
          </w:tcPr>
          <w:p>
            <w:pPr>
              <w:ind w:left="240"/>
              <w:spacing w:after="0"/>
              <w:rPr>
                <w:sz w:val="20"/>
                <w:szCs w:val="20"/>
                <w:color w:val="auto"/>
              </w:rPr>
            </w:pPr>
            <w:r>
              <w:rPr>
                <w:rFonts w:ascii="Arial" w:cs="Arial" w:eastAsia="Arial" w:hAnsi="Arial"/>
                <w:sz w:val="16"/>
                <w:szCs w:val="16"/>
                <w:i w:val="1"/>
                <w:iCs w:val="1"/>
                <w:color w:val="auto"/>
              </w:rPr>
              <w:t>President &amp; COO</w:t>
            </w:r>
          </w:p>
        </w:tc>
        <w:tc>
          <w:tcPr>
            <w:tcW w:w="660" w:type="dxa"/>
            <w:vAlign w:val="bottom"/>
            <w:shd w:val="clear" w:color="auto" w:fill="E6EDF3"/>
          </w:tcPr>
          <w:p>
            <w:pPr>
              <w:spacing w:after="0"/>
              <w:rPr>
                <w:sz w:val="18"/>
                <w:szCs w:val="18"/>
                <w:color w:val="auto"/>
              </w:rPr>
            </w:pPr>
          </w:p>
        </w:tc>
        <w:tc>
          <w:tcPr>
            <w:tcW w:w="1500" w:type="dxa"/>
            <w:vAlign w:val="bottom"/>
            <w:shd w:val="clear" w:color="auto" w:fill="E6EDF3"/>
          </w:tcPr>
          <w:p>
            <w:pPr>
              <w:jc w:val="right"/>
              <w:ind w:right="284"/>
              <w:spacing w:after="0"/>
              <w:rPr>
                <w:sz w:val="20"/>
                <w:szCs w:val="20"/>
                <w:color w:val="auto"/>
              </w:rPr>
            </w:pPr>
            <w:r>
              <w:rPr>
                <w:rFonts w:ascii="Arial" w:cs="Arial" w:eastAsia="Arial" w:hAnsi="Arial"/>
                <w:sz w:val="16"/>
                <w:szCs w:val="16"/>
                <w:color w:val="auto"/>
              </w:rPr>
              <w:t>—</w:t>
            </w:r>
          </w:p>
        </w:tc>
        <w:tc>
          <w:tcPr>
            <w:tcW w:w="2300" w:type="dxa"/>
            <w:vAlign w:val="bottom"/>
            <w:gridSpan w:val="2"/>
            <w:shd w:val="clear" w:color="auto" w:fill="E6EDF3"/>
          </w:tcPr>
          <w:p>
            <w:pPr>
              <w:jc w:val="right"/>
              <w:ind w:right="720"/>
              <w:spacing w:after="0"/>
              <w:rPr>
                <w:sz w:val="20"/>
                <w:szCs w:val="20"/>
                <w:color w:val="auto"/>
              </w:rPr>
            </w:pPr>
            <w:r>
              <w:rPr>
                <w:rFonts w:ascii="Arial" w:cs="Arial" w:eastAsia="Arial" w:hAnsi="Arial"/>
                <w:sz w:val="16"/>
                <w:szCs w:val="16"/>
                <w:color w:val="auto"/>
              </w:rPr>
              <w:t>—</w:t>
            </w:r>
          </w:p>
        </w:tc>
        <w:tc>
          <w:tcPr>
            <w:tcW w:w="1500" w:type="dxa"/>
            <w:vAlign w:val="bottom"/>
            <w:shd w:val="clear" w:color="auto" w:fill="E6EDF3"/>
          </w:tcPr>
          <w:p>
            <w:pPr>
              <w:jc w:val="right"/>
              <w:ind w:right="183"/>
              <w:spacing w:after="0"/>
              <w:rPr>
                <w:sz w:val="20"/>
                <w:szCs w:val="20"/>
                <w:color w:val="auto"/>
              </w:rPr>
            </w:pPr>
            <w:r>
              <w:rPr>
                <w:rFonts w:ascii="Arial" w:cs="Arial" w:eastAsia="Arial" w:hAnsi="Arial"/>
                <w:sz w:val="16"/>
                <w:szCs w:val="16"/>
                <w:color w:val="auto"/>
              </w:rPr>
              <w:t>5,972</w:t>
            </w:r>
          </w:p>
        </w:tc>
        <w:tc>
          <w:tcPr>
            <w:tcW w:w="1500" w:type="dxa"/>
            <w:vAlign w:val="bottom"/>
            <w:shd w:val="clear" w:color="auto" w:fill="E6EDF3"/>
          </w:tcPr>
          <w:p>
            <w:pPr>
              <w:jc w:val="right"/>
              <w:ind w:right="182"/>
              <w:spacing w:after="0"/>
              <w:rPr>
                <w:sz w:val="20"/>
                <w:szCs w:val="20"/>
                <w:color w:val="auto"/>
              </w:rPr>
            </w:pPr>
            <w:r>
              <w:rPr>
                <w:rFonts w:ascii="Arial" w:cs="Arial" w:eastAsia="Arial" w:hAnsi="Arial"/>
                <w:sz w:val="16"/>
                <w:szCs w:val="16"/>
                <w:color w:val="auto"/>
              </w:rPr>
              <w:t>434,403</w:t>
            </w:r>
          </w:p>
        </w:tc>
      </w:tr>
      <w:tr>
        <w:trPr>
          <w:trHeight w:val="175"/>
        </w:trPr>
        <w:tc>
          <w:tcPr>
            <w:tcW w:w="3960" w:type="dxa"/>
            <w:vAlign w:val="bottom"/>
          </w:tcPr>
          <w:p>
            <w:pPr>
              <w:ind w:left="80"/>
              <w:spacing w:after="0" w:line="175" w:lineRule="exact"/>
              <w:rPr>
                <w:sz w:val="20"/>
                <w:szCs w:val="20"/>
                <w:color w:val="auto"/>
              </w:rPr>
            </w:pPr>
            <w:r>
              <w:rPr>
                <w:rFonts w:ascii="Arial" w:cs="Arial" w:eastAsia="Arial" w:hAnsi="Arial"/>
                <w:sz w:val="16"/>
                <w:szCs w:val="16"/>
                <w:color w:val="auto"/>
              </w:rPr>
              <w:t>Ram Chandrashekar</w:t>
            </w:r>
          </w:p>
        </w:tc>
        <w:tc>
          <w:tcPr>
            <w:tcW w:w="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9"/>
        </w:trPr>
        <w:tc>
          <w:tcPr>
            <w:tcW w:w="3960" w:type="dxa"/>
            <w:vAlign w:val="bottom"/>
          </w:tcPr>
          <w:p>
            <w:pPr>
              <w:ind w:left="240"/>
              <w:spacing w:after="0"/>
              <w:rPr>
                <w:sz w:val="20"/>
                <w:szCs w:val="20"/>
                <w:color w:val="auto"/>
              </w:rPr>
            </w:pPr>
            <w:r>
              <w:rPr>
                <w:rFonts w:ascii="Arial" w:cs="Arial" w:eastAsia="Arial" w:hAnsi="Arial"/>
                <w:sz w:val="16"/>
                <w:szCs w:val="16"/>
                <w:i w:val="1"/>
                <w:iCs w:val="1"/>
                <w:color w:val="auto"/>
              </w:rPr>
              <w:t>EVP, Operational Excellence &amp; IT and President,</w:t>
            </w:r>
          </w:p>
        </w:tc>
        <w:tc>
          <w:tcPr>
            <w:tcW w:w="6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17"/>
        </w:trPr>
        <w:tc>
          <w:tcPr>
            <w:tcW w:w="3960" w:type="dxa"/>
            <w:vAlign w:val="bottom"/>
          </w:tcPr>
          <w:p>
            <w:pPr>
              <w:ind w:left="240"/>
              <w:spacing w:after="0"/>
              <w:rPr>
                <w:sz w:val="20"/>
                <w:szCs w:val="20"/>
                <w:color w:val="auto"/>
              </w:rPr>
            </w:pPr>
            <w:r>
              <w:rPr>
                <w:rFonts w:ascii="Arial" w:cs="Arial" w:eastAsia="Arial" w:hAnsi="Arial"/>
                <w:sz w:val="16"/>
                <w:szCs w:val="16"/>
                <w:i w:val="1"/>
                <w:iCs w:val="1"/>
                <w:color w:val="auto"/>
              </w:rPr>
              <w:t>Asia Pacific Middle East</w:t>
            </w:r>
          </w:p>
        </w:tc>
        <w:tc>
          <w:tcPr>
            <w:tcW w:w="2160" w:type="dxa"/>
            <w:vAlign w:val="bottom"/>
            <w:gridSpan w:val="2"/>
          </w:tcPr>
          <w:p>
            <w:pPr>
              <w:jc w:val="right"/>
              <w:ind w:right="284"/>
              <w:spacing w:after="0"/>
              <w:rPr>
                <w:sz w:val="20"/>
                <w:szCs w:val="20"/>
                <w:color w:val="auto"/>
              </w:rPr>
            </w:pPr>
            <w:r>
              <w:rPr>
                <w:rFonts w:ascii="Arial" w:cs="Arial" w:eastAsia="Arial" w:hAnsi="Arial"/>
                <w:sz w:val="16"/>
                <w:szCs w:val="16"/>
                <w:color w:val="auto"/>
              </w:rPr>
              <w:t>5,752</w:t>
            </w:r>
          </w:p>
        </w:tc>
        <w:tc>
          <w:tcPr>
            <w:tcW w:w="1640" w:type="dxa"/>
            <w:vAlign w:val="bottom"/>
          </w:tcPr>
          <w:p>
            <w:pPr>
              <w:jc w:val="right"/>
              <w:spacing w:after="0"/>
              <w:rPr>
                <w:sz w:val="20"/>
                <w:szCs w:val="20"/>
                <w:color w:val="auto"/>
              </w:rPr>
            </w:pPr>
            <w:r>
              <w:rPr>
                <w:rFonts w:ascii="Arial" w:cs="Arial" w:eastAsia="Arial" w:hAnsi="Arial"/>
                <w:sz w:val="16"/>
                <w:szCs w:val="16"/>
                <w:color w:val="auto"/>
              </w:rPr>
              <w:t>125,976</w:t>
            </w:r>
          </w:p>
        </w:tc>
        <w:tc>
          <w:tcPr>
            <w:tcW w:w="660" w:type="dxa"/>
            <w:vAlign w:val="bottom"/>
          </w:tcPr>
          <w:p>
            <w:pPr>
              <w:spacing w:after="0"/>
              <w:rPr>
                <w:sz w:val="18"/>
                <w:szCs w:val="18"/>
                <w:color w:val="auto"/>
              </w:rPr>
            </w:pPr>
          </w:p>
        </w:tc>
        <w:tc>
          <w:tcPr>
            <w:tcW w:w="1500" w:type="dxa"/>
            <w:vAlign w:val="bottom"/>
          </w:tcPr>
          <w:p>
            <w:pPr>
              <w:jc w:val="right"/>
              <w:ind w:right="183"/>
              <w:spacing w:after="0"/>
              <w:rPr>
                <w:sz w:val="20"/>
                <w:szCs w:val="20"/>
                <w:color w:val="auto"/>
              </w:rPr>
            </w:pPr>
            <w:r>
              <w:rPr>
                <w:rFonts w:ascii="Arial" w:cs="Arial" w:eastAsia="Arial" w:hAnsi="Arial"/>
                <w:sz w:val="16"/>
                <w:szCs w:val="16"/>
                <w:color w:val="auto"/>
              </w:rPr>
              <w:t>11,029</w:t>
            </w:r>
          </w:p>
        </w:tc>
        <w:tc>
          <w:tcPr>
            <w:tcW w:w="1500" w:type="dxa"/>
            <w:vAlign w:val="bottom"/>
          </w:tcPr>
          <w:p>
            <w:pPr>
              <w:jc w:val="right"/>
              <w:ind w:right="182"/>
              <w:spacing w:after="0"/>
              <w:rPr>
                <w:sz w:val="20"/>
                <w:szCs w:val="20"/>
                <w:color w:val="auto"/>
              </w:rPr>
            </w:pPr>
            <w:r>
              <w:rPr>
                <w:rFonts w:ascii="Arial" w:cs="Arial" w:eastAsia="Arial" w:hAnsi="Arial"/>
                <w:sz w:val="16"/>
                <w:szCs w:val="16"/>
                <w:color w:val="auto"/>
              </w:rPr>
              <w:t>709,682</w:t>
            </w:r>
          </w:p>
        </w:tc>
      </w:tr>
      <w:tr>
        <w:trPr>
          <w:trHeight w:val="175"/>
        </w:trPr>
        <w:tc>
          <w:tcPr>
            <w:tcW w:w="3960" w:type="dxa"/>
            <w:vAlign w:val="bottom"/>
            <w:shd w:val="clear" w:color="auto" w:fill="E6EDF3"/>
          </w:tcPr>
          <w:p>
            <w:pPr>
              <w:ind w:left="80"/>
              <w:spacing w:after="0" w:line="175" w:lineRule="exact"/>
              <w:rPr>
                <w:sz w:val="20"/>
                <w:szCs w:val="20"/>
                <w:color w:val="auto"/>
              </w:rPr>
            </w:pPr>
            <w:r>
              <w:rPr>
                <w:rFonts w:ascii="Arial" w:cs="Arial" w:eastAsia="Arial" w:hAnsi="Arial"/>
                <w:sz w:val="16"/>
                <w:szCs w:val="16"/>
                <w:color w:val="auto"/>
              </w:rPr>
              <w:t>Mara E. Swan</w:t>
            </w:r>
          </w:p>
        </w:tc>
        <w:tc>
          <w:tcPr>
            <w:tcW w:w="660" w:type="dxa"/>
            <w:vAlign w:val="bottom"/>
            <w:shd w:val="clear" w:color="auto" w:fill="E6EDF3"/>
          </w:tcPr>
          <w:p>
            <w:pPr>
              <w:spacing w:after="0"/>
              <w:rPr>
                <w:sz w:val="15"/>
                <w:szCs w:val="15"/>
                <w:color w:val="auto"/>
              </w:rPr>
            </w:pPr>
          </w:p>
        </w:tc>
        <w:tc>
          <w:tcPr>
            <w:tcW w:w="1500" w:type="dxa"/>
            <w:vAlign w:val="bottom"/>
            <w:shd w:val="clear" w:color="auto" w:fill="E6EDF3"/>
          </w:tcPr>
          <w:p>
            <w:pPr>
              <w:spacing w:after="0"/>
              <w:rPr>
                <w:sz w:val="15"/>
                <w:szCs w:val="15"/>
                <w:color w:val="auto"/>
              </w:rPr>
            </w:pPr>
          </w:p>
        </w:tc>
        <w:tc>
          <w:tcPr>
            <w:tcW w:w="1640" w:type="dxa"/>
            <w:vAlign w:val="bottom"/>
            <w:shd w:val="clear" w:color="auto" w:fill="E6EDF3"/>
          </w:tcPr>
          <w:p>
            <w:pPr>
              <w:spacing w:after="0"/>
              <w:rPr>
                <w:sz w:val="15"/>
                <w:szCs w:val="15"/>
                <w:color w:val="auto"/>
              </w:rPr>
            </w:pPr>
          </w:p>
        </w:tc>
        <w:tc>
          <w:tcPr>
            <w:tcW w:w="660" w:type="dxa"/>
            <w:vAlign w:val="bottom"/>
            <w:shd w:val="clear" w:color="auto" w:fill="E6EDF3"/>
          </w:tcPr>
          <w:p>
            <w:pPr>
              <w:spacing w:after="0"/>
              <w:rPr>
                <w:sz w:val="15"/>
                <w:szCs w:val="15"/>
                <w:color w:val="auto"/>
              </w:rPr>
            </w:pPr>
          </w:p>
        </w:tc>
        <w:tc>
          <w:tcPr>
            <w:tcW w:w="1500" w:type="dxa"/>
            <w:vAlign w:val="bottom"/>
            <w:shd w:val="clear" w:color="auto" w:fill="E6EDF3"/>
          </w:tcPr>
          <w:p>
            <w:pPr>
              <w:spacing w:after="0"/>
              <w:rPr>
                <w:sz w:val="15"/>
                <w:szCs w:val="15"/>
                <w:color w:val="auto"/>
              </w:rPr>
            </w:pPr>
          </w:p>
        </w:tc>
        <w:tc>
          <w:tcPr>
            <w:tcW w:w="1500" w:type="dxa"/>
            <w:vAlign w:val="bottom"/>
            <w:shd w:val="clear" w:color="auto" w:fill="E6EDF3"/>
          </w:tcPr>
          <w:p>
            <w:pPr>
              <w:spacing w:after="0"/>
              <w:rPr>
                <w:sz w:val="15"/>
                <w:szCs w:val="15"/>
                <w:color w:val="auto"/>
              </w:rPr>
            </w:pPr>
          </w:p>
        </w:tc>
      </w:tr>
      <w:tr>
        <w:trPr>
          <w:trHeight w:val="217"/>
        </w:trPr>
        <w:tc>
          <w:tcPr>
            <w:tcW w:w="3960" w:type="dxa"/>
            <w:vAlign w:val="bottom"/>
            <w:shd w:val="clear" w:color="auto" w:fill="E6EDF3"/>
          </w:tcPr>
          <w:p>
            <w:pPr>
              <w:ind w:left="240"/>
              <w:spacing w:after="0"/>
              <w:rPr>
                <w:sz w:val="20"/>
                <w:szCs w:val="20"/>
                <w:color w:val="auto"/>
              </w:rPr>
            </w:pPr>
            <w:r>
              <w:rPr>
                <w:rFonts w:ascii="Arial" w:cs="Arial" w:eastAsia="Arial" w:hAnsi="Arial"/>
                <w:sz w:val="16"/>
                <w:szCs w:val="16"/>
                <w:i w:val="1"/>
                <w:iCs w:val="1"/>
                <w:color w:val="auto"/>
              </w:rPr>
              <w:t>EVP, Global Strategy and Talent</w:t>
            </w:r>
          </w:p>
        </w:tc>
        <w:tc>
          <w:tcPr>
            <w:tcW w:w="2160" w:type="dxa"/>
            <w:vAlign w:val="bottom"/>
            <w:gridSpan w:val="2"/>
            <w:shd w:val="clear" w:color="auto" w:fill="E6EDF3"/>
          </w:tcPr>
          <w:p>
            <w:pPr>
              <w:jc w:val="right"/>
              <w:ind w:right="284"/>
              <w:spacing w:after="0"/>
              <w:rPr>
                <w:sz w:val="20"/>
                <w:szCs w:val="20"/>
                <w:color w:val="auto"/>
              </w:rPr>
            </w:pPr>
            <w:r>
              <w:rPr>
                <w:rFonts w:ascii="Arial" w:cs="Arial" w:eastAsia="Arial" w:hAnsi="Arial"/>
                <w:sz w:val="16"/>
                <w:szCs w:val="16"/>
                <w:color w:val="auto"/>
              </w:rPr>
              <w:t>20,000</w:t>
            </w:r>
          </w:p>
        </w:tc>
        <w:tc>
          <w:tcPr>
            <w:tcW w:w="1640" w:type="dxa"/>
            <w:vAlign w:val="bottom"/>
            <w:shd w:val="clear" w:color="auto" w:fill="E6EDF3"/>
          </w:tcPr>
          <w:p>
            <w:pPr>
              <w:jc w:val="right"/>
              <w:spacing w:after="0"/>
              <w:rPr>
                <w:sz w:val="20"/>
                <w:szCs w:val="20"/>
                <w:color w:val="auto"/>
              </w:rPr>
            </w:pPr>
            <w:r>
              <w:rPr>
                <w:rFonts w:ascii="Arial" w:cs="Arial" w:eastAsia="Arial" w:hAnsi="Arial"/>
                <w:sz w:val="16"/>
                <w:szCs w:val="16"/>
                <w:color w:val="auto"/>
              </w:rPr>
              <w:t>525,192</w:t>
            </w:r>
          </w:p>
        </w:tc>
        <w:tc>
          <w:tcPr>
            <w:tcW w:w="660" w:type="dxa"/>
            <w:vAlign w:val="bottom"/>
            <w:shd w:val="clear" w:color="auto" w:fill="E6EDF3"/>
          </w:tcPr>
          <w:p>
            <w:pPr>
              <w:spacing w:after="0"/>
              <w:rPr>
                <w:sz w:val="18"/>
                <w:szCs w:val="18"/>
                <w:color w:val="auto"/>
              </w:rPr>
            </w:pPr>
          </w:p>
        </w:tc>
        <w:tc>
          <w:tcPr>
            <w:tcW w:w="1500" w:type="dxa"/>
            <w:vAlign w:val="bottom"/>
            <w:shd w:val="clear" w:color="auto" w:fill="E6EDF3"/>
          </w:tcPr>
          <w:p>
            <w:pPr>
              <w:jc w:val="right"/>
              <w:ind w:right="183"/>
              <w:spacing w:after="0"/>
              <w:rPr>
                <w:sz w:val="20"/>
                <w:szCs w:val="20"/>
                <w:color w:val="auto"/>
              </w:rPr>
            </w:pPr>
            <w:r>
              <w:rPr>
                <w:rFonts w:ascii="Arial" w:cs="Arial" w:eastAsia="Arial" w:hAnsi="Arial"/>
                <w:sz w:val="16"/>
                <w:szCs w:val="16"/>
                <w:color w:val="auto"/>
              </w:rPr>
              <w:t>20,571</w:t>
            </w:r>
          </w:p>
        </w:tc>
        <w:tc>
          <w:tcPr>
            <w:tcW w:w="1500" w:type="dxa"/>
            <w:vAlign w:val="bottom"/>
            <w:shd w:val="clear" w:color="auto" w:fill="E6EDF3"/>
          </w:tcPr>
          <w:p>
            <w:pPr>
              <w:jc w:val="right"/>
              <w:ind w:right="182"/>
              <w:spacing w:after="0"/>
              <w:rPr>
                <w:sz w:val="20"/>
                <w:szCs w:val="20"/>
                <w:color w:val="auto"/>
              </w:rPr>
            </w:pPr>
            <w:r>
              <w:rPr>
                <w:rFonts w:ascii="Arial" w:cs="Arial" w:eastAsia="Arial" w:hAnsi="Arial"/>
                <w:sz w:val="16"/>
                <w:szCs w:val="16"/>
                <w:color w:val="auto"/>
              </w:rPr>
              <w:t>1,496,335</w:t>
            </w:r>
          </w:p>
        </w:tc>
      </w:tr>
      <w:tr>
        <w:trPr>
          <w:trHeight w:val="175"/>
        </w:trPr>
        <w:tc>
          <w:tcPr>
            <w:tcW w:w="3960" w:type="dxa"/>
            <w:vAlign w:val="bottom"/>
          </w:tcPr>
          <w:p>
            <w:pPr>
              <w:ind w:left="80"/>
              <w:spacing w:after="0" w:line="175" w:lineRule="exact"/>
              <w:rPr>
                <w:sz w:val="20"/>
                <w:szCs w:val="20"/>
                <w:color w:val="auto"/>
              </w:rPr>
            </w:pPr>
            <w:r>
              <w:rPr>
                <w:rFonts w:ascii="Arial" w:cs="Arial" w:eastAsia="Arial" w:hAnsi="Arial"/>
                <w:sz w:val="16"/>
                <w:szCs w:val="16"/>
                <w:color w:val="auto"/>
              </w:rPr>
              <w:t>Michael J. Van Handel</w:t>
            </w:r>
          </w:p>
        </w:tc>
        <w:tc>
          <w:tcPr>
            <w:tcW w:w="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17"/>
        </w:trPr>
        <w:tc>
          <w:tcPr>
            <w:tcW w:w="3960" w:type="dxa"/>
            <w:vAlign w:val="bottom"/>
            <w:tcBorders>
              <w:bottom w:val="single" w:sz="8" w:color="auto"/>
            </w:tcBorders>
          </w:tcPr>
          <w:p>
            <w:pPr>
              <w:ind w:left="240"/>
              <w:spacing w:after="0"/>
              <w:rPr>
                <w:sz w:val="20"/>
                <w:szCs w:val="20"/>
                <w:color w:val="auto"/>
              </w:rPr>
            </w:pPr>
            <w:r>
              <w:rPr>
                <w:rFonts w:ascii="Arial" w:cs="Arial" w:eastAsia="Arial" w:hAnsi="Arial"/>
                <w:sz w:val="16"/>
                <w:szCs w:val="16"/>
                <w:i w:val="1"/>
                <w:iCs w:val="1"/>
                <w:color w:val="auto"/>
              </w:rPr>
              <w:t>Senior EVP and Former CFO</w:t>
            </w:r>
          </w:p>
        </w:tc>
        <w:tc>
          <w:tcPr>
            <w:tcW w:w="2160" w:type="dxa"/>
            <w:vAlign w:val="bottom"/>
            <w:tcBorders>
              <w:bottom w:val="single" w:sz="8" w:color="auto"/>
            </w:tcBorders>
            <w:gridSpan w:val="2"/>
          </w:tcPr>
          <w:p>
            <w:pPr>
              <w:jc w:val="right"/>
              <w:ind w:right="284"/>
              <w:spacing w:after="0"/>
              <w:rPr>
                <w:sz w:val="20"/>
                <w:szCs w:val="20"/>
                <w:color w:val="auto"/>
              </w:rPr>
            </w:pPr>
            <w:r>
              <w:rPr>
                <w:rFonts w:ascii="Arial" w:cs="Arial" w:eastAsia="Arial" w:hAnsi="Arial"/>
                <w:sz w:val="16"/>
                <w:szCs w:val="16"/>
                <w:color w:val="auto"/>
              </w:rPr>
              <w:t>49,921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938,006</w:t>
            </w:r>
          </w:p>
        </w:tc>
        <w:tc>
          <w:tcPr>
            <w:tcW w:w="6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color w:val="auto"/>
              </w:rPr>
              <w:t>9,953</w:t>
            </w:r>
          </w:p>
        </w:tc>
        <w:tc>
          <w:tcPr>
            <w:tcW w:w="15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723,981</w:t>
            </w:r>
          </w:p>
        </w:tc>
      </w:tr>
    </w:tbl>
    <w:p>
      <w:pPr>
        <w:spacing w:after="0" w:line="72"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Represents vesting of only RSUs, except for Mr. Chandrashekar who received 1,593 RSUs and 9,436 PSUs.</w:t>
      </w:r>
    </w:p>
    <w:p>
      <w:pPr>
        <w:spacing w:after="0" w:line="138" w:lineRule="exact"/>
        <w:rPr>
          <w:sz w:val="20"/>
          <w:szCs w:val="20"/>
          <w:color w:val="auto"/>
        </w:rPr>
      </w:pPr>
    </w:p>
    <w:p>
      <w:pPr>
        <w:ind w:left="9880"/>
        <w:spacing w:after="0"/>
        <w:rPr>
          <w:sz w:val="20"/>
          <w:szCs w:val="20"/>
          <w:color w:val="auto"/>
        </w:rPr>
      </w:pPr>
      <w:r>
        <w:rPr>
          <w:rFonts w:ascii="Arial" w:cs="Arial" w:eastAsia="Arial" w:hAnsi="Arial"/>
          <w:sz w:val="16"/>
          <w:szCs w:val="16"/>
          <w:b w:val="1"/>
          <w:bCs w:val="1"/>
          <w:color w:val="5D89B4"/>
        </w:rPr>
        <w:t xml:space="preserve">63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Compensation Tables</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Pension Benefits in 2016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520" w:type="dxa"/>
            <w:vAlign w:val="bottom"/>
            <w:tcBorders>
              <w:top w:val="single" w:sz="8" w:color="auto"/>
            </w:tcBorders>
            <w:shd w:val="clear" w:color="auto" w:fill="9DB8D2"/>
          </w:tcPr>
          <w:p>
            <w:pPr>
              <w:spacing w:after="0"/>
              <w:rPr>
                <w:sz w:val="22"/>
                <w:szCs w:val="22"/>
                <w:color w:val="auto"/>
              </w:rPr>
            </w:pPr>
          </w:p>
        </w:tc>
        <w:tc>
          <w:tcPr>
            <w:tcW w:w="2320" w:type="dxa"/>
            <w:vAlign w:val="bottom"/>
            <w:tcBorders>
              <w:top w:val="single" w:sz="8" w:color="auto"/>
            </w:tcBorders>
            <w:shd w:val="clear" w:color="auto" w:fill="9DB8D2"/>
          </w:tcPr>
          <w:p>
            <w:pPr>
              <w:spacing w:after="0"/>
              <w:rPr>
                <w:sz w:val="22"/>
                <w:szCs w:val="22"/>
                <w:color w:val="auto"/>
              </w:rPr>
            </w:pPr>
          </w:p>
        </w:tc>
        <w:tc>
          <w:tcPr>
            <w:tcW w:w="164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Number of</w:t>
            </w:r>
          </w:p>
        </w:tc>
        <w:tc>
          <w:tcPr>
            <w:tcW w:w="1660" w:type="dxa"/>
            <w:vAlign w:val="bottom"/>
            <w:tcBorders>
              <w:top w:val="single" w:sz="8" w:color="auto"/>
            </w:tcBorders>
            <w:shd w:val="clear" w:color="auto" w:fill="9DB8D2"/>
          </w:tcPr>
          <w:p>
            <w:pPr>
              <w:jc w:val="center"/>
              <w:ind w:left="63"/>
              <w:spacing w:after="0"/>
              <w:rPr>
                <w:sz w:val="20"/>
                <w:szCs w:val="20"/>
                <w:color w:val="auto"/>
              </w:rPr>
            </w:pPr>
            <w:r>
              <w:rPr>
                <w:rFonts w:ascii="Arial" w:cs="Arial" w:eastAsia="Arial" w:hAnsi="Arial"/>
                <w:sz w:val="14"/>
                <w:szCs w:val="14"/>
                <w:b w:val="1"/>
                <w:bCs w:val="1"/>
                <w:color w:val="auto"/>
              </w:rPr>
              <w:t>Present Value of</w:t>
            </w:r>
          </w:p>
        </w:tc>
        <w:tc>
          <w:tcPr>
            <w:tcW w:w="1280" w:type="dxa"/>
            <w:vAlign w:val="bottom"/>
            <w:tcBorders>
              <w:top w:val="single" w:sz="8" w:color="auto"/>
            </w:tcBorders>
            <w:shd w:val="clear" w:color="auto" w:fill="9DB8D2"/>
          </w:tcPr>
          <w:p>
            <w:pPr>
              <w:jc w:val="right"/>
              <w:ind w:right="263"/>
              <w:spacing w:after="0"/>
              <w:rPr>
                <w:sz w:val="20"/>
                <w:szCs w:val="20"/>
                <w:color w:val="auto"/>
              </w:rPr>
            </w:pPr>
            <w:r>
              <w:rPr>
                <w:rFonts w:ascii="Arial" w:cs="Arial" w:eastAsia="Arial" w:hAnsi="Arial"/>
                <w:sz w:val="14"/>
                <w:szCs w:val="14"/>
                <w:b w:val="1"/>
                <w:bCs w:val="1"/>
                <w:color w:val="auto"/>
              </w:rPr>
              <w:t>Payments</w:t>
            </w:r>
          </w:p>
        </w:tc>
      </w:tr>
      <w:tr>
        <w:trPr>
          <w:trHeight w:val="162"/>
        </w:trPr>
        <w:tc>
          <w:tcPr>
            <w:tcW w:w="4520" w:type="dxa"/>
            <w:vAlign w:val="bottom"/>
            <w:shd w:val="clear" w:color="auto" w:fill="9DB8D2"/>
          </w:tcPr>
          <w:p>
            <w:pPr>
              <w:spacing w:after="0"/>
              <w:rPr>
                <w:sz w:val="14"/>
                <w:szCs w:val="14"/>
                <w:color w:val="auto"/>
              </w:rPr>
            </w:pPr>
          </w:p>
        </w:tc>
        <w:tc>
          <w:tcPr>
            <w:tcW w:w="2320" w:type="dxa"/>
            <w:vAlign w:val="bottom"/>
            <w:shd w:val="clear" w:color="auto" w:fill="9DB8D2"/>
          </w:tcPr>
          <w:p>
            <w:pPr>
              <w:spacing w:after="0"/>
              <w:rPr>
                <w:sz w:val="14"/>
                <w:szCs w:val="14"/>
                <w:color w:val="auto"/>
              </w:rPr>
            </w:pPr>
          </w:p>
        </w:tc>
        <w:tc>
          <w:tcPr>
            <w:tcW w:w="164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Years Credited</w:t>
            </w:r>
          </w:p>
        </w:tc>
        <w:tc>
          <w:tcPr>
            <w:tcW w:w="1660" w:type="dxa"/>
            <w:vAlign w:val="bottom"/>
            <w:shd w:val="clear" w:color="auto" w:fill="9DB8D2"/>
          </w:tcPr>
          <w:p>
            <w:pPr>
              <w:jc w:val="center"/>
              <w:ind w:left="43"/>
              <w:spacing w:after="0"/>
              <w:rPr>
                <w:sz w:val="20"/>
                <w:szCs w:val="20"/>
                <w:color w:val="auto"/>
              </w:rPr>
            </w:pPr>
            <w:r>
              <w:rPr>
                <w:rFonts w:ascii="Arial" w:cs="Arial" w:eastAsia="Arial" w:hAnsi="Arial"/>
                <w:sz w:val="14"/>
                <w:szCs w:val="14"/>
                <w:b w:val="1"/>
                <w:bCs w:val="1"/>
                <w:color w:val="auto"/>
              </w:rPr>
              <w:t>Accumulated</w:t>
            </w:r>
          </w:p>
        </w:tc>
        <w:tc>
          <w:tcPr>
            <w:tcW w:w="1280" w:type="dxa"/>
            <w:vAlign w:val="bottom"/>
            <w:shd w:val="clear" w:color="auto" w:fill="9DB8D2"/>
          </w:tcPr>
          <w:p>
            <w:pPr>
              <w:jc w:val="right"/>
              <w:ind w:right="203"/>
              <w:spacing w:after="0"/>
              <w:rPr>
                <w:sz w:val="20"/>
                <w:szCs w:val="20"/>
                <w:color w:val="auto"/>
              </w:rPr>
            </w:pPr>
            <w:r>
              <w:rPr>
                <w:rFonts w:ascii="Arial" w:cs="Arial" w:eastAsia="Arial" w:hAnsi="Arial"/>
                <w:sz w:val="14"/>
                <w:szCs w:val="14"/>
                <w:b w:val="1"/>
                <w:bCs w:val="1"/>
                <w:color w:val="auto"/>
              </w:rPr>
              <w:t>During Last</w:t>
            </w:r>
          </w:p>
        </w:tc>
      </w:tr>
      <w:tr>
        <w:trPr>
          <w:trHeight w:val="162"/>
        </w:trPr>
        <w:tc>
          <w:tcPr>
            <w:tcW w:w="4520" w:type="dxa"/>
            <w:vAlign w:val="bottom"/>
            <w:shd w:val="clear" w:color="auto" w:fill="9DB8D2"/>
          </w:tcPr>
          <w:p>
            <w:pPr>
              <w:spacing w:after="0"/>
              <w:rPr>
                <w:sz w:val="14"/>
                <w:szCs w:val="14"/>
                <w:color w:val="auto"/>
              </w:rPr>
            </w:pPr>
          </w:p>
        </w:tc>
        <w:tc>
          <w:tcPr>
            <w:tcW w:w="2320" w:type="dxa"/>
            <w:vAlign w:val="bottom"/>
            <w:shd w:val="clear" w:color="auto" w:fill="9DB8D2"/>
          </w:tcPr>
          <w:p>
            <w:pPr>
              <w:spacing w:after="0"/>
              <w:rPr>
                <w:sz w:val="14"/>
                <w:szCs w:val="14"/>
                <w:color w:val="auto"/>
              </w:rPr>
            </w:pPr>
          </w:p>
        </w:tc>
        <w:tc>
          <w:tcPr>
            <w:tcW w:w="164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Service</w:t>
            </w:r>
          </w:p>
        </w:tc>
        <w:tc>
          <w:tcPr>
            <w:tcW w:w="1660" w:type="dxa"/>
            <w:vAlign w:val="bottom"/>
            <w:shd w:val="clear" w:color="auto" w:fill="9DB8D2"/>
          </w:tcPr>
          <w:p>
            <w:pPr>
              <w:jc w:val="center"/>
              <w:ind w:left="63"/>
              <w:spacing w:after="0"/>
              <w:rPr>
                <w:sz w:val="20"/>
                <w:szCs w:val="20"/>
                <w:color w:val="auto"/>
              </w:rPr>
            </w:pPr>
            <w:r>
              <w:rPr>
                <w:rFonts w:ascii="Arial" w:cs="Arial" w:eastAsia="Arial" w:hAnsi="Arial"/>
                <w:sz w:val="14"/>
                <w:szCs w:val="14"/>
                <w:b w:val="1"/>
                <w:bCs w:val="1"/>
                <w:color w:val="auto"/>
              </w:rPr>
              <w:t>Benefit</w:t>
            </w:r>
          </w:p>
        </w:tc>
        <w:tc>
          <w:tcPr>
            <w:tcW w:w="1280" w:type="dxa"/>
            <w:vAlign w:val="bottom"/>
            <w:shd w:val="clear" w:color="auto" w:fill="9DB8D2"/>
          </w:tcPr>
          <w:p>
            <w:pPr>
              <w:jc w:val="right"/>
              <w:ind w:right="223"/>
              <w:spacing w:after="0"/>
              <w:rPr>
                <w:sz w:val="20"/>
                <w:szCs w:val="20"/>
                <w:color w:val="auto"/>
              </w:rPr>
            </w:pPr>
            <w:r>
              <w:rPr>
                <w:rFonts w:ascii="Arial" w:cs="Arial" w:eastAsia="Arial" w:hAnsi="Arial"/>
                <w:sz w:val="14"/>
                <w:szCs w:val="14"/>
                <w:b w:val="1"/>
                <w:bCs w:val="1"/>
                <w:color w:val="auto"/>
              </w:rPr>
              <w:t>Fiscal Year</w:t>
            </w:r>
          </w:p>
        </w:tc>
      </w:tr>
      <w:tr>
        <w:trPr>
          <w:trHeight w:val="189"/>
        </w:trPr>
        <w:tc>
          <w:tcPr>
            <w:tcW w:w="452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Name &amp; Principal Position</w:t>
            </w:r>
          </w:p>
        </w:tc>
        <w:tc>
          <w:tcPr>
            <w:tcW w:w="2320" w:type="dxa"/>
            <w:vAlign w:val="bottom"/>
            <w:tcBorders>
              <w:bottom w:val="single" w:sz="8" w:color="auto"/>
            </w:tcBorders>
            <w:shd w:val="clear" w:color="auto" w:fill="9DB8D2"/>
          </w:tcPr>
          <w:p>
            <w:pPr>
              <w:jc w:val="center"/>
              <w:ind w:left="220"/>
              <w:spacing w:after="0"/>
              <w:rPr>
                <w:sz w:val="20"/>
                <w:szCs w:val="20"/>
                <w:color w:val="auto"/>
              </w:rPr>
            </w:pPr>
            <w:r>
              <w:rPr>
                <w:rFonts w:ascii="Arial" w:cs="Arial" w:eastAsia="Arial" w:hAnsi="Arial"/>
                <w:sz w:val="14"/>
                <w:szCs w:val="14"/>
                <w:b w:val="1"/>
                <w:bCs w:val="1"/>
                <w:color w:val="auto"/>
              </w:rPr>
              <w:t>Plan Name</w:t>
            </w:r>
          </w:p>
        </w:tc>
        <w:tc>
          <w:tcPr>
            <w:tcW w:w="164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shd w:val="clear" w:color="auto" w:fill="9DB8D2"/>
          </w:tcPr>
          <w:p>
            <w:pPr>
              <w:jc w:val="center"/>
              <w:ind w:left="43"/>
              <w:spacing w:after="0"/>
              <w:rPr>
                <w:sz w:val="20"/>
                <w:szCs w:val="20"/>
                <w:color w:val="auto"/>
              </w:rPr>
            </w:pPr>
            <w:r>
              <w:rPr>
                <w:rFonts w:ascii="Arial" w:cs="Arial" w:eastAsia="Arial" w:hAnsi="Arial"/>
                <w:sz w:val="14"/>
                <w:szCs w:val="14"/>
                <w:b w:val="1"/>
                <w:bCs w:val="1"/>
                <w:color w:val="auto"/>
                <w:w w:val="99"/>
              </w:rPr>
              <w:t>($)(1)</w:t>
            </w:r>
          </w:p>
        </w:tc>
        <w:tc>
          <w:tcPr>
            <w:tcW w:w="1280" w:type="dxa"/>
            <w:vAlign w:val="bottom"/>
            <w:tcBorders>
              <w:bottom w:val="single" w:sz="8" w:color="auto"/>
            </w:tcBorders>
            <w:shd w:val="clear" w:color="auto" w:fill="9DB8D2"/>
          </w:tcPr>
          <w:p>
            <w:pPr>
              <w:jc w:val="right"/>
              <w:ind w:right="503"/>
              <w:spacing w:after="0"/>
              <w:rPr>
                <w:sz w:val="20"/>
                <w:szCs w:val="20"/>
                <w:color w:val="auto"/>
              </w:rPr>
            </w:pPr>
            <w:r>
              <w:rPr>
                <w:rFonts w:ascii="Arial" w:cs="Arial" w:eastAsia="Arial" w:hAnsi="Arial"/>
                <w:sz w:val="14"/>
                <w:szCs w:val="14"/>
                <w:b w:val="1"/>
                <w:bCs w:val="1"/>
                <w:color w:val="auto"/>
              </w:rPr>
              <w:t>($)</w:t>
            </w:r>
          </w:p>
        </w:tc>
      </w:tr>
      <w:tr>
        <w:trPr>
          <w:trHeight w:val="168"/>
        </w:trPr>
        <w:tc>
          <w:tcPr>
            <w:tcW w:w="4520" w:type="dxa"/>
            <w:vAlign w:val="bottom"/>
            <w:shd w:val="clear" w:color="auto" w:fill="E6EDF3"/>
          </w:tcPr>
          <w:p>
            <w:pPr>
              <w:ind w:left="80"/>
              <w:spacing w:after="0" w:line="168" w:lineRule="exact"/>
              <w:rPr>
                <w:sz w:val="20"/>
                <w:szCs w:val="20"/>
                <w:color w:val="auto"/>
              </w:rPr>
            </w:pPr>
            <w:r>
              <w:rPr>
                <w:rFonts w:ascii="Arial" w:cs="Arial" w:eastAsia="Arial" w:hAnsi="Arial"/>
                <w:sz w:val="16"/>
                <w:szCs w:val="16"/>
                <w:color w:val="auto"/>
              </w:rPr>
              <w:t>Jonas Prising</w:t>
            </w:r>
          </w:p>
        </w:tc>
        <w:tc>
          <w:tcPr>
            <w:tcW w:w="2320" w:type="dxa"/>
            <w:vAlign w:val="bottom"/>
            <w:shd w:val="clear" w:color="auto" w:fill="E6EDF3"/>
          </w:tcPr>
          <w:p>
            <w:pPr>
              <w:spacing w:after="0"/>
              <w:rPr>
                <w:sz w:val="14"/>
                <w:szCs w:val="14"/>
                <w:color w:val="auto"/>
              </w:rPr>
            </w:pPr>
          </w:p>
        </w:tc>
        <w:tc>
          <w:tcPr>
            <w:tcW w:w="1640" w:type="dxa"/>
            <w:vAlign w:val="bottom"/>
            <w:shd w:val="clear" w:color="auto" w:fill="E6EDF3"/>
          </w:tcPr>
          <w:p>
            <w:pPr>
              <w:spacing w:after="0"/>
              <w:rPr>
                <w:sz w:val="14"/>
                <w:szCs w:val="14"/>
                <w:color w:val="auto"/>
              </w:rPr>
            </w:pPr>
          </w:p>
        </w:tc>
        <w:tc>
          <w:tcPr>
            <w:tcW w:w="1660" w:type="dxa"/>
            <w:vAlign w:val="bottom"/>
            <w:shd w:val="clear" w:color="auto" w:fill="E6EDF3"/>
          </w:tcPr>
          <w:p>
            <w:pPr>
              <w:spacing w:after="0"/>
              <w:rPr>
                <w:sz w:val="14"/>
                <w:szCs w:val="14"/>
                <w:color w:val="auto"/>
              </w:rPr>
            </w:pPr>
          </w:p>
        </w:tc>
        <w:tc>
          <w:tcPr>
            <w:tcW w:w="1280" w:type="dxa"/>
            <w:vAlign w:val="bottom"/>
            <w:shd w:val="clear" w:color="auto" w:fill="E6EDF3"/>
          </w:tcPr>
          <w:p>
            <w:pPr>
              <w:spacing w:after="0"/>
              <w:rPr>
                <w:sz w:val="14"/>
                <w:szCs w:val="14"/>
                <w:color w:val="auto"/>
              </w:rPr>
            </w:pPr>
          </w:p>
        </w:tc>
      </w:tr>
      <w:tr>
        <w:trPr>
          <w:trHeight w:val="217"/>
        </w:trPr>
        <w:tc>
          <w:tcPr>
            <w:tcW w:w="4520" w:type="dxa"/>
            <w:vAlign w:val="bottom"/>
            <w:shd w:val="clear" w:color="auto" w:fill="E6EDF3"/>
          </w:tcPr>
          <w:p>
            <w:pPr>
              <w:ind w:left="240"/>
              <w:spacing w:after="0"/>
              <w:rPr>
                <w:sz w:val="20"/>
                <w:szCs w:val="20"/>
                <w:color w:val="auto"/>
              </w:rPr>
            </w:pPr>
            <w:r>
              <w:rPr>
                <w:rFonts w:ascii="Arial" w:cs="Arial" w:eastAsia="Arial" w:hAnsi="Arial"/>
                <w:sz w:val="16"/>
                <w:szCs w:val="16"/>
                <w:i w:val="1"/>
                <w:iCs w:val="1"/>
                <w:color w:val="auto"/>
              </w:rPr>
              <w:t>CEO</w:t>
            </w:r>
          </w:p>
        </w:tc>
        <w:tc>
          <w:tcPr>
            <w:tcW w:w="2320" w:type="dxa"/>
            <w:vAlign w:val="bottom"/>
            <w:shd w:val="clear" w:color="auto" w:fill="E6EDF3"/>
          </w:tcPr>
          <w:p>
            <w:pPr>
              <w:jc w:val="center"/>
              <w:ind w:left="220"/>
              <w:spacing w:after="0"/>
              <w:rPr>
                <w:sz w:val="20"/>
                <w:szCs w:val="20"/>
                <w:color w:val="auto"/>
              </w:rPr>
            </w:pPr>
            <w:r>
              <w:rPr>
                <w:rFonts w:ascii="Arial" w:cs="Arial" w:eastAsia="Arial" w:hAnsi="Arial"/>
                <w:sz w:val="16"/>
                <w:szCs w:val="16"/>
                <w:color w:val="auto"/>
                <w:w w:val="97"/>
              </w:rPr>
              <w:t>N/A</w:t>
            </w:r>
          </w:p>
        </w:tc>
        <w:tc>
          <w:tcPr>
            <w:tcW w:w="1640" w:type="dxa"/>
            <w:vAlign w:val="bottom"/>
            <w:shd w:val="clear" w:color="auto" w:fill="E6EDF3"/>
          </w:tcPr>
          <w:p>
            <w:pPr>
              <w:jc w:val="right"/>
              <w:ind w:right="243"/>
              <w:spacing w:after="0"/>
              <w:rPr>
                <w:sz w:val="20"/>
                <w:szCs w:val="20"/>
                <w:color w:val="auto"/>
              </w:rPr>
            </w:pPr>
            <w:r>
              <w:rPr>
                <w:rFonts w:ascii="Arial" w:cs="Arial" w:eastAsia="Arial" w:hAnsi="Arial"/>
                <w:sz w:val="16"/>
                <w:szCs w:val="16"/>
                <w:color w:val="auto"/>
              </w:rPr>
              <w:t>—</w:t>
            </w:r>
          </w:p>
        </w:tc>
        <w:tc>
          <w:tcPr>
            <w:tcW w:w="1660" w:type="dxa"/>
            <w:vAlign w:val="bottom"/>
            <w:shd w:val="clear" w:color="auto" w:fill="E6EDF3"/>
          </w:tcPr>
          <w:p>
            <w:pPr>
              <w:jc w:val="right"/>
              <w:ind w:right="123"/>
              <w:spacing w:after="0"/>
              <w:rPr>
                <w:sz w:val="20"/>
                <w:szCs w:val="20"/>
                <w:color w:val="auto"/>
              </w:rPr>
            </w:pPr>
            <w:r>
              <w:rPr>
                <w:rFonts w:ascii="Arial" w:cs="Arial" w:eastAsia="Arial" w:hAnsi="Arial"/>
                <w:sz w:val="16"/>
                <w:szCs w:val="16"/>
                <w:color w:val="auto"/>
              </w:rPr>
              <w:t>—</w:t>
            </w:r>
          </w:p>
        </w:tc>
        <w:tc>
          <w:tcPr>
            <w:tcW w:w="1280" w:type="dxa"/>
            <w:vAlign w:val="bottom"/>
            <w:shd w:val="clear" w:color="auto" w:fill="E6EDF3"/>
          </w:tcPr>
          <w:p>
            <w:pPr>
              <w:jc w:val="right"/>
              <w:ind w:right="203"/>
              <w:spacing w:after="0"/>
              <w:rPr>
                <w:sz w:val="20"/>
                <w:szCs w:val="20"/>
                <w:color w:val="auto"/>
              </w:rPr>
            </w:pPr>
            <w:r>
              <w:rPr>
                <w:rFonts w:ascii="Arial" w:cs="Arial" w:eastAsia="Arial" w:hAnsi="Arial"/>
                <w:sz w:val="16"/>
                <w:szCs w:val="16"/>
                <w:color w:val="auto"/>
              </w:rPr>
              <w:t>—</w:t>
            </w:r>
          </w:p>
        </w:tc>
      </w:tr>
      <w:tr>
        <w:trPr>
          <w:trHeight w:val="175"/>
        </w:trPr>
        <w:tc>
          <w:tcPr>
            <w:tcW w:w="4520" w:type="dxa"/>
            <w:vAlign w:val="bottom"/>
          </w:tcPr>
          <w:p>
            <w:pPr>
              <w:ind w:left="80"/>
              <w:spacing w:after="0" w:line="175" w:lineRule="exact"/>
              <w:rPr>
                <w:sz w:val="20"/>
                <w:szCs w:val="20"/>
                <w:color w:val="auto"/>
              </w:rPr>
            </w:pPr>
            <w:r>
              <w:rPr>
                <w:rFonts w:ascii="Arial" w:cs="Arial" w:eastAsia="Arial" w:hAnsi="Arial"/>
                <w:sz w:val="16"/>
                <w:szCs w:val="16"/>
                <w:color w:val="auto"/>
              </w:rPr>
              <w:t>John T. McGinnis</w:t>
            </w:r>
          </w:p>
        </w:tc>
        <w:tc>
          <w:tcPr>
            <w:tcW w:w="2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17"/>
        </w:trPr>
        <w:tc>
          <w:tcPr>
            <w:tcW w:w="4520" w:type="dxa"/>
            <w:vAlign w:val="bottom"/>
          </w:tcPr>
          <w:p>
            <w:pPr>
              <w:ind w:left="240"/>
              <w:spacing w:after="0"/>
              <w:rPr>
                <w:sz w:val="20"/>
                <w:szCs w:val="20"/>
                <w:color w:val="auto"/>
              </w:rPr>
            </w:pPr>
            <w:r>
              <w:rPr>
                <w:rFonts w:ascii="Arial" w:cs="Arial" w:eastAsia="Arial" w:hAnsi="Arial"/>
                <w:sz w:val="16"/>
                <w:szCs w:val="16"/>
                <w:i w:val="1"/>
                <w:iCs w:val="1"/>
                <w:color w:val="auto"/>
              </w:rPr>
              <w:t>CFO</w:t>
            </w:r>
          </w:p>
        </w:tc>
        <w:tc>
          <w:tcPr>
            <w:tcW w:w="2320" w:type="dxa"/>
            <w:vAlign w:val="bottom"/>
          </w:tcPr>
          <w:p>
            <w:pPr>
              <w:jc w:val="center"/>
              <w:ind w:left="220"/>
              <w:spacing w:after="0"/>
              <w:rPr>
                <w:sz w:val="20"/>
                <w:szCs w:val="20"/>
                <w:color w:val="auto"/>
              </w:rPr>
            </w:pPr>
            <w:r>
              <w:rPr>
                <w:rFonts w:ascii="Arial" w:cs="Arial" w:eastAsia="Arial" w:hAnsi="Arial"/>
                <w:sz w:val="16"/>
                <w:szCs w:val="16"/>
                <w:color w:val="auto"/>
                <w:w w:val="97"/>
              </w:rPr>
              <w:t>N/A</w:t>
            </w:r>
          </w:p>
        </w:tc>
        <w:tc>
          <w:tcPr>
            <w:tcW w:w="1640" w:type="dxa"/>
            <w:vAlign w:val="bottom"/>
          </w:tcPr>
          <w:p>
            <w:pPr>
              <w:jc w:val="right"/>
              <w:ind w:right="243"/>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3"/>
              <w:spacing w:after="0"/>
              <w:rPr>
                <w:sz w:val="20"/>
                <w:szCs w:val="20"/>
                <w:color w:val="auto"/>
              </w:rPr>
            </w:pPr>
            <w:r>
              <w:rPr>
                <w:rFonts w:ascii="Arial" w:cs="Arial" w:eastAsia="Arial" w:hAnsi="Arial"/>
                <w:sz w:val="16"/>
                <w:szCs w:val="16"/>
                <w:color w:val="auto"/>
              </w:rPr>
              <w:t>—</w:t>
            </w:r>
          </w:p>
        </w:tc>
      </w:tr>
      <w:tr>
        <w:trPr>
          <w:trHeight w:val="175"/>
        </w:trPr>
        <w:tc>
          <w:tcPr>
            <w:tcW w:w="4520" w:type="dxa"/>
            <w:vAlign w:val="bottom"/>
            <w:shd w:val="clear" w:color="auto" w:fill="E6EDF3"/>
          </w:tcPr>
          <w:p>
            <w:pPr>
              <w:ind w:left="80"/>
              <w:spacing w:after="0" w:line="175" w:lineRule="exact"/>
              <w:rPr>
                <w:sz w:val="20"/>
                <w:szCs w:val="20"/>
                <w:color w:val="auto"/>
              </w:rPr>
            </w:pPr>
            <w:r>
              <w:rPr>
                <w:rFonts w:ascii="Arial" w:cs="Arial" w:eastAsia="Arial" w:hAnsi="Arial"/>
                <w:sz w:val="16"/>
                <w:szCs w:val="16"/>
                <w:color w:val="auto"/>
              </w:rPr>
              <w:t>Darryl Green</w:t>
            </w:r>
          </w:p>
        </w:tc>
        <w:tc>
          <w:tcPr>
            <w:tcW w:w="2320" w:type="dxa"/>
            <w:vAlign w:val="bottom"/>
            <w:shd w:val="clear" w:color="auto" w:fill="E6EDF3"/>
          </w:tcPr>
          <w:p>
            <w:pPr>
              <w:spacing w:after="0"/>
              <w:rPr>
                <w:sz w:val="15"/>
                <w:szCs w:val="15"/>
                <w:color w:val="auto"/>
              </w:rPr>
            </w:pPr>
          </w:p>
        </w:tc>
        <w:tc>
          <w:tcPr>
            <w:tcW w:w="1640" w:type="dxa"/>
            <w:vAlign w:val="bottom"/>
            <w:shd w:val="clear" w:color="auto" w:fill="E6EDF3"/>
          </w:tcPr>
          <w:p>
            <w:pPr>
              <w:spacing w:after="0"/>
              <w:rPr>
                <w:sz w:val="15"/>
                <w:szCs w:val="15"/>
                <w:color w:val="auto"/>
              </w:rPr>
            </w:pPr>
          </w:p>
        </w:tc>
        <w:tc>
          <w:tcPr>
            <w:tcW w:w="1660" w:type="dxa"/>
            <w:vAlign w:val="bottom"/>
            <w:shd w:val="clear" w:color="auto" w:fill="E6EDF3"/>
          </w:tcPr>
          <w:p>
            <w:pPr>
              <w:spacing w:after="0"/>
              <w:rPr>
                <w:sz w:val="15"/>
                <w:szCs w:val="15"/>
                <w:color w:val="auto"/>
              </w:rPr>
            </w:pPr>
          </w:p>
        </w:tc>
        <w:tc>
          <w:tcPr>
            <w:tcW w:w="1280" w:type="dxa"/>
            <w:vAlign w:val="bottom"/>
            <w:shd w:val="clear" w:color="auto" w:fill="E6EDF3"/>
          </w:tcPr>
          <w:p>
            <w:pPr>
              <w:spacing w:after="0"/>
              <w:rPr>
                <w:sz w:val="15"/>
                <w:szCs w:val="15"/>
                <w:color w:val="auto"/>
              </w:rPr>
            </w:pPr>
          </w:p>
        </w:tc>
      </w:tr>
      <w:tr>
        <w:trPr>
          <w:trHeight w:val="217"/>
        </w:trPr>
        <w:tc>
          <w:tcPr>
            <w:tcW w:w="4520" w:type="dxa"/>
            <w:vAlign w:val="bottom"/>
            <w:shd w:val="clear" w:color="auto" w:fill="E6EDF3"/>
          </w:tcPr>
          <w:p>
            <w:pPr>
              <w:ind w:left="240"/>
              <w:spacing w:after="0"/>
              <w:rPr>
                <w:sz w:val="20"/>
                <w:szCs w:val="20"/>
                <w:color w:val="auto"/>
              </w:rPr>
            </w:pPr>
            <w:r>
              <w:rPr>
                <w:rFonts w:ascii="Arial" w:cs="Arial" w:eastAsia="Arial" w:hAnsi="Arial"/>
                <w:sz w:val="16"/>
                <w:szCs w:val="16"/>
                <w:i w:val="1"/>
                <w:iCs w:val="1"/>
                <w:color w:val="auto"/>
              </w:rPr>
              <w:t>President &amp; COO</w:t>
            </w:r>
          </w:p>
        </w:tc>
        <w:tc>
          <w:tcPr>
            <w:tcW w:w="2320" w:type="dxa"/>
            <w:vAlign w:val="bottom"/>
            <w:shd w:val="clear" w:color="auto" w:fill="E6EDF3"/>
          </w:tcPr>
          <w:p>
            <w:pPr>
              <w:jc w:val="center"/>
              <w:ind w:left="220"/>
              <w:spacing w:after="0"/>
              <w:rPr>
                <w:sz w:val="20"/>
                <w:szCs w:val="20"/>
                <w:color w:val="auto"/>
              </w:rPr>
            </w:pPr>
            <w:r>
              <w:rPr>
                <w:rFonts w:ascii="Arial" w:cs="Arial" w:eastAsia="Arial" w:hAnsi="Arial"/>
                <w:sz w:val="16"/>
                <w:szCs w:val="16"/>
                <w:color w:val="auto"/>
                <w:w w:val="97"/>
              </w:rPr>
              <w:t>N/A</w:t>
            </w:r>
          </w:p>
        </w:tc>
        <w:tc>
          <w:tcPr>
            <w:tcW w:w="1640" w:type="dxa"/>
            <w:vAlign w:val="bottom"/>
            <w:shd w:val="clear" w:color="auto" w:fill="E6EDF3"/>
          </w:tcPr>
          <w:p>
            <w:pPr>
              <w:jc w:val="right"/>
              <w:ind w:right="243"/>
              <w:spacing w:after="0"/>
              <w:rPr>
                <w:sz w:val="20"/>
                <w:szCs w:val="20"/>
                <w:color w:val="auto"/>
              </w:rPr>
            </w:pPr>
            <w:r>
              <w:rPr>
                <w:rFonts w:ascii="Arial" w:cs="Arial" w:eastAsia="Arial" w:hAnsi="Arial"/>
                <w:sz w:val="16"/>
                <w:szCs w:val="16"/>
                <w:color w:val="auto"/>
              </w:rPr>
              <w:t>—</w:t>
            </w:r>
          </w:p>
        </w:tc>
        <w:tc>
          <w:tcPr>
            <w:tcW w:w="1660" w:type="dxa"/>
            <w:vAlign w:val="bottom"/>
            <w:shd w:val="clear" w:color="auto" w:fill="E6EDF3"/>
          </w:tcPr>
          <w:p>
            <w:pPr>
              <w:jc w:val="right"/>
              <w:ind w:right="123"/>
              <w:spacing w:after="0"/>
              <w:rPr>
                <w:sz w:val="20"/>
                <w:szCs w:val="20"/>
                <w:color w:val="auto"/>
              </w:rPr>
            </w:pPr>
            <w:r>
              <w:rPr>
                <w:rFonts w:ascii="Arial" w:cs="Arial" w:eastAsia="Arial" w:hAnsi="Arial"/>
                <w:sz w:val="16"/>
                <w:szCs w:val="16"/>
                <w:color w:val="auto"/>
              </w:rPr>
              <w:t>—</w:t>
            </w:r>
          </w:p>
        </w:tc>
        <w:tc>
          <w:tcPr>
            <w:tcW w:w="1280" w:type="dxa"/>
            <w:vAlign w:val="bottom"/>
            <w:shd w:val="clear" w:color="auto" w:fill="E6EDF3"/>
          </w:tcPr>
          <w:p>
            <w:pPr>
              <w:jc w:val="right"/>
              <w:ind w:right="203"/>
              <w:spacing w:after="0"/>
              <w:rPr>
                <w:sz w:val="20"/>
                <w:szCs w:val="20"/>
                <w:color w:val="auto"/>
              </w:rPr>
            </w:pPr>
            <w:r>
              <w:rPr>
                <w:rFonts w:ascii="Arial" w:cs="Arial" w:eastAsia="Arial" w:hAnsi="Arial"/>
                <w:sz w:val="16"/>
                <w:szCs w:val="16"/>
                <w:color w:val="auto"/>
              </w:rPr>
              <w:t>—</w:t>
            </w:r>
          </w:p>
        </w:tc>
      </w:tr>
      <w:tr>
        <w:trPr>
          <w:trHeight w:val="175"/>
        </w:trPr>
        <w:tc>
          <w:tcPr>
            <w:tcW w:w="4520" w:type="dxa"/>
            <w:vAlign w:val="bottom"/>
          </w:tcPr>
          <w:p>
            <w:pPr>
              <w:ind w:left="80"/>
              <w:spacing w:after="0" w:line="175" w:lineRule="exact"/>
              <w:rPr>
                <w:sz w:val="20"/>
                <w:szCs w:val="20"/>
                <w:color w:val="auto"/>
              </w:rPr>
            </w:pPr>
            <w:r>
              <w:rPr>
                <w:rFonts w:ascii="Arial" w:cs="Arial" w:eastAsia="Arial" w:hAnsi="Arial"/>
                <w:sz w:val="16"/>
                <w:szCs w:val="16"/>
                <w:color w:val="auto"/>
              </w:rPr>
              <w:t>Ram Chandrashekar</w:t>
            </w:r>
          </w:p>
        </w:tc>
        <w:tc>
          <w:tcPr>
            <w:tcW w:w="2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9"/>
        </w:trPr>
        <w:tc>
          <w:tcPr>
            <w:tcW w:w="4520" w:type="dxa"/>
            <w:vAlign w:val="bottom"/>
          </w:tcPr>
          <w:p>
            <w:pPr>
              <w:ind w:left="240"/>
              <w:spacing w:after="0"/>
              <w:rPr>
                <w:sz w:val="20"/>
                <w:szCs w:val="20"/>
                <w:color w:val="auto"/>
              </w:rPr>
            </w:pPr>
            <w:r>
              <w:rPr>
                <w:rFonts w:ascii="Arial" w:cs="Arial" w:eastAsia="Arial" w:hAnsi="Arial"/>
                <w:sz w:val="16"/>
                <w:szCs w:val="16"/>
                <w:i w:val="1"/>
                <w:iCs w:val="1"/>
                <w:color w:val="auto"/>
              </w:rPr>
              <w:t>EVP, Operational Excellence &amp; IT and</w:t>
            </w:r>
          </w:p>
        </w:tc>
        <w:tc>
          <w:tcPr>
            <w:tcW w:w="2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7"/>
        </w:trPr>
        <w:tc>
          <w:tcPr>
            <w:tcW w:w="4520" w:type="dxa"/>
            <w:vAlign w:val="bottom"/>
          </w:tcPr>
          <w:p>
            <w:pPr>
              <w:ind w:left="240"/>
              <w:spacing w:after="0"/>
              <w:rPr>
                <w:sz w:val="20"/>
                <w:szCs w:val="20"/>
                <w:color w:val="auto"/>
              </w:rPr>
            </w:pPr>
            <w:r>
              <w:rPr>
                <w:rFonts w:ascii="Arial" w:cs="Arial" w:eastAsia="Arial" w:hAnsi="Arial"/>
                <w:sz w:val="16"/>
                <w:szCs w:val="16"/>
                <w:i w:val="1"/>
                <w:iCs w:val="1"/>
                <w:color w:val="auto"/>
              </w:rPr>
              <w:t>President, Asia Pacific Middle East</w:t>
            </w:r>
          </w:p>
        </w:tc>
        <w:tc>
          <w:tcPr>
            <w:tcW w:w="2320" w:type="dxa"/>
            <w:vAlign w:val="bottom"/>
          </w:tcPr>
          <w:p>
            <w:pPr>
              <w:jc w:val="center"/>
              <w:ind w:left="220"/>
              <w:spacing w:after="0"/>
              <w:rPr>
                <w:sz w:val="20"/>
                <w:szCs w:val="20"/>
                <w:color w:val="auto"/>
              </w:rPr>
            </w:pPr>
            <w:r>
              <w:rPr>
                <w:rFonts w:ascii="Arial" w:cs="Arial" w:eastAsia="Arial" w:hAnsi="Arial"/>
                <w:sz w:val="16"/>
                <w:szCs w:val="16"/>
                <w:color w:val="auto"/>
                <w:w w:val="97"/>
              </w:rPr>
              <w:t>N/A</w:t>
            </w:r>
          </w:p>
        </w:tc>
        <w:tc>
          <w:tcPr>
            <w:tcW w:w="1640" w:type="dxa"/>
            <w:vAlign w:val="bottom"/>
          </w:tcPr>
          <w:p>
            <w:pPr>
              <w:jc w:val="right"/>
              <w:ind w:right="243"/>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3"/>
              <w:spacing w:after="0"/>
              <w:rPr>
                <w:sz w:val="20"/>
                <w:szCs w:val="20"/>
                <w:color w:val="auto"/>
              </w:rPr>
            </w:pPr>
            <w:r>
              <w:rPr>
                <w:rFonts w:ascii="Arial" w:cs="Arial" w:eastAsia="Arial" w:hAnsi="Arial"/>
                <w:sz w:val="16"/>
                <w:szCs w:val="16"/>
                <w:color w:val="auto"/>
              </w:rPr>
              <w:t>—</w:t>
            </w:r>
          </w:p>
        </w:tc>
      </w:tr>
      <w:tr>
        <w:trPr>
          <w:trHeight w:val="175"/>
        </w:trPr>
        <w:tc>
          <w:tcPr>
            <w:tcW w:w="4520" w:type="dxa"/>
            <w:vAlign w:val="bottom"/>
            <w:shd w:val="clear" w:color="auto" w:fill="E6EDF3"/>
          </w:tcPr>
          <w:p>
            <w:pPr>
              <w:ind w:left="80"/>
              <w:spacing w:after="0" w:line="175" w:lineRule="exact"/>
              <w:rPr>
                <w:sz w:val="20"/>
                <w:szCs w:val="20"/>
                <w:color w:val="auto"/>
              </w:rPr>
            </w:pPr>
            <w:r>
              <w:rPr>
                <w:rFonts w:ascii="Arial" w:cs="Arial" w:eastAsia="Arial" w:hAnsi="Arial"/>
                <w:sz w:val="16"/>
                <w:szCs w:val="16"/>
                <w:color w:val="auto"/>
              </w:rPr>
              <w:t>Mara E. Swan</w:t>
            </w:r>
          </w:p>
        </w:tc>
        <w:tc>
          <w:tcPr>
            <w:tcW w:w="2320" w:type="dxa"/>
            <w:vAlign w:val="bottom"/>
            <w:shd w:val="clear" w:color="auto" w:fill="E6EDF3"/>
          </w:tcPr>
          <w:p>
            <w:pPr>
              <w:spacing w:after="0"/>
              <w:rPr>
                <w:sz w:val="15"/>
                <w:szCs w:val="15"/>
                <w:color w:val="auto"/>
              </w:rPr>
            </w:pPr>
          </w:p>
        </w:tc>
        <w:tc>
          <w:tcPr>
            <w:tcW w:w="1640" w:type="dxa"/>
            <w:vAlign w:val="bottom"/>
            <w:shd w:val="clear" w:color="auto" w:fill="E6EDF3"/>
          </w:tcPr>
          <w:p>
            <w:pPr>
              <w:spacing w:after="0"/>
              <w:rPr>
                <w:sz w:val="15"/>
                <w:szCs w:val="15"/>
                <w:color w:val="auto"/>
              </w:rPr>
            </w:pPr>
          </w:p>
        </w:tc>
        <w:tc>
          <w:tcPr>
            <w:tcW w:w="1660" w:type="dxa"/>
            <w:vAlign w:val="bottom"/>
            <w:shd w:val="clear" w:color="auto" w:fill="E6EDF3"/>
          </w:tcPr>
          <w:p>
            <w:pPr>
              <w:spacing w:after="0"/>
              <w:rPr>
                <w:sz w:val="15"/>
                <w:szCs w:val="15"/>
                <w:color w:val="auto"/>
              </w:rPr>
            </w:pPr>
          </w:p>
        </w:tc>
        <w:tc>
          <w:tcPr>
            <w:tcW w:w="1280" w:type="dxa"/>
            <w:vAlign w:val="bottom"/>
            <w:shd w:val="clear" w:color="auto" w:fill="E6EDF3"/>
          </w:tcPr>
          <w:p>
            <w:pPr>
              <w:spacing w:after="0"/>
              <w:rPr>
                <w:sz w:val="15"/>
                <w:szCs w:val="15"/>
                <w:color w:val="auto"/>
              </w:rPr>
            </w:pPr>
          </w:p>
        </w:tc>
      </w:tr>
      <w:tr>
        <w:trPr>
          <w:trHeight w:val="217"/>
        </w:trPr>
        <w:tc>
          <w:tcPr>
            <w:tcW w:w="4520" w:type="dxa"/>
            <w:vAlign w:val="bottom"/>
            <w:shd w:val="clear" w:color="auto" w:fill="E6EDF3"/>
          </w:tcPr>
          <w:p>
            <w:pPr>
              <w:ind w:left="240"/>
              <w:spacing w:after="0"/>
              <w:rPr>
                <w:sz w:val="20"/>
                <w:szCs w:val="20"/>
                <w:color w:val="auto"/>
              </w:rPr>
            </w:pPr>
            <w:r>
              <w:rPr>
                <w:rFonts w:ascii="Arial" w:cs="Arial" w:eastAsia="Arial" w:hAnsi="Arial"/>
                <w:sz w:val="16"/>
                <w:szCs w:val="16"/>
                <w:i w:val="1"/>
                <w:iCs w:val="1"/>
                <w:color w:val="auto"/>
              </w:rPr>
              <w:t>EVP, Global Strategy and Talent</w:t>
            </w:r>
          </w:p>
        </w:tc>
        <w:tc>
          <w:tcPr>
            <w:tcW w:w="2320" w:type="dxa"/>
            <w:vAlign w:val="bottom"/>
            <w:shd w:val="clear" w:color="auto" w:fill="E6EDF3"/>
          </w:tcPr>
          <w:p>
            <w:pPr>
              <w:jc w:val="center"/>
              <w:ind w:left="220"/>
              <w:spacing w:after="0"/>
              <w:rPr>
                <w:sz w:val="20"/>
                <w:szCs w:val="20"/>
                <w:color w:val="auto"/>
              </w:rPr>
            </w:pPr>
            <w:r>
              <w:rPr>
                <w:rFonts w:ascii="Arial" w:cs="Arial" w:eastAsia="Arial" w:hAnsi="Arial"/>
                <w:sz w:val="16"/>
                <w:szCs w:val="16"/>
                <w:color w:val="auto"/>
                <w:w w:val="97"/>
              </w:rPr>
              <w:t>N/A</w:t>
            </w:r>
          </w:p>
        </w:tc>
        <w:tc>
          <w:tcPr>
            <w:tcW w:w="1640" w:type="dxa"/>
            <w:vAlign w:val="bottom"/>
            <w:shd w:val="clear" w:color="auto" w:fill="E6EDF3"/>
          </w:tcPr>
          <w:p>
            <w:pPr>
              <w:jc w:val="right"/>
              <w:ind w:right="243"/>
              <w:spacing w:after="0"/>
              <w:rPr>
                <w:sz w:val="20"/>
                <w:szCs w:val="20"/>
                <w:color w:val="auto"/>
              </w:rPr>
            </w:pPr>
            <w:r>
              <w:rPr>
                <w:rFonts w:ascii="Arial" w:cs="Arial" w:eastAsia="Arial" w:hAnsi="Arial"/>
                <w:sz w:val="16"/>
                <w:szCs w:val="16"/>
                <w:color w:val="auto"/>
              </w:rPr>
              <w:t>—</w:t>
            </w:r>
          </w:p>
        </w:tc>
        <w:tc>
          <w:tcPr>
            <w:tcW w:w="1660" w:type="dxa"/>
            <w:vAlign w:val="bottom"/>
            <w:shd w:val="clear" w:color="auto" w:fill="E6EDF3"/>
          </w:tcPr>
          <w:p>
            <w:pPr>
              <w:jc w:val="right"/>
              <w:ind w:right="123"/>
              <w:spacing w:after="0"/>
              <w:rPr>
                <w:sz w:val="20"/>
                <w:szCs w:val="20"/>
                <w:color w:val="auto"/>
              </w:rPr>
            </w:pPr>
            <w:r>
              <w:rPr>
                <w:rFonts w:ascii="Arial" w:cs="Arial" w:eastAsia="Arial" w:hAnsi="Arial"/>
                <w:sz w:val="16"/>
                <w:szCs w:val="16"/>
                <w:color w:val="auto"/>
              </w:rPr>
              <w:t>—</w:t>
            </w:r>
          </w:p>
        </w:tc>
        <w:tc>
          <w:tcPr>
            <w:tcW w:w="1280" w:type="dxa"/>
            <w:vAlign w:val="bottom"/>
            <w:shd w:val="clear" w:color="auto" w:fill="E6EDF3"/>
          </w:tcPr>
          <w:p>
            <w:pPr>
              <w:jc w:val="right"/>
              <w:ind w:right="203"/>
              <w:spacing w:after="0"/>
              <w:rPr>
                <w:sz w:val="20"/>
                <w:szCs w:val="20"/>
                <w:color w:val="auto"/>
              </w:rPr>
            </w:pPr>
            <w:r>
              <w:rPr>
                <w:rFonts w:ascii="Arial" w:cs="Arial" w:eastAsia="Arial" w:hAnsi="Arial"/>
                <w:sz w:val="16"/>
                <w:szCs w:val="16"/>
                <w:color w:val="auto"/>
              </w:rPr>
              <w:t>—</w:t>
            </w:r>
          </w:p>
        </w:tc>
      </w:tr>
      <w:tr>
        <w:trPr>
          <w:trHeight w:val="175"/>
        </w:trPr>
        <w:tc>
          <w:tcPr>
            <w:tcW w:w="4520" w:type="dxa"/>
            <w:vAlign w:val="bottom"/>
          </w:tcPr>
          <w:p>
            <w:pPr>
              <w:ind w:left="80"/>
              <w:spacing w:after="0" w:line="175" w:lineRule="exact"/>
              <w:rPr>
                <w:sz w:val="20"/>
                <w:szCs w:val="20"/>
                <w:color w:val="auto"/>
              </w:rPr>
            </w:pPr>
            <w:r>
              <w:rPr>
                <w:rFonts w:ascii="Arial" w:cs="Arial" w:eastAsia="Arial" w:hAnsi="Arial"/>
                <w:sz w:val="16"/>
                <w:szCs w:val="16"/>
                <w:color w:val="auto"/>
              </w:rPr>
              <w:t>Michael J. Van Handel</w:t>
            </w:r>
          </w:p>
        </w:tc>
        <w:tc>
          <w:tcPr>
            <w:tcW w:w="2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17"/>
        </w:trPr>
        <w:tc>
          <w:tcPr>
            <w:tcW w:w="4520" w:type="dxa"/>
            <w:vAlign w:val="bottom"/>
            <w:tcBorders>
              <w:bottom w:val="single" w:sz="8" w:color="auto"/>
            </w:tcBorders>
          </w:tcPr>
          <w:p>
            <w:pPr>
              <w:ind w:left="240"/>
              <w:spacing w:after="0"/>
              <w:rPr>
                <w:sz w:val="20"/>
                <w:szCs w:val="20"/>
                <w:color w:val="auto"/>
              </w:rPr>
            </w:pPr>
            <w:r>
              <w:rPr>
                <w:rFonts w:ascii="Arial" w:cs="Arial" w:eastAsia="Arial" w:hAnsi="Arial"/>
                <w:sz w:val="16"/>
                <w:szCs w:val="16"/>
                <w:i w:val="1"/>
                <w:iCs w:val="1"/>
                <w:color w:val="auto"/>
              </w:rPr>
              <w:t>Senior EVP and Former CFO</w:t>
            </w:r>
          </w:p>
        </w:tc>
        <w:tc>
          <w:tcPr>
            <w:tcW w:w="2320" w:type="dxa"/>
            <w:vAlign w:val="bottom"/>
            <w:tcBorders>
              <w:bottom w:val="single" w:sz="8" w:color="auto"/>
            </w:tcBorders>
          </w:tcPr>
          <w:p>
            <w:pPr>
              <w:jc w:val="center"/>
              <w:ind w:left="220"/>
              <w:spacing w:after="0"/>
              <w:rPr>
                <w:sz w:val="20"/>
                <w:szCs w:val="20"/>
                <w:color w:val="auto"/>
              </w:rPr>
            </w:pPr>
            <w:r>
              <w:rPr>
                <w:rFonts w:ascii="Arial" w:cs="Arial" w:eastAsia="Arial" w:hAnsi="Arial"/>
                <w:sz w:val="16"/>
                <w:szCs w:val="16"/>
                <w:color w:val="auto"/>
              </w:rPr>
              <w:t>U.S. Pension Plans</w:t>
            </w:r>
          </w:p>
        </w:tc>
        <w:tc>
          <w:tcPr>
            <w:tcW w:w="164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color w:val="auto"/>
              </w:rPr>
              <w:t>11</w:t>
            </w:r>
          </w:p>
        </w:tc>
        <w:tc>
          <w:tcPr>
            <w:tcW w:w="166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131,714</w:t>
            </w:r>
          </w:p>
        </w:tc>
        <w:tc>
          <w:tcPr>
            <w:tcW w:w="128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w:t>
            </w:r>
          </w:p>
        </w:tc>
      </w:tr>
    </w:tbl>
    <w:p>
      <w:pPr>
        <w:spacing w:after="0" w:line="72" w:lineRule="exact"/>
        <w:rPr>
          <w:sz w:val="20"/>
          <w:szCs w:val="20"/>
          <w:color w:val="auto"/>
        </w:rPr>
      </w:pPr>
    </w:p>
    <w:p>
      <w:pPr>
        <w:ind w:left="340" w:right="60" w:hanging="332"/>
        <w:spacing w:after="0" w:line="258"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For Mr. Van Handel, present value has been calculated as of December 31, 2016 assuming a 3.99% discount rate and retirement occurring at age 65, as well as applying the RP-2006 Mortality Table with the MP-2016 Projection Scale, as required for plan financial reporting purposes.</w:t>
      </w:r>
    </w:p>
    <w:p>
      <w:pPr>
        <w:spacing w:after="0" w:line="166"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 xml:space="preserve">U.S. pension plans. </w:t>
      </w:r>
      <w:r>
        <w:rPr>
          <w:rFonts w:ascii="Arial" w:cs="Arial" w:eastAsia="Arial" w:hAnsi="Arial"/>
          <w:sz w:val="18"/>
          <w:szCs w:val="18"/>
          <w:color w:val="auto"/>
        </w:rPr>
        <w:t>ManpowerGroup maintains both a qualified, noncontributory defined benefit pension plan for U.S. employees, as well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nonqualified, noncontributory, defined benefit deferred compensation plan for management and other highly compensated employees in the U.S. who are ineligible to participate in the qualified plan. Together, both plans are referred to collectively as the “U.S. pension plans.” The U.S. pension plans were frozen as of February 29, 2000 and all benefits under the U.S. pension plans became fully vested. Only Mr. Van Handel is entitled to pension benefits under the U.S. pension plans.</w:t>
      </w:r>
    </w:p>
    <w:p>
      <w:pPr>
        <w:spacing w:after="0" w:line="13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Under the U.S. pension plans, a pension is payable upon retirement at age 65 (with five years of service), or earlier upon termination if the participant has reached age 55 and has had 20 years of service with ManpowerGroup. The pension benefit is based on years of credited service as of February 29, 2000 and the lesser of (i) the average annual compensation received during the last five consecutive calendar years as of February 29, 2000, for employees who had not retired as of February 29, 2000 or (ii) $261,664. Compensation covered by the U.S. pension plans is base salary. Currently, only Mr. Van Handel is eligible for early retirement under the U.S. pension plans. The early retirement benefit under the U.S. pension plans is the normal retirement benefit, reduced by 5/12 of 1% for each month that the participant retired prior to his or her normal retirement age.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64</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9600"/>
        <w:spacing w:after="0"/>
        <w:rPr>
          <w:sz w:val="20"/>
          <w:szCs w:val="20"/>
          <w:color w:val="auto"/>
        </w:rPr>
      </w:pPr>
      <w:r>
        <w:rPr>
          <w:rFonts w:ascii="Arial" w:cs="Arial" w:eastAsia="Arial" w:hAnsi="Arial"/>
          <w:sz w:val="18"/>
          <w:szCs w:val="18"/>
          <w:color w:val="FFFFFF"/>
        </w:rPr>
        <w:t>Compensation Tables</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Nonqualified Deferred Compensation in 2016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920" w:type="dxa"/>
            <w:vAlign w:val="bottom"/>
            <w:tcBorders>
              <w:top w:val="single" w:sz="8" w:color="auto"/>
            </w:tcBorders>
            <w:shd w:val="clear" w:color="auto" w:fill="9DB8D2"/>
          </w:tcPr>
          <w:p>
            <w:pPr>
              <w:spacing w:after="0"/>
              <w:rPr>
                <w:sz w:val="22"/>
                <w:szCs w:val="22"/>
                <w:color w:val="auto"/>
              </w:rPr>
            </w:pPr>
          </w:p>
        </w:tc>
        <w:tc>
          <w:tcPr>
            <w:tcW w:w="1060" w:type="dxa"/>
            <w:vAlign w:val="bottom"/>
            <w:tcBorders>
              <w:top w:val="single" w:sz="8" w:color="auto"/>
            </w:tcBorders>
            <w:shd w:val="clear" w:color="auto" w:fill="9DB8D2"/>
          </w:tcPr>
          <w:p>
            <w:pPr>
              <w:spacing w:after="0"/>
              <w:rPr>
                <w:sz w:val="22"/>
                <w:szCs w:val="22"/>
                <w:color w:val="auto"/>
              </w:rPr>
            </w:pPr>
          </w:p>
        </w:tc>
        <w:tc>
          <w:tcPr>
            <w:tcW w:w="1400" w:type="dxa"/>
            <w:vAlign w:val="bottom"/>
            <w:tcBorders>
              <w:top w:val="single" w:sz="8" w:color="auto"/>
            </w:tcBorders>
            <w:shd w:val="clear" w:color="auto" w:fill="9DB8D2"/>
          </w:tcPr>
          <w:p>
            <w:pPr>
              <w:spacing w:after="0"/>
              <w:rPr>
                <w:sz w:val="22"/>
                <w:szCs w:val="22"/>
                <w:color w:val="auto"/>
              </w:rPr>
            </w:pPr>
          </w:p>
        </w:tc>
        <w:tc>
          <w:tcPr>
            <w:tcW w:w="1380" w:type="dxa"/>
            <w:vAlign w:val="bottom"/>
            <w:tcBorders>
              <w:top w:val="single" w:sz="8" w:color="auto"/>
            </w:tcBorders>
            <w:shd w:val="clear" w:color="auto" w:fill="9DB8D2"/>
          </w:tcPr>
          <w:p>
            <w:pPr>
              <w:spacing w:after="0"/>
              <w:rPr>
                <w:sz w:val="22"/>
                <w:szCs w:val="22"/>
                <w:color w:val="auto"/>
              </w:rPr>
            </w:pPr>
          </w:p>
        </w:tc>
        <w:tc>
          <w:tcPr>
            <w:tcW w:w="1140" w:type="dxa"/>
            <w:vAlign w:val="bottom"/>
            <w:tcBorders>
              <w:top w:val="single" w:sz="8" w:color="auto"/>
            </w:tcBorders>
            <w:shd w:val="clear" w:color="auto" w:fill="9DB8D2"/>
          </w:tcPr>
          <w:p>
            <w:pPr>
              <w:spacing w:after="0"/>
              <w:rPr>
                <w:sz w:val="22"/>
                <w:szCs w:val="22"/>
                <w:color w:val="auto"/>
              </w:rPr>
            </w:pPr>
          </w:p>
        </w:tc>
        <w:tc>
          <w:tcPr>
            <w:tcW w:w="1300" w:type="dxa"/>
            <w:vAlign w:val="bottom"/>
            <w:tcBorders>
              <w:top w:val="single" w:sz="8" w:color="auto"/>
            </w:tcBorders>
            <w:shd w:val="clear" w:color="auto" w:fill="9DB8D2"/>
          </w:tcPr>
          <w:p>
            <w:pPr>
              <w:spacing w:after="0"/>
              <w:rPr>
                <w:sz w:val="22"/>
                <w:szCs w:val="22"/>
                <w:color w:val="auto"/>
              </w:rPr>
            </w:pPr>
          </w:p>
        </w:tc>
        <w:tc>
          <w:tcPr>
            <w:tcW w:w="122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3920" w:type="dxa"/>
            <w:vAlign w:val="bottom"/>
            <w:shd w:val="clear" w:color="auto" w:fill="9DB8D2"/>
          </w:tcPr>
          <w:p>
            <w:pPr>
              <w:spacing w:after="0"/>
              <w:rPr>
                <w:sz w:val="14"/>
                <w:szCs w:val="14"/>
                <w:color w:val="auto"/>
              </w:rPr>
            </w:pPr>
          </w:p>
        </w:tc>
        <w:tc>
          <w:tcPr>
            <w:tcW w:w="1060" w:type="dxa"/>
            <w:vAlign w:val="bottom"/>
            <w:shd w:val="clear" w:color="auto" w:fill="9DB8D2"/>
          </w:tcPr>
          <w:p>
            <w:pPr>
              <w:spacing w:after="0"/>
              <w:rPr>
                <w:sz w:val="14"/>
                <w:szCs w:val="14"/>
                <w:color w:val="auto"/>
              </w:rPr>
            </w:pPr>
          </w:p>
        </w:tc>
        <w:tc>
          <w:tcPr>
            <w:tcW w:w="14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Executive</w:t>
            </w:r>
          </w:p>
        </w:tc>
        <w:tc>
          <w:tcPr>
            <w:tcW w:w="13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Registrant</w:t>
            </w:r>
          </w:p>
        </w:tc>
        <w:tc>
          <w:tcPr>
            <w:tcW w:w="114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Aggregate</w:t>
            </w:r>
          </w:p>
        </w:tc>
        <w:tc>
          <w:tcPr>
            <w:tcW w:w="1300" w:type="dxa"/>
            <w:vAlign w:val="bottom"/>
            <w:shd w:val="clear" w:color="auto" w:fill="9DB8D2"/>
          </w:tcPr>
          <w:p>
            <w:pPr>
              <w:jc w:val="right"/>
              <w:ind w:right="202"/>
              <w:spacing w:after="0"/>
              <w:rPr>
                <w:sz w:val="20"/>
                <w:szCs w:val="20"/>
                <w:color w:val="auto"/>
              </w:rPr>
            </w:pPr>
            <w:r>
              <w:rPr>
                <w:rFonts w:ascii="Arial" w:cs="Arial" w:eastAsia="Arial" w:hAnsi="Arial"/>
                <w:sz w:val="14"/>
                <w:szCs w:val="14"/>
                <w:b w:val="1"/>
                <w:bCs w:val="1"/>
                <w:color w:val="auto"/>
              </w:rPr>
              <w:t>Aggregate</w:t>
            </w:r>
          </w:p>
        </w:tc>
        <w:tc>
          <w:tcPr>
            <w:tcW w:w="12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3920" w:type="dxa"/>
            <w:vAlign w:val="bottom"/>
            <w:shd w:val="clear" w:color="auto" w:fill="9DB8D2"/>
          </w:tcPr>
          <w:p>
            <w:pPr>
              <w:spacing w:after="0"/>
              <w:rPr>
                <w:sz w:val="14"/>
                <w:szCs w:val="14"/>
                <w:color w:val="auto"/>
              </w:rPr>
            </w:pPr>
          </w:p>
        </w:tc>
        <w:tc>
          <w:tcPr>
            <w:tcW w:w="1060" w:type="dxa"/>
            <w:vAlign w:val="bottom"/>
            <w:shd w:val="clear" w:color="auto" w:fill="9DB8D2"/>
          </w:tcPr>
          <w:p>
            <w:pPr>
              <w:spacing w:after="0"/>
              <w:rPr>
                <w:sz w:val="14"/>
                <w:szCs w:val="14"/>
                <w:color w:val="auto"/>
              </w:rPr>
            </w:pPr>
          </w:p>
        </w:tc>
        <w:tc>
          <w:tcPr>
            <w:tcW w:w="14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Contributions</w:t>
            </w:r>
          </w:p>
        </w:tc>
        <w:tc>
          <w:tcPr>
            <w:tcW w:w="13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Contributions</w:t>
            </w:r>
          </w:p>
        </w:tc>
        <w:tc>
          <w:tcPr>
            <w:tcW w:w="114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Earnings</w:t>
            </w:r>
          </w:p>
        </w:tc>
        <w:tc>
          <w:tcPr>
            <w:tcW w:w="1300" w:type="dxa"/>
            <w:vAlign w:val="bottom"/>
            <w:shd w:val="clear" w:color="auto" w:fill="9DB8D2"/>
          </w:tcPr>
          <w:p>
            <w:pPr>
              <w:jc w:val="right"/>
              <w:ind w:right="102"/>
              <w:spacing w:after="0"/>
              <w:rPr>
                <w:sz w:val="20"/>
                <w:szCs w:val="20"/>
                <w:color w:val="auto"/>
              </w:rPr>
            </w:pPr>
            <w:r>
              <w:rPr>
                <w:rFonts w:ascii="Arial" w:cs="Arial" w:eastAsia="Arial" w:hAnsi="Arial"/>
                <w:sz w:val="14"/>
                <w:szCs w:val="14"/>
                <w:b w:val="1"/>
                <w:bCs w:val="1"/>
                <w:color w:val="auto"/>
              </w:rPr>
              <w:t>Withdrawals/</w:t>
            </w:r>
          </w:p>
        </w:tc>
        <w:tc>
          <w:tcPr>
            <w:tcW w:w="12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3920" w:type="dxa"/>
            <w:vAlign w:val="bottom"/>
            <w:shd w:val="clear" w:color="auto" w:fill="9DB8D2"/>
          </w:tcPr>
          <w:p>
            <w:pPr>
              <w:spacing w:after="0"/>
              <w:rPr>
                <w:sz w:val="14"/>
                <w:szCs w:val="14"/>
                <w:color w:val="auto"/>
              </w:rPr>
            </w:pPr>
          </w:p>
        </w:tc>
        <w:tc>
          <w:tcPr>
            <w:tcW w:w="1060" w:type="dxa"/>
            <w:vAlign w:val="bottom"/>
            <w:shd w:val="clear" w:color="auto" w:fill="9DB8D2"/>
          </w:tcPr>
          <w:p>
            <w:pPr>
              <w:spacing w:after="0"/>
              <w:rPr>
                <w:sz w:val="14"/>
                <w:szCs w:val="14"/>
                <w:color w:val="auto"/>
              </w:rPr>
            </w:pPr>
          </w:p>
        </w:tc>
        <w:tc>
          <w:tcPr>
            <w:tcW w:w="14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in 2016</w:t>
            </w:r>
          </w:p>
        </w:tc>
        <w:tc>
          <w:tcPr>
            <w:tcW w:w="138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in 2016</w:t>
            </w:r>
          </w:p>
        </w:tc>
        <w:tc>
          <w:tcPr>
            <w:tcW w:w="114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in 2016</w:t>
            </w:r>
          </w:p>
        </w:tc>
        <w:tc>
          <w:tcPr>
            <w:tcW w:w="1300" w:type="dxa"/>
            <w:vAlign w:val="bottom"/>
            <w:shd w:val="clear" w:color="auto" w:fill="9DB8D2"/>
          </w:tcPr>
          <w:p>
            <w:pPr>
              <w:jc w:val="right"/>
              <w:ind w:right="102"/>
              <w:spacing w:after="0"/>
              <w:rPr>
                <w:sz w:val="20"/>
                <w:szCs w:val="20"/>
                <w:color w:val="auto"/>
              </w:rPr>
            </w:pPr>
            <w:r>
              <w:rPr>
                <w:rFonts w:ascii="Arial" w:cs="Arial" w:eastAsia="Arial" w:hAnsi="Arial"/>
                <w:sz w:val="14"/>
                <w:szCs w:val="14"/>
                <w:b w:val="1"/>
                <w:bCs w:val="1"/>
                <w:color w:val="auto"/>
              </w:rPr>
              <w:t>Distributions</w:t>
            </w:r>
          </w:p>
        </w:tc>
        <w:tc>
          <w:tcPr>
            <w:tcW w:w="1220" w:type="dxa"/>
            <w:vAlign w:val="bottom"/>
            <w:shd w:val="clear" w:color="auto" w:fill="9DB8D2"/>
          </w:tcPr>
          <w:p>
            <w:pPr>
              <w:jc w:val="right"/>
              <w:ind w:right="343"/>
              <w:spacing w:after="0"/>
              <w:rPr>
                <w:sz w:val="20"/>
                <w:szCs w:val="20"/>
                <w:color w:val="auto"/>
              </w:rPr>
            </w:pPr>
            <w:r>
              <w:rPr>
                <w:rFonts w:ascii="Arial" w:cs="Arial" w:eastAsia="Arial" w:hAnsi="Arial"/>
                <w:sz w:val="14"/>
                <w:szCs w:val="14"/>
                <w:b w:val="1"/>
                <w:bCs w:val="1"/>
                <w:color w:val="auto"/>
              </w:rPr>
              <w:t>2016</w:t>
            </w:r>
          </w:p>
        </w:tc>
      </w:tr>
      <w:tr>
        <w:trPr>
          <w:trHeight w:val="189"/>
        </w:trPr>
        <w:tc>
          <w:tcPr>
            <w:tcW w:w="392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Name &amp; Principal Position</w:t>
            </w:r>
          </w:p>
        </w:tc>
        <w:tc>
          <w:tcPr>
            <w:tcW w:w="1060" w:type="dxa"/>
            <w:vAlign w:val="bottom"/>
            <w:tcBorders>
              <w:bottom w:val="single" w:sz="8" w:color="auto"/>
            </w:tcBorders>
            <w:shd w:val="clear" w:color="auto" w:fill="9DB8D2"/>
          </w:tcPr>
          <w:p>
            <w:pPr>
              <w:ind w:left="500"/>
              <w:spacing w:after="0"/>
              <w:rPr>
                <w:sz w:val="20"/>
                <w:szCs w:val="20"/>
                <w:color w:val="auto"/>
              </w:rPr>
            </w:pPr>
            <w:r>
              <w:rPr>
                <w:rFonts w:ascii="Arial" w:cs="Arial" w:eastAsia="Arial" w:hAnsi="Arial"/>
                <w:sz w:val="14"/>
                <w:szCs w:val="14"/>
                <w:b w:val="1"/>
                <w:bCs w:val="1"/>
                <w:color w:val="auto"/>
              </w:rPr>
              <w:t>Plan</w:t>
            </w:r>
          </w:p>
        </w:tc>
        <w:tc>
          <w:tcPr>
            <w:tcW w:w="14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($)(1)</w:t>
            </w:r>
          </w:p>
        </w:tc>
        <w:tc>
          <w:tcPr>
            <w:tcW w:w="13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9DB8D2"/>
          </w:tcPr>
          <w:p>
            <w:pPr>
              <w:jc w:val="right"/>
              <w:ind w:right="462"/>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9DB8D2"/>
          </w:tcPr>
          <w:p>
            <w:pPr>
              <w:jc w:val="right"/>
              <w:ind w:right="323"/>
              <w:spacing w:after="0"/>
              <w:rPr>
                <w:sz w:val="20"/>
                <w:szCs w:val="20"/>
                <w:color w:val="auto"/>
              </w:rPr>
            </w:pPr>
            <w:r>
              <w:rPr>
                <w:rFonts w:ascii="Arial" w:cs="Arial" w:eastAsia="Arial" w:hAnsi="Arial"/>
                <w:sz w:val="14"/>
                <w:szCs w:val="14"/>
                <w:b w:val="1"/>
                <w:bCs w:val="1"/>
                <w:color w:val="auto"/>
              </w:rPr>
              <w:t>($)(2)</w:t>
            </w:r>
          </w:p>
        </w:tc>
      </w:tr>
      <w:tr>
        <w:trPr>
          <w:trHeight w:val="168"/>
        </w:trPr>
        <w:tc>
          <w:tcPr>
            <w:tcW w:w="3920" w:type="dxa"/>
            <w:vAlign w:val="bottom"/>
            <w:shd w:val="clear" w:color="auto" w:fill="E6EDF3"/>
          </w:tcPr>
          <w:p>
            <w:pPr>
              <w:ind w:left="80"/>
              <w:spacing w:after="0" w:line="168" w:lineRule="exact"/>
              <w:rPr>
                <w:sz w:val="20"/>
                <w:szCs w:val="20"/>
                <w:color w:val="auto"/>
              </w:rPr>
            </w:pPr>
            <w:r>
              <w:rPr>
                <w:rFonts w:ascii="Arial" w:cs="Arial" w:eastAsia="Arial" w:hAnsi="Arial"/>
                <w:sz w:val="16"/>
                <w:szCs w:val="16"/>
                <w:color w:val="auto"/>
              </w:rPr>
              <w:t>Jonas Prising</w:t>
            </w:r>
          </w:p>
        </w:tc>
        <w:tc>
          <w:tcPr>
            <w:tcW w:w="1060" w:type="dxa"/>
            <w:vAlign w:val="bottom"/>
            <w:shd w:val="clear" w:color="auto" w:fill="E6EDF3"/>
          </w:tcPr>
          <w:p>
            <w:pPr>
              <w:spacing w:after="0"/>
              <w:rPr>
                <w:sz w:val="14"/>
                <w:szCs w:val="14"/>
                <w:color w:val="auto"/>
              </w:rPr>
            </w:pPr>
          </w:p>
        </w:tc>
        <w:tc>
          <w:tcPr>
            <w:tcW w:w="1400" w:type="dxa"/>
            <w:vAlign w:val="bottom"/>
            <w:shd w:val="clear" w:color="auto" w:fill="E6EDF3"/>
          </w:tcPr>
          <w:p>
            <w:pPr>
              <w:spacing w:after="0"/>
              <w:rPr>
                <w:sz w:val="14"/>
                <w:szCs w:val="14"/>
                <w:color w:val="auto"/>
              </w:rPr>
            </w:pPr>
          </w:p>
        </w:tc>
        <w:tc>
          <w:tcPr>
            <w:tcW w:w="1380" w:type="dxa"/>
            <w:vAlign w:val="bottom"/>
            <w:shd w:val="clear" w:color="auto" w:fill="E6EDF3"/>
          </w:tcPr>
          <w:p>
            <w:pPr>
              <w:spacing w:after="0"/>
              <w:rPr>
                <w:sz w:val="14"/>
                <w:szCs w:val="14"/>
                <w:color w:val="auto"/>
              </w:rPr>
            </w:pPr>
          </w:p>
        </w:tc>
        <w:tc>
          <w:tcPr>
            <w:tcW w:w="1140" w:type="dxa"/>
            <w:vAlign w:val="bottom"/>
            <w:shd w:val="clear" w:color="auto" w:fill="E6EDF3"/>
          </w:tcPr>
          <w:p>
            <w:pPr>
              <w:spacing w:after="0"/>
              <w:rPr>
                <w:sz w:val="14"/>
                <w:szCs w:val="14"/>
                <w:color w:val="auto"/>
              </w:rPr>
            </w:pPr>
          </w:p>
        </w:tc>
        <w:tc>
          <w:tcPr>
            <w:tcW w:w="1300" w:type="dxa"/>
            <w:vAlign w:val="bottom"/>
            <w:shd w:val="clear" w:color="auto" w:fill="E6EDF3"/>
          </w:tcPr>
          <w:p>
            <w:pPr>
              <w:spacing w:after="0"/>
              <w:rPr>
                <w:sz w:val="14"/>
                <w:szCs w:val="14"/>
                <w:color w:val="auto"/>
              </w:rPr>
            </w:pPr>
          </w:p>
        </w:tc>
        <w:tc>
          <w:tcPr>
            <w:tcW w:w="1220" w:type="dxa"/>
            <w:vAlign w:val="bottom"/>
            <w:shd w:val="clear" w:color="auto" w:fill="E6EDF3"/>
          </w:tcPr>
          <w:p>
            <w:pPr>
              <w:spacing w:after="0"/>
              <w:rPr>
                <w:sz w:val="14"/>
                <w:szCs w:val="14"/>
                <w:color w:val="auto"/>
              </w:rPr>
            </w:pPr>
          </w:p>
        </w:tc>
      </w:tr>
      <w:tr>
        <w:trPr>
          <w:trHeight w:val="217"/>
        </w:trPr>
        <w:tc>
          <w:tcPr>
            <w:tcW w:w="3920" w:type="dxa"/>
            <w:vAlign w:val="bottom"/>
            <w:shd w:val="clear" w:color="auto" w:fill="E6EDF3"/>
          </w:tcPr>
          <w:p>
            <w:pPr>
              <w:ind w:left="240"/>
              <w:spacing w:after="0"/>
              <w:rPr>
                <w:sz w:val="20"/>
                <w:szCs w:val="20"/>
                <w:color w:val="auto"/>
              </w:rPr>
            </w:pPr>
            <w:r>
              <w:rPr>
                <w:rFonts w:ascii="Arial" w:cs="Arial" w:eastAsia="Arial" w:hAnsi="Arial"/>
                <w:sz w:val="16"/>
                <w:szCs w:val="16"/>
                <w:i w:val="1"/>
                <w:iCs w:val="1"/>
                <w:color w:val="auto"/>
              </w:rPr>
              <w:t>CEO</w:t>
            </w:r>
          </w:p>
        </w:tc>
        <w:tc>
          <w:tcPr>
            <w:tcW w:w="1060" w:type="dxa"/>
            <w:vAlign w:val="bottom"/>
            <w:shd w:val="clear" w:color="auto" w:fill="E6EDF3"/>
          </w:tcPr>
          <w:p>
            <w:pPr>
              <w:ind w:left="360"/>
              <w:spacing w:after="0"/>
              <w:rPr>
                <w:sz w:val="20"/>
                <w:szCs w:val="20"/>
                <w:color w:val="auto"/>
              </w:rPr>
            </w:pPr>
            <w:r>
              <w:rPr>
                <w:rFonts w:ascii="Arial" w:cs="Arial" w:eastAsia="Arial" w:hAnsi="Arial"/>
                <w:sz w:val="16"/>
                <w:szCs w:val="16"/>
                <w:color w:val="auto"/>
              </w:rPr>
              <w:t>NQSP</w:t>
            </w:r>
          </w:p>
        </w:tc>
        <w:tc>
          <w:tcPr>
            <w:tcW w:w="1400" w:type="dxa"/>
            <w:vAlign w:val="bottom"/>
            <w:shd w:val="clear" w:color="auto" w:fill="E6EDF3"/>
          </w:tcPr>
          <w:p>
            <w:pPr>
              <w:jc w:val="right"/>
              <w:ind w:right="142"/>
              <w:spacing w:after="0"/>
              <w:rPr>
                <w:sz w:val="20"/>
                <w:szCs w:val="20"/>
                <w:color w:val="auto"/>
              </w:rPr>
            </w:pPr>
            <w:r>
              <w:rPr>
                <w:rFonts w:ascii="Arial" w:cs="Arial" w:eastAsia="Arial" w:hAnsi="Arial"/>
                <w:sz w:val="16"/>
                <w:szCs w:val="16"/>
                <w:color w:val="auto"/>
              </w:rPr>
              <w:t>50,000</w:t>
            </w:r>
          </w:p>
        </w:tc>
        <w:tc>
          <w:tcPr>
            <w:tcW w:w="1380" w:type="dxa"/>
            <w:vAlign w:val="bottom"/>
            <w:shd w:val="clear" w:color="auto" w:fill="E6EDF3"/>
          </w:tcPr>
          <w:p>
            <w:pPr>
              <w:jc w:val="right"/>
              <w:ind w:right="142"/>
              <w:spacing w:after="0"/>
              <w:rPr>
                <w:sz w:val="20"/>
                <w:szCs w:val="20"/>
                <w:color w:val="auto"/>
              </w:rPr>
            </w:pPr>
            <w:r>
              <w:rPr>
                <w:rFonts w:ascii="Arial" w:cs="Arial" w:eastAsia="Arial" w:hAnsi="Arial"/>
                <w:sz w:val="16"/>
                <w:szCs w:val="16"/>
                <w:color w:val="auto"/>
              </w:rPr>
              <w:t>37,500</w:t>
            </w:r>
          </w:p>
        </w:tc>
        <w:tc>
          <w:tcPr>
            <w:tcW w:w="1140" w:type="dxa"/>
            <w:vAlign w:val="bottom"/>
            <w:shd w:val="clear" w:color="auto" w:fill="E6EDF3"/>
          </w:tcPr>
          <w:p>
            <w:pPr>
              <w:jc w:val="right"/>
              <w:ind w:right="122"/>
              <w:spacing w:after="0"/>
              <w:rPr>
                <w:sz w:val="20"/>
                <w:szCs w:val="20"/>
                <w:color w:val="auto"/>
              </w:rPr>
            </w:pPr>
            <w:r>
              <w:rPr>
                <w:rFonts w:ascii="Arial" w:cs="Arial" w:eastAsia="Arial" w:hAnsi="Arial"/>
                <w:sz w:val="16"/>
                <w:szCs w:val="16"/>
                <w:color w:val="auto"/>
              </w:rPr>
              <w:t>187,408</w:t>
            </w:r>
          </w:p>
        </w:tc>
        <w:tc>
          <w:tcPr>
            <w:tcW w:w="1300" w:type="dxa"/>
            <w:vAlign w:val="bottom"/>
            <w:shd w:val="clear" w:color="auto" w:fill="E6EDF3"/>
          </w:tcPr>
          <w:p>
            <w:pPr>
              <w:jc w:val="right"/>
              <w:ind w:right="102"/>
              <w:spacing w:after="0"/>
              <w:rPr>
                <w:sz w:val="20"/>
                <w:szCs w:val="20"/>
                <w:color w:val="auto"/>
              </w:rPr>
            </w:pPr>
            <w:r>
              <w:rPr>
                <w:rFonts w:ascii="Arial" w:cs="Arial" w:eastAsia="Arial" w:hAnsi="Arial"/>
                <w:sz w:val="16"/>
                <w:szCs w:val="16"/>
                <w:color w:val="auto"/>
              </w:rPr>
              <w:t>—</w:t>
            </w:r>
          </w:p>
        </w:tc>
        <w:tc>
          <w:tcPr>
            <w:tcW w:w="1220" w:type="dxa"/>
            <w:vAlign w:val="bottom"/>
            <w:shd w:val="clear" w:color="auto" w:fill="E6EDF3"/>
          </w:tcPr>
          <w:p>
            <w:pPr>
              <w:jc w:val="right"/>
              <w:ind w:right="23"/>
              <w:spacing w:after="0"/>
              <w:rPr>
                <w:sz w:val="20"/>
                <w:szCs w:val="20"/>
                <w:color w:val="auto"/>
              </w:rPr>
            </w:pPr>
            <w:r>
              <w:rPr>
                <w:rFonts w:ascii="Arial" w:cs="Arial" w:eastAsia="Arial" w:hAnsi="Arial"/>
                <w:sz w:val="16"/>
                <w:szCs w:val="16"/>
                <w:color w:val="auto"/>
              </w:rPr>
              <w:t>2,032,198</w:t>
            </w:r>
          </w:p>
        </w:tc>
      </w:tr>
      <w:tr>
        <w:trPr>
          <w:trHeight w:val="175"/>
        </w:trPr>
        <w:tc>
          <w:tcPr>
            <w:tcW w:w="3920" w:type="dxa"/>
            <w:vAlign w:val="bottom"/>
          </w:tcPr>
          <w:p>
            <w:pPr>
              <w:ind w:left="80"/>
              <w:spacing w:after="0" w:line="175" w:lineRule="exact"/>
              <w:rPr>
                <w:sz w:val="20"/>
                <w:szCs w:val="20"/>
                <w:color w:val="auto"/>
              </w:rPr>
            </w:pPr>
            <w:r>
              <w:rPr>
                <w:rFonts w:ascii="Arial" w:cs="Arial" w:eastAsia="Arial" w:hAnsi="Arial"/>
                <w:sz w:val="16"/>
                <w:szCs w:val="16"/>
                <w:color w:val="auto"/>
              </w:rPr>
              <w:t>John T. McGinnis</w:t>
            </w:r>
          </w:p>
        </w:tc>
        <w:tc>
          <w:tcPr>
            <w:tcW w:w="10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7"/>
        </w:trPr>
        <w:tc>
          <w:tcPr>
            <w:tcW w:w="3920" w:type="dxa"/>
            <w:vAlign w:val="bottom"/>
          </w:tcPr>
          <w:p>
            <w:pPr>
              <w:ind w:left="240"/>
              <w:spacing w:after="0"/>
              <w:rPr>
                <w:sz w:val="20"/>
                <w:szCs w:val="20"/>
                <w:color w:val="auto"/>
              </w:rPr>
            </w:pPr>
            <w:r>
              <w:rPr>
                <w:rFonts w:ascii="Arial" w:cs="Arial" w:eastAsia="Arial" w:hAnsi="Arial"/>
                <w:sz w:val="16"/>
                <w:szCs w:val="16"/>
                <w:i w:val="1"/>
                <w:iCs w:val="1"/>
                <w:color w:val="auto"/>
              </w:rPr>
              <w:t>CFO</w:t>
            </w:r>
          </w:p>
        </w:tc>
        <w:tc>
          <w:tcPr>
            <w:tcW w:w="1060" w:type="dxa"/>
            <w:vAlign w:val="bottom"/>
          </w:tcPr>
          <w:p>
            <w:pPr>
              <w:ind w:left="360"/>
              <w:spacing w:after="0"/>
              <w:rPr>
                <w:sz w:val="20"/>
                <w:szCs w:val="20"/>
                <w:color w:val="auto"/>
              </w:rPr>
            </w:pPr>
            <w:r>
              <w:rPr>
                <w:rFonts w:ascii="Arial" w:cs="Arial" w:eastAsia="Arial" w:hAnsi="Arial"/>
                <w:sz w:val="16"/>
                <w:szCs w:val="16"/>
                <w:color w:val="auto"/>
              </w:rPr>
              <w:t>NQSP</w:t>
            </w:r>
          </w:p>
        </w:tc>
        <w:tc>
          <w:tcPr>
            <w:tcW w:w="140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175"/>
        </w:trPr>
        <w:tc>
          <w:tcPr>
            <w:tcW w:w="3920" w:type="dxa"/>
            <w:vAlign w:val="bottom"/>
            <w:shd w:val="clear" w:color="auto" w:fill="E6EDF3"/>
          </w:tcPr>
          <w:p>
            <w:pPr>
              <w:ind w:left="80"/>
              <w:spacing w:after="0" w:line="175" w:lineRule="exact"/>
              <w:rPr>
                <w:sz w:val="20"/>
                <w:szCs w:val="20"/>
                <w:color w:val="auto"/>
              </w:rPr>
            </w:pPr>
            <w:r>
              <w:rPr>
                <w:rFonts w:ascii="Arial" w:cs="Arial" w:eastAsia="Arial" w:hAnsi="Arial"/>
                <w:sz w:val="16"/>
                <w:szCs w:val="16"/>
                <w:color w:val="auto"/>
              </w:rPr>
              <w:t>Darryl Green</w:t>
            </w:r>
          </w:p>
        </w:tc>
        <w:tc>
          <w:tcPr>
            <w:tcW w:w="1060" w:type="dxa"/>
            <w:vAlign w:val="bottom"/>
            <w:shd w:val="clear" w:color="auto" w:fill="E6EDF3"/>
          </w:tcPr>
          <w:p>
            <w:pPr>
              <w:ind w:left="360"/>
              <w:spacing w:after="0" w:line="175" w:lineRule="exact"/>
              <w:rPr>
                <w:sz w:val="20"/>
                <w:szCs w:val="20"/>
                <w:color w:val="auto"/>
              </w:rPr>
            </w:pPr>
            <w:r>
              <w:rPr>
                <w:rFonts w:ascii="Arial" w:cs="Arial" w:eastAsia="Arial" w:hAnsi="Arial"/>
                <w:sz w:val="16"/>
                <w:szCs w:val="16"/>
                <w:color w:val="auto"/>
              </w:rPr>
              <w:t>NQSP</w:t>
            </w:r>
          </w:p>
        </w:tc>
        <w:tc>
          <w:tcPr>
            <w:tcW w:w="1400" w:type="dxa"/>
            <w:vAlign w:val="bottom"/>
            <w:shd w:val="clear" w:color="auto" w:fill="E6EDF3"/>
          </w:tcPr>
          <w:p>
            <w:pPr>
              <w:jc w:val="right"/>
              <w:ind w:right="142"/>
              <w:spacing w:after="0" w:line="175" w:lineRule="exact"/>
              <w:rPr>
                <w:sz w:val="20"/>
                <w:szCs w:val="20"/>
                <w:color w:val="auto"/>
              </w:rPr>
            </w:pPr>
            <w:r>
              <w:rPr>
                <w:rFonts w:ascii="Arial" w:cs="Arial" w:eastAsia="Arial" w:hAnsi="Arial"/>
                <w:sz w:val="16"/>
                <w:szCs w:val="16"/>
                <w:color w:val="auto"/>
              </w:rPr>
              <w:t>—</w:t>
            </w:r>
          </w:p>
        </w:tc>
        <w:tc>
          <w:tcPr>
            <w:tcW w:w="1380" w:type="dxa"/>
            <w:vAlign w:val="bottom"/>
            <w:shd w:val="clear" w:color="auto" w:fill="E6EDF3"/>
          </w:tcPr>
          <w:p>
            <w:pPr>
              <w:jc w:val="right"/>
              <w:ind w:right="142"/>
              <w:spacing w:after="0" w:line="175" w:lineRule="exact"/>
              <w:rPr>
                <w:sz w:val="20"/>
                <w:szCs w:val="20"/>
                <w:color w:val="auto"/>
              </w:rPr>
            </w:pPr>
            <w:r>
              <w:rPr>
                <w:rFonts w:ascii="Arial" w:cs="Arial" w:eastAsia="Arial" w:hAnsi="Arial"/>
                <w:sz w:val="16"/>
                <w:szCs w:val="16"/>
                <w:color w:val="auto"/>
              </w:rPr>
              <w:t>—</w:t>
            </w:r>
          </w:p>
        </w:tc>
        <w:tc>
          <w:tcPr>
            <w:tcW w:w="1140" w:type="dxa"/>
            <w:vAlign w:val="bottom"/>
            <w:shd w:val="clear" w:color="auto" w:fill="E6EDF3"/>
          </w:tcPr>
          <w:p>
            <w:pPr>
              <w:jc w:val="right"/>
              <w:ind w:right="122"/>
              <w:spacing w:after="0" w:line="175" w:lineRule="exact"/>
              <w:rPr>
                <w:sz w:val="20"/>
                <w:szCs w:val="20"/>
                <w:color w:val="auto"/>
              </w:rPr>
            </w:pPr>
            <w:r>
              <w:rPr>
                <w:rFonts w:ascii="Arial" w:cs="Arial" w:eastAsia="Arial" w:hAnsi="Arial"/>
                <w:sz w:val="16"/>
                <w:szCs w:val="16"/>
                <w:color w:val="auto"/>
              </w:rPr>
              <w:t>1,555</w:t>
            </w:r>
          </w:p>
        </w:tc>
        <w:tc>
          <w:tcPr>
            <w:tcW w:w="1300" w:type="dxa"/>
            <w:vAlign w:val="bottom"/>
            <w:shd w:val="clear" w:color="auto" w:fill="E6EDF3"/>
          </w:tcPr>
          <w:p>
            <w:pPr>
              <w:jc w:val="right"/>
              <w:ind w:right="102"/>
              <w:spacing w:after="0" w:line="175" w:lineRule="exact"/>
              <w:rPr>
                <w:sz w:val="20"/>
                <w:szCs w:val="20"/>
                <w:color w:val="auto"/>
              </w:rPr>
            </w:pPr>
            <w:r>
              <w:rPr>
                <w:rFonts w:ascii="Arial" w:cs="Arial" w:eastAsia="Arial" w:hAnsi="Arial"/>
                <w:sz w:val="16"/>
                <w:szCs w:val="16"/>
                <w:color w:val="auto"/>
              </w:rPr>
              <w:t>—</w:t>
            </w:r>
          </w:p>
        </w:tc>
        <w:tc>
          <w:tcPr>
            <w:tcW w:w="1220" w:type="dxa"/>
            <w:vAlign w:val="bottom"/>
            <w:shd w:val="clear" w:color="auto" w:fill="E6EDF3"/>
          </w:tcPr>
          <w:p>
            <w:pPr>
              <w:jc w:val="right"/>
              <w:ind w:right="23"/>
              <w:spacing w:after="0" w:line="175" w:lineRule="exact"/>
              <w:rPr>
                <w:sz w:val="20"/>
                <w:szCs w:val="20"/>
                <w:color w:val="auto"/>
              </w:rPr>
            </w:pPr>
            <w:r>
              <w:rPr>
                <w:rFonts w:ascii="Arial" w:cs="Arial" w:eastAsia="Arial" w:hAnsi="Arial"/>
                <w:sz w:val="16"/>
                <w:szCs w:val="16"/>
                <w:color w:val="auto"/>
              </w:rPr>
              <w:t>22,035</w:t>
            </w:r>
          </w:p>
        </w:tc>
      </w:tr>
      <w:tr>
        <w:trPr>
          <w:trHeight w:val="217"/>
        </w:trPr>
        <w:tc>
          <w:tcPr>
            <w:tcW w:w="3920" w:type="dxa"/>
            <w:vAlign w:val="bottom"/>
            <w:shd w:val="clear" w:color="auto" w:fill="E6EDF3"/>
          </w:tcPr>
          <w:p>
            <w:pPr>
              <w:ind w:left="240"/>
              <w:spacing w:after="0"/>
              <w:rPr>
                <w:sz w:val="20"/>
                <w:szCs w:val="20"/>
                <w:color w:val="auto"/>
              </w:rPr>
            </w:pPr>
            <w:r>
              <w:rPr>
                <w:rFonts w:ascii="Arial" w:cs="Arial" w:eastAsia="Arial" w:hAnsi="Arial"/>
                <w:sz w:val="16"/>
                <w:szCs w:val="16"/>
                <w:i w:val="1"/>
                <w:iCs w:val="1"/>
                <w:color w:val="auto"/>
              </w:rPr>
              <w:t>President &amp; COO</w:t>
            </w:r>
          </w:p>
        </w:tc>
        <w:tc>
          <w:tcPr>
            <w:tcW w:w="1060" w:type="dxa"/>
            <w:vAlign w:val="bottom"/>
            <w:shd w:val="clear" w:color="auto" w:fill="E6EDF3"/>
          </w:tcPr>
          <w:p>
            <w:pPr>
              <w:spacing w:after="0"/>
              <w:rPr>
                <w:sz w:val="18"/>
                <w:szCs w:val="18"/>
                <w:color w:val="auto"/>
              </w:rPr>
            </w:pPr>
          </w:p>
        </w:tc>
        <w:tc>
          <w:tcPr>
            <w:tcW w:w="1400" w:type="dxa"/>
            <w:vAlign w:val="bottom"/>
            <w:shd w:val="clear" w:color="auto" w:fill="E6EDF3"/>
          </w:tcPr>
          <w:p>
            <w:pPr>
              <w:spacing w:after="0"/>
              <w:rPr>
                <w:sz w:val="18"/>
                <w:szCs w:val="18"/>
                <w:color w:val="auto"/>
              </w:rPr>
            </w:pPr>
          </w:p>
        </w:tc>
        <w:tc>
          <w:tcPr>
            <w:tcW w:w="1380" w:type="dxa"/>
            <w:vAlign w:val="bottom"/>
            <w:shd w:val="clear" w:color="auto" w:fill="E6EDF3"/>
          </w:tcPr>
          <w:p>
            <w:pPr>
              <w:spacing w:after="0"/>
              <w:rPr>
                <w:sz w:val="18"/>
                <w:szCs w:val="18"/>
                <w:color w:val="auto"/>
              </w:rPr>
            </w:pPr>
          </w:p>
        </w:tc>
        <w:tc>
          <w:tcPr>
            <w:tcW w:w="1140" w:type="dxa"/>
            <w:vAlign w:val="bottom"/>
            <w:shd w:val="clear" w:color="auto" w:fill="E6EDF3"/>
          </w:tcPr>
          <w:p>
            <w:pPr>
              <w:spacing w:after="0"/>
              <w:rPr>
                <w:sz w:val="18"/>
                <w:szCs w:val="18"/>
                <w:color w:val="auto"/>
              </w:rPr>
            </w:pPr>
          </w:p>
        </w:tc>
        <w:tc>
          <w:tcPr>
            <w:tcW w:w="1300" w:type="dxa"/>
            <w:vAlign w:val="bottom"/>
            <w:shd w:val="clear" w:color="auto" w:fill="E6EDF3"/>
          </w:tcPr>
          <w:p>
            <w:pPr>
              <w:spacing w:after="0"/>
              <w:rPr>
                <w:sz w:val="18"/>
                <w:szCs w:val="18"/>
                <w:color w:val="auto"/>
              </w:rPr>
            </w:pPr>
          </w:p>
        </w:tc>
        <w:tc>
          <w:tcPr>
            <w:tcW w:w="1220" w:type="dxa"/>
            <w:vAlign w:val="bottom"/>
            <w:shd w:val="clear" w:color="auto" w:fill="E6EDF3"/>
          </w:tcPr>
          <w:p>
            <w:pPr>
              <w:spacing w:after="0"/>
              <w:rPr>
                <w:sz w:val="18"/>
                <w:szCs w:val="18"/>
                <w:color w:val="auto"/>
              </w:rPr>
            </w:pPr>
          </w:p>
        </w:tc>
      </w:tr>
      <w:tr>
        <w:trPr>
          <w:trHeight w:val="175"/>
        </w:trPr>
        <w:tc>
          <w:tcPr>
            <w:tcW w:w="3920" w:type="dxa"/>
            <w:vAlign w:val="bottom"/>
          </w:tcPr>
          <w:p>
            <w:pPr>
              <w:ind w:left="80"/>
              <w:spacing w:after="0" w:line="175" w:lineRule="exact"/>
              <w:rPr>
                <w:sz w:val="20"/>
                <w:szCs w:val="20"/>
                <w:color w:val="auto"/>
              </w:rPr>
            </w:pPr>
            <w:r>
              <w:rPr>
                <w:rFonts w:ascii="Arial" w:cs="Arial" w:eastAsia="Arial" w:hAnsi="Arial"/>
                <w:sz w:val="16"/>
                <w:szCs w:val="16"/>
                <w:color w:val="auto"/>
              </w:rPr>
              <w:t>Ram Chandrashekar</w:t>
            </w:r>
          </w:p>
        </w:tc>
        <w:tc>
          <w:tcPr>
            <w:tcW w:w="1060" w:type="dxa"/>
            <w:vAlign w:val="bottom"/>
          </w:tcPr>
          <w:p>
            <w:pPr>
              <w:ind w:left="360"/>
              <w:spacing w:after="0" w:line="175" w:lineRule="exact"/>
              <w:rPr>
                <w:sz w:val="20"/>
                <w:szCs w:val="20"/>
                <w:color w:val="auto"/>
              </w:rPr>
            </w:pPr>
            <w:r>
              <w:rPr>
                <w:rFonts w:ascii="Arial" w:cs="Arial" w:eastAsia="Arial" w:hAnsi="Arial"/>
                <w:sz w:val="16"/>
                <w:szCs w:val="16"/>
                <w:color w:val="auto"/>
              </w:rPr>
              <w:t>NQSP</w:t>
            </w:r>
          </w:p>
        </w:tc>
        <w:tc>
          <w:tcPr>
            <w:tcW w:w="1400" w:type="dxa"/>
            <w:vAlign w:val="bottom"/>
          </w:tcPr>
          <w:p>
            <w:pPr>
              <w:jc w:val="right"/>
              <w:ind w:right="142"/>
              <w:spacing w:after="0" w:line="175" w:lineRule="exact"/>
              <w:rPr>
                <w:sz w:val="20"/>
                <w:szCs w:val="20"/>
                <w:color w:val="auto"/>
              </w:rPr>
            </w:pPr>
            <w:r>
              <w:rPr>
                <w:rFonts w:ascii="Arial" w:cs="Arial" w:eastAsia="Arial" w:hAnsi="Arial"/>
                <w:sz w:val="16"/>
                <w:szCs w:val="16"/>
                <w:color w:val="auto"/>
              </w:rPr>
              <w:t>—</w:t>
            </w:r>
          </w:p>
        </w:tc>
        <w:tc>
          <w:tcPr>
            <w:tcW w:w="1380" w:type="dxa"/>
            <w:vAlign w:val="bottom"/>
          </w:tcPr>
          <w:p>
            <w:pPr>
              <w:jc w:val="right"/>
              <w:ind w:right="142"/>
              <w:spacing w:after="0" w:line="175"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122"/>
              <w:spacing w:after="0" w:line="175"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102"/>
              <w:spacing w:after="0" w:line="175"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23"/>
              <w:spacing w:after="0" w:line="175" w:lineRule="exact"/>
              <w:rPr>
                <w:sz w:val="20"/>
                <w:szCs w:val="20"/>
                <w:color w:val="auto"/>
              </w:rPr>
            </w:pPr>
            <w:r>
              <w:rPr>
                <w:rFonts w:ascii="Arial" w:cs="Arial" w:eastAsia="Arial" w:hAnsi="Arial"/>
                <w:sz w:val="16"/>
                <w:szCs w:val="16"/>
                <w:color w:val="auto"/>
              </w:rPr>
              <w:t>—</w:t>
            </w:r>
          </w:p>
        </w:tc>
      </w:tr>
      <w:tr>
        <w:trPr>
          <w:trHeight w:val="189"/>
        </w:trPr>
        <w:tc>
          <w:tcPr>
            <w:tcW w:w="3920" w:type="dxa"/>
            <w:vAlign w:val="bottom"/>
          </w:tcPr>
          <w:p>
            <w:pPr>
              <w:ind w:left="240"/>
              <w:spacing w:after="0"/>
              <w:rPr>
                <w:sz w:val="20"/>
                <w:szCs w:val="20"/>
                <w:color w:val="auto"/>
              </w:rPr>
            </w:pPr>
            <w:r>
              <w:rPr>
                <w:rFonts w:ascii="Arial" w:cs="Arial" w:eastAsia="Arial" w:hAnsi="Arial"/>
                <w:sz w:val="16"/>
                <w:szCs w:val="16"/>
                <w:i w:val="1"/>
                <w:iCs w:val="1"/>
                <w:color w:val="auto"/>
              </w:rPr>
              <w:t>EVP, Operational Excellence &amp; IT and President,</w:t>
            </w:r>
          </w:p>
        </w:tc>
        <w:tc>
          <w:tcPr>
            <w:tcW w:w="10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4"/>
        </w:trPr>
        <w:tc>
          <w:tcPr>
            <w:tcW w:w="3920" w:type="dxa"/>
            <w:vAlign w:val="bottom"/>
          </w:tcPr>
          <w:p>
            <w:pPr>
              <w:ind w:left="240"/>
              <w:spacing w:after="0"/>
              <w:rPr>
                <w:sz w:val="20"/>
                <w:szCs w:val="20"/>
                <w:color w:val="auto"/>
              </w:rPr>
            </w:pPr>
            <w:r>
              <w:rPr>
                <w:rFonts w:ascii="Arial" w:cs="Arial" w:eastAsia="Arial" w:hAnsi="Arial"/>
                <w:sz w:val="16"/>
                <w:szCs w:val="16"/>
                <w:i w:val="1"/>
                <w:iCs w:val="1"/>
                <w:color w:val="auto"/>
              </w:rPr>
              <w:t>Asia Pacific Middle East</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78"/>
        </w:trPr>
        <w:tc>
          <w:tcPr>
            <w:tcW w:w="3920" w:type="dxa"/>
            <w:vAlign w:val="bottom"/>
            <w:shd w:val="clear" w:color="auto" w:fill="E6EDF3"/>
          </w:tcPr>
          <w:p>
            <w:pPr>
              <w:ind w:left="80"/>
              <w:spacing w:after="0" w:line="178" w:lineRule="exact"/>
              <w:rPr>
                <w:sz w:val="20"/>
                <w:szCs w:val="20"/>
                <w:color w:val="auto"/>
              </w:rPr>
            </w:pPr>
            <w:r>
              <w:rPr>
                <w:rFonts w:ascii="Arial" w:cs="Arial" w:eastAsia="Arial" w:hAnsi="Arial"/>
                <w:sz w:val="16"/>
                <w:szCs w:val="16"/>
                <w:color w:val="auto"/>
              </w:rPr>
              <w:t>Mara E. Swan</w:t>
            </w:r>
          </w:p>
        </w:tc>
        <w:tc>
          <w:tcPr>
            <w:tcW w:w="1060" w:type="dxa"/>
            <w:vAlign w:val="bottom"/>
            <w:shd w:val="clear" w:color="auto" w:fill="E6EDF3"/>
          </w:tcPr>
          <w:p>
            <w:pPr>
              <w:ind w:left="360"/>
              <w:spacing w:after="0" w:line="178" w:lineRule="exact"/>
              <w:rPr>
                <w:sz w:val="20"/>
                <w:szCs w:val="20"/>
                <w:color w:val="auto"/>
              </w:rPr>
            </w:pPr>
            <w:r>
              <w:rPr>
                <w:rFonts w:ascii="Arial" w:cs="Arial" w:eastAsia="Arial" w:hAnsi="Arial"/>
                <w:sz w:val="16"/>
                <w:szCs w:val="16"/>
                <w:color w:val="auto"/>
              </w:rPr>
              <w:t>NQSP</w:t>
            </w:r>
          </w:p>
        </w:tc>
        <w:tc>
          <w:tcPr>
            <w:tcW w:w="1400" w:type="dxa"/>
            <w:vAlign w:val="bottom"/>
            <w:shd w:val="clear" w:color="auto" w:fill="E6EDF3"/>
          </w:tcPr>
          <w:p>
            <w:pPr>
              <w:jc w:val="right"/>
              <w:ind w:right="142"/>
              <w:spacing w:after="0" w:line="178" w:lineRule="exact"/>
              <w:rPr>
                <w:sz w:val="20"/>
                <w:szCs w:val="20"/>
                <w:color w:val="auto"/>
              </w:rPr>
            </w:pPr>
            <w:r>
              <w:rPr>
                <w:rFonts w:ascii="Arial" w:cs="Arial" w:eastAsia="Arial" w:hAnsi="Arial"/>
                <w:sz w:val="16"/>
                <w:szCs w:val="16"/>
                <w:color w:val="auto"/>
              </w:rPr>
              <w:t>50,000</w:t>
            </w:r>
          </w:p>
        </w:tc>
        <w:tc>
          <w:tcPr>
            <w:tcW w:w="1380" w:type="dxa"/>
            <w:vAlign w:val="bottom"/>
            <w:shd w:val="clear" w:color="auto" w:fill="E6EDF3"/>
          </w:tcPr>
          <w:p>
            <w:pPr>
              <w:jc w:val="right"/>
              <w:ind w:right="142"/>
              <w:spacing w:after="0" w:line="178" w:lineRule="exact"/>
              <w:rPr>
                <w:sz w:val="20"/>
                <w:szCs w:val="20"/>
                <w:color w:val="auto"/>
              </w:rPr>
            </w:pPr>
            <w:r>
              <w:rPr>
                <w:rFonts w:ascii="Arial" w:cs="Arial" w:eastAsia="Arial" w:hAnsi="Arial"/>
                <w:sz w:val="16"/>
                <w:szCs w:val="16"/>
                <w:color w:val="auto"/>
              </w:rPr>
              <w:t>37,500</w:t>
            </w:r>
          </w:p>
        </w:tc>
        <w:tc>
          <w:tcPr>
            <w:tcW w:w="1140" w:type="dxa"/>
            <w:vAlign w:val="bottom"/>
            <w:shd w:val="clear" w:color="auto" w:fill="E6EDF3"/>
          </w:tcPr>
          <w:p>
            <w:pPr>
              <w:jc w:val="right"/>
              <w:ind w:right="122"/>
              <w:spacing w:after="0" w:line="178" w:lineRule="exact"/>
              <w:rPr>
                <w:sz w:val="20"/>
                <w:szCs w:val="20"/>
                <w:color w:val="auto"/>
              </w:rPr>
            </w:pPr>
            <w:r>
              <w:rPr>
                <w:rFonts w:ascii="Arial" w:cs="Arial" w:eastAsia="Arial" w:hAnsi="Arial"/>
                <w:sz w:val="16"/>
                <w:szCs w:val="16"/>
                <w:color w:val="auto"/>
              </w:rPr>
              <w:t>123,249</w:t>
            </w:r>
          </w:p>
        </w:tc>
        <w:tc>
          <w:tcPr>
            <w:tcW w:w="1300" w:type="dxa"/>
            <w:vAlign w:val="bottom"/>
            <w:shd w:val="clear" w:color="auto" w:fill="E6EDF3"/>
          </w:tcPr>
          <w:p>
            <w:pPr>
              <w:jc w:val="right"/>
              <w:ind w:right="102"/>
              <w:spacing w:after="0" w:line="178" w:lineRule="exact"/>
              <w:rPr>
                <w:sz w:val="20"/>
                <w:szCs w:val="20"/>
                <w:color w:val="auto"/>
              </w:rPr>
            </w:pPr>
            <w:r>
              <w:rPr>
                <w:rFonts w:ascii="Arial" w:cs="Arial" w:eastAsia="Arial" w:hAnsi="Arial"/>
                <w:sz w:val="16"/>
                <w:szCs w:val="16"/>
                <w:color w:val="auto"/>
              </w:rPr>
              <w:t>—</w:t>
            </w:r>
          </w:p>
        </w:tc>
        <w:tc>
          <w:tcPr>
            <w:tcW w:w="1220" w:type="dxa"/>
            <w:vAlign w:val="bottom"/>
            <w:shd w:val="clear" w:color="auto" w:fill="E6EDF3"/>
          </w:tcPr>
          <w:p>
            <w:pPr>
              <w:jc w:val="right"/>
              <w:ind w:right="23"/>
              <w:spacing w:after="0" w:line="178" w:lineRule="exact"/>
              <w:rPr>
                <w:sz w:val="20"/>
                <w:szCs w:val="20"/>
                <w:color w:val="auto"/>
              </w:rPr>
            </w:pPr>
            <w:r>
              <w:rPr>
                <w:rFonts w:ascii="Arial" w:cs="Arial" w:eastAsia="Arial" w:hAnsi="Arial"/>
                <w:sz w:val="16"/>
                <w:szCs w:val="16"/>
                <w:color w:val="auto"/>
              </w:rPr>
              <w:t>1,121,146</w:t>
            </w:r>
          </w:p>
        </w:tc>
      </w:tr>
      <w:tr>
        <w:trPr>
          <w:trHeight w:val="217"/>
        </w:trPr>
        <w:tc>
          <w:tcPr>
            <w:tcW w:w="3920" w:type="dxa"/>
            <w:vAlign w:val="bottom"/>
            <w:shd w:val="clear" w:color="auto" w:fill="E6EDF3"/>
          </w:tcPr>
          <w:p>
            <w:pPr>
              <w:ind w:left="240"/>
              <w:spacing w:after="0"/>
              <w:rPr>
                <w:sz w:val="20"/>
                <w:szCs w:val="20"/>
                <w:color w:val="auto"/>
              </w:rPr>
            </w:pPr>
            <w:r>
              <w:rPr>
                <w:rFonts w:ascii="Arial" w:cs="Arial" w:eastAsia="Arial" w:hAnsi="Arial"/>
                <w:sz w:val="16"/>
                <w:szCs w:val="16"/>
                <w:i w:val="1"/>
                <w:iCs w:val="1"/>
                <w:color w:val="auto"/>
              </w:rPr>
              <w:t>EVP, Global Strategy and Talent</w:t>
            </w:r>
          </w:p>
        </w:tc>
        <w:tc>
          <w:tcPr>
            <w:tcW w:w="1060" w:type="dxa"/>
            <w:vAlign w:val="bottom"/>
            <w:shd w:val="clear" w:color="auto" w:fill="E6EDF3"/>
          </w:tcPr>
          <w:p>
            <w:pPr>
              <w:spacing w:after="0"/>
              <w:rPr>
                <w:sz w:val="18"/>
                <w:szCs w:val="18"/>
                <w:color w:val="auto"/>
              </w:rPr>
            </w:pPr>
          </w:p>
        </w:tc>
        <w:tc>
          <w:tcPr>
            <w:tcW w:w="1400" w:type="dxa"/>
            <w:vAlign w:val="bottom"/>
            <w:shd w:val="clear" w:color="auto" w:fill="E6EDF3"/>
          </w:tcPr>
          <w:p>
            <w:pPr>
              <w:spacing w:after="0"/>
              <w:rPr>
                <w:sz w:val="18"/>
                <w:szCs w:val="18"/>
                <w:color w:val="auto"/>
              </w:rPr>
            </w:pPr>
          </w:p>
        </w:tc>
        <w:tc>
          <w:tcPr>
            <w:tcW w:w="1380" w:type="dxa"/>
            <w:vAlign w:val="bottom"/>
            <w:shd w:val="clear" w:color="auto" w:fill="E6EDF3"/>
          </w:tcPr>
          <w:p>
            <w:pPr>
              <w:spacing w:after="0"/>
              <w:rPr>
                <w:sz w:val="18"/>
                <w:szCs w:val="18"/>
                <w:color w:val="auto"/>
              </w:rPr>
            </w:pPr>
          </w:p>
        </w:tc>
        <w:tc>
          <w:tcPr>
            <w:tcW w:w="1140" w:type="dxa"/>
            <w:vAlign w:val="bottom"/>
            <w:shd w:val="clear" w:color="auto" w:fill="E6EDF3"/>
          </w:tcPr>
          <w:p>
            <w:pPr>
              <w:spacing w:after="0"/>
              <w:rPr>
                <w:sz w:val="18"/>
                <w:szCs w:val="18"/>
                <w:color w:val="auto"/>
              </w:rPr>
            </w:pPr>
          </w:p>
        </w:tc>
        <w:tc>
          <w:tcPr>
            <w:tcW w:w="1300" w:type="dxa"/>
            <w:vAlign w:val="bottom"/>
            <w:shd w:val="clear" w:color="auto" w:fill="E6EDF3"/>
          </w:tcPr>
          <w:p>
            <w:pPr>
              <w:spacing w:after="0"/>
              <w:rPr>
                <w:sz w:val="18"/>
                <w:szCs w:val="18"/>
                <w:color w:val="auto"/>
              </w:rPr>
            </w:pPr>
          </w:p>
        </w:tc>
        <w:tc>
          <w:tcPr>
            <w:tcW w:w="1220" w:type="dxa"/>
            <w:vAlign w:val="bottom"/>
            <w:shd w:val="clear" w:color="auto" w:fill="E6EDF3"/>
          </w:tcPr>
          <w:p>
            <w:pPr>
              <w:spacing w:after="0"/>
              <w:rPr>
                <w:sz w:val="18"/>
                <w:szCs w:val="18"/>
                <w:color w:val="auto"/>
              </w:rPr>
            </w:pPr>
          </w:p>
        </w:tc>
      </w:tr>
      <w:tr>
        <w:trPr>
          <w:trHeight w:val="175"/>
        </w:trPr>
        <w:tc>
          <w:tcPr>
            <w:tcW w:w="3920" w:type="dxa"/>
            <w:vAlign w:val="bottom"/>
          </w:tcPr>
          <w:p>
            <w:pPr>
              <w:ind w:left="80"/>
              <w:spacing w:after="0" w:line="175" w:lineRule="exact"/>
              <w:rPr>
                <w:sz w:val="20"/>
                <w:szCs w:val="20"/>
                <w:color w:val="auto"/>
              </w:rPr>
            </w:pPr>
            <w:r>
              <w:rPr>
                <w:rFonts w:ascii="Arial" w:cs="Arial" w:eastAsia="Arial" w:hAnsi="Arial"/>
                <w:sz w:val="16"/>
                <w:szCs w:val="16"/>
                <w:color w:val="auto"/>
              </w:rPr>
              <w:t>Michael J. Van Handel</w:t>
            </w:r>
          </w:p>
        </w:tc>
        <w:tc>
          <w:tcPr>
            <w:tcW w:w="1060" w:type="dxa"/>
            <w:vAlign w:val="bottom"/>
          </w:tcPr>
          <w:p>
            <w:pPr>
              <w:ind w:left="360"/>
              <w:spacing w:after="0" w:line="175" w:lineRule="exact"/>
              <w:rPr>
                <w:sz w:val="20"/>
                <w:szCs w:val="20"/>
                <w:color w:val="auto"/>
              </w:rPr>
            </w:pPr>
            <w:r>
              <w:rPr>
                <w:rFonts w:ascii="Arial" w:cs="Arial" w:eastAsia="Arial" w:hAnsi="Arial"/>
                <w:sz w:val="16"/>
                <w:szCs w:val="16"/>
                <w:color w:val="auto"/>
              </w:rPr>
              <w:t>NQSP</w:t>
            </w:r>
          </w:p>
        </w:tc>
        <w:tc>
          <w:tcPr>
            <w:tcW w:w="1400" w:type="dxa"/>
            <w:vAlign w:val="bottom"/>
          </w:tcPr>
          <w:p>
            <w:pPr>
              <w:jc w:val="right"/>
              <w:ind w:right="142"/>
              <w:spacing w:after="0" w:line="175" w:lineRule="exact"/>
              <w:rPr>
                <w:sz w:val="20"/>
                <w:szCs w:val="20"/>
                <w:color w:val="auto"/>
              </w:rPr>
            </w:pPr>
            <w:r>
              <w:rPr>
                <w:rFonts w:ascii="Arial" w:cs="Arial" w:eastAsia="Arial" w:hAnsi="Arial"/>
                <w:sz w:val="16"/>
                <w:szCs w:val="16"/>
                <w:color w:val="auto"/>
              </w:rPr>
              <w:t>50,000</w:t>
            </w:r>
          </w:p>
        </w:tc>
        <w:tc>
          <w:tcPr>
            <w:tcW w:w="1380" w:type="dxa"/>
            <w:vAlign w:val="bottom"/>
          </w:tcPr>
          <w:p>
            <w:pPr>
              <w:jc w:val="right"/>
              <w:ind w:right="142"/>
              <w:spacing w:after="0" w:line="175" w:lineRule="exact"/>
              <w:rPr>
                <w:sz w:val="20"/>
                <w:szCs w:val="20"/>
                <w:color w:val="auto"/>
              </w:rPr>
            </w:pPr>
            <w:r>
              <w:rPr>
                <w:rFonts w:ascii="Arial" w:cs="Arial" w:eastAsia="Arial" w:hAnsi="Arial"/>
                <w:sz w:val="16"/>
                <w:szCs w:val="16"/>
                <w:color w:val="auto"/>
              </w:rPr>
              <w:t>37,500</w:t>
            </w:r>
          </w:p>
        </w:tc>
        <w:tc>
          <w:tcPr>
            <w:tcW w:w="1140" w:type="dxa"/>
            <w:vAlign w:val="bottom"/>
          </w:tcPr>
          <w:p>
            <w:pPr>
              <w:jc w:val="right"/>
              <w:ind w:right="122"/>
              <w:spacing w:after="0" w:line="175" w:lineRule="exact"/>
              <w:rPr>
                <w:sz w:val="20"/>
                <w:szCs w:val="20"/>
                <w:color w:val="auto"/>
              </w:rPr>
            </w:pPr>
            <w:r>
              <w:rPr>
                <w:rFonts w:ascii="Arial" w:cs="Arial" w:eastAsia="Arial" w:hAnsi="Arial"/>
                <w:sz w:val="16"/>
                <w:szCs w:val="16"/>
                <w:color w:val="auto"/>
              </w:rPr>
              <w:t>259,056</w:t>
            </w:r>
          </w:p>
        </w:tc>
        <w:tc>
          <w:tcPr>
            <w:tcW w:w="1300" w:type="dxa"/>
            <w:vAlign w:val="bottom"/>
          </w:tcPr>
          <w:p>
            <w:pPr>
              <w:jc w:val="right"/>
              <w:ind w:right="102"/>
              <w:spacing w:after="0" w:line="175"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23"/>
              <w:spacing w:after="0" w:line="175" w:lineRule="exact"/>
              <w:rPr>
                <w:sz w:val="20"/>
                <w:szCs w:val="20"/>
                <w:color w:val="auto"/>
              </w:rPr>
            </w:pPr>
            <w:r>
              <w:rPr>
                <w:rFonts w:ascii="Arial" w:cs="Arial" w:eastAsia="Arial" w:hAnsi="Arial"/>
                <w:sz w:val="16"/>
                <w:szCs w:val="16"/>
                <w:color w:val="auto"/>
              </w:rPr>
              <w:t>3,008,913</w:t>
            </w:r>
          </w:p>
        </w:tc>
      </w:tr>
      <w:tr>
        <w:trPr>
          <w:trHeight w:val="214"/>
        </w:trPr>
        <w:tc>
          <w:tcPr>
            <w:tcW w:w="3920" w:type="dxa"/>
            <w:vAlign w:val="bottom"/>
            <w:tcBorders>
              <w:bottom w:val="single" w:sz="8" w:color="auto"/>
            </w:tcBorders>
          </w:tcPr>
          <w:p>
            <w:pPr>
              <w:ind w:left="240"/>
              <w:spacing w:after="0"/>
              <w:rPr>
                <w:sz w:val="20"/>
                <w:szCs w:val="20"/>
                <w:color w:val="auto"/>
              </w:rPr>
            </w:pPr>
            <w:r>
              <w:rPr>
                <w:rFonts w:ascii="Arial" w:cs="Arial" w:eastAsia="Arial" w:hAnsi="Arial"/>
                <w:sz w:val="16"/>
                <w:szCs w:val="16"/>
                <w:i w:val="1"/>
                <w:iCs w:val="1"/>
                <w:color w:val="auto"/>
              </w:rPr>
              <w:t>Senior EVP and Former CFO</w:t>
            </w:r>
          </w:p>
        </w:tc>
        <w:tc>
          <w:tcPr>
            <w:tcW w:w="10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PBDC</w:t>
            </w:r>
          </w:p>
        </w:tc>
        <w:tc>
          <w:tcPr>
            <w:tcW w:w="14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22,293</w:t>
            </w:r>
          </w:p>
        </w:tc>
        <w:tc>
          <w:tcPr>
            <w:tcW w:w="1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707,824</w:t>
            </w:r>
          </w:p>
        </w:tc>
      </w:tr>
    </w:tbl>
    <w:p>
      <w:pPr>
        <w:spacing w:after="0" w:line="72" w:lineRule="exact"/>
        <w:rPr>
          <w:sz w:val="20"/>
          <w:szCs w:val="20"/>
          <w:color w:val="auto"/>
        </w:rPr>
      </w:pPr>
    </w:p>
    <w:p>
      <w:pPr>
        <w:ind w:left="340" w:right="20" w:hanging="332"/>
        <w:spacing w:after="0" w:line="250"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These amounts reflect contributions made by the executive officers from their 2016 salary, which amounts were also included in the salary column for each executive officer in the Summary Compensation Table. Of the amounts disclosed in this column for the Nonqualified Savings Plan, the following contributions are attributable to a portion of the 2015 annual incentive, which was disclosed in the 2015 Summary Compensation Table: Mr. Prising — $39,846; Ms. Swan — $34,800; and Mr. Van Handel — $43,908.</w:t>
      </w:r>
    </w:p>
    <w:p>
      <w:pPr>
        <w:spacing w:after="0" w:line="50" w:lineRule="exact"/>
        <w:rPr>
          <w:rFonts w:ascii="Arial" w:cs="Arial" w:eastAsia="Arial" w:hAnsi="Arial"/>
          <w:sz w:val="14"/>
          <w:szCs w:val="14"/>
          <w:color w:val="auto"/>
        </w:rPr>
      </w:pPr>
    </w:p>
    <w:p>
      <w:pPr>
        <w:ind w:left="340" w:right="20" w:hanging="332"/>
        <w:spacing w:after="0" w:line="244"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Of the amounts disclosed in this column for the Nonqualified Savings Plan, the following amounts were previously reported in the Summary Compensation Table in either 2016 or prior to 2016: Mr. Prising — $1,199,949; Mr. Green — $19,735; Ms. Swan — $321,214; and Mr. Van Handel — $1,419,011. The difference between the amounts disclosed in this footnote and the amounts disclosed in the above column for the Nonqualified Savings Plan reflect earnings (and losses) on the contributions, any salary or bonus deferrals by the executive prior to becoming an NEO, and any company contributions prior to the executive becoming an NEO. Of the amounts disclosed in this column for the Performance-Based Deferred Compensation Plan, $457,638 was previously reported in the Summary Compensation Table in either 2004 or 2005 for Mr. Van Handel. The difference between the amounts disclosed in this footnote and the amounts disclosed in the above column for the Performance-Based Deferred Compensation Plan reflect earnings on the contributions.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D89B4"/>
        </w:rPr>
        <w:t>Nonqualified Deferred Compensation in 2016</w:t>
      </w:r>
    </w:p>
    <w:p>
      <w:pPr>
        <w:spacing w:after="0" w:line="14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i w:val="1"/>
          <w:iCs w:val="1"/>
          <w:color w:val="auto"/>
        </w:rPr>
        <w:t>Nonqualified Savings Plan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Nonqualified Savings Plan (the “NQSP Plan”), certain executives, including the NEOs, may defer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portion of their salary and incentive awards. Salary deferral elections must be made by the executive officers before December 31 of the year prior to the year in which it will be earned. Incentive deferral elections are made by the executive officers in June of each year for the incentive they will earn during such year. The executive officers are permitted to defer up to 50% of their salary and 50% of their annual incentive under the plan. Pursuant to the plan, the executive officers, as well as all other plan participants, may receive a matching amount of 50% of the deferrals they have made during the year, up to a maximum of 6% of their annual compensation. Effective December 31, 2015, the plan was amended to allow ManpowerGroup to make a discretionary Enhanced Matching Contribution (“EMC”) to participants in the plan. The EMC is calculated as an additional matching contribution (over and above the regular 50% match of the deferrals made during the year on the first 6% of employee contributions). During 2016, ManpowerGroup made an EMC equal to a 25% match of the deferrals made for each NEO who participated in the plan in 2015. Also effective January 1, 2016, ManpowerGroup’s contributions to a participant’s account under the plan (both matching contributions and EMC’s) are not fully vested until a participant has at least three years of credited service with ManpowerGroup. Prior to 2016, employees were fully vested after five years of credited service. All of the executive officers who participate in the plan were fully vested in their matching contributions and enhanced matching contributions as of December 31, 2016.</w:t>
      </w:r>
    </w:p>
    <w:p>
      <w:pPr>
        <w:spacing w:after="0" w:line="122" w:lineRule="exact"/>
        <w:rPr>
          <w:sz w:val="20"/>
          <w:szCs w:val="20"/>
          <w:color w:val="auto"/>
        </w:rPr>
      </w:pPr>
    </w:p>
    <w:p>
      <w:pPr>
        <w:jc w:val="both"/>
        <w:ind w:right="840"/>
        <w:spacing w:after="0" w:line="261" w:lineRule="auto"/>
        <w:rPr>
          <w:sz w:val="20"/>
          <w:szCs w:val="20"/>
          <w:color w:val="auto"/>
        </w:rPr>
      </w:pPr>
      <w:r>
        <w:rPr>
          <w:rFonts w:ascii="Arial" w:cs="Arial" w:eastAsia="Arial" w:hAnsi="Arial"/>
          <w:sz w:val="17"/>
          <w:szCs w:val="17"/>
          <w:color w:val="auto"/>
        </w:rPr>
        <w:t>Eligibility for the NQSP Plan is based on the actual compensation paid to an employee by the Company in the prior calendar year. As Mr. McGinnis was not an employee in 2015, he was not eligible to participate in the NQSP Plan in 2016, and was therefore eligible to participate in the Company’s 401(k) plan in 2016. However, Mr. McGinnis chose not to participate in the 401(k) plan in 2016.</w:t>
      </w:r>
    </w:p>
    <w:p>
      <w:pPr>
        <w:spacing w:after="0" w:line="113" w:lineRule="exact"/>
        <w:rPr>
          <w:sz w:val="20"/>
          <w:szCs w:val="20"/>
          <w:color w:val="auto"/>
        </w:rPr>
      </w:pPr>
    </w:p>
    <w:p>
      <w:pPr>
        <w:ind w:left="9880"/>
        <w:spacing w:after="0"/>
        <w:rPr>
          <w:sz w:val="20"/>
          <w:szCs w:val="20"/>
          <w:color w:val="auto"/>
        </w:rPr>
      </w:pPr>
      <w:r>
        <w:rPr>
          <w:rFonts w:ascii="Arial" w:cs="Arial" w:eastAsia="Arial" w:hAnsi="Arial"/>
          <w:sz w:val="16"/>
          <w:szCs w:val="16"/>
          <w:b w:val="1"/>
          <w:bCs w:val="1"/>
          <w:color w:val="5D89B4"/>
        </w:rPr>
        <w:t xml:space="preserve">65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Compensation Tables</w:t>
      </w:r>
    </w:p>
    <w:p>
      <w:pPr>
        <w:spacing w:after="0" w:line="23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investment alternatives available to the executive officers under the Nonqualified Savings Plan are selected by ManpowerGroup and may be changed from time to time. The executive officers are permitted to change their investment elections at any time on a prospective basis. The table below shows the funds available under the plan and their annual rate of return for the calendar year ended December 31, 2016.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20" w:type="dxa"/>
            <w:vAlign w:val="bottom"/>
            <w:tcBorders>
              <w:top w:val="single" w:sz="8" w:color="auto"/>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Name of Fund</w:t>
            </w:r>
          </w:p>
        </w:tc>
        <w:tc>
          <w:tcPr>
            <w:tcW w:w="2100" w:type="dxa"/>
            <w:vAlign w:val="bottom"/>
            <w:tcBorders>
              <w:top w:val="single" w:sz="8" w:color="auto"/>
              <w:bottom w:val="single" w:sz="8" w:color="auto"/>
            </w:tcBorders>
            <w:shd w:val="clear" w:color="auto" w:fill="9DB8D2"/>
          </w:tcPr>
          <w:p>
            <w:pPr>
              <w:jc w:val="right"/>
              <w:ind w:right="259"/>
              <w:spacing w:after="0"/>
              <w:rPr>
                <w:sz w:val="20"/>
                <w:szCs w:val="20"/>
                <w:color w:val="auto"/>
              </w:rPr>
            </w:pPr>
            <w:r>
              <w:rPr>
                <w:rFonts w:ascii="Arial" w:cs="Arial" w:eastAsia="Arial" w:hAnsi="Arial"/>
                <w:sz w:val="14"/>
                <w:szCs w:val="14"/>
                <w:b w:val="1"/>
                <w:bCs w:val="1"/>
                <w:color w:val="auto"/>
              </w:rPr>
              <w:t>Annual Return</w:t>
            </w:r>
          </w:p>
        </w:tc>
      </w:tr>
      <w:tr>
        <w:trPr>
          <w:trHeight w:val="183"/>
        </w:trPr>
        <w:tc>
          <w:tcPr>
            <w:tcW w:w="932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Mainstay Epoch US All Cap IS</w:t>
            </w:r>
          </w:p>
        </w:tc>
        <w:tc>
          <w:tcPr>
            <w:tcW w:w="2100" w:type="dxa"/>
            <w:vAlign w:val="bottom"/>
            <w:shd w:val="clear" w:color="auto" w:fill="E6EDF3"/>
          </w:tcPr>
          <w:p>
            <w:pPr>
              <w:jc w:val="right"/>
              <w:ind w:right="119"/>
              <w:spacing w:after="0" w:line="183" w:lineRule="exact"/>
              <w:rPr>
                <w:sz w:val="20"/>
                <w:szCs w:val="20"/>
                <w:color w:val="auto"/>
              </w:rPr>
            </w:pPr>
            <w:r>
              <w:rPr>
                <w:rFonts w:ascii="Arial" w:cs="Arial" w:eastAsia="Arial" w:hAnsi="Arial"/>
                <w:sz w:val="16"/>
                <w:szCs w:val="16"/>
                <w:color w:val="auto"/>
              </w:rPr>
              <w:t>9.19%</w:t>
            </w:r>
          </w:p>
        </w:tc>
      </w:tr>
      <w:tr>
        <w:trPr>
          <w:trHeight w:val="189"/>
        </w:trPr>
        <w:tc>
          <w:tcPr>
            <w:tcW w:w="9320" w:type="dxa"/>
            <w:vAlign w:val="bottom"/>
          </w:tcPr>
          <w:p>
            <w:pPr>
              <w:ind w:left="80"/>
              <w:spacing w:after="0"/>
              <w:rPr>
                <w:sz w:val="20"/>
                <w:szCs w:val="20"/>
                <w:color w:val="auto"/>
              </w:rPr>
            </w:pPr>
            <w:r>
              <w:rPr>
                <w:rFonts w:ascii="Arial" w:cs="Arial" w:eastAsia="Arial" w:hAnsi="Arial"/>
                <w:sz w:val="16"/>
                <w:szCs w:val="16"/>
                <w:color w:val="auto"/>
              </w:rPr>
              <w:t>Vanguard Total Stock Market Index Investor Share Fund</w:t>
            </w:r>
          </w:p>
        </w:tc>
        <w:tc>
          <w:tcPr>
            <w:tcW w:w="2100" w:type="dxa"/>
            <w:vAlign w:val="bottom"/>
          </w:tcPr>
          <w:p>
            <w:pPr>
              <w:jc w:val="right"/>
              <w:ind w:right="119"/>
              <w:spacing w:after="0"/>
              <w:rPr>
                <w:sz w:val="20"/>
                <w:szCs w:val="20"/>
                <w:color w:val="auto"/>
              </w:rPr>
            </w:pPr>
            <w:r>
              <w:rPr>
                <w:rFonts w:ascii="Arial" w:cs="Arial" w:eastAsia="Arial" w:hAnsi="Arial"/>
                <w:sz w:val="16"/>
                <w:szCs w:val="16"/>
                <w:color w:val="auto"/>
              </w:rPr>
              <w:t>12.67%</w:t>
            </w:r>
          </w:p>
        </w:tc>
      </w:tr>
      <w:tr>
        <w:trPr>
          <w:trHeight w:val="189"/>
        </w:trPr>
        <w:tc>
          <w:tcPr>
            <w:tcW w:w="9320" w:type="dxa"/>
            <w:vAlign w:val="bottom"/>
            <w:shd w:val="clear" w:color="auto" w:fill="E6EDF3"/>
          </w:tcPr>
          <w:p>
            <w:pPr>
              <w:ind w:left="80"/>
              <w:spacing w:after="0"/>
              <w:rPr>
                <w:sz w:val="20"/>
                <w:szCs w:val="20"/>
                <w:color w:val="auto"/>
              </w:rPr>
            </w:pPr>
            <w:r>
              <w:rPr>
                <w:rFonts w:ascii="Arial" w:cs="Arial" w:eastAsia="Arial" w:hAnsi="Arial"/>
                <w:sz w:val="16"/>
                <w:szCs w:val="16"/>
                <w:color w:val="auto"/>
              </w:rPr>
              <w:t>Dodge &amp; Cox International Stock</w:t>
            </w:r>
          </w:p>
        </w:tc>
        <w:tc>
          <w:tcPr>
            <w:tcW w:w="2100" w:type="dxa"/>
            <w:vAlign w:val="bottom"/>
            <w:shd w:val="clear" w:color="auto" w:fill="E6EDF3"/>
          </w:tcPr>
          <w:p>
            <w:pPr>
              <w:jc w:val="right"/>
              <w:ind w:right="119"/>
              <w:spacing w:after="0"/>
              <w:rPr>
                <w:sz w:val="20"/>
                <w:szCs w:val="20"/>
                <w:color w:val="auto"/>
              </w:rPr>
            </w:pPr>
            <w:r>
              <w:rPr>
                <w:rFonts w:ascii="Arial" w:cs="Arial" w:eastAsia="Arial" w:hAnsi="Arial"/>
                <w:sz w:val="16"/>
                <w:szCs w:val="16"/>
                <w:color w:val="auto"/>
              </w:rPr>
              <w:t>8.26%</w:t>
            </w:r>
          </w:p>
        </w:tc>
      </w:tr>
      <w:tr>
        <w:trPr>
          <w:trHeight w:val="189"/>
        </w:trPr>
        <w:tc>
          <w:tcPr>
            <w:tcW w:w="9320" w:type="dxa"/>
            <w:vAlign w:val="bottom"/>
          </w:tcPr>
          <w:p>
            <w:pPr>
              <w:ind w:left="80"/>
              <w:spacing w:after="0"/>
              <w:rPr>
                <w:sz w:val="20"/>
                <w:szCs w:val="20"/>
                <w:color w:val="auto"/>
              </w:rPr>
            </w:pPr>
            <w:r>
              <w:rPr>
                <w:rFonts w:ascii="Arial" w:cs="Arial" w:eastAsia="Arial" w:hAnsi="Arial"/>
                <w:sz w:val="16"/>
                <w:szCs w:val="16"/>
                <w:color w:val="auto"/>
              </w:rPr>
              <w:t>Vanguard Total International Stock AD</w:t>
            </w:r>
          </w:p>
        </w:tc>
        <w:tc>
          <w:tcPr>
            <w:tcW w:w="2100" w:type="dxa"/>
            <w:vAlign w:val="bottom"/>
          </w:tcPr>
          <w:p>
            <w:pPr>
              <w:jc w:val="right"/>
              <w:ind w:right="119"/>
              <w:spacing w:after="0"/>
              <w:rPr>
                <w:sz w:val="20"/>
                <w:szCs w:val="20"/>
                <w:color w:val="auto"/>
              </w:rPr>
            </w:pPr>
            <w:r>
              <w:rPr>
                <w:rFonts w:ascii="Arial" w:cs="Arial" w:eastAsia="Arial" w:hAnsi="Arial"/>
                <w:sz w:val="16"/>
                <w:szCs w:val="16"/>
                <w:color w:val="auto"/>
              </w:rPr>
              <w:t>4.67%</w:t>
            </w:r>
          </w:p>
        </w:tc>
      </w:tr>
      <w:tr>
        <w:trPr>
          <w:trHeight w:val="189"/>
        </w:trPr>
        <w:tc>
          <w:tcPr>
            <w:tcW w:w="9320" w:type="dxa"/>
            <w:vAlign w:val="bottom"/>
            <w:shd w:val="clear" w:color="auto" w:fill="E6EDF3"/>
          </w:tcPr>
          <w:p>
            <w:pPr>
              <w:ind w:left="80"/>
              <w:spacing w:after="0"/>
              <w:rPr>
                <w:sz w:val="20"/>
                <w:szCs w:val="20"/>
                <w:color w:val="auto"/>
              </w:rPr>
            </w:pPr>
            <w:r>
              <w:rPr>
                <w:rFonts w:ascii="Arial" w:cs="Arial" w:eastAsia="Arial" w:hAnsi="Arial"/>
                <w:sz w:val="16"/>
                <w:szCs w:val="16"/>
                <w:color w:val="auto"/>
              </w:rPr>
              <w:t>T. Rowe Price Institutional Global Focused Growth Equity</w:t>
            </w:r>
          </w:p>
        </w:tc>
        <w:tc>
          <w:tcPr>
            <w:tcW w:w="2100" w:type="dxa"/>
            <w:vAlign w:val="bottom"/>
            <w:shd w:val="clear" w:color="auto" w:fill="E6EDF3"/>
          </w:tcPr>
          <w:p>
            <w:pPr>
              <w:jc w:val="right"/>
              <w:ind w:right="119"/>
              <w:spacing w:after="0"/>
              <w:rPr>
                <w:sz w:val="20"/>
                <w:szCs w:val="20"/>
                <w:color w:val="auto"/>
              </w:rPr>
            </w:pPr>
            <w:r>
              <w:rPr>
                <w:rFonts w:ascii="Arial" w:cs="Arial" w:eastAsia="Arial" w:hAnsi="Arial"/>
                <w:sz w:val="16"/>
                <w:szCs w:val="16"/>
                <w:color w:val="auto"/>
              </w:rPr>
              <w:t>2.93%</w:t>
            </w:r>
          </w:p>
        </w:tc>
      </w:tr>
      <w:tr>
        <w:trPr>
          <w:trHeight w:val="189"/>
        </w:trPr>
        <w:tc>
          <w:tcPr>
            <w:tcW w:w="9320" w:type="dxa"/>
            <w:vAlign w:val="bottom"/>
          </w:tcPr>
          <w:p>
            <w:pPr>
              <w:ind w:left="80"/>
              <w:spacing w:after="0"/>
              <w:rPr>
                <w:sz w:val="20"/>
                <w:szCs w:val="20"/>
                <w:color w:val="auto"/>
              </w:rPr>
            </w:pPr>
            <w:r>
              <w:rPr>
                <w:rFonts w:ascii="Arial" w:cs="Arial" w:eastAsia="Arial" w:hAnsi="Arial"/>
                <w:sz w:val="16"/>
                <w:szCs w:val="16"/>
                <w:color w:val="auto"/>
              </w:rPr>
              <w:t>Fidelity Freedom 2005 Fund</w:t>
            </w:r>
          </w:p>
        </w:tc>
        <w:tc>
          <w:tcPr>
            <w:tcW w:w="2100" w:type="dxa"/>
            <w:vAlign w:val="bottom"/>
          </w:tcPr>
          <w:p>
            <w:pPr>
              <w:jc w:val="right"/>
              <w:ind w:right="119"/>
              <w:spacing w:after="0"/>
              <w:rPr>
                <w:sz w:val="20"/>
                <w:szCs w:val="20"/>
                <w:color w:val="auto"/>
              </w:rPr>
            </w:pPr>
            <w:r>
              <w:rPr>
                <w:rFonts w:ascii="Arial" w:cs="Arial" w:eastAsia="Arial" w:hAnsi="Arial"/>
                <w:sz w:val="16"/>
                <w:szCs w:val="16"/>
                <w:color w:val="auto"/>
              </w:rPr>
              <w:t>5.94%</w:t>
            </w:r>
          </w:p>
        </w:tc>
      </w:tr>
      <w:tr>
        <w:trPr>
          <w:trHeight w:val="189"/>
        </w:trPr>
        <w:tc>
          <w:tcPr>
            <w:tcW w:w="9320" w:type="dxa"/>
            <w:vAlign w:val="bottom"/>
            <w:shd w:val="clear" w:color="auto" w:fill="E6EDF3"/>
          </w:tcPr>
          <w:p>
            <w:pPr>
              <w:ind w:left="80"/>
              <w:spacing w:after="0"/>
              <w:rPr>
                <w:sz w:val="20"/>
                <w:szCs w:val="20"/>
                <w:color w:val="auto"/>
              </w:rPr>
            </w:pPr>
            <w:r>
              <w:rPr>
                <w:rFonts w:ascii="Arial" w:cs="Arial" w:eastAsia="Arial" w:hAnsi="Arial"/>
                <w:sz w:val="16"/>
                <w:szCs w:val="16"/>
                <w:color w:val="auto"/>
              </w:rPr>
              <w:t>Fidelity Freedom 2010 Fund</w:t>
            </w:r>
          </w:p>
        </w:tc>
        <w:tc>
          <w:tcPr>
            <w:tcW w:w="2100" w:type="dxa"/>
            <w:vAlign w:val="bottom"/>
            <w:shd w:val="clear" w:color="auto" w:fill="E6EDF3"/>
          </w:tcPr>
          <w:p>
            <w:pPr>
              <w:jc w:val="right"/>
              <w:ind w:right="119"/>
              <w:spacing w:after="0"/>
              <w:rPr>
                <w:sz w:val="20"/>
                <w:szCs w:val="20"/>
                <w:color w:val="auto"/>
              </w:rPr>
            </w:pPr>
            <w:r>
              <w:rPr>
                <w:rFonts w:ascii="Arial" w:cs="Arial" w:eastAsia="Arial" w:hAnsi="Arial"/>
                <w:sz w:val="16"/>
                <w:szCs w:val="16"/>
                <w:color w:val="auto"/>
              </w:rPr>
              <w:t>6.57%</w:t>
            </w:r>
          </w:p>
        </w:tc>
      </w:tr>
      <w:tr>
        <w:trPr>
          <w:trHeight w:val="189"/>
        </w:trPr>
        <w:tc>
          <w:tcPr>
            <w:tcW w:w="9320" w:type="dxa"/>
            <w:vAlign w:val="bottom"/>
          </w:tcPr>
          <w:p>
            <w:pPr>
              <w:ind w:left="80"/>
              <w:spacing w:after="0"/>
              <w:rPr>
                <w:sz w:val="20"/>
                <w:szCs w:val="20"/>
                <w:color w:val="auto"/>
              </w:rPr>
            </w:pPr>
            <w:r>
              <w:rPr>
                <w:rFonts w:ascii="Arial" w:cs="Arial" w:eastAsia="Arial" w:hAnsi="Arial"/>
                <w:sz w:val="16"/>
                <w:szCs w:val="16"/>
                <w:color w:val="auto"/>
              </w:rPr>
              <w:t>Fidelity Freedom 2015 Fund</w:t>
            </w:r>
          </w:p>
        </w:tc>
        <w:tc>
          <w:tcPr>
            <w:tcW w:w="2100" w:type="dxa"/>
            <w:vAlign w:val="bottom"/>
          </w:tcPr>
          <w:p>
            <w:pPr>
              <w:jc w:val="right"/>
              <w:ind w:right="119"/>
              <w:spacing w:after="0"/>
              <w:rPr>
                <w:sz w:val="20"/>
                <w:szCs w:val="20"/>
                <w:color w:val="auto"/>
              </w:rPr>
            </w:pPr>
            <w:r>
              <w:rPr>
                <w:rFonts w:ascii="Arial" w:cs="Arial" w:eastAsia="Arial" w:hAnsi="Arial"/>
                <w:sz w:val="16"/>
                <w:szCs w:val="16"/>
                <w:color w:val="auto"/>
              </w:rPr>
              <w:t>7.10%</w:t>
            </w:r>
          </w:p>
        </w:tc>
      </w:tr>
      <w:tr>
        <w:trPr>
          <w:trHeight w:val="189"/>
        </w:trPr>
        <w:tc>
          <w:tcPr>
            <w:tcW w:w="9320" w:type="dxa"/>
            <w:vAlign w:val="bottom"/>
            <w:shd w:val="clear" w:color="auto" w:fill="E6EDF3"/>
          </w:tcPr>
          <w:p>
            <w:pPr>
              <w:ind w:left="80"/>
              <w:spacing w:after="0"/>
              <w:rPr>
                <w:sz w:val="20"/>
                <w:szCs w:val="20"/>
                <w:color w:val="auto"/>
              </w:rPr>
            </w:pPr>
            <w:r>
              <w:rPr>
                <w:rFonts w:ascii="Arial" w:cs="Arial" w:eastAsia="Arial" w:hAnsi="Arial"/>
                <w:sz w:val="16"/>
                <w:szCs w:val="16"/>
                <w:color w:val="auto"/>
              </w:rPr>
              <w:t>Fidelity Freedom 2020 Fund</w:t>
            </w:r>
          </w:p>
        </w:tc>
        <w:tc>
          <w:tcPr>
            <w:tcW w:w="2100" w:type="dxa"/>
            <w:vAlign w:val="bottom"/>
            <w:shd w:val="clear" w:color="auto" w:fill="E6EDF3"/>
          </w:tcPr>
          <w:p>
            <w:pPr>
              <w:jc w:val="right"/>
              <w:ind w:right="119"/>
              <w:spacing w:after="0"/>
              <w:rPr>
                <w:sz w:val="20"/>
                <w:szCs w:val="20"/>
                <w:color w:val="auto"/>
              </w:rPr>
            </w:pPr>
            <w:r>
              <w:rPr>
                <w:rFonts w:ascii="Arial" w:cs="Arial" w:eastAsia="Arial" w:hAnsi="Arial"/>
                <w:sz w:val="16"/>
                <w:szCs w:val="16"/>
                <w:color w:val="auto"/>
              </w:rPr>
              <w:t>7.40%</w:t>
            </w:r>
          </w:p>
        </w:tc>
      </w:tr>
      <w:tr>
        <w:trPr>
          <w:trHeight w:val="189"/>
        </w:trPr>
        <w:tc>
          <w:tcPr>
            <w:tcW w:w="9320" w:type="dxa"/>
            <w:vAlign w:val="bottom"/>
          </w:tcPr>
          <w:p>
            <w:pPr>
              <w:ind w:left="80"/>
              <w:spacing w:after="0"/>
              <w:rPr>
                <w:sz w:val="20"/>
                <w:szCs w:val="20"/>
                <w:color w:val="auto"/>
              </w:rPr>
            </w:pPr>
            <w:r>
              <w:rPr>
                <w:rFonts w:ascii="Arial" w:cs="Arial" w:eastAsia="Arial" w:hAnsi="Arial"/>
                <w:sz w:val="16"/>
                <w:szCs w:val="16"/>
                <w:color w:val="auto"/>
              </w:rPr>
              <w:t>Fidelity Freedom 2025 Fund</w:t>
            </w:r>
          </w:p>
        </w:tc>
        <w:tc>
          <w:tcPr>
            <w:tcW w:w="2100" w:type="dxa"/>
            <w:vAlign w:val="bottom"/>
          </w:tcPr>
          <w:p>
            <w:pPr>
              <w:jc w:val="right"/>
              <w:ind w:right="119"/>
              <w:spacing w:after="0"/>
              <w:rPr>
                <w:sz w:val="20"/>
                <w:szCs w:val="20"/>
                <w:color w:val="auto"/>
              </w:rPr>
            </w:pPr>
            <w:r>
              <w:rPr>
                <w:rFonts w:ascii="Arial" w:cs="Arial" w:eastAsia="Arial" w:hAnsi="Arial"/>
                <w:sz w:val="16"/>
                <w:szCs w:val="16"/>
                <w:color w:val="auto"/>
              </w:rPr>
              <w:t>7.59%</w:t>
            </w:r>
          </w:p>
        </w:tc>
      </w:tr>
      <w:tr>
        <w:trPr>
          <w:trHeight w:val="189"/>
        </w:trPr>
        <w:tc>
          <w:tcPr>
            <w:tcW w:w="9320" w:type="dxa"/>
            <w:vAlign w:val="bottom"/>
            <w:shd w:val="clear" w:color="auto" w:fill="E6EDF3"/>
          </w:tcPr>
          <w:p>
            <w:pPr>
              <w:ind w:left="80"/>
              <w:spacing w:after="0"/>
              <w:rPr>
                <w:sz w:val="20"/>
                <w:szCs w:val="20"/>
                <w:color w:val="auto"/>
              </w:rPr>
            </w:pPr>
            <w:r>
              <w:rPr>
                <w:rFonts w:ascii="Arial" w:cs="Arial" w:eastAsia="Arial" w:hAnsi="Arial"/>
                <w:sz w:val="16"/>
                <w:szCs w:val="16"/>
                <w:color w:val="auto"/>
              </w:rPr>
              <w:t>Fidelity Freedom 2030 Fund</w:t>
            </w:r>
          </w:p>
        </w:tc>
        <w:tc>
          <w:tcPr>
            <w:tcW w:w="2100" w:type="dxa"/>
            <w:vAlign w:val="bottom"/>
            <w:shd w:val="clear" w:color="auto" w:fill="E6EDF3"/>
          </w:tcPr>
          <w:p>
            <w:pPr>
              <w:jc w:val="right"/>
              <w:ind w:right="119"/>
              <w:spacing w:after="0"/>
              <w:rPr>
                <w:sz w:val="20"/>
                <w:szCs w:val="20"/>
                <w:color w:val="auto"/>
              </w:rPr>
            </w:pPr>
            <w:r>
              <w:rPr>
                <w:rFonts w:ascii="Arial" w:cs="Arial" w:eastAsia="Arial" w:hAnsi="Arial"/>
                <w:sz w:val="16"/>
                <w:szCs w:val="16"/>
                <w:color w:val="auto"/>
              </w:rPr>
              <w:t>8.25%</w:t>
            </w:r>
          </w:p>
        </w:tc>
      </w:tr>
      <w:tr>
        <w:trPr>
          <w:trHeight w:val="189"/>
        </w:trPr>
        <w:tc>
          <w:tcPr>
            <w:tcW w:w="9320" w:type="dxa"/>
            <w:vAlign w:val="bottom"/>
          </w:tcPr>
          <w:p>
            <w:pPr>
              <w:ind w:left="80"/>
              <w:spacing w:after="0"/>
              <w:rPr>
                <w:sz w:val="20"/>
                <w:szCs w:val="20"/>
                <w:color w:val="auto"/>
              </w:rPr>
            </w:pPr>
            <w:r>
              <w:rPr>
                <w:rFonts w:ascii="Arial" w:cs="Arial" w:eastAsia="Arial" w:hAnsi="Arial"/>
                <w:sz w:val="16"/>
                <w:szCs w:val="16"/>
                <w:color w:val="auto"/>
              </w:rPr>
              <w:t>Fidelity Freedom 2035 Fund</w:t>
            </w:r>
          </w:p>
        </w:tc>
        <w:tc>
          <w:tcPr>
            <w:tcW w:w="2100" w:type="dxa"/>
            <w:vAlign w:val="bottom"/>
          </w:tcPr>
          <w:p>
            <w:pPr>
              <w:jc w:val="right"/>
              <w:ind w:right="119"/>
              <w:spacing w:after="0"/>
              <w:rPr>
                <w:sz w:val="20"/>
                <w:szCs w:val="20"/>
                <w:color w:val="auto"/>
              </w:rPr>
            </w:pPr>
            <w:r>
              <w:rPr>
                <w:rFonts w:ascii="Arial" w:cs="Arial" w:eastAsia="Arial" w:hAnsi="Arial"/>
                <w:sz w:val="16"/>
                <w:szCs w:val="16"/>
                <w:color w:val="auto"/>
              </w:rPr>
              <w:t>8.72%</w:t>
            </w:r>
          </w:p>
        </w:tc>
      </w:tr>
      <w:tr>
        <w:trPr>
          <w:trHeight w:val="189"/>
        </w:trPr>
        <w:tc>
          <w:tcPr>
            <w:tcW w:w="9320" w:type="dxa"/>
            <w:vAlign w:val="bottom"/>
            <w:shd w:val="clear" w:color="auto" w:fill="E6EDF3"/>
          </w:tcPr>
          <w:p>
            <w:pPr>
              <w:ind w:left="80"/>
              <w:spacing w:after="0"/>
              <w:rPr>
                <w:sz w:val="20"/>
                <w:szCs w:val="20"/>
                <w:color w:val="auto"/>
              </w:rPr>
            </w:pPr>
            <w:r>
              <w:rPr>
                <w:rFonts w:ascii="Arial" w:cs="Arial" w:eastAsia="Arial" w:hAnsi="Arial"/>
                <w:sz w:val="16"/>
                <w:szCs w:val="16"/>
                <w:color w:val="auto"/>
              </w:rPr>
              <w:t>Fidelity Freedom 2040 Fund</w:t>
            </w:r>
          </w:p>
        </w:tc>
        <w:tc>
          <w:tcPr>
            <w:tcW w:w="2100" w:type="dxa"/>
            <w:vAlign w:val="bottom"/>
            <w:shd w:val="clear" w:color="auto" w:fill="E6EDF3"/>
          </w:tcPr>
          <w:p>
            <w:pPr>
              <w:jc w:val="right"/>
              <w:ind w:right="119"/>
              <w:spacing w:after="0"/>
              <w:rPr>
                <w:sz w:val="20"/>
                <w:szCs w:val="20"/>
                <w:color w:val="auto"/>
              </w:rPr>
            </w:pPr>
            <w:r>
              <w:rPr>
                <w:rFonts w:ascii="Arial" w:cs="Arial" w:eastAsia="Arial" w:hAnsi="Arial"/>
                <w:sz w:val="16"/>
                <w:szCs w:val="16"/>
                <w:color w:val="auto"/>
              </w:rPr>
              <w:t>8.72%</w:t>
            </w:r>
          </w:p>
        </w:tc>
      </w:tr>
      <w:tr>
        <w:trPr>
          <w:trHeight w:val="189"/>
        </w:trPr>
        <w:tc>
          <w:tcPr>
            <w:tcW w:w="9320" w:type="dxa"/>
            <w:vAlign w:val="bottom"/>
          </w:tcPr>
          <w:p>
            <w:pPr>
              <w:ind w:left="80"/>
              <w:spacing w:after="0"/>
              <w:rPr>
                <w:sz w:val="20"/>
                <w:szCs w:val="20"/>
                <w:color w:val="auto"/>
              </w:rPr>
            </w:pPr>
            <w:r>
              <w:rPr>
                <w:rFonts w:ascii="Arial" w:cs="Arial" w:eastAsia="Arial" w:hAnsi="Arial"/>
                <w:sz w:val="16"/>
                <w:szCs w:val="16"/>
                <w:color w:val="auto"/>
              </w:rPr>
              <w:t>Fidelity Freedom 2045 Fund</w:t>
            </w:r>
          </w:p>
        </w:tc>
        <w:tc>
          <w:tcPr>
            <w:tcW w:w="2100" w:type="dxa"/>
            <w:vAlign w:val="bottom"/>
          </w:tcPr>
          <w:p>
            <w:pPr>
              <w:jc w:val="right"/>
              <w:ind w:right="119"/>
              <w:spacing w:after="0"/>
              <w:rPr>
                <w:sz w:val="20"/>
                <w:szCs w:val="20"/>
                <w:color w:val="auto"/>
              </w:rPr>
            </w:pPr>
            <w:r>
              <w:rPr>
                <w:rFonts w:ascii="Arial" w:cs="Arial" w:eastAsia="Arial" w:hAnsi="Arial"/>
                <w:sz w:val="16"/>
                <w:szCs w:val="16"/>
                <w:color w:val="auto"/>
              </w:rPr>
              <w:t>8.79%</w:t>
            </w:r>
          </w:p>
        </w:tc>
      </w:tr>
      <w:tr>
        <w:trPr>
          <w:trHeight w:val="189"/>
        </w:trPr>
        <w:tc>
          <w:tcPr>
            <w:tcW w:w="9320" w:type="dxa"/>
            <w:vAlign w:val="bottom"/>
            <w:shd w:val="clear" w:color="auto" w:fill="E6EDF3"/>
          </w:tcPr>
          <w:p>
            <w:pPr>
              <w:ind w:left="80"/>
              <w:spacing w:after="0"/>
              <w:rPr>
                <w:sz w:val="20"/>
                <w:szCs w:val="20"/>
                <w:color w:val="auto"/>
              </w:rPr>
            </w:pPr>
            <w:r>
              <w:rPr>
                <w:rFonts w:ascii="Arial" w:cs="Arial" w:eastAsia="Arial" w:hAnsi="Arial"/>
                <w:sz w:val="16"/>
                <w:szCs w:val="16"/>
                <w:color w:val="auto"/>
              </w:rPr>
              <w:t>Fidelity Freedom 2050 Fund</w:t>
            </w:r>
          </w:p>
        </w:tc>
        <w:tc>
          <w:tcPr>
            <w:tcW w:w="2100" w:type="dxa"/>
            <w:vAlign w:val="bottom"/>
            <w:shd w:val="clear" w:color="auto" w:fill="E6EDF3"/>
          </w:tcPr>
          <w:p>
            <w:pPr>
              <w:jc w:val="right"/>
              <w:ind w:right="119"/>
              <w:spacing w:after="0"/>
              <w:rPr>
                <w:sz w:val="20"/>
                <w:szCs w:val="20"/>
                <w:color w:val="auto"/>
              </w:rPr>
            </w:pPr>
            <w:r>
              <w:rPr>
                <w:rFonts w:ascii="Arial" w:cs="Arial" w:eastAsia="Arial" w:hAnsi="Arial"/>
                <w:sz w:val="16"/>
                <w:szCs w:val="16"/>
                <w:color w:val="auto"/>
              </w:rPr>
              <w:t>8.71%</w:t>
            </w:r>
          </w:p>
        </w:tc>
      </w:tr>
      <w:tr>
        <w:trPr>
          <w:trHeight w:val="189"/>
        </w:trPr>
        <w:tc>
          <w:tcPr>
            <w:tcW w:w="9320" w:type="dxa"/>
            <w:vAlign w:val="bottom"/>
          </w:tcPr>
          <w:p>
            <w:pPr>
              <w:ind w:left="80"/>
              <w:spacing w:after="0"/>
              <w:rPr>
                <w:sz w:val="20"/>
                <w:szCs w:val="20"/>
                <w:color w:val="auto"/>
              </w:rPr>
            </w:pPr>
            <w:r>
              <w:rPr>
                <w:rFonts w:ascii="Arial" w:cs="Arial" w:eastAsia="Arial" w:hAnsi="Arial"/>
                <w:sz w:val="16"/>
                <w:szCs w:val="16"/>
                <w:color w:val="auto"/>
              </w:rPr>
              <w:t>Fidelity Freedom 2055 Fund</w:t>
            </w:r>
          </w:p>
        </w:tc>
        <w:tc>
          <w:tcPr>
            <w:tcW w:w="2100" w:type="dxa"/>
            <w:vAlign w:val="bottom"/>
          </w:tcPr>
          <w:p>
            <w:pPr>
              <w:jc w:val="right"/>
              <w:ind w:right="119"/>
              <w:spacing w:after="0"/>
              <w:rPr>
                <w:sz w:val="20"/>
                <w:szCs w:val="20"/>
                <w:color w:val="auto"/>
              </w:rPr>
            </w:pPr>
            <w:r>
              <w:rPr>
                <w:rFonts w:ascii="Arial" w:cs="Arial" w:eastAsia="Arial" w:hAnsi="Arial"/>
                <w:sz w:val="16"/>
                <w:szCs w:val="16"/>
                <w:color w:val="auto"/>
              </w:rPr>
              <w:t>8.77%</w:t>
            </w:r>
          </w:p>
        </w:tc>
      </w:tr>
      <w:tr>
        <w:trPr>
          <w:trHeight w:val="189"/>
        </w:trPr>
        <w:tc>
          <w:tcPr>
            <w:tcW w:w="9320" w:type="dxa"/>
            <w:vAlign w:val="bottom"/>
            <w:shd w:val="clear" w:color="auto" w:fill="E6EDF3"/>
          </w:tcPr>
          <w:p>
            <w:pPr>
              <w:ind w:left="80"/>
              <w:spacing w:after="0"/>
              <w:rPr>
                <w:sz w:val="20"/>
                <w:szCs w:val="20"/>
                <w:color w:val="auto"/>
              </w:rPr>
            </w:pPr>
            <w:r>
              <w:rPr>
                <w:rFonts w:ascii="Arial" w:cs="Arial" w:eastAsia="Arial" w:hAnsi="Arial"/>
                <w:sz w:val="16"/>
                <w:szCs w:val="16"/>
                <w:color w:val="auto"/>
              </w:rPr>
              <w:t>Fidelity Freedom 2060 Fund</w:t>
            </w:r>
          </w:p>
        </w:tc>
        <w:tc>
          <w:tcPr>
            <w:tcW w:w="2100" w:type="dxa"/>
            <w:vAlign w:val="bottom"/>
            <w:shd w:val="clear" w:color="auto" w:fill="E6EDF3"/>
          </w:tcPr>
          <w:p>
            <w:pPr>
              <w:jc w:val="right"/>
              <w:ind w:right="119"/>
              <w:spacing w:after="0"/>
              <w:rPr>
                <w:sz w:val="20"/>
                <w:szCs w:val="20"/>
                <w:color w:val="auto"/>
              </w:rPr>
            </w:pPr>
            <w:r>
              <w:rPr>
                <w:rFonts w:ascii="Arial" w:cs="Arial" w:eastAsia="Arial" w:hAnsi="Arial"/>
                <w:sz w:val="16"/>
                <w:szCs w:val="16"/>
                <w:color w:val="auto"/>
              </w:rPr>
              <w:t>8.74%</w:t>
            </w:r>
          </w:p>
        </w:tc>
      </w:tr>
      <w:tr>
        <w:trPr>
          <w:trHeight w:val="189"/>
        </w:trPr>
        <w:tc>
          <w:tcPr>
            <w:tcW w:w="9320" w:type="dxa"/>
            <w:vAlign w:val="bottom"/>
          </w:tcPr>
          <w:p>
            <w:pPr>
              <w:ind w:left="80"/>
              <w:spacing w:after="0"/>
              <w:rPr>
                <w:sz w:val="20"/>
                <w:szCs w:val="20"/>
                <w:color w:val="auto"/>
              </w:rPr>
            </w:pPr>
            <w:r>
              <w:rPr>
                <w:rFonts w:ascii="Arial" w:cs="Arial" w:eastAsia="Arial" w:hAnsi="Arial"/>
                <w:sz w:val="16"/>
                <w:szCs w:val="16"/>
                <w:color w:val="auto"/>
              </w:rPr>
              <w:t>Fidelity Freedom Income Fund</w:t>
            </w:r>
          </w:p>
        </w:tc>
        <w:tc>
          <w:tcPr>
            <w:tcW w:w="2100" w:type="dxa"/>
            <w:vAlign w:val="bottom"/>
          </w:tcPr>
          <w:p>
            <w:pPr>
              <w:jc w:val="right"/>
              <w:ind w:right="119"/>
              <w:spacing w:after="0"/>
              <w:rPr>
                <w:sz w:val="20"/>
                <w:szCs w:val="20"/>
                <w:color w:val="auto"/>
              </w:rPr>
            </w:pPr>
            <w:r>
              <w:rPr>
                <w:rFonts w:ascii="Arial" w:cs="Arial" w:eastAsia="Arial" w:hAnsi="Arial"/>
                <w:sz w:val="16"/>
                <w:szCs w:val="16"/>
                <w:color w:val="auto"/>
              </w:rPr>
              <w:t>5.18%</w:t>
            </w:r>
          </w:p>
        </w:tc>
      </w:tr>
      <w:tr>
        <w:trPr>
          <w:trHeight w:val="189"/>
        </w:trPr>
        <w:tc>
          <w:tcPr>
            <w:tcW w:w="9320" w:type="dxa"/>
            <w:vAlign w:val="bottom"/>
            <w:shd w:val="clear" w:color="auto" w:fill="E6EDF3"/>
          </w:tcPr>
          <w:p>
            <w:pPr>
              <w:ind w:left="80"/>
              <w:spacing w:after="0"/>
              <w:rPr>
                <w:sz w:val="20"/>
                <w:szCs w:val="20"/>
                <w:color w:val="auto"/>
              </w:rPr>
            </w:pPr>
            <w:r>
              <w:rPr>
                <w:rFonts w:ascii="Arial" w:cs="Arial" w:eastAsia="Arial" w:hAnsi="Arial"/>
                <w:sz w:val="16"/>
                <w:szCs w:val="16"/>
                <w:color w:val="auto"/>
              </w:rPr>
              <w:t>Fidelity Short Term Bond</w:t>
            </w:r>
          </w:p>
        </w:tc>
        <w:tc>
          <w:tcPr>
            <w:tcW w:w="2100" w:type="dxa"/>
            <w:vAlign w:val="bottom"/>
            <w:shd w:val="clear" w:color="auto" w:fill="E6EDF3"/>
          </w:tcPr>
          <w:p>
            <w:pPr>
              <w:jc w:val="right"/>
              <w:ind w:right="119"/>
              <w:spacing w:after="0"/>
              <w:rPr>
                <w:sz w:val="20"/>
                <w:szCs w:val="20"/>
                <w:color w:val="auto"/>
              </w:rPr>
            </w:pPr>
            <w:r>
              <w:rPr>
                <w:rFonts w:ascii="Arial" w:cs="Arial" w:eastAsia="Arial" w:hAnsi="Arial"/>
                <w:sz w:val="16"/>
                <w:szCs w:val="16"/>
                <w:color w:val="auto"/>
              </w:rPr>
              <w:t>1.45%</w:t>
            </w:r>
          </w:p>
        </w:tc>
      </w:tr>
      <w:tr>
        <w:trPr>
          <w:trHeight w:val="189"/>
        </w:trPr>
        <w:tc>
          <w:tcPr>
            <w:tcW w:w="9320" w:type="dxa"/>
            <w:vAlign w:val="bottom"/>
          </w:tcPr>
          <w:p>
            <w:pPr>
              <w:ind w:left="80"/>
              <w:spacing w:after="0"/>
              <w:rPr>
                <w:sz w:val="20"/>
                <w:szCs w:val="20"/>
                <w:color w:val="auto"/>
              </w:rPr>
            </w:pPr>
            <w:r>
              <w:rPr>
                <w:rFonts w:ascii="Arial" w:cs="Arial" w:eastAsia="Arial" w:hAnsi="Arial"/>
                <w:sz w:val="16"/>
                <w:szCs w:val="16"/>
                <w:color w:val="auto"/>
              </w:rPr>
              <w:t>Vanguard Total Bond Market Index Fund</w:t>
            </w:r>
          </w:p>
        </w:tc>
        <w:tc>
          <w:tcPr>
            <w:tcW w:w="2100" w:type="dxa"/>
            <w:vAlign w:val="bottom"/>
          </w:tcPr>
          <w:p>
            <w:pPr>
              <w:jc w:val="right"/>
              <w:ind w:right="119"/>
              <w:spacing w:after="0"/>
              <w:rPr>
                <w:sz w:val="20"/>
                <w:szCs w:val="20"/>
                <w:color w:val="auto"/>
              </w:rPr>
            </w:pPr>
            <w:r>
              <w:rPr>
                <w:rFonts w:ascii="Arial" w:cs="Arial" w:eastAsia="Arial" w:hAnsi="Arial"/>
                <w:sz w:val="16"/>
                <w:szCs w:val="16"/>
                <w:color w:val="auto"/>
              </w:rPr>
              <w:t>2.61%</w:t>
            </w:r>
          </w:p>
        </w:tc>
      </w:tr>
      <w:tr>
        <w:trPr>
          <w:trHeight w:val="189"/>
        </w:trPr>
        <w:tc>
          <w:tcPr>
            <w:tcW w:w="9320" w:type="dxa"/>
            <w:vAlign w:val="bottom"/>
            <w:shd w:val="clear" w:color="auto" w:fill="E6EDF3"/>
          </w:tcPr>
          <w:p>
            <w:pPr>
              <w:ind w:left="80"/>
              <w:spacing w:after="0"/>
              <w:rPr>
                <w:sz w:val="20"/>
                <w:szCs w:val="20"/>
                <w:color w:val="auto"/>
              </w:rPr>
            </w:pPr>
            <w:r>
              <w:rPr>
                <w:rFonts w:ascii="Arial" w:cs="Arial" w:eastAsia="Arial" w:hAnsi="Arial"/>
                <w:sz w:val="16"/>
                <w:szCs w:val="16"/>
                <w:color w:val="auto"/>
              </w:rPr>
              <w:t>Prudential Total Return Bond Fund Class Q</w:t>
            </w:r>
          </w:p>
        </w:tc>
        <w:tc>
          <w:tcPr>
            <w:tcW w:w="2100" w:type="dxa"/>
            <w:vAlign w:val="bottom"/>
            <w:shd w:val="clear" w:color="auto" w:fill="E6EDF3"/>
          </w:tcPr>
          <w:p>
            <w:pPr>
              <w:jc w:val="right"/>
              <w:ind w:right="119"/>
              <w:spacing w:after="0"/>
              <w:rPr>
                <w:sz w:val="20"/>
                <w:szCs w:val="20"/>
                <w:color w:val="auto"/>
              </w:rPr>
            </w:pPr>
            <w:r>
              <w:rPr>
                <w:rFonts w:ascii="Arial" w:cs="Arial" w:eastAsia="Arial" w:hAnsi="Arial"/>
                <w:sz w:val="16"/>
                <w:szCs w:val="16"/>
                <w:color w:val="auto"/>
              </w:rPr>
              <w:t>4.83%</w:t>
            </w:r>
          </w:p>
        </w:tc>
      </w:tr>
      <w:tr>
        <w:trPr>
          <w:trHeight w:val="200"/>
        </w:trPr>
        <w:tc>
          <w:tcPr>
            <w:tcW w:w="93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Fidelity Money Market Trust Retirement Government Fund</w:t>
            </w:r>
          </w:p>
        </w:tc>
        <w:tc>
          <w:tcPr>
            <w:tcW w:w="2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0.05%</w:t>
            </w:r>
          </w:p>
        </w:tc>
      </w:tr>
    </w:tbl>
    <w:p>
      <w:pPr>
        <w:spacing w:after="0" w:line="148" w:lineRule="exact"/>
        <w:rPr>
          <w:sz w:val="20"/>
          <w:szCs w:val="20"/>
          <w:color w:val="auto"/>
        </w:rPr>
      </w:pPr>
    </w:p>
    <w:p>
      <w:pPr>
        <w:jc w:val="both"/>
        <w:ind w:right="180"/>
        <w:spacing w:after="0" w:line="246" w:lineRule="auto"/>
        <w:rPr>
          <w:sz w:val="20"/>
          <w:szCs w:val="20"/>
          <w:color w:val="auto"/>
        </w:rPr>
      </w:pPr>
      <w:r>
        <w:rPr>
          <w:rFonts w:ascii="Arial" w:cs="Arial" w:eastAsia="Arial" w:hAnsi="Arial"/>
          <w:sz w:val="18"/>
          <w:szCs w:val="18"/>
          <w:color w:val="auto"/>
        </w:rPr>
        <w:t>Benefits paid under the Nonqualified Savings Plan will be paid to the executive officers upon their termination of employment, either in a lump sum, or in three, five or ten annual installments, as elected by the executive officers in accordance with the plan rules.</w:t>
      </w:r>
    </w:p>
    <w:p>
      <w:pPr>
        <w:spacing w:after="0" w:line="10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b w:val="1"/>
          <w:bCs w:val="1"/>
          <w:i w:val="1"/>
          <w:iCs w:val="1"/>
          <w:color w:val="auto"/>
        </w:rPr>
        <w:t>Performance-Based Deferred Compensation Plan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Van Handel has participated in the Senior Management Performance-Based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Deferred Compensation Plan, earning deferred compensation upon the achievement of earnings per share and economic profit goals in 2004 and 2005. Though the plan was frozen in February 2006, the executives continued to accrue earnings on such amounts in accordance with the plan. Specifically, the plan allows the Committee to determine the rate of return from time to time. Currently, the rate of return is equal to the effective yield on ten-year Treasury notes plus 100 basis points at the beginning of each year. A detailed discussion regarding the vesting conditions that entitle an executive to benefits under this plan can be found in the narrative accompanying the Post-Termination Benefits and Change of Control Tables below. Participants will receive any vested benefits under this plan upon their termination of employment, payable in cash or shares of ManpowerGroup’s common stock (in ManpowerGroup’s sole discretion), in a lump sum or in such number of annual installments as elected by the participant in accordance with the plan rules. Upon a change of control, the participants receive a distribution of such benefits in a lump sum.</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66</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9600"/>
        <w:spacing w:after="0"/>
        <w:rPr>
          <w:sz w:val="20"/>
          <w:szCs w:val="20"/>
          <w:color w:val="auto"/>
        </w:rPr>
      </w:pPr>
      <w:r>
        <w:rPr>
          <w:rFonts w:ascii="Arial" w:cs="Arial" w:eastAsia="Arial" w:hAnsi="Arial"/>
          <w:sz w:val="18"/>
          <w:szCs w:val="18"/>
          <w:color w:val="FFFFFF"/>
        </w:rPr>
        <w:t>Compensation Tables</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Termination of Employment and Change of Control Arrangements</w:t>
      </w:r>
    </w:p>
    <w:p>
      <w:pPr>
        <w:spacing w:after="0" w:line="188"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ManpowerGroup has entered into severance agreements (which include change of control benefits) with each of the NEOs. Each agreement generally has a three-year term, and such term is automatically extended for two years to the extent there is a change of control of ManpowerGroup within the two-year period prior to the expiration of the original term of the agreement. In addition to these severance agreements, the NEOs participate in a number of equity grants and benefit plans that contain vesting provisions that are triggered upon a change of control of ManpowerGroup and/or certain terminations of employment. Generally, benefits under these arrangements are triggered upon the involuntary termination of the executive’s employment not for cause or upon a voluntary termination of employment for good reason. Terminations for other reasons (such as retirement, death, disability or a change of control) also trigger enhanced benefits under certain of these arrangements. Except for the table for the former Senior Executive Vice President, the tables following the descriptions of these arrangements illustrate the amount of enhanced benefits the NEOs would receive under all such arrangements if ManpowerGroup terminated their employment on December 31, 2016 for the reasons specified within the tables. None of the tables illustrate the value of any vested benefits payable to the NEOs upon a termination of employment (i.e., vested equity awards, or vested balances accrued under the Nonqualified Savings Plan or Performance-Based Deferred Compensation Plan), nor does any table illustrate the value of any enhanced benefits upon retirement of an NEO who was not eligible for retirement treatment as of December 31, 2016 with respect to any of their unvested benefits. As of December 31, 2016, only Mr. Van Handel and Ms. Swan were eligible for retirement treatment under certain of their outstanding awards. The tables below assume that in a “change of control,” the acquiring or surviving company would have assumed all unvested equity awards.</w:t>
      </w:r>
    </w:p>
    <w:p>
      <w:pPr>
        <w:spacing w:after="0" w:line="125"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b w:val="1"/>
          <w:bCs w:val="1"/>
          <w:i w:val="1"/>
          <w:iCs w:val="1"/>
          <w:color w:val="auto"/>
        </w:rPr>
        <w:t>Senior Executive Vice President’s Retirement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Van Handel served in the capacity of Senior Executive Vice President until his retirement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February 15, 2017. The table for the former Senior Executive Vice President which follows the descriptions of the below arrangements illustrates the benefits he became entitled to receive upon retirement. The table does not illustrate the value of any benefits other than under the Performance-Based Deferred Compensation Plan that may have been payable to him upon retirement but were otherwise vested prior to his retirement (i.e., vested equity awards or vested balances accrued under the Nonqualified Savings Plan). Due to Mr. Van Handel’s retirement, the description of the treatment of the arrangements below upon a change of control or termination of employment other than retirement does not apply to him.</w:t>
      </w:r>
    </w:p>
    <w:p>
      <w:pPr>
        <w:spacing w:after="0" w:line="98"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b w:val="1"/>
          <w:bCs w:val="1"/>
          <w:i w:val="1"/>
          <w:iCs w:val="1"/>
          <w:color w:val="auto"/>
        </w:rPr>
        <w:t xml:space="preserve">Severance agreements. </w:t>
      </w:r>
      <w:r>
        <w:rPr>
          <w:rFonts w:ascii="Arial" w:cs="Arial" w:eastAsia="Arial" w:hAnsi="Arial"/>
          <w:sz w:val="18"/>
          <w:szCs w:val="18"/>
          <w:color w:val="auto"/>
        </w:rPr>
        <w:t>Under the severance agreements, upon the involuntary termination of the NEO’s employment (other than for cause,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described below) or upon the voluntary termination of employment by the NEO for good reason (as described below), the NEO is entitled to receive a severance payment equal to the sum of the executive’s base salary and annual incentive. The severance payment to the CEO is capped at 2-1/2 times his base salary in effect at the time of the termination, while the CFO’s severance payment is capped at 2 times his base salary in effect at the time of the termination. There is no cap applicable to the other NEOs.</w:t>
      </w:r>
    </w:p>
    <w:p>
      <w:pPr>
        <w:spacing w:after="0" w:line="13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the event an NEO’s termination occurs in the two-year period following a change of control of ManpowerGroup or during a “protected period” (generally, the six-month period prior to a change of control), the severance payment payable to the CEO and CFO is equal to three times the sum of their base salary and annual incentive, while the severance payment to the other NEOs is equal to two times the sum of their salary and annual incentive. The caps described above do not apply in the event of a change of control. All severance payments under the NEOs’ agreements will generally be paid in a lump sum on the 30th day following the date of termination. The determination of the amount of the annual incentive used to calculate the severance payment will vary depending on the circumstances surrounding the termination and is further detailed in the footnotes accompanying the illustrative tables below.</w:t>
      </w:r>
    </w:p>
    <w:p>
      <w:pPr>
        <w:spacing w:after="0" w:line="136"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Cause is defined in the severance agreements, and generally includes: performance failures; failure to follow instructions; fraudulent acts; violation of ManpowerGroup policies; acts of moral turpitude which are likely to result in loss of business, reputation or goodwill to ManpowerGroup; chronic absences from work which are non-health related; crimes related to the NEO’s duties; or willful harmful conduct to ManpowerGroup. Good reason is also defined in each severance agreement. A termination for good reason in the severance agreements for the NEOs is triggered by (i) any material breach by the Company or one of its affiliates of a material obligation to pay or provide benefits or compensation to the executive, (ii) a material diminution in base salary, (iii) a material diminution in the</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67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Compensation Tables</w:t>
      </w:r>
    </w:p>
    <w:p>
      <w:pPr>
        <w:spacing w:after="0" w:line="23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executive’s authority, duties or responsibility, coupled with a material reduction in the executive’s target bonus opportunity, (iv) a material diminution in the executive’s authority, duties or responsibility that is not coupled with a material reduction in the executive’s target bonus opportunity, but that occurs within 2 years after a change of control; or (v) a material reduction in the executive’s target bonus opportunity that is not coupled with a material diminution in the executive’s authority, duties or responsibilities, but that occurs within two years after a change of control. In addition, under the severance agreements with Mr. Prising, Mr. Green, Mr. McGinnis and Ms. Swan, good reason is triggered by a relocation to a new principal office that is in excess of 50 miles from the NEO’s prior principal office.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Under the severance agreements, the NEOs are bound by non-competition agreements in favor of ManpowerGroup for the one-year period following the termination of their employment for any reason, except where the termination occurs within the two-year period following a change of control or during a protected period and is either involuntary (other than for cause) or is for good reason.</w:t>
      </w:r>
    </w:p>
    <w:p>
      <w:pPr>
        <w:spacing w:after="0" w:line="13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the severance agreements, upon the NEO’s (i) involuntary termination (other than for cause), (ii) voluntary termination for good reason or (iii) termination due to the death or disability of the NEO, the NEOs are entitled to receive a prorated incentive for the year in which termination occurs. In addition, for all NEOs covered by U.S. health insurance, ManpowerGroup has agreed to pay for continued health insurance for the NEOs and their families for a 12-month period following an involuntary termination of their employment (other than for cause) or a voluntary termination of their employment for good reason. Furthermore, if such a termination occurs within the two-year period following a change of control or during a protected period, then ManpowerGroup has agreed to pay for continued health insurance for the NEOs and their families for an 18-month period. Finally, under the severance agreements, following an involuntary termination of the NEO’s employment (other than for cause) or a voluntary termination of the NEO’s employment for good reason, ManpowerGroup will pay for outplacement services for up to one year following the NEO’s termination. This benefit is not included in the agreement with Mr. Prising.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Effective as of July 28, 2016, the Company entered into a new severance agreement with Mr. Green replacing his prior severance agreement</w:t>
      </w:r>
    </w:p>
    <w:p>
      <w:pPr>
        <w:spacing w:after="0" w:line="234" w:lineRule="auto"/>
        <w:rPr>
          <w:sz w:val="20"/>
          <w:szCs w:val="20"/>
          <w:color w:val="auto"/>
        </w:rPr>
      </w:pPr>
      <w:r>
        <w:rPr>
          <w:rFonts w:ascii="Arial" w:cs="Arial" w:eastAsia="Arial" w:hAnsi="Arial"/>
          <w:sz w:val="18"/>
          <w:szCs w:val="18"/>
          <w:color w:val="auto"/>
        </w:rPr>
        <w:t>that was scheduled to expire August 1, 2016. This severance agreement replaces his previous severance agreement dated as of August 1,</w:t>
      </w:r>
    </w:p>
    <w:p>
      <w:pPr>
        <w:spacing w:after="0" w:line="235" w:lineRule="auto"/>
        <w:rPr>
          <w:sz w:val="20"/>
          <w:szCs w:val="20"/>
          <w:color w:val="auto"/>
        </w:rPr>
      </w:pPr>
      <w:r>
        <w:rPr>
          <w:rFonts w:ascii="Arial" w:cs="Arial" w:eastAsia="Arial" w:hAnsi="Arial"/>
          <w:sz w:val="18"/>
          <w:szCs w:val="18"/>
          <w:color w:val="auto"/>
        </w:rPr>
        <w:t>2013. The new severance agreement contains terms substantially similar to the severance agreement that the Company entered into with</w:t>
      </w:r>
    </w:p>
    <w:p>
      <w:pPr>
        <w:spacing w:after="0" w:line="235" w:lineRule="auto"/>
        <w:rPr>
          <w:sz w:val="20"/>
          <w:szCs w:val="20"/>
          <w:color w:val="auto"/>
        </w:rPr>
      </w:pPr>
      <w:r>
        <w:rPr>
          <w:rFonts w:ascii="Arial" w:cs="Arial" w:eastAsia="Arial" w:hAnsi="Arial"/>
          <w:sz w:val="18"/>
          <w:szCs w:val="18"/>
          <w:color w:val="auto"/>
        </w:rPr>
        <w:t>Mr. Chandrashekar in October 2015. The new severance agreement expires on the first to occur of (1) the date two years after the occurrence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a change of control of the Company or (2) July 28, 2019 if no such change of control occurs before July 28, 2019.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During 2016, the Company was party to a severance agreement with Mr. Van Handel, which was similar to the severance agreement with</w:t>
      </w:r>
    </w:p>
    <w:p>
      <w:pPr>
        <w:ind w:right="100"/>
        <w:spacing w:after="0"/>
        <w:rPr>
          <w:sz w:val="20"/>
          <w:szCs w:val="20"/>
          <w:color w:val="auto"/>
        </w:rPr>
      </w:pPr>
      <w:r>
        <w:rPr>
          <w:rFonts w:ascii="Arial" w:cs="Arial" w:eastAsia="Arial" w:hAnsi="Arial"/>
          <w:sz w:val="18"/>
          <w:szCs w:val="18"/>
          <w:color w:val="auto"/>
        </w:rPr>
        <w:t>Mr. McGinnis. However, on the same date of Mr. Van Handel’s retirement on February 15, 2017, that agreement expired and no amounts were due to him under the severance agreement as a result of his retirement. Mr. Van Handel is bound by the terms of the non-competition provisions in the severance agreement for a period of one-year following his retirement.</w:t>
      </w:r>
    </w:p>
    <w:p>
      <w:pPr>
        <w:spacing w:after="0" w:line="11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As of December 31, 2016, each of the NEOs held unvested stock options granted under the 2011 Equity Incentive Plan.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terms of the stock option agreements that ManpowerGroup entered into with each of the NEOs, unvested options immediately vest upon the NEO’s death or disability. Furthermore, upon a change of control where the options are converted on a tax free basis or where ManpowerGroup’s shares remain publicly traded, the options only accelerate vesting in the event of the NEO’s involuntary termination of employment (other than for cause) or a voluntary termination of employment for good reason during a protected period or within two years following a change of control. Alternatively, upon a change of control of ManpowerGroup where ManpowerGroup’s shares do not remain publicly traded or where a publicly traded acquirer does not convert the options into options over the acquirer’s shares on a tax free basis, such options immediately vest upon the change of control. For purposes of these stock option agreements, the definitions of cause and good reason are generally the same as those used in the NEO’s severance agreements. Under the terms of the stock option agreements entered into with each of the NEOs, unvested options also immediately vest upon the NEO’s “retirement.” Here, retirement means the termination of the NEO’s employment on or after age 55 and the NEO has completed 10 years of service with ManpowerGroup. Mr. Van Handel’s unvested stock options vested on his retirement on February 15, 2017.</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68</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9600"/>
        <w:spacing w:after="0"/>
        <w:rPr>
          <w:sz w:val="20"/>
          <w:szCs w:val="20"/>
          <w:color w:val="auto"/>
        </w:rPr>
      </w:pPr>
      <w:r>
        <w:rPr>
          <w:rFonts w:ascii="Arial" w:cs="Arial" w:eastAsia="Arial" w:hAnsi="Arial"/>
          <w:sz w:val="18"/>
          <w:szCs w:val="18"/>
          <w:color w:val="FFFFFF"/>
        </w:rPr>
        <w:t>Compensation Tables</w:t>
      </w:r>
    </w:p>
    <w:p>
      <w:pPr>
        <w:spacing w:after="0" w:line="217" w:lineRule="exact"/>
        <w:rPr>
          <w:sz w:val="20"/>
          <w:szCs w:val="20"/>
          <w:color w:val="auto"/>
        </w:rPr>
      </w:pPr>
    </w:p>
    <w:p>
      <w:pPr>
        <w:ind w:right="60"/>
        <w:spacing w:after="0"/>
        <w:rPr>
          <w:sz w:val="20"/>
          <w:szCs w:val="20"/>
          <w:color w:val="auto"/>
        </w:rPr>
      </w:pPr>
      <w:r>
        <w:rPr>
          <w:rFonts w:ascii="Arial" w:cs="Arial" w:eastAsia="Arial" w:hAnsi="Arial"/>
          <w:sz w:val="18"/>
          <w:szCs w:val="18"/>
          <w:b w:val="1"/>
          <w:bCs w:val="1"/>
          <w:i w:val="1"/>
          <w:iCs w:val="1"/>
          <w:color w:val="auto"/>
        </w:rPr>
        <w:t>Restricted stock units and career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December 31, 2016, the NEOs held unvested restricted stock units or career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(restricted stock or restricted stock units that vest completely on a single date several years into the future, for example, four or five years) granted under the 2011 Equity Incentive Plan. A NEO will become fully vested in his or her restricted stock units or career shares upon a termination of employment due to death or disability. All restricted stock units held by the NEOs will become fully vested upon a termination of employment due to the NEO’s retirement. For these awards, “retirement” generally means the termination of the NEO’s employment on or after age 55 if the NEO has completed 10 years of service with ManpowerGroup. Mr. Van Handel’s unvested restricted stock units vested on his retirement on February 15, 2017. For career share grants, such shares do not vest upon retirement. Upon a change of control, the restricted stock units or career shares shall vest according to the same terms as described above for stock options.</w:t>
      </w:r>
    </w:p>
    <w:p>
      <w:pPr>
        <w:spacing w:after="0" w:line="135"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Also, restricted stock units and career shares are forfeited upon the NEO’s involuntary termination of employment or a voluntary termination for good reason.</w:t>
      </w:r>
    </w:p>
    <w:p>
      <w:pPr>
        <w:spacing w:after="0" w:line="10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i w:val="1"/>
          <w:iCs w:val="1"/>
          <w:color w:val="auto"/>
        </w:rPr>
        <w:t>Performance share units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December 31, 2016, all NEOs held outstanding performance share units granted under the 2011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Plan. Generally, under these awards, upon a NEO’s termination of employment due to retirement (here, employment termination after age 55 with 10 years of completed service), the NEO is entitled to receive a pro-rata number of shares based on the actual results at the end of the applicable performance period, prorated based on the time elapsed after the agreement date and during the applicable service periods. No proration will apply under the 2016 award of performance units upon a NEO’s termination of employment due to retirement (here, employment termination after age 55 with 10 years of completed service), if the Committee has approved a succession plan, as recommended by the CEO, for the NEO or with respect to his position. For any outstanding award of performance share units held by Mr. Van Handel, upon his retirement (here, employment termination after age 55 with 10 years of completed service), he is entitled to receive the full number of shares payable under the award at the end of the performance period, based on actual results at the end of the performance period. Performance share units are forfeited upon an involuntary termination of employment or a voluntary employment termination for good reason prior to the end of the performance period.</w:t>
      </w:r>
    </w:p>
    <w:p>
      <w:pPr>
        <w:spacing w:after="0" w:line="128"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Generally, upon the death or disability of a NEO during the performance period, the NEO is entitled to receive the target amount of shares. In the event of a change of control of ManpowerGroup, if the NEO’s employment were terminated prior to the end of the vesting period for such awards (either by ManpowerGroup other than for cause or by the NEO for good reason), the NEO generally would be entitled to accelerated vesting of any unpaid performance share units, where the total number of shares payable under the award will be based on an amount determined by the committee.</w:t>
      </w:r>
    </w:p>
    <w:p>
      <w:pPr>
        <w:spacing w:after="0" w:line="113"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b w:val="1"/>
          <w:bCs w:val="1"/>
          <w:i w:val="1"/>
          <w:iCs w:val="1"/>
          <w:color w:val="auto"/>
        </w:rPr>
        <w:t>Performance-Based Deferred Compensation Plan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benefits payable to Mr. Van Handel under the Senior Management Performance-Based Deferred Compensation Plan that was frozen in February 2006 vest upon retirement where an employee has reached age 50 and has completed 15 years of service with ManpowerGroup. Mr. Van Handel was eligible to receive this benefit at the time of his retirement on February 15, 2017.</w:t>
      </w:r>
    </w:p>
    <w:p>
      <w:pPr>
        <w:spacing w:after="0" w:line="107" w:lineRule="exact"/>
        <w:rPr>
          <w:sz w:val="20"/>
          <w:szCs w:val="20"/>
          <w:color w:val="auto"/>
        </w:rPr>
      </w:pPr>
    </w:p>
    <w:p>
      <w:pPr>
        <w:ind w:right="340"/>
        <w:spacing w:after="0" w:line="262" w:lineRule="auto"/>
        <w:rPr>
          <w:sz w:val="20"/>
          <w:szCs w:val="20"/>
          <w:color w:val="auto"/>
        </w:rPr>
      </w:pPr>
      <w:r>
        <w:rPr>
          <w:rFonts w:ascii="Arial" w:cs="Arial" w:eastAsia="Arial" w:hAnsi="Arial"/>
          <w:sz w:val="17"/>
          <w:szCs w:val="17"/>
          <w:b w:val="1"/>
          <w:bCs w:val="1"/>
          <w:i w:val="1"/>
          <w:iCs w:val="1"/>
          <w:color w:val="auto"/>
        </w:rPr>
        <w:t>Nonqualified Savings Plan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amount of any unvested benefits under the Nonqualified Savings Plan will become vested upon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participant’s death, disability or retirement. For purposes of this plan, “retirement” means a NEO terminates employment after he or she has</w:t>
      </w:r>
    </w:p>
    <w:p>
      <w:pPr>
        <w:ind w:right="100" w:firstLine="8"/>
        <w:spacing w:after="0" w:line="239" w:lineRule="auto"/>
        <w:tabs>
          <w:tab w:leader="none" w:pos="21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reached age 60, (ii) has reached age 55 and completed 20 years of service with ManpowerGroup or (iii) has reached age 55, and ManpowerGroup determines that the retirement is bona fide and that the NEO will not perform services for any competitor of ManpowerGroup. All of the NEOs that participate in this plan are already fully vested in their benefits under this plan and therefore, would not receive any enhanced benefit upon their death, disability or retirement.</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69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Compensation Tables</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Jonas Prising, CEO (1)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920" w:type="dxa"/>
            <w:vAlign w:val="bottom"/>
            <w:tcBorders>
              <w:top w:val="single" w:sz="8" w:color="auto"/>
            </w:tcBorders>
            <w:shd w:val="clear" w:color="auto" w:fill="9DB8D2"/>
          </w:tcPr>
          <w:p>
            <w:pPr>
              <w:spacing w:after="0"/>
              <w:rPr>
                <w:sz w:val="22"/>
                <w:szCs w:val="22"/>
                <w:color w:val="auto"/>
              </w:rPr>
            </w:pPr>
          </w:p>
        </w:tc>
        <w:tc>
          <w:tcPr>
            <w:tcW w:w="200" w:type="dxa"/>
            <w:vAlign w:val="bottom"/>
            <w:tcBorders>
              <w:top w:val="single" w:sz="8" w:color="auto"/>
            </w:tcBorders>
            <w:shd w:val="clear" w:color="auto" w:fill="9DB8D2"/>
          </w:tcPr>
          <w:p>
            <w:pPr>
              <w:spacing w:after="0"/>
              <w:rPr>
                <w:sz w:val="22"/>
                <w:szCs w:val="22"/>
                <w:color w:val="auto"/>
              </w:rPr>
            </w:pPr>
          </w:p>
        </w:tc>
        <w:tc>
          <w:tcPr>
            <w:tcW w:w="880" w:type="dxa"/>
            <w:vAlign w:val="bottom"/>
            <w:tcBorders>
              <w:top w:val="single" w:sz="8" w:color="auto"/>
            </w:tcBorders>
            <w:shd w:val="clear" w:color="auto" w:fill="9DB8D2"/>
          </w:tcPr>
          <w:p>
            <w:pPr>
              <w:spacing w:after="0"/>
              <w:rPr>
                <w:sz w:val="22"/>
                <w:szCs w:val="22"/>
                <w:color w:val="auto"/>
              </w:rPr>
            </w:pPr>
          </w:p>
        </w:tc>
        <w:tc>
          <w:tcPr>
            <w:tcW w:w="280" w:type="dxa"/>
            <w:vAlign w:val="bottom"/>
            <w:tcBorders>
              <w:top w:val="single" w:sz="8" w:color="auto"/>
            </w:tcBorders>
            <w:shd w:val="clear" w:color="auto" w:fill="9DB8D2"/>
          </w:tcPr>
          <w:p>
            <w:pPr>
              <w:spacing w:after="0"/>
              <w:rPr>
                <w:sz w:val="22"/>
                <w:szCs w:val="22"/>
                <w:color w:val="auto"/>
              </w:rPr>
            </w:pPr>
          </w:p>
        </w:tc>
        <w:tc>
          <w:tcPr>
            <w:tcW w:w="880" w:type="dxa"/>
            <w:vAlign w:val="bottom"/>
            <w:tcBorders>
              <w:top w:val="single" w:sz="8" w:color="auto"/>
            </w:tcBorders>
            <w:shd w:val="clear" w:color="auto" w:fill="9DB8D2"/>
          </w:tcPr>
          <w:p>
            <w:pPr>
              <w:spacing w:after="0"/>
              <w:rPr>
                <w:sz w:val="22"/>
                <w:szCs w:val="22"/>
                <w:color w:val="auto"/>
              </w:rPr>
            </w:pPr>
          </w:p>
        </w:tc>
        <w:tc>
          <w:tcPr>
            <w:tcW w:w="260" w:type="dxa"/>
            <w:vAlign w:val="bottom"/>
            <w:tcBorders>
              <w:top w:val="single" w:sz="8" w:color="auto"/>
            </w:tcBorders>
            <w:shd w:val="clear" w:color="auto" w:fill="9DB8D2"/>
          </w:tcPr>
          <w:p>
            <w:pPr>
              <w:spacing w:after="0"/>
              <w:rPr>
                <w:sz w:val="22"/>
                <w:szCs w:val="22"/>
                <w:color w:val="auto"/>
              </w:rPr>
            </w:pPr>
          </w:p>
        </w:tc>
        <w:tc>
          <w:tcPr>
            <w:tcW w:w="1140" w:type="dxa"/>
            <w:vAlign w:val="bottom"/>
            <w:tcBorders>
              <w:top w:val="single" w:sz="8" w:color="auto"/>
            </w:tcBorders>
            <w:gridSpan w:val="2"/>
            <w:shd w:val="clear" w:color="auto" w:fill="9DB8D2"/>
          </w:tcPr>
          <w:p>
            <w:pPr>
              <w:jc w:val="center"/>
              <w:ind w:right="280"/>
              <w:spacing w:after="0"/>
              <w:rPr>
                <w:sz w:val="20"/>
                <w:szCs w:val="20"/>
                <w:color w:val="auto"/>
              </w:rPr>
            </w:pPr>
            <w:r>
              <w:rPr>
                <w:rFonts w:ascii="Arial" w:cs="Arial" w:eastAsia="Arial" w:hAnsi="Arial"/>
                <w:sz w:val="14"/>
                <w:szCs w:val="14"/>
                <w:b w:val="1"/>
                <w:bCs w:val="1"/>
                <w:color w:val="auto"/>
              </w:rPr>
              <w:t>Involuntary</w:t>
            </w:r>
          </w:p>
        </w:tc>
        <w:tc>
          <w:tcPr>
            <w:tcW w:w="1160" w:type="dxa"/>
            <w:vAlign w:val="bottom"/>
            <w:tcBorders>
              <w:top w:val="single" w:sz="8" w:color="auto"/>
            </w:tcBorders>
            <w:gridSpan w:val="2"/>
            <w:shd w:val="clear" w:color="auto" w:fill="9DB8D2"/>
          </w:tcPr>
          <w:p>
            <w:pPr>
              <w:jc w:val="center"/>
              <w:ind w:right="280"/>
              <w:spacing w:after="0"/>
              <w:rPr>
                <w:sz w:val="20"/>
                <w:szCs w:val="20"/>
                <w:color w:val="auto"/>
              </w:rPr>
            </w:pPr>
            <w:r>
              <w:rPr>
                <w:rFonts w:ascii="Arial" w:cs="Arial" w:eastAsia="Arial" w:hAnsi="Arial"/>
                <w:sz w:val="14"/>
                <w:szCs w:val="14"/>
                <w:b w:val="1"/>
                <w:bCs w:val="1"/>
                <w:color w:val="auto"/>
              </w:rPr>
              <w:t>Double</w:t>
            </w:r>
          </w:p>
        </w:tc>
        <w:tc>
          <w:tcPr>
            <w:tcW w:w="720" w:type="dxa"/>
            <w:vAlign w:val="bottom"/>
            <w:tcBorders>
              <w:top w:val="single" w:sz="8" w:color="auto"/>
            </w:tcBorders>
            <w:shd w:val="clear" w:color="auto" w:fill="9DB8D2"/>
          </w:tcPr>
          <w:p>
            <w:pPr>
              <w:spacing w:after="0"/>
              <w:rPr>
                <w:sz w:val="22"/>
                <w:szCs w:val="22"/>
                <w:color w:val="auto"/>
              </w:rPr>
            </w:pPr>
          </w:p>
        </w:tc>
        <w:tc>
          <w:tcPr>
            <w:tcW w:w="12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spacing w:after="0"/>
              <w:rPr>
                <w:sz w:val="22"/>
                <w:szCs w:val="22"/>
                <w:color w:val="auto"/>
              </w:rPr>
            </w:pPr>
          </w:p>
        </w:tc>
      </w:tr>
      <w:tr>
        <w:trPr>
          <w:trHeight w:val="162"/>
        </w:trPr>
        <w:tc>
          <w:tcPr>
            <w:tcW w:w="4920" w:type="dxa"/>
            <w:vAlign w:val="bottom"/>
            <w:shd w:val="clear" w:color="auto" w:fill="9DB8D2"/>
          </w:tcPr>
          <w:p>
            <w:pPr>
              <w:spacing w:after="0"/>
              <w:rPr>
                <w:sz w:val="14"/>
                <w:szCs w:val="14"/>
                <w:color w:val="auto"/>
              </w:rPr>
            </w:pPr>
          </w:p>
        </w:tc>
        <w:tc>
          <w:tcPr>
            <w:tcW w:w="20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1140" w:type="dxa"/>
            <w:vAlign w:val="bottom"/>
            <w:gridSpan w:val="2"/>
            <w:shd w:val="clear" w:color="auto" w:fill="9DB8D2"/>
          </w:tcPr>
          <w:p>
            <w:pPr>
              <w:jc w:val="center"/>
              <w:ind w:right="280"/>
              <w:spacing w:after="0"/>
              <w:rPr>
                <w:sz w:val="20"/>
                <w:szCs w:val="20"/>
                <w:color w:val="auto"/>
              </w:rPr>
            </w:pPr>
            <w:r>
              <w:rPr>
                <w:rFonts w:ascii="Arial" w:cs="Arial" w:eastAsia="Arial" w:hAnsi="Arial"/>
                <w:sz w:val="14"/>
                <w:szCs w:val="14"/>
                <w:b w:val="1"/>
                <w:bCs w:val="1"/>
                <w:color w:val="auto"/>
              </w:rPr>
              <w:t>Termination</w:t>
            </w:r>
          </w:p>
        </w:tc>
        <w:tc>
          <w:tcPr>
            <w:tcW w:w="1160" w:type="dxa"/>
            <w:vAlign w:val="bottom"/>
            <w:gridSpan w:val="2"/>
            <w:shd w:val="clear" w:color="auto" w:fill="9DB8D2"/>
          </w:tcPr>
          <w:p>
            <w:pPr>
              <w:jc w:val="center"/>
              <w:ind w:right="280"/>
              <w:spacing w:after="0"/>
              <w:rPr>
                <w:sz w:val="20"/>
                <w:szCs w:val="20"/>
                <w:color w:val="auto"/>
              </w:rPr>
            </w:pPr>
            <w:r>
              <w:rPr>
                <w:rFonts w:ascii="Arial" w:cs="Arial" w:eastAsia="Arial" w:hAnsi="Arial"/>
                <w:sz w:val="14"/>
                <w:szCs w:val="14"/>
                <w:b w:val="1"/>
                <w:bCs w:val="1"/>
                <w:color w:val="auto"/>
                <w:w w:val="99"/>
              </w:rPr>
              <w:t>Trigger</w:t>
            </w:r>
          </w:p>
        </w:tc>
        <w:tc>
          <w:tcPr>
            <w:tcW w:w="720" w:type="dxa"/>
            <w:vAlign w:val="bottom"/>
            <w:shd w:val="clear" w:color="auto" w:fill="9DB8D2"/>
          </w:tcPr>
          <w:p>
            <w:pPr>
              <w:spacing w:after="0"/>
              <w:rPr>
                <w:sz w:val="14"/>
                <w:szCs w:val="14"/>
                <w:color w:val="auto"/>
              </w:rPr>
            </w:pPr>
          </w:p>
        </w:tc>
        <w:tc>
          <w:tcPr>
            <w:tcW w:w="12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r>
      <w:tr>
        <w:trPr>
          <w:trHeight w:val="162"/>
        </w:trPr>
        <w:tc>
          <w:tcPr>
            <w:tcW w:w="4920" w:type="dxa"/>
            <w:vAlign w:val="bottom"/>
            <w:shd w:val="clear" w:color="auto" w:fill="9DB8D2"/>
          </w:tcPr>
          <w:p>
            <w:pPr>
              <w:spacing w:after="0"/>
              <w:rPr>
                <w:sz w:val="14"/>
                <w:szCs w:val="14"/>
                <w:color w:val="auto"/>
              </w:rPr>
            </w:pPr>
          </w:p>
        </w:tc>
        <w:tc>
          <w:tcPr>
            <w:tcW w:w="20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1140" w:type="dxa"/>
            <w:vAlign w:val="bottom"/>
            <w:gridSpan w:val="2"/>
            <w:shd w:val="clear" w:color="auto" w:fill="9DB8D2"/>
          </w:tcPr>
          <w:p>
            <w:pPr>
              <w:jc w:val="center"/>
              <w:ind w:right="260"/>
              <w:spacing w:after="0"/>
              <w:rPr>
                <w:sz w:val="20"/>
                <w:szCs w:val="20"/>
                <w:color w:val="auto"/>
              </w:rPr>
            </w:pPr>
            <w:r>
              <w:rPr>
                <w:rFonts w:ascii="Arial" w:cs="Arial" w:eastAsia="Arial" w:hAnsi="Arial"/>
                <w:sz w:val="14"/>
                <w:szCs w:val="14"/>
                <w:b w:val="1"/>
                <w:bCs w:val="1"/>
                <w:color w:val="auto"/>
              </w:rPr>
              <w:t>or Good</w:t>
            </w:r>
          </w:p>
        </w:tc>
        <w:tc>
          <w:tcPr>
            <w:tcW w:w="1160" w:type="dxa"/>
            <w:vAlign w:val="bottom"/>
            <w:gridSpan w:val="2"/>
            <w:shd w:val="clear" w:color="auto" w:fill="9DB8D2"/>
          </w:tcPr>
          <w:p>
            <w:pPr>
              <w:jc w:val="center"/>
              <w:ind w:right="280"/>
              <w:spacing w:after="0"/>
              <w:rPr>
                <w:sz w:val="20"/>
                <w:szCs w:val="20"/>
                <w:color w:val="auto"/>
              </w:rPr>
            </w:pPr>
            <w:r>
              <w:rPr>
                <w:rFonts w:ascii="Arial" w:cs="Arial" w:eastAsia="Arial" w:hAnsi="Arial"/>
                <w:sz w:val="14"/>
                <w:szCs w:val="14"/>
                <w:b w:val="1"/>
                <w:bCs w:val="1"/>
                <w:color w:val="auto"/>
              </w:rPr>
              <w:t>(COC+</w:t>
            </w:r>
          </w:p>
        </w:tc>
        <w:tc>
          <w:tcPr>
            <w:tcW w:w="720" w:type="dxa"/>
            <w:vAlign w:val="bottom"/>
            <w:shd w:val="clear" w:color="auto" w:fill="9DB8D2"/>
          </w:tcPr>
          <w:p>
            <w:pPr>
              <w:spacing w:after="0"/>
              <w:rPr>
                <w:sz w:val="14"/>
                <w:szCs w:val="14"/>
                <w:color w:val="auto"/>
              </w:rPr>
            </w:pPr>
          </w:p>
        </w:tc>
        <w:tc>
          <w:tcPr>
            <w:tcW w:w="12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r>
      <w:tr>
        <w:trPr>
          <w:trHeight w:val="162"/>
        </w:trPr>
        <w:tc>
          <w:tcPr>
            <w:tcW w:w="4920" w:type="dxa"/>
            <w:vAlign w:val="bottom"/>
            <w:shd w:val="clear" w:color="auto" w:fill="9DB8D2"/>
          </w:tcPr>
          <w:p>
            <w:pPr>
              <w:spacing w:after="0"/>
              <w:rPr>
                <w:sz w:val="14"/>
                <w:szCs w:val="14"/>
                <w:color w:val="auto"/>
              </w:rPr>
            </w:pPr>
          </w:p>
        </w:tc>
        <w:tc>
          <w:tcPr>
            <w:tcW w:w="20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1140" w:type="dxa"/>
            <w:vAlign w:val="bottom"/>
            <w:gridSpan w:val="2"/>
            <w:shd w:val="clear" w:color="auto" w:fill="9DB8D2"/>
          </w:tcPr>
          <w:p>
            <w:pPr>
              <w:jc w:val="center"/>
              <w:ind w:right="280"/>
              <w:spacing w:after="0"/>
              <w:rPr>
                <w:sz w:val="20"/>
                <w:szCs w:val="20"/>
                <w:color w:val="auto"/>
              </w:rPr>
            </w:pPr>
            <w:r>
              <w:rPr>
                <w:rFonts w:ascii="Arial" w:cs="Arial" w:eastAsia="Arial" w:hAnsi="Arial"/>
                <w:sz w:val="14"/>
                <w:szCs w:val="14"/>
                <w:b w:val="1"/>
                <w:bCs w:val="1"/>
                <w:color w:val="auto"/>
              </w:rPr>
              <w:t>Reason – no</w:t>
            </w:r>
          </w:p>
        </w:tc>
        <w:tc>
          <w:tcPr>
            <w:tcW w:w="1160" w:type="dxa"/>
            <w:vAlign w:val="bottom"/>
            <w:gridSpan w:val="2"/>
            <w:shd w:val="clear" w:color="auto" w:fill="9DB8D2"/>
          </w:tcPr>
          <w:p>
            <w:pPr>
              <w:jc w:val="center"/>
              <w:ind w:right="260"/>
              <w:spacing w:after="0"/>
              <w:rPr>
                <w:sz w:val="20"/>
                <w:szCs w:val="20"/>
                <w:color w:val="auto"/>
              </w:rPr>
            </w:pPr>
            <w:r>
              <w:rPr>
                <w:rFonts w:ascii="Arial" w:cs="Arial" w:eastAsia="Arial" w:hAnsi="Arial"/>
                <w:sz w:val="14"/>
                <w:szCs w:val="14"/>
                <w:b w:val="1"/>
                <w:bCs w:val="1"/>
                <w:color w:val="auto"/>
              </w:rPr>
              <w:t>Termination)</w:t>
            </w:r>
          </w:p>
        </w:tc>
        <w:tc>
          <w:tcPr>
            <w:tcW w:w="7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For</w:t>
            </w:r>
          </w:p>
        </w:tc>
        <w:tc>
          <w:tcPr>
            <w:tcW w:w="12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r>
      <w:tr>
        <w:trPr>
          <w:trHeight w:val="189"/>
        </w:trPr>
        <w:tc>
          <w:tcPr>
            <w:tcW w:w="4920" w:type="dxa"/>
            <w:vAlign w:val="bottom"/>
            <w:tcBorders>
              <w:bottom w:val="single" w:sz="8" w:color="auto"/>
            </w:tcBorders>
            <w:shd w:val="clear" w:color="auto" w:fill="9DB8D2"/>
          </w:tcPr>
          <w:p>
            <w:pPr>
              <w:spacing w:after="0"/>
              <w:rPr>
                <w:sz w:val="16"/>
                <w:szCs w:val="16"/>
                <w:color w:val="auto"/>
              </w:rPr>
            </w:pPr>
          </w:p>
        </w:tc>
        <w:tc>
          <w:tcPr>
            <w:tcW w:w="200" w:type="dxa"/>
            <w:vAlign w:val="bottom"/>
            <w:tcBorders>
              <w:bottom w:val="single" w:sz="8" w:color="auto"/>
            </w:tcBorders>
            <w:shd w:val="clear" w:color="auto" w:fill="9DB8D2"/>
          </w:tcPr>
          <w:p>
            <w:pPr>
              <w:spacing w:after="0"/>
              <w:rPr>
                <w:sz w:val="16"/>
                <w:szCs w:val="16"/>
                <w:color w:val="auto"/>
              </w:rPr>
            </w:pPr>
          </w:p>
        </w:tc>
        <w:tc>
          <w:tcPr>
            <w:tcW w:w="1160" w:type="dxa"/>
            <w:vAlign w:val="bottom"/>
            <w:tcBorders>
              <w:bottom w:val="single" w:sz="8" w:color="auto"/>
            </w:tcBorders>
            <w:gridSpan w:val="2"/>
            <w:shd w:val="clear" w:color="auto" w:fill="9DB8D2"/>
          </w:tcPr>
          <w:p>
            <w:pPr>
              <w:jc w:val="right"/>
              <w:ind w:right="420"/>
              <w:spacing w:after="0"/>
              <w:rPr>
                <w:sz w:val="20"/>
                <w:szCs w:val="20"/>
                <w:color w:val="auto"/>
              </w:rPr>
            </w:pPr>
            <w:r>
              <w:rPr>
                <w:rFonts w:ascii="Arial" w:cs="Arial" w:eastAsia="Arial" w:hAnsi="Arial"/>
                <w:sz w:val="14"/>
                <w:szCs w:val="14"/>
                <w:b w:val="1"/>
                <w:bCs w:val="1"/>
                <w:color w:val="auto"/>
              </w:rPr>
              <w:t>Death($)</w:t>
            </w:r>
          </w:p>
        </w:tc>
        <w:tc>
          <w:tcPr>
            <w:tcW w:w="1140" w:type="dxa"/>
            <w:vAlign w:val="bottom"/>
            <w:tcBorders>
              <w:bottom w:val="single" w:sz="8" w:color="auto"/>
            </w:tcBorders>
            <w:gridSpan w:val="2"/>
            <w:shd w:val="clear" w:color="auto" w:fill="9DB8D2"/>
          </w:tcPr>
          <w:p>
            <w:pPr>
              <w:ind w:left="20"/>
              <w:spacing w:after="0"/>
              <w:rPr>
                <w:sz w:val="20"/>
                <w:szCs w:val="20"/>
                <w:color w:val="auto"/>
              </w:rPr>
            </w:pPr>
            <w:r>
              <w:rPr>
                <w:rFonts w:ascii="Arial" w:cs="Arial" w:eastAsia="Arial" w:hAnsi="Arial"/>
                <w:sz w:val="14"/>
                <w:szCs w:val="14"/>
                <w:b w:val="1"/>
                <w:bCs w:val="1"/>
                <w:color w:val="auto"/>
              </w:rPr>
              <w:t>Disability($)</w:t>
            </w:r>
          </w:p>
        </w:tc>
        <w:tc>
          <w:tcPr>
            <w:tcW w:w="1140" w:type="dxa"/>
            <w:vAlign w:val="bottom"/>
            <w:tcBorders>
              <w:bottom w:val="single" w:sz="8" w:color="auto"/>
            </w:tcBorders>
            <w:gridSpan w:val="2"/>
            <w:shd w:val="clear" w:color="auto" w:fill="9DB8D2"/>
          </w:tcPr>
          <w:p>
            <w:pPr>
              <w:jc w:val="center"/>
              <w:ind w:right="280"/>
              <w:spacing w:after="0"/>
              <w:rPr>
                <w:sz w:val="20"/>
                <w:szCs w:val="20"/>
                <w:color w:val="auto"/>
              </w:rPr>
            </w:pPr>
            <w:r>
              <w:rPr>
                <w:rFonts w:ascii="Arial" w:cs="Arial" w:eastAsia="Arial" w:hAnsi="Arial"/>
                <w:sz w:val="14"/>
                <w:szCs w:val="14"/>
                <w:b w:val="1"/>
                <w:bCs w:val="1"/>
                <w:color w:val="auto"/>
              </w:rPr>
              <w:t>COC($)</w:t>
            </w:r>
          </w:p>
        </w:tc>
        <w:tc>
          <w:tcPr>
            <w:tcW w:w="8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($)(2)</w:t>
            </w:r>
          </w:p>
        </w:tc>
        <w:tc>
          <w:tcPr>
            <w:tcW w:w="280" w:type="dxa"/>
            <w:vAlign w:val="bottom"/>
            <w:tcBorders>
              <w:bottom w:val="single" w:sz="8" w:color="auto"/>
            </w:tcBorders>
            <w:shd w:val="clear" w:color="auto" w:fill="9DB8D2"/>
          </w:tcPr>
          <w:p>
            <w:pPr>
              <w:spacing w:after="0"/>
              <w:rPr>
                <w:sz w:val="16"/>
                <w:szCs w:val="16"/>
                <w:color w:val="auto"/>
              </w:rPr>
            </w:pPr>
          </w:p>
        </w:tc>
        <w:tc>
          <w:tcPr>
            <w:tcW w:w="1700" w:type="dxa"/>
            <w:vAlign w:val="bottom"/>
            <w:tcBorders>
              <w:bottom w:val="single" w:sz="8" w:color="auto"/>
            </w:tcBorders>
            <w:gridSpan w:val="3"/>
            <w:shd w:val="clear" w:color="auto" w:fill="9DB8D2"/>
          </w:tcPr>
          <w:p>
            <w:pPr>
              <w:ind w:left="60"/>
              <w:spacing w:after="0"/>
              <w:rPr>
                <w:sz w:val="20"/>
                <w:szCs w:val="20"/>
                <w:color w:val="auto"/>
              </w:rPr>
            </w:pPr>
            <w:r>
              <w:rPr>
                <w:rFonts w:ascii="Arial" w:cs="Arial" w:eastAsia="Arial" w:hAnsi="Arial"/>
                <w:sz w:val="14"/>
                <w:szCs w:val="14"/>
                <w:b w:val="1"/>
                <w:bCs w:val="1"/>
                <w:color w:val="auto"/>
              </w:rPr>
              <w:t>Cause($)   Voluntary($)</w:t>
            </w:r>
          </w:p>
        </w:tc>
      </w:tr>
      <w:tr>
        <w:trPr>
          <w:trHeight w:val="183"/>
        </w:trPr>
        <w:tc>
          <w:tcPr>
            <w:tcW w:w="492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Severance Payment(3)</w:t>
            </w:r>
          </w:p>
        </w:tc>
        <w:tc>
          <w:tcPr>
            <w:tcW w:w="200" w:type="dxa"/>
            <w:vAlign w:val="bottom"/>
            <w:shd w:val="clear" w:color="auto" w:fill="E6EDF3"/>
          </w:tcPr>
          <w:p>
            <w:pPr>
              <w:spacing w:after="0"/>
              <w:rPr>
                <w:sz w:val="15"/>
                <w:szCs w:val="15"/>
                <w:color w:val="auto"/>
              </w:rPr>
            </w:pPr>
          </w:p>
        </w:tc>
        <w:tc>
          <w:tcPr>
            <w:tcW w:w="1160" w:type="dxa"/>
            <w:vAlign w:val="bottom"/>
            <w:gridSpan w:val="2"/>
            <w:shd w:val="clear" w:color="auto" w:fill="E6EDF3"/>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140" w:type="dxa"/>
            <w:vAlign w:val="bottom"/>
            <w:gridSpan w:val="2"/>
            <w:shd w:val="clear" w:color="auto" w:fill="E6EDF3"/>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140" w:type="dxa"/>
            <w:vAlign w:val="bottom"/>
            <w:gridSpan w:val="2"/>
            <w:shd w:val="clear" w:color="auto" w:fill="E6EDF3"/>
          </w:tcPr>
          <w:p>
            <w:pPr>
              <w:jc w:val="right"/>
              <w:ind w:right="280"/>
              <w:spacing w:after="0" w:line="183" w:lineRule="exact"/>
              <w:rPr>
                <w:sz w:val="20"/>
                <w:szCs w:val="20"/>
                <w:color w:val="auto"/>
              </w:rPr>
            </w:pPr>
            <w:r>
              <w:rPr>
                <w:rFonts w:ascii="Arial" w:cs="Arial" w:eastAsia="Arial" w:hAnsi="Arial"/>
                <w:sz w:val="16"/>
                <w:szCs w:val="16"/>
                <w:color w:val="auto"/>
              </w:rPr>
              <w:t>3,000,000</w:t>
            </w:r>
          </w:p>
        </w:tc>
        <w:tc>
          <w:tcPr>
            <w:tcW w:w="1160" w:type="dxa"/>
            <w:vAlign w:val="bottom"/>
            <w:gridSpan w:val="2"/>
            <w:shd w:val="clear" w:color="auto" w:fill="E6EDF3"/>
          </w:tcPr>
          <w:p>
            <w:pPr>
              <w:jc w:val="right"/>
              <w:ind w:right="280"/>
              <w:spacing w:after="0" w:line="183" w:lineRule="exact"/>
              <w:rPr>
                <w:sz w:val="20"/>
                <w:szCs w:val="20"/>
                <w:color w:val="auto"/>
              </w:rPr>
            </w:pPr>
            <w:r>
              <w:rPr>
                <w:rFonts w:ascii="Arial" w:cs="Arial" w:eastAsia="Arial" w:hAnsi="Arial"/>
                <w:sz w:val="16"/>
                <w:szCs w:val="16"/>
                <w:color w:val="auto"/>
              </w:rPr>
              <w:t>9,000,000</w:t>
            </w:r>
          </w:p>
        </w:tc>
        <w:tc>
          <w:tcPr>
            <w:tcW w:w="720" w:type="dxa"/>
            <w:vAlign w:val="bottom"/>
            <w:shd w:val="clear" w:color="auto" w:fill="E6EDF3"/>
          </w:tcPr>
          <w:p>
            <w:pPr>
              <w:jc w:val="center"/>
              <w:spacing w:after="0" w:line="183" w:lineRule="exact"/>
              <w:rPr>
                <w:sz w:val="20"/>
                <w:szCs w:val="20"/>
                <w:color w:val="auto"/>
              </w:rPr>
            </w:pPr>
            <w:r>
              <w:rPr>
                <w:rFonts w:ascii="Arial" w:cs="Arial" w:eastAsia="Arial" w:hAnsi="Arial"/>
                <w:sz w:val="16"/>
                <w:szCs w:val="16"/>
                <w:color w:val="auto"/>
                <w:w w:val="99"/>
              </w:rPr>
              <w:t>—</w:t>
            </w:r>
          </w:p>
        </w:tc>
        <w:tc>
          <w:tcPr>
            <w:tcW w:w="120" w:type="dxa"/>
            <w:vAlign w:val="bottom"/>
            <w:shd w:val="clear" w:color="auto" w:fill="E6EDF3"/>
          </w:tcPr>
          <w:p>
            <w:pPr>
              <w:spacing w:after="0"/>
              <w:rPr>
                <w:sz w:val="15"/>
                <w:szCs w:val="15"/>
                <w:color w:val="auto"/>
              </w:rPr>
            </w:pPr>
          </w:p>
        </w:tc>
        <w:tc>
          <w:tcPr>
            <w:tcW w:w="860" w:type="dxa"/>
            <w:vAlign w:val="bottom"/>
            <w:shd w:val="clear" w:color="auto" w:fill="E6EDF3"/>
          </w:tcPr>
          <w:p>
            <w:pPr>
              <w:ind w:left="340"/>
              <w:spacing w:after="0" w:line="183" w:lineRule="exact"/>
              <w:rPr>
                <w:sz w:val="20"/>
                <w:szCs w:val="20"/>
                <w:color w:val="auto"/>
              </w:rPr>
            </w:pPr>
            <w:r>
              <w:rPr>
                <w:rFonts w:ascii="Arial" w:cs="Arial" w:eastAsia="Arial" w:hAnsi="Arial"/>
                <w:sz w:val="16"/>
                <w:szCs w:val="16"/>
                <w:color w:val="auto"/>
              </w:rPr>
              <w:t>—</w:t>
            </w:r>
          </w:p>
        </w:tc>
      </w:tr>
      <w:tr>
        <w:trPr>
          <w:trHeight w:val="189"/>
        </w:trPr>
        <w:tc>
          <w:tcPr>
            <w:tcW w:w="4920" w:type="dxa"/>
            <w:vAlign w:val="bottom"/>
          </w:tcPr>
          <w:p>
            <w:pPr>
              <w:ind w:left="80"/>
              <w:spacing w:after="0"/>
              <w:rPr>
                <w:sz w:val="20"/>
                <w:szCs w:val="20"/>
                <w:color w:val="auto"/>
              </w:rPr>
            </w:pPr>
            <w:r>
              <w:rPr>
                <w:rFonts w:ascii="Arial" w:cs="Arial" w:eastAsia="Arial" w:hAnsi="Arial"/>
                <w:sz w:val="16"/>
                <w:szCs w:val="16"/>
                <w:color w:val="auto"/>
              </w:rPr>
              <w:t>Prorated Incentive(4)</w:t>
            </w:r>
          </w:p>
        </w:tc>
        <w:tc>
          <w:tcPr>
            <w:tcW w:w="1360" w:type="dxa"/>
            <w:vAlign w:val="bottom"/>
            <w:gridSpan w:val="3"/>
          </w:tcPr>
          <w:p>
            <w:pPr>
              <w:jc w:val="right"/>
              <w:ind w:right="280"/>
              <w:spacing w:after="0"/>
              <w:rPr>
                <w:sz w:val="20"/>
                <w:szCs w:val="20"/>
                <w:color w:val="auto"/>
              </w:rPr>
            </w:pPr>
            <w:r>
              <w:rPr>
                <w:rFonts w:ascii="Arial" w:cs="Arial" w:eastAsia="Arial" w:hAnsi="Arial"/>
                <w:sz w:val="16"/>
                <w:szCs w:val="16"/>
                <w:color w:val="auto"/>
              </w:rPr>
              <w:t>1,800,000</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1,800,000</w:t>
            </w: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2,048,000</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1,800,000</w:t>
            </w: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6"/>
                <w:szCs w:val="16"/>
                <w:color w:val="auto"/>
              </w:rPr>
            </w:pPr>
          </w:p>
        </w:tc>
        <w:tc>
          <w:tcPr>
            <w:tcW w:w="86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189"/>
        </w:trPr>
        <w:tc>
          <w:tcPr>
            <w:tcW w:w="4920" w:type="dxa"/>
            <w:vAlign w:val="bottom"/>
            <w:shd w:val="clear" w:color="auto" w:fill="E6EDF3"/>
          </w:tcPr>
          <w:p>
            <w:pPr>
              <w:ind w:left="80"/>
              <w:spacing w:after="0"/>
              <w:rPr>
                <w:sz w:val="20"/>
                <w:szCs w:val="20"/>
                <w:color w:val="auto"/>
              </w:rPr>
            </w:pPr>
            <w:r>
              <w:rPr>
                <w:rFonts w:ascii="Arial" w:cs="Arial" w:eastAsia="Arial" w:hAnsi="Arial"/>
                <w:sz w:val="16"/>
                <w:szCs w:val="16"/>
                <w:color w:val="auto"/>
              </w:rPr>
              <w:t>Options(5)</w:t>
            </w:r>
          </w:p>
        </w:tc>
        <w:tc>
          <w:tcPr>
            <w:tcW w:w="1360" w:type="dxa"/>
            <w:vAlign w:val="bottom"/>
            <w:gridSpan w:val="3"/>
            <w:shd w:val="clear" w:color="auto" w:fill="E6EDF3"/>
          </w:tcPr>
          <w:p>
            <w:pPr>
              <w:jc w:val="right"/>
              <w:ind w:right="280"/>
              <w:spacing w:after="0"/>
              <w:rPr>
                <w:sz w:val="20"/>
                <w:szCs w:val="20"/>
                <w:color w:val="auto"/>
              </w:rPr>
            </w:pPr>
            <w:r>
              <w:rPr>
                <w:rFonts w:ascii="Arial" w:cs="Arial" w:eastAsia="Arial" w:hAnsi="Arial"/>
                <w:sz w:val="16"/>
                <w:szCs w:val="16"/>
                <w:color w:val="auto"/>
              </w:rPr>
              <w:t>1,930,360</w:t>
            </w:r>
          </w:p>
        </w:tc>
        <w:tc>
          <w:tcPr>
            <w:tcW w:w="1140" w:type="dxa"/>
            <w:vAlign w:val="bottom"/>
            <w:gridSpan w:val="2"/>
            <w:shd w:val="clear" w:color="auto" w:fill="E6EDF3"/>
          </w:tcPr>
          <w:p>
            <w:pPr>
              <w:jc w:val="right"/>
              <w:ind w:right="260"/>
              <w:spacing w:after="0"/>
              <w:rPr>
                <w:sz w:val="20"/>
                <w:szCs w:val="20"/>
                <w:color w:val="auto"/>
              </w:rPr>
            </w:pPr>
            <w:r>
              <w:rPr>
                <w:rFonts w:ascii="Arial" w:cs="Arial" w:eastAsia="Arial" w:hAnsi="Arial"/>
                <w:sz w:val="16"/>
                <w:szCs w:val="16"/>
                <w:color w:val="auto"/>
              </w:rPr>
              <w:t>1,930,360</w:t>
            </w:r>
          </w:p>
        </w:tc>
        <w:tc>
          <w:tcPr>
            <w:tcW w:w="1140" w:type="dxa"/>
            <w:vAlign w:val="bottom"/>
            <w:gridSpan w:val="2"/>
            <w:shd w:val="clear" w:color="auto" w:fill="E6EDF3"/>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E6EDF3"/>
          </w:tcPr>
          <w:p>
            <w:pPr>
              <w:jc w:val="right"/>
              <w:ind w:right="280"/>
              <w:spacing w:after="0"/>
              <w:rPr>
                <w:sz w:val="20"/>
                <w:szCs w:val="20"/>
                <w:color w:val="auto"/>
              </w:rPr>
            </w:pPr>
            <w:r>
              <w:rPr>
                <w:rFonts w:ascii="Arial" w:cs="Arial" w:eastAsia="Arial" w:hAnsi="Arial"/>
                <w:sz w:val="16"/>
                <w:szCs w:val="16"/>
                <w:color w:val="auto"/>
              </w:rPr>
              <w:t>1,930,360</w:t>
            </w:r>
          </w:p>
        </w:tc>
        <w:tc>
          <w:tcPr>
            <w:tcW w:w="72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E6EDF3"/>
          </w:tcPr>
          <w:p>
            <w:pPr>
              <w:spacing w:after="0"/>
              <w:rPr>
                <w:sz w:val="16"/>
                <w:szCs w:val="16"/>
                <w:color w:val="auto"/>
              </w:rPr>
            </w:pPr>
          </w:p>
        </w:tc>
        <w:tc>
          <w:tcPr>
            <w:tcW w:w="860" w:type="dxa"/>
            <w:vAlign w:val="bottom"/>
            <w:shd w:val="clear" w:color="auto" w:fill="E6EDF3"/>
          </w:tcPr>
          <w:p>
            <w:pPr>
              <w:ind w:left="340"/>
              <w:spacing w:after="0"/>
              <w:rPr>
                <w:sz w:val="20"/>
                <w:szCs w:val="20"/>
                <w:color w:val="auto"/>
              </w:rPr>
            </w:pPr>
            <w:r>
              <w:rPr>
                <w:rFonts w:ascii="Arial" w:cs="Arial" w:eastAsia="Arial" w:hAnsi="Arial"/>
                <w:sz w:val="16"/>
                <w:szCs w:val="16"/>
                <w:color w:val="auto"/>
              </w:rPr>
              <w:t>—</w:t>
            </w:r>
          </w:p>
        </w:tc>
      </w:tr>
      <w:tr>
        <w:trPr>
          <w:trHeight w:val="189"/>
        </w:trPr>
        <w:tc>
          <w:tcPr>
            <w:tcW w:w="4920" w:type="dxa"/>
            <w:vAlign w:val="bottom"/>
          </w:tcPr>
          <w:p>
            <w:pPr>
              <w:ind w:left="80"/>
              <w:spacing w:after="0"/>
              <w:rPr>
                <w:sz w:val="20"/>
                <w:szCs w:val="20"/>
                <w:color w:val="auto"/>
              </w:rPr>
            </w:pPr>
            <w:r>
              <w:rPr>
                <w:rFonts w:ascii="Arial" w:cs="Arial" w:eastAsia="Arial" w:hAnsi="Arial"/>
                <w:sz w:val="16"/>
                <w:szCs w:val="16"/>
                <w:color w:val="auto"/>
              </w:rPr>
              <w:t>Performance Share Units(6)</w:t>
            </w:r>
          </w:p>
        </w:tc>
        <w:tc>
          <w:tcPr>
            <w:tcW w:w="1360" w:type="dxa"/>
            <w:vAlign w:val="bottom"/>
            <w:gridSpan w:val="3"/>
          </w:tcPr>
          <w:p>
            <w:pPr>
              <w:jc w:val="right"/>
              <w:ind w:right="280"/>
              <w:spacing w:after="0"/>
              <w:rPr>
                <w:sz w:val="20"/>
                <w:szCs w:val="20"/>
                <w:color w:val="auto"/>
              </w:rPr>
            </w:pPr>
            <w:r>
              <w:rPr>
                <w:rFonts w:ascii="Arial" w:cs="Arial" w:eastAsia="Arial" w:hAnsi="Arial"/>
                <w:sz w:val="16"/>
                <w:szCs w:val="16"/>
                <w:color w:val="auto"/>
              </w:rPr>
              <w:t>12,969,599</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12,969,599</w:t>
            </w: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16,256,367</w:t>
            </w: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6"/>
                <w:szCs w:val="16"/>
                <w:color w:val="auto"/>
              </w:rPr>
            </w:pPr>
          </w:p>
        </w:tc>
        <w:tc>
          <w:tcPr>
            <w:tcW w:w="86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189"/>
        </w:trPr>
        <w:tc>
          <w:tcPr>
            <w:tcW w:w="4920" w:type="dxa"/>
            <w:vAlign w:val="bottom"/>
            <w:shd w:val="clear" w:color="auto" w:fill="E6EDF3"/>
          </w:tcPr>
          <w:p>
            <w:pPr>
              <w:ind w:left="80"/>
              <w:spacing w:after="0"/>
              <w:rPr>
                <w:sz w:val="20"/>
                <w:szCs w:val="20"/>
                <w:color w:val="auto"/>
              </w:rPr>
            </w:pPr>
            <w:r>
              <w:rPr>
                <w:rFonts w:ascii="Arial" w:cs="Arial" w:eastAsia="Arial" w:hAnsi="Arial"/>
                <w:sz w:val="16"/>
                <w:szCs w:val="16"/>
                <w:color w:val="auto"/>
              </w:rPr>
              <w:t>Restricted Stock Units/ Career Shares(7)</w:t>
            </w:r>
          </w:p>
        </w:tc>
        <w:tc>
          <w:tcPr>
            <w:tcW w:w="1360" w:type="dxa"/>
            <w:vAlign w:val="bottom"/>
            <w:gridSpan w:val="3"/>
            <w:shd w:val="clear" w:color="auto" w:fill="E6EDF3"/>
          </w:tcPr>
          <w:p>
            <w:pPr>
              <w:jc w:val="right"/>
              <w:ind w:right="280"/>
              <w:spacing w:after="0"/>
              <w:rPr>
                <w:sz w:val="20"/>
                <w:szCs w:val="20"/>
                <w:color w:val="auto"/>
              </w:rPr>
            </w:pPr>
            <w:r>
              <w:rPr>
                <w:rFonts w:ascii="Arial" w:cs="Arial" w:eastAsia="Arial" w:hAnsi="Arial"/>
                <w:sz w:val="16"/>
                <w:szCs w:val="16"/>
                <w:color w:val="auto"/>
              </w:rPr>
              <w:t>7,198,737</w:t>
            </w:r>
          </w:p>
        </w:tc>
        <w:tc>
          <w:tcPr>
            <w:tcW w:w="1140" w:type="dxa"/>
            <w:vAlign w:val="bottom"/>
            <w:gridSpan w:val="2"/>
            <w:shd w:val="clear" w:color="auto" w:fill="E6EDF3"/>
          </w:tcPr>
          <w:p>
            <w:pPr>
              <w:jc w:val="right"/>
              <w:ind w:right="260"/>
              <w:spacing w:after="0"/>
              <w:rPr>
                <w:sz w:val="20"/>
                <w:szCs w:val="20"/>
                <w:color w:val="auto"/>
              </w:rPr>
            </w:pPr>
            <w:r>
              <w:rPr>
                <w:rFonts w:ascii="Arial" w:cs="Arial" w:eastAsia="Arial" w:hAnsi="Arial"/>
                <w:sz w:val="16"/>
                <w:szCs w:val="16"/>
                <w:color w:val="auto"/>
              </w:rPr>
              <w:t>7,198,737</w:t>
            </w:r>
          </w:p>
        </w:tc>
        <w:tc>
          <w:tcPr>
            <w:tcW w:w="1140" w:type="dxa"/>
            <w:vAlign w:val="bottom"/>
            <w:gridSpan w:val="2"/>
            <w:shd w:val="clear" w:color="auto" w:fill="E6EDF3"/>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E6EDF3"/>
          </w:tcPr>
          <w:p>
            <w:pPr>
              <w:jc w:val="right"/>
              <w:ind w:right="280"/>
              <w:spacing w:after="0"/>
              <w:rPr>
                <w:sz w:val="20"/>
                <w:szCs w:val="20"/>
                <w:color w:val="auto"/>
              </w:rPr>
            </w:pPr>
            <w:r>
              <w:rPr>
                <w:rFonts w:ascii="Arial" w:cs="Arial" w:eastAsia="Arial" w:hAnsi="Arial"/>
                <w:sz w:val="16"/>
                <w:szCs w:val="16"/>
                <w:color w:val="auto"/>
              </w:rPr>
              <w:t>7,198,737</w:t>
            </w:r>
          </w:p>
        </w:tc>
        <w:tc>
          <w:tcPr>
            <w:tcW w:w="72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E6EDF3"/>
          </w:tcPr>
          <w:p>
            <w:pPr>
              <w:spacing w:after="0"/>
              <w:rPr>
                <w:sz w:val="16"/>
                <w:szCs w:val="16"/>
                <w:color w:val="auto"/>
              </w:rPr>
            </w:pPr>
          </w:p>
        </w:tc>
        <w:tc>
          <w:tcPr>
            <w:tcW w:w="860" w:type="dxa"/>
            <w:vAlign w:val="bottom"/>
            <w:shd w:val="clear" w:color="auto" w:fill="E6EDF3"/>
          </w:tcPr>
          <w:p>
            <w:pPr>
              <w:ind w:left="340"/>
              <w:spacing w:after="0"/>
              <w:rPr>
                <w:sz w:val="20"/>
                <w:szCs w:val="20"/>
                <w:color w:val="auto"/>
              </w:rPr>
            </w:pPr>
            <w:r>
              <w:rPr>
                <w:rFonts w:ascii="Arial" w:cs="Arial" w:eastAsia="Arial" w:hAnsi="Arial"/>
                <w:sz w:val="16"/>
                <w:szCs w:val="16"/>
                <w:color w:val="auto"/>
              </w:rPr>
              <w:t>—</w:t>
            </w:r>
          </w:p>
        </w:tc>
      </w:tr>
      <w:tr>
        <w:trPr>
          <w:trHeight w:val="189"/>
        </w:trPr>
        <w:tc>
          <w:tcPr>
            <w:tcW w:w="4920" w:type="dxa"/>
            <w:vAlign w:val="bottom"/>
          </w:tcPr>
          <w:p>
            <w:pPr>
              <w:ind w:left="80"/>
              <w:spacing w:after="0"/>
              <w:rPr>
                <w:sz w:val="20"/>
                <w:szCs w:val="20"/>
                <w:color w:val="auto"/>
              </w:rPr>
            </w:pPr>
            <w:r>
              <w:rPr>
                <w:rFonts w:ascii="Arial" w:cs="Arial" w:eastAsia="Arial" w:hAnsi="Arial"/>
                <w:sz w:val="16"/>
                <w:szCs w:val="16"/>
                <w:color w:val="auto"/>
              </w:rPr>
              <w:t>Health Benefits</w:t>
            </w:r>
          </w:p>
        </w:tc>
        <w:tc>
          <w:tcPr>
            <w:tcW w:w="200" w:type="dxa"/>
            <w:vAlign w:val="bottom"/>
          </w:tcPr>
          <w:p>
            <w:pPr>
              <w:spacing w:after="0"/>
              <w:rPr>
                <w:sz w:val="16"/>
                <w:szCs w:val="16"/>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24,020</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36,322</w:t>
            </w:r>
          </w:p>
        </w:tc>
        <w:tc>
          <w:tcPr>
            <w:tcW w:w="2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6"/>
                <w:szCs w:val="16"/>
                <w:color w:val="auto"/>
              </w:rPr>
            </w:pPr>
          </w:p>
        </w:tc>
        <w:tc>
          <w:tcPr>
            <w:tcW w:w="86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r>
      <w:tr>
        <w:trPr>
          <w:trHeight w:val="189"/>
        </w:trPr>
        <w:tc>
          <w:tcPr>
            <w:tcW w:w="4920" w:type="dxa"/>
            <w:vAlign w:val="bottom"/>
            <w:shd w:val="clear" w:color="auto" w:fill="E6EDF3"/>
          </w:tcPr>
          <w:p>
            <w:pPr>
              <w:ind w:left="80"/>
              <w:spacing w:after="0"/>
              <w:rPr>
                <w:sz w:val="20"/>
                <w:szCs w:val="20"/>
                <w:color w:val="auto"/>
              </w:rPr>
            </w:pPr>
            <w:r>
              <w:rPr>
                <w:rFonts w:ascii="Arial" w:cs="Arial" w:eastAsia="Arial" w:hAnsi="Arial"/>
                <w:sz w:val="16"/>
                <w:szCs w:val="16"/>
                <w:color w:val="auto"/>
              </w:rPr>
              <w:t>Total</w:t>
            </w:r>
          </w:p>
        </w:tc>
        <w:tc>
          <w:tcPr>
            <w:tcW w:w="200" w:type="dxa"/>
            <w:vAlign w:val="bottom"/>
            <w:shd w:val="clear" w:color="auto" w:fill="E6EDF3"/>
          </w:tcPr>
          <w:p>
            <w:pPr>
              <w:spacing w:after="0"/>
              <w:rPr>
                <w:sz w:val="16"/>
                <w:szCs w:val="16"/>
                <w:color w:val="auto"/>
              </w:rPr>
            </w:pPr>
          </w:p>
        </w:tc>
        <w:tc>
          <w:tcPr>
            <w:tcW w:w="1160" w:type="dxa"/>
            <w:vAlign w:val="bottom"/>
            <w:gridSpan w:val="2"/>
            <w:shd w:val="clear" w:color="auto" w:fill="E6EDF3"/>
          </w:tcPr>
          <w:p>
            <w:pPr>
              <w:jc w:val="right"/>
              <w:ind w:right="280"/>
              <w:spacing w:after="0"/>
              <w:rPr>
                <w:sz w:val="20"/>
                <w:szCs w:val="20"/>
                <w:color w:val="auto"/>
              </w:rPr>
            </w:pPr>
            <w:r>
              <w:rPr>
                <w:rFonts w:ascii="Arial" w:cs="Arial" w:eastAsia="Arial" w:hAnsi="Arial"/>
                <w:sz w:val="16"/>
                <w:szCs w:val="16"/>
                <w:color w:val="auto"/>
              </w:rPr>
              <w:t>23,898,696</w:t>
            </w:r>
          </w:p>
        </w:tc>
        <w:tc>
          <w:tcPr>
            <w:tcW w:w="1140" w:type="dxa"/>
            <w:vAlign w:val="bottom"/>
            <w:gridSpan w:val="2"/>
            <w:shd w:val="clear" w:color="auto" w:fill="E6EDF3"/>
          </w:tcPr>
          <w:p>
            <w:pPr>
              <w:jc w:val="right"/>
              <w:ind w:right="260"/>
              <w:spacing w:after="0"/>
              <w:rPr>
                <w:sz w:val="20"/>
                <w:szCs w:val="20"/>
                <w:color w:val="auto"/>
              </w:rPr>
            </w:pPr>
            <w:r>
              <w:rPr>
                <w:rFonts w:ascii="Arial" w:cs="Arial" w:eastAsia="Arial" w:hAnsi="Arial"/>
                <w:sz w:val="16"/>
                <w:szCs w:val="16"/>
                <w:color w:val="auto"/>
              </w:rPr>
              <w:t>23,898,696</w:t>
            </w:r>
          </w:p>
        </w:tc>
        <w:tc>
          <w:tcPr>
            <w:tcW w:w="1140" w:type="dxa"/>
            <w:vAlign w:val="bottom"/>
            <w:gridSpan w:val="2"/>
            <w:shd w:val="clear" w:color="auto" w:fill="E6EDF3"/>
          </w:tcPr>
          <w:p>
            <w:pPr>
              <w:jc w:val="right"/>
              <w:ind w:right="280"/>
              <w:spacing w:after="0"/>
              <w:rPr>
                <w:sz w:val="20"/>
                <w:szCs w:val="20"/>
                <w:color w:val="auto"/>
              </w:rPr>
            </w:pPr>
            <w:r>
              <w:rPr>
                <w:rFonts w:ascii="Arial" w:cs="Arial" w:eastAsia="Arial" w:hAnsi="Arial"/>
                <w:sz w:val="16"/>
                <w:szCs w:val="16"/>
                <w:color w:val="auto"/>
              </w:rPr>
              <w:t>5,072,020</w:t>
            </w:r>
          </w:p>
        </w:tc>
        <w:tc>
          <w:tcPr>
            <w:tcW w:w="1160" w:type="dxa"/>
            <w:vAlign w:val="bottom"/>
            <w:gridSpan w:val="2"/>
            <w:shd w:val="clear" w:color="auto" w:fill="E6EDF3"/>
          </w:tcPr>
          <w:p>
            <w:pPr>
              <w:jc w:val="right"/>
              <w:ind w:right="280"/>
              <w:spacing w:after="0"/>
              <w:rPr>
                <w:sz w:val="20"/>
                <w:szCs w:val="20"/>
                <w:color w:val="auto"/>
              </w:rPr>
            </w:pPr>
            <w:r>
              <w:rPr>
                <w:rFonts w:ascii="Arial" w:cs="Arial" w:eastAsia="Arial" w:hAnsi="Arial"/>
                <w:sz w:val="16"/>
                <w:szCs w:val="16"/>
                <w:color w:val="auto"/>
              </w:rPr>
              <w:t>36,221,786</w:t>
            </w:r>
          </w:p>
        </w:tc>
        <w:tc>
          <w:tcPr>
            <w:tcW w:w="72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E6EDF3"/>
          </w:tcPr>
          <w:p>
            <w:pPr>
              <w:spacing w:after="0"/>
              <w:rPr>
                <w:sz w:val="16"/>
                <w:szCs w:val="16"/>
                <w:color w:val="auto"/>
              </w:rPr>
            </w:pPr>
          </w:p>
        </w:tc>
        <w:tc>
          <w:tcPr>
            <w:tcW w:w="860" w:type="dxa"/>
            <w:vAlign w:val="bottom"/>
            <w:shd w:val="clear" w:color="auto" w:fill="E6EDF3"/>
          </w:tcPr>
          <w:p>
            <w:pPr>
              <w:ind w:left="340"/>
              <w:spacing w:after="0"/>
              <w:rPr>
                <w:sz w:val="20"/>
                <w:szCs w:val="20"/>
                <w:color w:val="auto"/>
              </w:rPr>
            </w:pPr>
            <w:r>
              <w:rPr>
                <w:rFonts w:ascii="Arial" w:cs="Arial" w:eastAsia="Arial" w:hAnsi="Arial"/>
                <w:sz w:val="16"/>
                <w:szCs w:val="16"/>
                <w:color w:val="auto"/>
              </w:rPr>
              <w:t>—</w:t>
            </w:r>
          </w:p>
        </w:tc>
      </w:tr>
      <w:tr>
        <w:trPr>
          <w:trHeight w:val="20"/>
        </w:trPr>
        <w:tc>
          <w:tcPr>
            <w:tcW w:w="4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term of Mr. Prising’s severance agreement expires on May 1, 2017.</w:t>
      </w:r>
    </w:p>
    <w:p>
      <w:pPr>
        <w:spacing w:after="0" w:line="68" w:lineRule="exact"/>
        <w:rPr>
          <w:rFonts w:ascii="Arial" w:cs="Arial" w:eastAsia="Arial" w:hAnsi="Arial"/>
          <w:sz w:val="14"/>
          <w:szCs w:val="14"/>
          <w:color w:val="auto"/>
        </w:rPr>
      </w:pPr>
    </w:p>
    <w:p>
      <w:pPr>
        <w:ind w:left="340" w:right="380" w:hanging="332"/>
        <w:spacing w:after="0" w:line="258"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45" w:lineRule="exact"/>
        <w:rPr>
          <w:rFonts w:ascii="Arial" w:cs="Arial" w:eastAsia="Arial" w:hAnsi="Arial"/>
          <w:sz w:val="14"/>
          <w:szCs w:val="14"/>
          <w:color w:val="auto"/>
        </w:rPr>
      </w:pPr>
    </w:p>
    <w:p>
      <w:pPr>
        <w:ind w:left="340" w:right="220" w:hanging="332"/>
        <w:spacing w:after="0" w:line="250"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amount of the severance payment under Mr. Prising’s severance agreement is equal to his annual base salary at the highest rate in effect during the terms of the agreement (here, $1,200,000) and his target bonus for the year of the termination (here, $1,800,000). In a double-trigger scenario, the amount of his severance payment is multiplied by three.</w:t>
      </w:r>
    </w:p>
    <w:p>
      <w:pPr>
        <w:spacing w:after="0" w:line="50" w:lineRule="exact"/>
        <w:rPr>
          <w:rFonts w:ascii="Arial" w:cs="Arial" w:eastAsia="Arial" w:hAnsi="Arial"/>
          <w:sz w:val="14"/>
          <w:szCs w:val="14"/>
          <w:color w:val="auto"/>
        </w:rPr>
      </w:pPr>
    </w:p>
    <w:p>
      <w:pPr>
        <w:ind w:left="340" w:right="20" w:hanging="332"/>
        <w:spacing w:after="0" w:line="244"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 the case of his involuntary termination (other than for cause) or voluntary termination for good reason, the amount of the prorated incentive payable to Mr. Prising under his severance agreement is based on the actual incentive earned for 2016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2016, immediately before the incentive was earned, so as not to understate the potential value of the benefit upon the applicable termination of employment. Note that an incentive amount has also been reported as 2016 compensation for Mr. Prising in the Summary Compensation Table, as well as in the Grants of Plan-Based Awards Table.</w:t>
      </w:r>
    </w:p>
    <w:p>
      <w:pPr>
        <w:spacing w:after="0" w:line="57" w:lineRule="exact"/>
        <w:rPr>
          <w:rFonts w:ascii="Arial" w:cs="Arial" w:eastAsia="Arial" w:hAnsi="Arial"/>
          <w:sz w:val="14"/>
          <w:szCs w:val="14"/>
          <w:color w:val="auto"/>
        </w:rPr>
      </w:pPr>
    </w:p>
    <w:p>
      <w:pPr>
        <w:ind w:left="340" w:right="380" w:hanging="332"/>
        <w:spacing w:after="0" w:line="258"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31, 2016 ($88.87) and the exercise price of each unvested stock option held by Mr. Prising on such date.</w:t>
      </w:r>
    </w:p>
    <w:p>
      <w:pPr>
        <w:spacing w:after="0" w:line="45" w:lineRule="exact"/>
        <w:rPr>
          <w:rFonts w:ascii="Arial" w:cs="Arial" w:eastAsia="Arial" w:hAnsi="Arial"/>
          <w:sz w:val="14"/>
          <w:szCs w:val="14"/>
          <w:color w:val="auto"/>
        </w:rPr>
      </w:pPr>
    </w:p>
    <w:p>
      <w:pPr>
        <w:ind w:left="340" w:right="60" w:hanging="332"/>
        <w:spacing w:after="0" w:line="244"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value of performance share units is illustrated here by measuring the value of the number of shares payable under outstanding awards (2014, 2015 and 2016 grants) using the closing stock price on December 31, 2016 ($88.87). In the case of a change of control, the payout is shown based on the number of shares earned based on actual performance for the 2014 award and assuming the Committee would determine the amount of shares earned relating to the 2015 and 2016 awards will equal the target award. In the case of a death or disability, the payout is shown based on the target awards for 2014, 2015 and 2016. Although the performance share units for the 2014 grant vested on December 31, 2016, the values shown in the table above were calculated to illustrate the value of vesting in the event of an applicable termination occurring on December 31, 2016, immediately before vesting, and includes the performance shares that vested on that date so as not to understate the potential value of an acceleration upon the applicable termination of employment.</w:t>
      </w:r>
    </w:p>
    <w:p>
      <w:pPr>
        <w:spacing w:after="0" w:line="56" w:lineRule="exact"/>
        <w:rPr>
          <w:rFonts w:ascii="Arial" w:cs="Arial" w:eastAsia="Arial" w:hAnsi="Arial"/>
          <w:sz w:val="14"/>
          <w:szCs w:val="14"/>
          <w:color w:val="auto"/>
        </w:rPr>
      </w:pPr>
    </w:p>
    <w:p>
      <w:pPr>
        <w:ind w:left="340" w:right="160" w:hanging="332"/>
        <w:spacing w:after="0" w:line="258"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value of any unvested restricted stock units and career shares is illustrated here by measuring the value of the number of shares payable under unvested awards using the closing stock price on December 31, 2016 ($88.87).</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70</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9600"/>
        <w:spacing w:after="0"/>
        <w:rPr>
          <w:sz w:val="20"/>
          <w:szCs w:val="20"/>
          <w:color w:val="auto"/>
        </w:rPr>
      </w:pPr>
      <w:r>
        <w:rPr>
          <w:rFonts w:ascii="Arial" w:cs="Arial" w:eastAsia="Arial" w:hAnsi="Arial"/>
          <w:sz w:val="18"/>
          <w:szCs w:val="18"/>
          <w:color w:val="FFFFFF"/>
        </w:rPr>
        <w:t>Compensation Tables</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T. McGinnis, CFO (1)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160" w:type="dxa"/>
            <w:vAlign w:val="bottom"/>
            <w:tcBorders>
              <w:top w:val="single" w:sz="8" w:color="auto"/>
            </w:tcBorders>
            <w:shd w:val="clear" w:color="auto" w:fill="9DB8D2"/>
          </w:tcPr>
          <w:p>
            <w:pPr>
              <w:spacing w:after="0"/>
              <w:rPr>
                <w:sz w:val="22"/>
                <w:szCs w:val="22"/>
                <w:color w:val="auto"/>
              </w:rPr>
            </w:pPr>
          </w:p>
        </w:tc>
        <w:tc>
          <w:tcPr>
            <w:tcW w:w="220" w:type="dxa"/>
            <w:vAlign w:val="bottom"/>
            <w:tcBorders>
              <w:top w:val="single" w:sz="8" w:color="auto"/>
            </w:tcBorders>
            <w:shd w:val="clear" w:color="auto" w:fill="9DB8D2"/>
          </w:tcPr>
          <w:p>
            <w:pPr>
              <w:spacing w:after="0"/>
              <w:rPr>
                <w:sz w:val="22"/>
                <w:szCs w:val="22"/>
                <w:color w:val="auto"/>
              </w:rPr>
            </w:pPr>
          </w:p>
        </w:tc>
        <w:tc>
          <w:tcPr>
            <w:tcW w:w="780" w:type="dxa"/>
            <w:vAlign w:val="bottom"/>
            <w:tcBorders>
              <w:top w:val="single" w:sz="8" w:color="auto"/>
            </w:tcBorders>
            <w:shd w:val="clear" w:color="auto" w:fill="9DB8D2"/>
          </w:tcPr>
          <w:p>
            <w:pPr>
              <w:spacing w:after="0"/>
              <w:rPr>
                <w:sz w:val="22"/>
                <w:szCs w:val="22"/>
                <w:color w:val="auto"/>
              </w:rPr>
            </w:pPr>
          </w:p>
        </w:tc>
        <w:tc>
          <w:tcPr>
            <w:tcW w:w="280" w:type="dxa"/>
            <w:vAlign w:val="bottom"/>
            <w:tcBorders>
              <w:top w:val="single" w:sz="8" w:color="auto"/>
            </w:tcBorders>
            <w:shd w:val="clear" w:color="auto" w:fill="9DB8D2"/>
          </w:tcPr>
          <w:p>
            <w:pPr>
              <w:spacing w:after="0"/>
              <w:rPr>
                <w:sz w:val="22"/>
                <w:szCs w:val="22"/>
                <w:color w:val="auto"/>
              </w:rPr>
            </w:pPr>
          </w:p>
        </w:tc>
        <w:tc>
          <w:tcPr>
            <w:tcW w:w="820" w:type="dxa"/>
            <w:vAlign w:val="bottom"/>
            <w:tcBorders>
              <w:top w:val="single" w:sz="8" w:color="auto"/>
            </w:tcBorders>
            <w:shd w:val="clear" w:color="auto" w:fill="9DB8D2"/>
          </w:tcPr>
          <w:p>
            <w:pPr>
              <w:spacing w:after="0"/>
              <w:rPr>
                <w:sz w:val="22"/>
                <w:szCs w:val="22"/>
                <w:color w:val="auto"/>
              </w:rPr>
            </w:pPr>
          </w:p>
        </w:tc>
        <w:tc>
          <w:tcPr>
            <w:tcW w:w="280" w:type="dxa"/>
            <w:vAlign w:val="bottom"/>
            <w:tcBorders>
              <w:top w:val="single" w:sz="8" w:color="auto"/>
            </w:tcBorders>
            <w:shd w:val="clear" w:color="auto" w:fill="9DB8D2"/>
          </w:tcPr>
          <w:p>
            <w:pPr>
              <w:spacing w:after="0"/>
              <w:rPr>
                <w:sz w:val="22"/>
                <w:szCs w:val="22"/>
                <w:color w:val="auto"/>
              </w:rPr>
            </w:pPr>
          </w:p>
        </w:tc>
        <w:tc>
          <w:tcPr>
            <w:tcW w:w="82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Involuntary</w:t>
            </w:r>
          </w:p>
        </w:tc>
        <w:tc>
          <w:tcPr>
            <w:tcW w:w="26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spacing w:after="0"/>
              <w:rPr>
                <w:sz w:val="22"/>
                <w:szCs w:val="22"/>
                <w:color w:val="auto"/>
              </w:rPr>
            </w:pPr>
          </w:p>
        </w:tc>
        <w:tc>
          <w:tcPr>
            <w:tcW w:w="280" w:type="dxa"/>
            <w:vAlign w:val="bottom"/>
            <w:tcBorders>
              <w:top w:val="single" w:sz="8" w:color="auto"/>
            </w:tcBorders>
            <w:shd w:val="clear" w:color="auto" w:fill="9DB8D2"/>
          </w:tcPr>
          <w:p>
            <w:pPr>
              <w:spacing w:after="0"/>
              <w:rPr>
                <w:sz w:val="22"/>
                <w:szCs w:val="22"/>
                <w:color w:val="auto"/>
              </w:rPr>
            </w:pPr>
          </w:p>
        </w:tc>
        <w:tc>
          <w:tcPr>
            <w:tcW w:w="720" w:type="dxa"/>
            <w:vAlign w:val="bottom"/>
            <w:tcBorders>
              <w:top w:val="single" w:sz="8" w:color="auto"/>
            </w:tcBorders>
            <w:shd w:val="clear" w:color="auto" w:fill="9DB8D2"/>
          </w:tcPr>
          <w:p>
            <w:pPr>
              <w:spacing w:after="0"/>
              <w:rPr>
                <w:sz w:val="22"/>
                <w:szCs w:val="22"/>
                <w:color w:val="auto"/>
              </w:rPr>
            </w:pPr>
          </w:p>
        </w:tc>
        <w:tc>
          <w:tcPr>
            <w:tcW w:w="100" w:type="dxa"/>
            <w:vAlign w:val="bottom"/>
            <w:tcBorders>
              <w:top w:val="single" w:sz="8" w:color="auto"/>
            </w:tcBorders>
            <w:shd w:val="clear" w:color="auto" w:fill="9DB8D2"/>
          </w:tcPr>
          <w:p>
            <w:pPr>
              <w:spacing w:after="0"/>
              <w:rPr>
                <w:sz w:val="22"/>
                <w:szCs w:val="22"/>
                <w:color w:val="auto"/>
              </w:rPr>
            </w:pPr>
          </w:p>
        </w:tc>
        <w:tc>
          <w:tcPr>
            <w:tcW w:w="840" w:type="dxa"/>
            <w:vAlign w:val="bottom"/>
            <w:tcBorders>
              <w:top w:val="single" w:sz="8" w:color="auto"/>
            </w:tcBorders>
            <w:shd w:val="clear" w:color="auto" w:fill="9DB8D2"/>
          </w:tcPr>
          <w:p>
            <w:pPr>
              <w:spacing w:after="0"/>
              <w:rPr>
                <w:sz w:val="22"/>
                <w:szCs w:val="22"/>
                <w:color w:val="auto"/>
              </w:rPr>
            </w:pPr>
          </w:p>
        </w:tc>
      </w:tr>
      <w:tr>
        <w:trPr>
          <w:trHeight w:val="162"/>
        </w:trPr>
        <w:tc>
          <w:tcPr>
            <w:tcW w:w="516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260" w:type="dxa"/>
            <w:vAlign w:val="bottom"/>
            <w:shd w:val="clear" w:color="auto" w:fill="9DB8D2"/>
          </w:tcPr>
          <w:p>
            <w:pPr>
              <w:spacing w:after="0"/>
              <w:rPr>
                <w:sz w:val="14"/>
                <w:szCs w:val="14"/>
                <w:color w:val="auto"/>
              </w:rPr>
            </w:pPr>
          </w:p>
        </w:tc>
        <w:tc>
          <w:tcPr>
            <w:tcW w:w="1140" w:type="dxa"/>
            <w:vAlign w:val="bottom"/>
            <w:gridSpan w:val="2"/>
            <w:shd w:val="clear" w:color="auto" w:fill="9DB8D2"/>
          </w:tcPr>
          <w:p>
            <w:pPr>
              <w:jc w:val="center"/>
              <w:ind w:right="260"/>
              <w:spacing w:after="0"/>
              <w:rPr>
                <w:sz w:val="20"/>
                <w:szCs w:val="20"/>
                <w:color w:val="auto"/>
              </w:rPr>
            </w:pPr>
            <w:r>
              <w:rPr>
                <w:rFonts w:ascii="Arial" w:cs="Arial" w:eastAsia="Arial" w:hAnsi="Arial"/>
                <w:sz w:val="14"/>
                <w:szCs w:val="14"/>
                <w:b w:val="1"/>
                <w:bCs w:val="1"/>
                <w:color w:val="auto"/>
              </w:rPr>
              <w:t>Double</w:t>
            </w:r>
          </w:p>
        </w:tc>
        <w:tc>
          <w:tcPr>
            <w:tcW w:w="720" w:type="dxa"/>
            <w:vAlign w:val="bottom"/>
            <w:shd w:val="clear" w:color="auto" w:fill="9DB8D2"/>
          </w:tcPr>
          <w:p>
            <w:pPr>
              <w:spacing w:after="0"/>
              <w:rPr>
                <w:sz w:val="14"/>
                <w:szCs w:val="14"/>
                <w:color w:val="auto"/>
              </w:rPr>
            </w:pPr>
          </w:p>
        </w:tc>
        <w:tc>
          <w:tcPr>
            <w:tcW w:w="100" w:type="dxa"/>
            <w:vAlign w:val="bottom"/>
            <w:shd w:val="clear" w:color="auto" w:fill="9DB8D2"/>
          </w:tcPr>
          <w:p>
            <w:pPr>
              <w:spacing w:after="0"/>
              <w:rPr>
                <w:sz w:val="14"/>
                <w:szCs w:val="14"/>
                <w:color w:val="auto"/>
              </w:rPr>
            </w:pPr>
          </w:p>
        </w:tc>
        <w:tc>
          <w:tcPr>
            <w:tcW w:w="840" w:type="dxa"/>
            <w:vAlign w:val="bottom"/>
            <w:shd w:val="clear" w:color="auto" w:fill="9DB8D2"/>
          </w:tcPr>
          <w:p>
            <w:pPr>
              <w:spacing w:after="0"/>
              <w:rPr>
                <w:sz w:val="14"/>
                <w:szCs w:val="14"/>
                <w:color w:val="auto"/>
              </w:rPr>
            </w:pPr>
          </w:p>
        </w:tc>
      </w:tr>
      <w:tr>
        <w:trPr>
          <w:trHeight w:val="162"/>
        </w:trPr>
        <w:tc>
          <w:tcPr>
            <w:tcW w:w="516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or Good</w:t>
            </w:r>
          </w:p>
        </w:tc>
        <w:tc>
          <w:tcPr>
            <w:tcW w:w="260" w:type="dxa"/>
            <w:vAlign w:val="bottom"/>
            <w:shd w:val="clear" w:color="auto" w:fill="9DB8D2"/>
          </w:tcPr>
          <w:p>
            <w:pPr>
              <w:spacing w:after="0"/>
              <w:rPr>
                <w:sz w:val="14"/>
                <w:szCs w:val="14"/>
                <w:color w:val="auto"/>
              </w:rPr>
            </w:pPr>
          </w:p>
        </w:tc>
        <w:tc>
          <w:tcPr>
            <w:tcW w:w="1140" w:type="dxa"/>
            <w:vAlign w:val="bottom"/>
            <w:gridSpan w:val="2"/>
            <w:shd w:val="clear" w:color="auto" w:fill="9DB8D2"/>
          </w:tcPr>
          <w:p>
            <w:pPr>
              <w:jc w:val="center"/>
              <w:ind w:right="260"/>
              <w:spacing w:after="0"/>
              <w:rPr>
                <w:sz w:val="20"/>
                <w:szCs w:val="20"/>
                <w:color w:val="auto"/>
              </w:rPr>
            </w:pPr>
            <w:r>
              <w:rPr>
                <w:rFonts w:ascii="Arial" w:cs="Arial" w:eastAsia="Arial" w:hAnsi="Arial"/>
                <w:sz w:val="14"/>
                <w:szCs w:val="14"/>
                <w:b w:val="1"/>
                <w:bCs w:val="1"/>
                <w:color w:val="auto"/>
                <w:w w:val="99"/>
              </w:rPr>
              <w:t>Trigger</w:t>
            </w:r>
          </w:p>
        </w:tc>
        <w:tc>
          <w:tcPr>
            <w:tcW w:w="720" w:type="dxa"/>
            <w:vAlign w:val="bottom"/>
            <w:shd w:val="clear" w:color="auto" w:fill="9DB8D2"/>
          </w:tcPr>
          <w:p>
            <w:pPr>
              <w:spacing w:after="0"/>
              <w:rPr>
                <w:sz w:val="14"/>
                <w:szCs w:val="14"/>
                <w:color w:val="auto"/>
              </w:rPr>
            </w:pPr>
          </w:p>
        </w:tc>
        <w:tc>
          <w:tcPr>
            <w:tcW w:w="100" w:type="dxa"/>
            <w:vAlign w:val="bottom"/>
            <w:shd w:val="clear" w:color="auto" w:fill="9DB8D2"/>
          </w:tcPr>
          <w:p>
            <w:pPr>
              <w:spacing w:after="0"/>
              <w:rPr>
                <w:sz w:val="14"/>
                <w:szCs w:val="14"/>
                <w:color w:val="auto"/>
              </w:rPr>
            </w:pPr>
          </w:p>
        </w:tc>
        <w:tc>
          <w:tcPr>
            <w:tcW w:w="840" w:type="dxa"/>
            <w:vAlign w:val="bottom"/>
            <w:shd w:val="clear" w:color="auto" w:fill="9DB8D2"/>
          </w:tcPr>
          <w:p>
            <w:pPr>
              <w:spacing w:after="0"/>
              <w:rPr>
                <w:sz w:val="14"/>
                <w:szCs w:val="14"/>
                <w:color w:val="auto"/>
              </w:rPr>
            </w:pPr>
          </w:p>
        </w:tc>
      </w:tr>
      <w:tr>
        <w:trPr>
          <w:trHeight w:val="162"/>
        </w:trPr>
        <w:tc>
          <w:tcPr>
            <w:tcW w:w="516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Reason –</w:t>
            </w:r>
          </w:p>
        </w:tc>
        <w:tc>
          <w:tcPr>
            <w:tcW w:w="260" w:type="dxa"/>
            <w:vAlign w:val="bottom"/>
            <w:shd w:val="clear" w:color="auto" w:fill="9DB8D2"/>
          </w:tcPr>
          <w:p>
            <w:pPr>
              <w:spacing w:after="0"/>
              <w:rPr>
                <w:sz w:val="14"/>
                <w:szCs w:val="14"/>
                <w:color w:val="auto"/>
              </w:rPr>
            </w:pPr>
          </w:p>
        </w:tc>
        <w:tc>
          <w:tcPr>
            <w:tcW w:w="1140" w:type="dxa"/>
            <w:vAlign w:val="bottom"/>
            <w:gridSpan w:val="2"/>
            <w:shd w:val="clear" w:color="auto" w:fill="9DB8D2"/>
          </w:tcPr>
          <w:p>
            <w:pPr>
              <w:jc w:val="center"/>
              <w:ind w:right="260"/>
              <w:spacing w:after="0"/>
              <w:rPr>
                <w:sz w:val="20"/>
                <w:szCs w:val="20"/>
                <w:color w:val="auto"/>
              </w:rPr>
            </w:pPr>
            <w:r>
              <w:rPr>
                <w:rFonts w:ascii="Arial" w:cs="Arial" w:eastAsia="Arial" w:hAnsi="Arial"/>
                <w:sz w:val="14"/>
                <w:szCs w:val="14"/>
                <w:b w:val="1"/>
                <w:bCs w:val="1"/>
                <w:color w:val="auto"/>
              </w:rPr>
              <w:t>(COC+</w:t>
            </w:r>
          </w:p>
        </w:tc>
        <w:tc>
          <w:tcPr>
            <w:tcW w:w="720" w:type="dxa"/>
            <w:vAlign w:val="bottom"/>
            <w:shd w:val="clear" w:color="auto" w:fill="9DB8D2"/>
          </w:tcPr>
          <w:p>
            <w:pPr>
              <w:spacing w:after="0"/>
              <w:rPr>
                <w:sz w:val="14"/>
                <w:szCs w:val="14"/>
                <w:color w:val="auto"/>
              </w:rPr>
            </w:pPr>
          </w:p>
        </w:tc>
        <w:tc>
          <w:tcPr>
            <w:tcW w:w="100" w:type="dxa"/>
            <w:vAlign w:val="bottom"/>
            <w:shd w:val="clear" w:color="auto" w:fill="9DB8D2"/>
          </w:tcPr>
          <w:p>
            <w:pPr>
              <w:spacing w:after="0"/>
              <w:rPr>
                <w:sz w:val="14"/>
                <w:szCs w:val="14"/>
                <w:color w:val="auto"/>
              </w:rPr>
            </w:pPr>
          </w:p>
        </w:tc>
        <w:tc>
          <w:tcPr>
            <w:tcW w:w="840" w:type="dxa"/>
            <w:vAlign w:val="bottom"/>
            <w:shd w:val="clear" w:color="auto" w:fill="9DB8D2"/>
          </w:tcPr>
          <w:p>
            <w:pPr>
              <w:spacing w:after="0"/>
              <w:rPr>
                <w:sz w:val="14"/>
                <w:szCs w:val="14"/>
                <w:color w:val="auto"/>
              </w:rPr>
            </w:pPr>
          </w:p>
        </w:tc>
      </w:tr>
      <w:tr>
        <w:trPr>
          <w:trHeight w:val="162"/>
        </w:trPr>
        <w:tc>
          <w:tcPr>
            <w:tcW w:w="516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no</w:t>
            </w:r>
          </w:p>
        </w:tc>
        <w:tc>
          <w:tcPr>
            <w:tcW w:w="260" w:type="dxa"/>
            <w:vAlign w:val="bottom"/>
            <w:shd w:val="clear" w:color="auto" w:fill="9DB8D2"/>
          </w:tcPr>
          <w:p>
            <w:pPr>
              <w:spacing w:after="0"/>
              <w:rPr>
                <w:sz w:val="14"/>
                <w:szCs w:val="14"/>
                <w:color w:val="auto"/>
              </w:rPr>
            </w:pPr>
          </w:p>
        </w:tc>
        <w:tc>
          <w:tcPr>
            <w:tcW w:w="1140" w:type="dxa"/>
            <w:vAlign w:val="bottom"/>
            <w:gridSpan w:val="2"/>
            <w:shd w:val="clear" w:color="auto" w:fill="9DB8D2"/>
          </w:tcPr>
          <w:p>
            <w:pPr>
              <w:jc w:val="right"/>
              <w:ind w:right="280"/>
              <w:spacing w:after="0"/>
              <w:rPr>
                <w:sz w:val="20"/>
                <w:szCs w:val="20"/>
                <w:color w:val="auto"/>
              </w:rPr>
            </w:pPr>
            <w:r>
              <w:rPr>
                <w:rFonts w:ascii="Arial" w:cs="Arial" w:eastAsia="Arial" w:hAnsi="Arial"/>
                <w:sz w:val="14"/>
                <w:szCs w:val="14"/>
                <w:b w:val="1"/>
                <w:bCs w:val="1"/>
                <w:color w:val="auto"/>
                <w:w w:val="99"/>
              </w:rPr>
              <w:t>Termination)</w:t>
            </w:r>
          </w:p>
        </w:tc>
        <w:tc>
          <w:tcPr>
            <w:tcW w:w="7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For</w:t>
            </w:r>
          </w:p>
        </w:tc>
        <w:tc>
          <w:tcPr>
            <w:tcW w:w="100" w:type="dxa"/>
            <w:vAlign w:val="bottom"/>
            <w:shd w:val="clear" w:color="auto" w:fill="9DB8D2"/>
          </w:tcPr>
          <w:p>
            <w:pPr>
              <w:spacing w:after="0"/>
              <w:rPr>
                <w:sz w:val="14"/>
                <w:szCs w:val="14"/>
                <w:color w:val="auto"/>
              </w:rPr>
            </w:pPr>
          </w:p>
        </w:tc>
        <w:tc>
          <w:tcPr>
            <w:tcW w:w="840" w:type="dxa"/>
            <w:vAlign w:val="bottom"/>
            <w:shd w:val="clear" w:color="auto" w:fill="9DB8D2"/>
          </w:tcPr>
          <w:p>
            <w:pPr>
              <w:spacing w:after="0"/>
              <w:rPr>
                <w:sz w:val="14"/>
                <w:szCs w:val="14"/>
                <w:color w:val="auto"/>
              </w:rPr>
            </w:pPr>
          </w:p>
        </w:tc>
      </w:tr>
      <w:tr>
        <w:trPr>
          <w:trHeight w:val="189"/>
        </w:trPr>
        <w:tc>
          <w:tcPr>
            <w:tcW w:w="5160" w:type="dxa"/>
            <w:vAlign w:val="bottom"/>
            <w:tcBorders>
              <w:bottom w:val="single" w:sz="8" w:color="auto"/>
            </w:tcBorders>
            <w:shd w:val="clear" w:color="auto" w:fill="9DB8D2"/>
          </w:tcPr>
          <w:p>
            <w:pPr>
              <w:spacing w:after="0"/>
              <w:rPr>
                <w:sz w:val="16"/>
                <w:szCs w:val="16"/>
                <w:color w:val="auto"/>
              </w:rPr>
            </w:pPr>
          </w:p>
        </w:tc>
        <w:tc>
          <w:tcPr>
            <w:tcW w:w="220" w:type="dxa"/>
            <w:vAlign w:val="bottom"/>
            <w:tcBorders>
              <w:bottom w:val="single" w:sz="8" w:color="auto"/>
            </w:tcBorders>
            <w:shd w:val="clear" w:color="auto" w:fill="9DB8D2"/>
          </w:tcPr>
          <w:p>
            <w:pPr>
              <w:spacing w:after="0"/>
              <w:rPr>
                <w:sz w:val="16"/>
                <w:szCs w:val="16"/>
                <w:color w:val="auto"/>
              </w:rPr>
            </w:pPr>
          </w:p>
        </w:tc>
        <w:tc>
          <w:tcPr>
            <w:tcW w:w="780" w:type="dxa"/>
            <w:vAlign w:val="bottom"/>
            <w:tcBorders>
              <w:bottom w:val="single" w:sz="8" w:color="auto"/>
            </w:tcBorders>
            <w:shd w:val="clear" w:color="auto" w:fill="9DB8D2"/>
          </w:tcPr>
          <w:p>
            <w:pPr>
              <w:jc w:val="right"/>
              <w:ind w:right="21"/>
              <w:spacing w:after="0"/>
              <w:rPr>
                <w:sz w:val="20"/>
                <w:szCs w:val="20"/>
                <w:color w:val="auto"/>
              </w:rPr>
            </w:pPr>
            <w:r>
              <w:rPr>
                <w:rFonts w:ascii="Arial" w:cs="Arial" w:eastAsia="Arial" w:hAnsi="Arial"/>
                <w:sz w:val="14"/>
                <w:szCs w:val="14"/>
                <w:b w:val="1"/>
                <w:bCs w:val="1"/>
                <w:color w:val="auto"/>
              </w:rPr>
              <w:t>Death($)</w:t>
            </w:r>
          </w:p>
        </w:tc>
        <w:tc>
          <w:tcPr>
            <w:tcW w:w="280" w:type="dxa"/>
            <w:vAlign w:val="bottom"/>
            <w:tcBorders>
              <w:bottom w:val="single" w:sz="8" w:color="auto"/>
            </w:tcBorders>
            <w:shd w:val="clear" w:color="auto" w:fill="9DB8D2"/>
          </w:tcPr>
          <w:p>
            <w:pPr>
              <w:spacing w:after="0"/>
              <w:rPr>
                <w:sz w:val="16"/>
                <w:szCs w:val="16"/>
                <w:color w:val="auto"/>
              </w:rPr>
            </w:pPr>
          </w:p>
        </w:tc>
        <w:tc>
          <w:tcPr>
            <w:tcW w:w="1100" w:type="dxa"/>
            <w:vAlign w:val="bottom"/>
            <w:tcBorders>
              <w:bottom w:val="single" w:sz="8" w:color="auto"/>
            </w:tcBorders>
            <w:gridSpan w:val="2"/>
            <w:shd w:val="clear" w:color="auto" w:fill="9DB8D2"/>
          </w:tcPr>
          <w:p>
            <w:pPr>
              <w:jc w:val="right"/>
              <w:ind w:right="280"/>
              <w:spacing w:after="0"/>
              <w:rPr>
                <w:sz w:val="20"/>
                <w:szCs w:val="20"/>
                <w:color w:val="auto"/>
              </w:rPr>
            </w:pPr>
            <w:r>
              <w:rPr>
                <w:rFonts w:ascii="Arial" w:cs="Arial" w:eastAsia="Arial" w:hAnsi="Arial"/>
                <w:sz w:val="14"/>
                <w:szCs w:val="14"/>
                <w:b w:val="1"/>
                <w:bCs w:val="1"/>
                <w:color w:val="auto"/>
              </w:rPr>
              <w:t>Disability($)</w:t>
            </w:r>
          </w:p>
        </w:tc>
        <w:tc>
          <w:tcPr>
            <w:tcW w:w="82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COC($)</w:t>
            </w:r>
          </w:p>
        </w:tc>
        <w:tc>
          <w:tcPr>
            <w:tcW w:w="1120" w:type="dxa"/>
            <w:vAlign w:val="bottom"/>
            <w:tcBorders>
              <w:bottom w:val="single" w:sz="8" w:color="auto"/>
            </w:tcBorders>
            <w:gridSpan w:val="2"/>
            <w:shd w:val="clear" w:color="auto" w:fill="9DB8D2"/>
          </w:tcPr>
          <w:p>
            <w:pPr>
              <w:jc w:val="center"/>
              <w:ind w:left="200"/>
              <w:spacing w:after="0"/>
              <w:rPr>
                <w:sz w:val="20"/>
                <w:szCs w:val="20"/>
                <w:color w:val="auto"/>
              </w:rPr>
            </w:pPr>
            <w:r>
              <w:rPr>
                <w:rFonts w:ascii="Arial" w:cs="Arial" w:eastAsia="Arial" w:hAnsi="Arial"/>
                <w:sz w:val="14"/>
                <w:szCs w:val="14"/>
                <w:b w:val="1"/>
                <w:bCs w:val="1"/>
                <w:color w:val="auto"/>
              </w:rPr>
              <w:t>($)(2)</w:t>
            </w:r>
          </w:p>
        </w:tc>
        <w:tc>
          <w:tcPr>
            <w:tcW w:w="280" w:type="dxa"/>
            <w:vAlign w:val="bottom"/>
            <w:tcBorders>
              <w:bottom w:val="single" w:sz="8" w:color="auto"/>
            </w:tcBorders>
            <w:shd w:val="clear" w:color="auto" w:fill="9DB8D2"/>
          </w:tcPr>
          <w:p>
            <w:pPr>
              <w:spacing w:after="0"/>
              <w:rPr>
                <w:sz w:val="16"/>
                <w:szCs w:val="16"/>
                <w:color w:val="auto"/>
              </w:rPr>
            </w:pPr>
          </w:p>
        </w:tc>
        <w:tc>
          <w:tcPr>
            <w:tcW w:w="1660" w:type="dxa"/>
            <w:vAlign w:val="bottom"/>
            <w:tcBorders>
              <w:bottom w:val="single" w:sz="8" w:color="auto"/>
            </w:tcBorders>
            <w:gridSpan w:val="3"/>
            <w:shd w:val="clear" w:color="auto" w:fill="9DB8D2"/>
          </w:tcPr>
          <w:p>
            <w:pPr>
              <w:ind w:left="60"/>
              <w:spacing w:after="0"/>
              <w:rPr>
                <w:sz w:val="20"/>
                <w:szCs w:val="20"/>
                <w:color w:val="auto"/>
              </w:rPr>
            </w:pPr>
            <w:r>
              <w:rPr>
                <w:rFonts w:ascii="Arial" w:cs="Arial" w:eastAsia="Arial" w:hAnsi="Arial"/>
                <w:sz w:val="14"/>
                <w:szCs w:val="14"/>
                <w:b w:val="1"/>
                <w:bCs w:val="1"/>
                <w:color w:val="auto"/>
              </w:rPr>
              <w:t>Cause($)  Voluntary($)</w:t>
            </w:r>
          </w:p>
        </w:tc>
      </w:tr>
      <w:tr>
        <w:trPr>
          <w:trHeight w:val="183"/>
        </w:trPr>
        <w:tc>
          <w:tcPr>
            <w:tcW w:w="516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Severance Payment(3)</w:t>
            </w:r>
          </w:p>
        </w:tc>
        <w:tc>
          <w:tcPr>
            <w:tcW w:w="220" w:type="dxa"/>
            <w:vAlign w:val="bottom"/>
            <w:shd w:val="clear" w:color="auto" w:fill="E6EDF3"/>
          </w:tcPr>
          <w:p>
            <w:pPr>
              <w:spacing w:after="0"/>
              <w:rPr>
                <w:sz w:val="15"/>
                <w:szCs w:val="15"/>
                <w:color w:val="auto"/>
              </w:rPr>
            </w:pPr>
          </w:p>
        </w:tc>
        <w:tc>
          <w:tcPr>
            <w:tcW w:w="780" w:type="dxa"/>
            <w:vAlign w:val="bottom"/>
            <w:shd w:val="clear" w:color="auto" w:fill="E6EDF3"/>
          </w:tcPr>
          <w:p>
            <w:pPr>
              <w:jc w:val="right"/>
              <w:spacing w:after="0" w:line="183" w:lineRule="exact"/>
              <w:rPr>
                <w:sz w:val="20"/>
                <w:szCs w:val="20"/>
                <w:color w:val="auto"/>
              </w:rPr>
            </w:pPr>
            <w:r>
              <w:rPr>
                <w:rFonts w:ascii="Arial" w:cs="Arial" w:eastAsia="Arial" w:hAnsi="Arial"/>
                <w:sz w:val="16"/>
                <w:szCs w:val="16"/>
                <w:color w:val="auto"/>
              </w:rPr>
              <w:t>—</w:t>
            </w:r>
          </w:p>
        </w:tc>
        <w:tc>
          <w:tcPr>
            <w:tcW w:w="280" w:type="dxa"/>
            <w:vAlign w:val="bottom"/>
            <w:shd w:val="clear" w:color="auto" w:fill="E6EDF3"/>
          </w:tcPr>
          <w:p>
            <w:pPr>
              <w:spacing w:after="0"/>
              <w:rPr>
                <w:sz w:val="15"/>
                <w:szCs w:val="15"/>
                <w:color w:val="auto"/>
              </w:rPr>
            </w:pPr>
          </w:p>
        </w:tc>
        <w:tc>
          <w:tcPr>
            <w:tcW w:w="1100" w:type="dxa"/>
            <w:vAlign w:val="bottom"/>
            <w:gridSpan w:val="2"/>
            <w:shd w:val="clear" w:color="auto" w:fill="E6EDF3"/>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E6EDF3"/>
          </w:tcPr>
          <w:p>
            <w:pPr>
              <w:jc w:val="right"/>
              <w:spacing w:after="0" w:line="183" w:lineRule="exact"/>
              <w:rPr>
                <w:sz w:val="20"/>
                <w:szCs w:val="20"/>
                <w:color w:val="auto"/>
              </w:rPr>
            </w:pPr>
            <w:r>
              <w:rPr>
                <w:rFonts w:ascii="Arial" w:cs="Arial" w:eastAsia="Arial" w:hAnsi="Arial"/>
                <w:sz w:val="16"/>
                <w:szCs w:val="16"/>
                <w:color w:val="auto"/>
              </w:rPr>
              <w:t>1,200,000</w:t>
            </w:r>
          </w:p>
        </w:tc>
        <w:tc>
          <w:tcPr>
            <w:tcW w:w="1400" w:type="dxa"/>
            <w:vAlign w:val="bottom"/>
            <w:gridSpan w:val="3"/>
            <w:shd w:val="clear" w:color="auto" w:fill="E6EDF3"/>
          </w:tcPr>
          <w:p>
            <w:pPr>
              <w:jc w:val="right"/>
              <w:ind w:right="280"/>
              <w:spacing w:after="0" w:line="183" w:lineRule="exact"/>
              <w:rPr>
                <w:sz w:val="20"/>
                <w:szCs w:val="20"/>
                <w:color w:val="auto"/>
              </w:rPr>
            </w:pPr>
            <w:r>
              <w:rPr>
                <w:rFonts w:ascii="Arial" w:cs="Arial" w:eastAsia="Arial" w:hAnsi="Arial"/>
                <w:sz w:val="16"/>
                <w:szCs w:val="16"/>
                <w:color w:val="auto"/>
              </w:rPr>
              <w:t>3,600,000</w:t>
            </w:r>
          </w:p>
        </w:tc>
        <w:tc>
          <w:tcPr>
            <w:tcW w:w="720" w:type="dxa"/>
            <w:vAlign w:val="bottom"/>
            <w:shd w:val="clear" w:color="auto" w:fill="E6EDF3"/>
          </w:tcPr>
          <w:p>
            <w:pPr>
              <w:jc w:val="center"/>
              <w:spacing w:after="0" w:line="183" w:lineRule="exact"/>
              <w:rPr>
                <w:sz w:val="20"/>
                <w:szCs w:val="20"/>
                <w:color w:val="auto"/>
              </w:rPr>
            </w:pPr>
            <w:r>
              <w:rPr>
                <w:rFonts w:ascii="Arial" w:cs="Arial" w:eastAsia="Arial" w:hAnsi="Arial"/>
                <w:sz w:val="16"/>
                <w:szCs w:val="16"/>
                <w:color w:val="auto"/>
                <w:w w:val="99"/>
              </w:rPr>
              <w:t>—</w:t>
            </w:r>
          </w:p>
        </w:tc>
        <w:tc>
          <w:tcPr>
            <w:tcW w:w="100" w:type="dxa"/>
            <w:vAlign w:val="bottom"/>
            <w:shd w:val="clear" w:color="auto" w:fill="E6EDF3"/>
          </w:tcPr>
          <w:p>
            <w:pPr>
              <w:spacing w:after="0"/>
              <w:rPr>
                <w:sz w:val="15"/>
                <w:szCs w:val="15"/>
                <w:color w:val="auto"/>
              </w:rPr>
            </w:pPr>
          </w:p>
        </w:tc>
        <w:tc>
          <w:tcPr>
            <w:tcW w:w="840" w:type="dxa"/>
            <w:vAlign w:val="bottom"/>
            <w:shd w:val="clear" w:color="auto" w:fill="E6EDF3"/>
          </w:tcPr>
          <w:p>
            <w:pPr>
              <w:ind w:left="340"/>
              <w:spacing w:after="0" w:line="183" w:lineRule="exact"/>
              <w:rPr>
                <w:sz w:val="20"/>
                <w:szCs w:val="20"/>
                <w:color w:val="auto"/>
              </w:rPr>
            </w:pPr>
            <w:r>
              <w:rPr>
                <w:rFonts w:ascii="Arial" w:cs="Arial" w:eastAsia="Arial" w:hAnsi="Arial"/>
                <w:sz w:val="16"/>
                <w:szCs w:val="16"/>
                <w:color w:val="auto"/>
              </w:rPr>
              <w:t>—</w:t>
            </w:r>
          </w:p>
        </w:tc>
      </w:tr>
      <w:tr>
        <w:trPr>
          <w:trHeight w:val="189"/>
        </w:trPr>
        <w:tc>
          <w:tcPr>
            <w:tcW w:w="5160" w:type="dxa"/>
            <w:vAlign w:val="bottom"/>
          </w:tcPr>
          <w:p>
            <w:pPr>
              <w:ind w:left="80"/>
              <w:spacing w:after="0"/>
              <w:rPr>
                <w:sz w:val="20"/>
                <w:szCs w:val="20"/>
                <w:color w:val="auto"/>
              </w:rPr>
            </w:pPr>
            <w:r>
              <w:rPr>
                <w:rFonts w:ascii="Arial" w:cs="Arial" w:eastAsia="Arial" w:hAnsi="Arial"/>
                <w:sz w:val="16"/>
                <w:szCs w:val="16"/>
                <w:color w:val="auto"/>
              </w:rPr>
              <w:t>Prorated Incentive(4)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600,000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600,000</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682,680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600,000</w:t>
            </w:r>
          </w:p>
        </w:tc>
        <w:tc>
          <w:tcPr>
            <w:tcW w:w="2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6"/>
                <w:szCs w:val="16"/>
                <w:color w:val="auto"/>
              </w:rPr>
            </w:pPr>
          </w:p>
        </w:tc>
        <w:tc>
          <w:tcPr>
            <w:tcW w:w="84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189"/>
        </w:trPr>
        <w:tc>
          <w:tcPr>
            <w:tcW w:w="5160" w:type="dxa"/>
            <w:vAlign w:val="bottom"/>
            <w:shd w:val="clear" w:color="auto" w:fill="E6EDF3"/>
          </w:tcPr>
          <w:p>
            <w:pPr>
              <w:ind w:left="80"/>
              <w:spacing w:after="0"/>
              <w:rPr>
                <w:sz w:val="20"/>
                <w:szCs w:val="20"/>
                <w:color w:val="auto"/>
              </w:rPr>
            </w:pPr>
            <w:r>
              <w:rPr>
                <w:rFonts w:ascii="Arial" w:cs="Arial" w:eastAsia="Arial" w:hAnsi="Arial"/>
                <w:sz w:val="16"/>
                <w:szCs w:val="16"/>
                <w:color w:val="auto"/>
              </w:rPr>
              <w:t>Options(5)</w:t>
            </w:r>
          </w:p>
        </w:tc>
        <w:tc>
          <w:tcPr>
            <w:tcW w:w="100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280,499</w:t>
            </w:r>
          </w:p>
        </w:tc>
        <w:tc>
          <w:tcPr>
            <w:tcW w:w="110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280,499</w:t>
            </w:r>
          </w:p>
        </w:tc>
        <w:tc>
          <w:tcPr>
            <w:tcW w:w="280" w:type="dxa"/>
            <w:vAlign w:val="bottom"/>
            <w:shd w:val="clear" w:color="auto" w:fill="E6EDF3"/>
          </w:tcPr>
          <w:p>
            <w:pPr>
              <w:spacing w:after="0"/>
              <w:rPr>
                <w:sz w:val="16"/>
                <w:szCs w:val="16"/>
                <w:color w:val="auto"/>
              </w:rPr>
            </w:pPr>
          </w:p>
        </w:tc>
        <w:tc>
          <w:tcPr>
            <w:tcW w:w="8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280,499</w:t>
            </w:r>
          </w:p>
        </w:tc>
        <w:tc>
          <w:tcPr>
            <w:tcW w:w="280" w:type="dxa"/>
            <w:vAlign w:val="bottom"/>
            <w:shd w:val="clear" w:color="auto" w:fill="E6EDF3"/>
          </w:tcPr>
          <w:p>
            <w:pPr>
              <w:spacing w:after="0"/>
              <w:rPr>
                <w:sz w:val="16"/>
                <w:szCs w:val="16"/>
                <w:color w:val="auto"/>
              </w:rPr>
            </w:pPr>
          </w:p>
        </w:tc>
        <w:tc>
          <w:tcPr>
            <w:tcW w:w="72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E6EDF3"/>
          </w:tcPr>
          <w:p>
            <w:pPr>
              <w:spacing w:after="0"/>
              <w:rPr>
                <w:sz w:val="16"/>
                <w:szCs w:val="16"/>
                <w:color w:val="auto"/>
              </w:rPr>
            </w:pPr>
          </w:p>
        </w:tc>
        <w:tc>
          <w:tcPr>
            <w:tcW w:w="840" w:type="dxa"/>
            <w:vAlign w:val="bottom"/>
            <w:shd w:val="clear" w:color="auto" w:fill="E6EDF3"/>
          </w:tcPr>
          <w:p>
            <w:pPr>
              <w:ind w:left="340"/>
              <w:spacing w:after="0"/>
              <w:rPr>
                <w:sz w:val="20"/>
                <w:szCs w:val="20"/>
                <w:color w:val="auto"/>
              </w:rPr>
            </w:pPr>
            <w:r>
              <w:rPr>
                <w:rFonts w:ascii="Arial" w:cs="Arial" w:eastAsia="Arial" w:hAnsi="Arial"/>
                <w:sz w:val="16"/>
                <w:szCs w:val="16"/>
                <w:color w:val="auto"/>
              </w:rPr>
              <w:t>—</w:t>
            </w:r>
          </w:p>
        </w:tc>
      </w:tr>
      <w:tr>
        <w:trPr>
          <w:trHeight w:val="189"/>
        </w:trPr>
        <w:tc>
          <w:tcPr>
            <w:tcW w:w="5160" w:type="dxa"/>
            <w:vAlign w:val="bottom"/>
          </w:tcPr>
          <w:p>
            <w:pPr>
              <w:ind w:left="80"/>
              <w:spacing w:after="0"/>
              <w:rPr>
                <w:sz w:val="20"/>
                <w:szCs w:val="20"/>
                <w:color w:val="auto"/>
              </w:rPr>
            </w:pPr>
            <w:r>
              <w:rPr>
                <w:rFonts w:ascii="Arial" w:cs="Arial" w:eastAsia="Arial" w:hAnsi="Arial"/>
                <w:sz w:val="16"/>
                <w:szCs w:val="16"/>
                <w:color w:val="auto"/>
              </w:rPr>
              <w:t>Performance Share Units(6)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1,420,676</w:t>
            </w:r>
          </w:p>
        </w:tc>
        <w:tc>
          <w:tcPr>
            <w:tcW w:w="1380" w:type="dxa"/>
            <w:vAlign w:val="bottom"/>
            <w:gridSpan w:val="3"/>
          </w:tcPr>
          <w:p>
            <w:pPr>
              <w:jc w:val="right"/>
              <w:ind w:right="280"/>
              <w:spacing w:after="0"/>
              <w:rPr>
                <w:sz w:val="20"/>
                <w:szCs w:val="20"/>
                <w:color w:val="auto"/>
              </w:rPr>
            </w:pPr>
            <w:r>
              <w:rPr>
                <w:rFonts w:ascii="Arial" w:cs="Arial" w:eastAsia="Arial" w:hAnsi="Arial"/>
                <w:sz w:val="16"/>
                <w:szCs w:val="16"/>
                <w:color w:val="auto"/>
              </w:rPr>
              <w:t>1,420,676</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280"/>
              <w:spacing w:after="0"/>
              <w:rPr>
                <w:sz w:val="20"/>
                <w:szCs w:val="20"/>
                <w:color w:val="auto"/>
              </w:rPr>
            </w:pPr>
            <w:r>
              <w:rPr>
                <w:rFonts w:ascii="Arial" w:cs="Arial" w:eastAsia="Arial" w:hAnsi="Arial"/>
                <w:sz w:val="16"/>
                <w:szCs w:val="16"/>
                <w:color w:val="auto"/>
              </w:rPr>
              <w:t>1,420,676</w:t>
            </w: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6"/>
                <w:szCs w:val="16"/>
                <w:color w:val="auto"/>
              </w:rPr>
            </w:pPr>
          </w:p>
        </w:tc>
        <w:tc>
          <w:tcPr>
            <w:tcW w:w="84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189"/>
        </w:trPr>
        <w:tc>
          <w:tcPr>
            <w:tcW w:w="5160" w:type="dxa"/>
            <w:vAlign w:val="bottom"/>
            <w:shd w:val="clear" w:color="auto" w:fill="E6EDF3"/>
          </w:tcPr>
          <w:p>
            <w:pPr>
              <w:ind w:left="80"/>
              <w:spacing w:after="0"/>
              <w:rPr>
                <w:sz w:val="20"/>
                <w:szCs w:val="20"/>
                <w:color w:val="auto"/>
              </w:rPr>
            </w:pPr>
            <w:r>
              <w:rPr>
                <w:rFonts w:ascii="Arial" w:cs="Arial" w:eastAsia="Arial" w:hAnsi="Arial"/>
                <w:sz w:val="16"/>
                <w:szCs w:val="16"/>
                <w:color w:val="auto"/>
              </w:rPr>
              <w:t>Restricted Stock Units/Career Shares(7)</w:t>
            </w:r>
          </w:p>
        </w:tc>
        <w:tc>
          <w:tcPr>
            <w:tcW w:w="100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1,694,484</w:t>
            </w:r>
          </w:p>
        </w:tc>
        <w:tc>
          <w:tcPr>
            <w:tcW w:w="1380" w:type="dxa"/>
            <w:vAlign w:val="bottom"/>
            <w:gridSpan w:val="3"/>
            <w:shd w:val="clear" w:color="auto" w:fill="E6EDF3"/>
          </w:tcPr>
          <w:p>
            <w:pPr>
              <w:jc w:val="right"/>
              <w:ind w:right="280"/>
              <w:spacing w:after="0"/>
              <w:rPr>
                <w:sz w:val="20"/>
                <w:szCs w:val="20"/>
                <w:color w:val="auto"/>
              </w:rPr>
            </w:pPr>
            <w:r>
              <w:rPr>
                <w:rFonts w:ascii="Arial" w:cs="Arial" w:eastAsia="Arial" w:hAnsi="Arial"/>
                <w:sz w:val="16"/>
                <w:szCs w:val="16"/>
                <w:color w:val="auto"/>
              </w:rPr>
              <w:t>1,694,484</w:t>
            </w:r>
          </w:p>
        </w:tc>
        <w:tc>
          <w:tcPr>
            <w:tcW w:w="8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3"/>
            <w:shd w:val="clear" w:color="auto" w:fill="E6EDF3"/>
          </w:tcPr>
          <w:p>
            <w:pPr>
              <w:jc w:val="right"/>
              <w:ind w:right="280"/>
              <w:spacing w:after="0"/>
              <w:rPr>
                <w:sz w:val="20"/>
                <w:szCs w:val="20"/>
                <w:color w:val="auto"/>
              </w:rPr>
            </w:pPr>
            <w:r>
              <w:rPr>
                <w:rFonts w:ascii="Arial" w:cs="Arial" w:eastAsia="Arial" w:hAnsi="Arial"/>
                <w:sz w:val="16"/>
                <w:szCs w:val="16"/>
                <w:color w:val="auto"/>
              </w:rPr>
              <w:t>1,694,484</w:t>
            </w:r>
          </w:p>
        </w:tc>
        <w:tc>
          <w:tcPr>
            <w:tcW w:w="72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E6EDF3"/>
          </w:tcPr>
          <w:p>
            <w:pPr>
              <w:spacing w:after="0"/>
              <w:rPr>
                <w:sz w:val="16"/>
                <w:szCs w:val="16"/>
                <w:color w:val="auto"/>
              </w:rPr>
            </w:pPr>
          </w:p>
        </w:tc>
        <w:tc>
          <w:tcPr>
            <w:tcW w:w="840" w:type="dxa"/>
            <w:vAlign w:val="bottom"/>
            <w:shd w:val="clear" w:color="auto" w:fill="E6EDF3"/>
          </w:tcPr>
          <w:p>
            <w:pPr>
              <w:ind w:left="340"/>
              <w:spacing w:after="0"/>
              <w:rPr>
                <w:sz w:val="20"/>
                <w:szCs w:val="20"/>
                <w:color w:val="auto"/>
              </w:rPr>
            </w:pPr>
            <w:r>
              <w:rPr>
                <w:rFonts w:ascii="Arial" w:cs="Arial" w:eastAsia="Arial" w:hAnsi="Arial"/>
                <w:sz w:val="16"/>
                <w:szCs w:val="16"/>
                <w:color w:val="auto"/>
              </w:rPr>
              <w:t>—</w:t>
            </w:r>
          </w:p>
        </w:tc>
      </w:tr>
      <w:tr>
        <w:trPr>
          <w:trHeight w:val="189"/>
        </w:trPr>
        <w:tc>
          <w:tcPr>
            <w:tcW w:w="5160" w:type="dxa"/>
            <w:vAlign w:val="bottom"/>
          </w:tcPr>
          <w:p>
            <w:pPr>
              <w:ind w:left="80"/>
              <w:spacing w:after="0"/>
              <w:rPr>
                <w:sz w:val="20"/>
                <w:szCs w:val="20"/>
                <w:color w:val="auto"/>
              </w:rPr>
            </w:pPr>
            <w:r>
              <w:rPr>
                <w:rFonts w:ascii="Arial" w:cs="Arial" w:eastAsia="Arial" w:hAnsi="Arial"/>
                <w:sz w:val="16"/>
                <w:szCs w:val="16"/>
                <w:color w:val="auto"/>
              </w:rPr>
              <w:t>Health Benefits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22,928</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34,671</w:t>
            </w:r>
          </w:p>
        </w:tc>
        <w:tc>
          <w:tcPr>
            <w:tcW w:w="2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6"/>
                <w:szCs w:val="16"/>
                <w:color w:val="auto"/>
              </w:rPr>
            </w:pPr>
          </w:p>
        </w:tc>
        <w:tc>
          <w:tcPr>
            <w:tcW w:w="84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189"/>
        </w:trPr>
        <w:tc>
          <w:tcPr>
            <w:tcW w:w="5160" w:type="dxa"/>
            <w:vAlign w:val="bottom"/>
            <w:shd w:val="clear" w:color="auto" w:fill="E6EDF3"/>
          </w:tcPr>
          <w:p>
            <w:pPr>
              <w:ind w:left="80"/>
              <w:spacing w:after="0"/>
              <w:rPr>
                <w:sz w:val="20"/>
                <w:szCs w:val="20"/>
                <w:color w:val="auto"/>
              </w:rPr>
            </w:pPr>
            <w:r>
              <w:rPr>
                <w:rFonts w:ascii="Arial" w:cs="Arial" w:eastAsia="Arial" w:hAnsi="Arial"/>
                <w:sz w:val="16"/>
                <w:szCs w:val="16"/>
                <w:color w:val="auto"/>
              </w:rPr>
              <w:t>Outplacement</w:t>
            </w:r>
          </w:p>
        </w:tc>
        <w:tc>
          <w:tcPr>
            <w:tcW w:w="220" w:type="dxa"/>
            <w:vAlign w:val="bottom"/>
            <w:shd w:val="clear" w:color="auto" w:fill="E6EDF3"/>
          </w:tcPr>
          <w:p>
            <w:pPr>
              <w:spacing w:after="0"/>
              <w:rPr>
                <w:sz w:val="16"/>
                <w:szCs w:val="16"/>
                <w:color w:val="auto"/>
              </w:rPr>
            </w:pPr>
          </w:p>
        </w:tc>
        <w:tc>
          <w:tcPr>
            <w:tcW w:w="78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6EDF3"/>
          </w:tcPr>
          <w:p>
            <w:pPr>
              <w:spacing w:after="0"/>
              <w:rPr>
                <w:sz w:val="16"/>
                <w:szCs w:val="16"/>
                <w:color w:val="auto"/>
              </w:rPr>
            </w:pPr>
          </w:p>
        </w:tc>
        <w:tc>
          <w:tcPr>
            <w:tcW w:w="1100" w:type="dxa"/>
            <w:vAlign w:val="bottom"/>
            <w:gridSpan w:val="2"/>
            <w:shd w:val="clear" w:color="auto" w:fill="E6EDF3"/>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25,000</w:t>
            </w:r>
          </w:p>
        </w:tc>
        <w:tc>
          <w:tcPr>
            <w:tcW w:w="112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25,000</w:t>
            </w:r>
          </w:p>
        </w:tc>
        <w:tc>
          <w:tcPr>
            <w:tcW w:w="280" w:type="dxa"/>
            <w:vAlign w:val="bottom"/>
            <w:shd w:val="clear" w:color="auto" w:fill="E6EDF3"/>
          </w:tcPr>
          <w:p>
            <w:pPr>
              <w:spacing w:after="0"/>
              <w:rPr>
                <w:sz w:val="16"/>
                <w:szCs w:val="16"/>
                <w:color w:val="auto"/>
              </w:rPr>
            </w:pPr>
          </w:p>
        </w:tc>
        <w:tc>
          <w:tcPr>
            <w:tcW w:w="72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E6EDF3"/>
          </w:tcPr>
          <w:p>
            <w:pPr>
              <w:spacing w:after="0"/>
              <w:rPr>
                <w:sz w:val="16"/>
                <w:szCs w:val="16"/>
                <w:color w:val="auto"/>
              </w:rPr>
            </w:pPr>
          </w:p>
        </w:tc>
        <w:tc>
          <w:tcPr>
            <w:tcW w:w="840" w:type="dxa"/>
            <w:vAlign w:val="bottom"/>
            <w:shd w:val="clear" w:color="auto" w:fill="E6EDF3"/>
          </w:tcPr>
          <w:p>
            <w:pPr>
              <w:ind w:left="340"/>
              <w:spacing w:after="0"/>
              <w:rPr>
                <w:sz w:val="20"/>
                <w:szCs w:val="20"/>
                <w:color w:val="auto"/>
              </w:rPr>
            </w:pPr>
            <w:r>
              <w:rPr>
                <w:rFonts w:ascii="Arial" w:cs="Arial" w:eastAsia="Arial" w:hAnsi="Arial"/>
                <w:sz w:val="16"/>
                <w:szCs w:val="16"/>
                <w:color w:val="auto"/>
              </w:rPr>
              <w:t>—</w:t>
            </w:r>
          </w:p>
        </w:tc>
      </w:tr>
      <w:tr>
        <w:trPr>
          <w:trHeight w:val="20"/>
        </w:trPr>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196"/>
        </w:trPr>
        <w:tc>
          <w:tcPr>
            <w:tcW w:w="5160" w:type="dxa"/>
            <w:vAlign w:val="bottom"/>
          </w:tcPr>
          <w:p>
            <w:pPr>
              <w:ind w:left="80"/>
              <w:spacing w:after="0"/>
              <w:rPr>
                <w:sz w:val="20"/>
                <w:szCs w:val="20"/>
                <w:color w:val="auto"/>
              </w:rPr>
            </w:pPr>
            <w:r>
              <w:rPr>
                <w:rFonts w:ascii="Arial" w:cs="Arial" w:eastAsia="Arial" w:hAnsi="Arial"/>
                <w:sz w:val="16"/>
                <w:szCs w:val="16"/>
                <w:color w:val="auto"/>
              </w:rPr>
              <w:t>Total</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3,995,659</w:t>
            </w:r>
          </w:p>
        </w:tc>
        <w:tc>
          <w:tcPr>
            <w:tcW w:w="28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3,995,659</w:t>
            </w:r>
          </w:p>
        </w:tc>
        <w:tc>
          <w:tcPr>
            <w:tcW w:w="820" w:type="dxa"/>
            <w:vAlign w:val="bottom"/>
          </w:tcPr>
          <w:p>
            <w:pPr>
              <w:jc w:val="right"/>
              <w:spacing w:after="0"/>
              <w:rPr>
                <w:sz w:val="20"/>
                <w:szCs w:val="20"/>
                <w:color w:val="auto"/>
              </w:rPr>
            </w:pPr>
            <w:r>
              <w:rPr>
                <w:rFonts w:ascii="Arial" w:cs="Arial" w:eastAsia="Arial" w:hAnsi="Arial"/>
                <w:sz w:val="16"/>
                <w:szCs w:val="16"/>
                <w:color w:val="auto"/>
              </w:rPr>
              <w:t>1,930,608</w:t>
            </w:r>
          </w:p>
        </w:tc>
        <w:tc>
          <w:tcPr>
            <w:tcW w:w="1400" w:type="dxa"/>
            <w:vAlign w:val="bottom"/>
            <w:gridSpan w:val="3"/>
          </w:tcPr>
          <w:p>
            <w:pPr>
              <w:jc w:val="right"/>
              <w:ind w:right="280"/>
              <w:spacing w:after="0"/>
              <w:rPr>
                <w:sz w:val="20"/>
                <w:szCs w:val="20"/>
                <w:color w:val="auto"/>
              </w:rPr>
            </w:pPr>
            <w:r>
              <w:rPr>
                <w:rFonts w:ascii="Arial" w:cs="Arial" w:eastAsia="Arial" w:hAnsi="Arial"/>
                <w:sz w:val="16"/>
                <w:szCs w:val="16"/>
                <w:color w:val="auto"/>
              </w:rPr>
              <w:t>7,655,330</w:t>
            </w: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84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20"/>
        </w:trPr>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340" w:right="200" w:hanging="332"/>
        <w:spacing w:after="0" w:line="258"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On February 15, 2016, ManpowerGroup entered into a severance agreement with Mr. McGinnis. The term of Mr. McGinnis’s severance agreement expires on February 15, 2019.</w:t>
      </w:r>
    </w:p>
    <w:p>
      <w:pPr>
        <w:spacing w:after="0" w:line="45" w:lineRule="exact"/>
        <w:rPr>
          <w:rFonts w:ascii="Arial" w:cs="Arial" w:eastAsia="Arial" w:hAnsi="Arial"/>
          <w:sz w:val="14"/>
          <w:szCs w:val="14"/>
          <w:color w:val="auto"/>
        </w:rPr>
      </w:pPr>
    </w:p>
    <w:p>
      <w:pPr>
        <w:ind w:left="340" w:right="380" w:hanging="332"/>
        <w:spacing w:after="0" w:line="258"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45" w:lineRule="exact"/>
        <w:rPr>
          <w:rFonts w:ascii="Arial" w:cs="Arial" w:eastAsia="Arial" w:hAnsi="Arial"/>
          <w:sz w:val="14"/>
          <w:szCs w:val="14"/>
          <w:color w:val="auto"/>
        </w:rPr>
      </w:pPr>
    </w:p>
    <w:p>
      <w:pPr>
        <w:ind w:left="340" w:right="20" w:hanging="332"/>
        <w:spacing w:after="0" w:line="250"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amount of the severance payment under Mr. McGinnis’s severance agreement is equal to his annual base salary at the highest rate in effect during the term of the agreement (here, $600,000) and his target annual incentive for the fiscal year in which the termination occurs (here, $600,000). In a double-trigger scenario, the amount of his severance payment is multiplied by three.</w:t>
      </w:r>
    </w:p>
    <w:p>
      <w:pPr>
        <w:spacing w:after="0" w:line="50" w:lineRule="exact"/>
        <w:rPr>
          <w:rFonts w:ascii="Arial" w:cs="Arial" w:eastAsia="Arial" w:hAnsi="Arial"/>
          <w:sz w:val="14"/>
          <w:szCs w:val="14"/>
          <w:color w:val="auto"/>
        </w:rPr>
      </w:pPr>
    </w:p>
    <w:p>
      <w:pPr>
        <w:ind w:left="340" w:right="20" w:hanging="332"/>
        <w:spacing w:after="0" w:line="244"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 the case of his involuntary termination (other than for cause) or voluntary termination for good reason, the amount of the prorated incentive payable to him under his severance agreement is based on the actual incentive earned for 2016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2016, immediately before the incentive was earned, so as not to understate the potential value of the benefit upon the applicable termination of employment. Note that an incentive amount has also been reported as 2016 compensation for him in the Summary Compensation Table, as well as in the Grants of Plan-Based Awards Table.</w:t>
      </w:r>
    </w:p>
    <w:p>
      <w:pPr>
        <w:spacing w:after="0" w:line="57" w:lineRule="exact"/>
        <w:rPr>
          <w:rFonts w:ascii="Arial" w:cs="Arial" w:eastAsia="Arial" w:hAnsi="Arial"/>
          <w:sz w:val="14"/>
          <w:szCs w:val="14"/>
          <w:color w:val="auto"/>
        </w:rPr>
      </w:pPr>
    </w:p>
    <w:p>
      <w:pPr>
        <w:ind w:left="340" w:right="380" w:hanging="332"/>
        <w:spacing w:after="0" w:line="258"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31, 2016 ($88.87) and the exercise price of each unvested stock option held by Mr. McGinnis on such date.</w:t>
      </w:r>
    </w:p>
    <w:p>
      <w:pPr>
        <w:spacing w:after="0" w:line="45" w:lineRule="exact"/>
        <w:rPr>
          <w:rFonts w:ascii="Arial" w:cs="Arial" w:eastAsia="Arial" w:hAnsi="Arial"/>
          <w:sz w:val="14"/>
          <w:szCs w:val="14"/>
          <w:color w:val="auto"/>
        </w:rPr>
      </w:pPr>
    </w:p>
    <w:p>
      <w:pPr>
        <w:ind w:left="340" w:right="140" w:hanging="332"/>
        <w:spacing w:after="0" w:line="250"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value of performance share units is illustrated here by measuring the value of the number of shares payable under his outstanding award (2016 grant) using the closing stock price on December 31, 2016 ($88.87). In the case of a change of control, the payout is shown assuming the Committee will determine the amount of shares earned relating to the 2016 award will equal the target award. In the case of a death or disability, the payout is also shown at target.</w:t>
      </w:r>
    </w:p>
    <w:p>
      <w:pPr>
        <w:spacing w:after="0" w:line="50" w:lineRule="exact"/>
        <w:rPr>
          <w:rFonts w:ascii="Arial" w:cs="Arial" w:eastAsia="Arial" w:hAnsi="Arial"/>
          <w:sz w:val="14"/>
          <w:szCs w:val="14"/>
          <w:color w:val="auto"/>
        </w:rPr>
      </w:pPr>
    </w:p>
    <w:p>
      <w:pPr>
        <w:ind w:left="340" w:right="160" w:hanging="332"/>
        <w:spacing w:after="0" w:line="258"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value of any unvested restricted stock units and career shares is illustrated here by measuring the value of the number of shares payable under unvested awards using the closing stock price on December 31, 2016 ($88.87).</w:t>
      </w:r>
    </w:p>
    <w:p>
      <w:pPr>
        <w:spacing w:after="0" w:line="115" w:lineRule="exact"/>
        <w:rPr>
          <w:sz w:val="20"/>
          <w:szCs w:val="20"/>
          <w:color w:val="auto"/>
        </w:rPr>
      </w:pPr>
    </w:p>
    <w:p>
      <w:pPr>
        <w:ind w:left="9880"/>
        <w:spacing w:after="0"/>
        <w:rPr>
          <w:sz w:val="20"/>
          <w:szCs w:val="20"/>
          <w:color w:val="auto"/>
        </w:rPr>
      </w:pPr>
      <w:r>
        <w:rPr>
          <w:rFonts w:ascii="Arial" w:cs="Arial" w:eastAsia="Arial" w:hAnsi="Arial"/>
          <w:sz w:val="16"/>
          <w:szCs w:val="16"/>
          <w:b w:val="1"/>
          <w:bCs w:val="1"/>
          <w:color w:val="5D89B4"/>
        </w:rPr>
        <w:t xml:space="preserve">71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Compensation Tables</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Darryl Green, President and COO (1)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920" w:type="dxa"/>
            <w:vAlign w:val="bottom"/>
            <w:tcBorders>
              <w:top w:val="single" w:sz="8" w:color="auto"/>
            </w:tcBorders>
            <w:shd w:val="clear" w:color="auto" w:fill="9DB8D2"/>
          </w:tcPr>
          <w:p>
            <w:pPr>
              <w:spacing w:after="0"/>
              <w:rPr>
                <w:sz w:val="22"/>
                <w:szCs w:val="22"/>
                <w:color w:val="auto"/>
              </w:rPr>
            </w:pPr>
          </w:p>
        </w:tc>
        <w:tc>
          <w:tcPr>
            <w:tcW w:w="200" w:type="dxa"/>
            <w:vAlign w:val="bottom"/>
            <w:tcBorders>
              <w:top w:val="single" w:sz="8" w:color="auto"/>
            </w:tcBorders>
            <w:shd w:val="clear" w:color="auto" w:fill="9DB8D2"/>
          </w:tcPr>
          <w:p>
            <w:pPr>
              <w:spacing w:after="0"/>
              <w:rPr>
                <w:sz w:val="22"/>
                <w:szCs w:val="22"/>
                <w:color w:val="auto"/>
              </w:rPr>
            </w:pPr>
          </w:p>
        </w:tc>
        <w:tc>
          <w:tcPr>
            <w:tcW w:w="880" w:type="dxa"/>
            <w:vAlign w:val="bottom"/>
            <w:tcBorders>
              <w:top w:val="single" w:sz="8" w:color="auto"/>
            </w:tcBorders>
            <w:shd w:val="clear" w:color="auto" w:fill="9DB8D2"/>
          </w:tcPr>
          <w:p>
            <w:pPr>
              <w:spacing w:after="0"/>
              <w:rPr>
                <w:sz w:val="22"/>
                <w:szCs w:val="22"/>
                <w:color w:val="auto"/>
              </w:rPr>
            </w:pPr>
          </w:p>
        </w:tc>
        <w:tc>
          <w:tcPr>
            <w:tcW w:w="280" w:type="dxa"/>
            <w:vAlign w:val="bottom"/>
            <w:tcBorders>
              <w:top w:val="single" w:sz="8" w:color="auto"/>
            </w:tcBorders>
            <w:shd w:val="clear" w:color="auto" w:fill="9DB8D2"/>
          </w:tcPr>
          <w:p>
            <w:pPr>
              <w:spacing w:after="0"/>
              <w:rPr>
                <w:sz w:val="22"/>
                <w:szCs w:val="22"/>
                <w:color w:val="auto"/>
              </w:rPr>
            </w:pPr>
          </w:p>
        </w:tc>
        <w:tc>
          <w:tcPr>
            <w:tcW w:w="880" w:type="dxa"/>
            <w:vAlign w:val="bottom"/>
            <w:tcBorders>
              <w:top w:val="single" w:sz="8" w:color="auto"/>
            </w:tcBorders>
            <w:shd w:val="clear" w:color="auto" w:fill="9DB8D2"/>
          </w:tcPr>
          <w:p>
            <w:pPr>
              <w:spacing w:after="0"/>
              <w:rPr>
                <w:sz w:val="22"/>
                <w:szCs w:val="22"/>
                <w:color w:val="auto"/>
              </w:rPr>
            </w:pPr>
          </w:p>
        </w:tc>
        <w:tc>
          <w:tcPr>
            <w:tcW w:w="260" w:type="dxa"/>
            <w:vAlign w:val="bottom"/>
            <w:tcBorders>
              <w:top w:val="single" w:sz="8" w:color="auto"/>
            </w:tcBorders>
            <w:shd w:val="clear" w:color="auto" w:fill="9DB8D2"/>
          </w:tcPr>
          <w:p>
            <w:pPr>
              <w:spacing w:after="0"/>
              <w:rPr>
                <w:sz w:val="22"/>
                <w:szCs w:val="22"/>
                <w:color w:val="auto"/>
              </w:rPr>
            </w:pPr>
          </w:p>
        </w:tc>
        <w:tc>
          <w:tcPr>
            <w:tcW w:w="1140" w:type="dxa"/>
            <w:vAlign w:val="bottom"/>
            <w:tcBorders>
              <w:top w:val="single" w:sz="8" w:color="auto"/>
            </w:tcBorders>
            <w:gridSpan w:val="2"/>
            <w:shd w:val="clear" w:color="auto" w:fill="9DB8D2"/>
          </w:tcPr>
          <w:p>
            <w:pPr>
              <w:jc w:val="center"/>
              <w:ind w:right="280"/>
              <w:spacing w:after="0"/>
              <w:rPr>
                <w:sz w:val="20"/>
                <w:szCs w:val="20"/>
                <w:color w:val="auto"/>
              </w:rPr>
            </w:pPr>
            <w:r>
              <w:rPr>
                <w:rFonts w:ascii="Arial" w:cs="Arial" w:eastAsia="Arial" w:hAnsi="Arial"/>
                <w:sz w:val="14"/>
                <w:szCs w:val="14"/>
                <w:b w:val="1"/>
                <w:bCs w:val="1"/>
                <w:color w:val="auto"/>
              </w:rPr>
              <w:t>Involuntary</w:t>
            </w:r>
          </w:p>
        </w:tc>
        <w:tc>
          <w:tcPr>
            <w:tcW w:w="1160" w:type="dxa"/>
            <w:vAlign w:val="bottom"/>
            <w:tcBorders>
              <w:top w:val="single" w:sz="8" w:color="auto"/>
            </w:tcBorders>
            <w:gridSpan w:val="2"/>
            <w:shd w:val="clear" w:color="auto" w:fill="9DB8D2"/>
          </w:tcPr>
          <w:p>
            <w:pPr>
              <w:jc w:val="center"/>
              <w:ind w:right="280"/>
              <w:spacing w:after="0"/>
              <w:rPr>
                <w:sz w:val="20"/>
                <w:szCs w:val="20"/>
                <w:color w:val="auto"/>
              </w:rPr>
            </w:pPr>
            <w:r>
              <w:rPr>
                <w:rFonts w:ascii="Arial" w:cs="Arial" w:eastAsia="Arial" w:hAnsi="Arial"/>
                <w:sz w:val="14"/>
                <w:szCs w:val="14"/>
                <w:b w:val="1"/>
                <w:bCs w:val="1"/>
                <w:color w:val="auto"/>
              </w:rPr>
              <w:t>Double</w:t>
            </w:r>
          </w:p>
        </w:tc>
        <w:tc>
          <w:tcPr>
            <w:tcW w:w="720" w:type="dxa"/>
            <w:vAlign w:val="bottom"/>
            <w:tcBorders>
              <w:top w:val="single" w:sz="8" w:color="auto"/>
            </w:tcBorders>
            <w:shd w:val="clear" w:color="auto" w:fill="9DB8D2"/>
          </w:tcPr>
          <w:p>
            <w:pPr>
              <w:spacing w:after="0"/>
              <w:rPr>
                <w:sz w:val="22"/>
                <w:szCs w:val="22"/>
                <w:color w:val="auto"/>
              </w:rPr>
            </w:pPr>
          </w:p>
        </w:tc>
        <w:tc>
          <w:tcPr>
            <w:tcW w:w="12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spacing w:after="0"/>
              <w:rPr>
                <w:sz w:val="22"/>
                <w:szCs w:val="22"/>
                <w:color w:val="auto"/>
              </w:rPr>
            </w:pPr>
          </w:p>
        </w:tc>
      </w:tr>
      <w:tr>
        <w:trPr>
          <w:trHeight w:val="162"/>
        </w:trPr>
        <w:tc>
          <w:tcPr>
            <w:tcW w:w="4920" w:type="dxa"/>
            <w:vAlign w:val="bottom"/>
            <w:shd w:val="clear" w:color="auto" w:fill="9DB8D2"/>
          </w:tcPr>
          <w:p>
            <w:pPr>
              <w:spacing w:after="0"/>
              <w:rPr>
                <w:sz w:val="14"/>
                <w:szCs w:val="14"/>
                <w:color w:val="auto"/>
              </w:rPr>
            </w:pPr>
          </w:p>
        </w:tc>
        <w:tc>
          <w:tcPr>
            <w:tcW w:w="20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1140" w:type="dxa"/>
            <w:vAlign w:val="bottom"/>
            <w:gridSpan w:val="2"/>
            <w:shd w:val="clear" w:color="auto" w:fill="9DB8D2"/>
          </w:tcPr>
          <w:p>
            <w:pPr>
              <w:jc w:val="center"/>
              <w:ind w:right="280"/>
              <w:spacing w:after="0"/>
              <w:rPr>
                <w:sz w:val="20"/>
                <w:szCs w:val="20"/>
                <w:color w:val="auto"/>
              </w:rPr>
            </w:pPr>
            <w:r>
              <w:rPr>
                <w:rFonts w:ascii="Arial" w:cs="Arial" w:eastAsia="Arial" w:hAnsi="Arial"/>
                <w:sz w:val="14"/>
                <w:szCs w:val="14"/>
                <w:b w:val="1"/>
                <w:bCs w:val="1"/>
                <w:color w:val="auto"/>
              </w:rPr>
              <w:t>Termination</w:t>
            </w:r>
          </w:p>
        </w:tc>
        <w:tc>
          <w:tcPr>
            <w:tcW w:w="1160" w:type="dxa"/>
            <w:vAlign w:val="bottom"/>
            <w:gridSpan w:val="2"/>
            <w:shd w:val="clear" w:color="auto" w:fill="9DB8D2"/>
          </w:tcPr>
          <w:p>
            <w:pPr>
              <w:jc w:val="center"/>
              <w:ind w:right="280"/>
              <w:spacing w:after="0"/>
              <w:rPr>
                <w:sz w:val="20"/>
                <w:szCs w:val="20"/>
                <w:color w:val="auto"/>
              </w:rPr>
            </w:pPr>
            <w:r>
              <w:rPr>
                <w:rFonts w:ascii="Arial" w:cs="Arial" w:eastAsia="Arial" w:hAnsi="Arial"/>
                <w:sz w:val="14"/>
                <w:szCs w:val="14"/>
                <w:b w:val="1"/>
                <w:bCs w:val="1"/>
                <w:color w:val="auto"/>
                <w:w w:val="99"/>
              </w:rPr>
              <w:t>Trigger</w:t>
            </w:r>
          </w:p>
        </w:tc>
        <w:tc>
          <w:tcPr>
            <w:tcW w:w="720" w:type="dxa"/>
            <w:vAlign w:val="bottom"/>
            <w:shd w:val="clear" w:color="auto" w:fill="9DB8D2"/>
          </w:tcPr>
          <w:p>
            <w:pPr>
              <w:spacing w:after="0"/>
              <w:rPr>
                <w:sz w:val="14"/>
                <w:szCs w:val="14"/>
                <w:color w:val="auto"/>
              </w:rPr>
            </w:pPr>
          </w:p>
        </w:tc>
        <w:tc>
          <w:tcPr>
            <w:tcW w:w="12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r>
      <w:tr>
        <w:trPr>
          <w:trHeight w:val="162"/>
        </w:trPr>
        <w:tc>
          <w:tcPr>
            <w:tcW w:w="4920" w:type="dxa"/>
            <w:vAlign w:val="bottom"/>
            <w:shd w:val="clear" w:color="auto" w:fill="9DB8D2"/>
          </w:tcPr>
          <w:p>
            <w:pPr>
              <w:spacing w:after="0"/>
              <w:rPr>
                <w:sz w:val="14"/>
                <w:szCs w:val="14"/>
                <w:color w:val="auto"/>
              </w:rPr>
            </w:pPr>
          </w:p>
        </w:tc>
        <w:tc>
          <w:tcPr>
            <w:tcW w:w="20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1140" w:type="dxa"/>
            <w:vAlign w:val="bottom"/>
            <w:gridSpan w:val="2"/>
            <w:shd w:val="clear" w:color="auto" w:fill="9DB8D2"/>
          </w:tcPr>
          <w:p>
            <w:pPr>
              <w:jc w:val="center"/>
              <w:ind w:right="260"/>
              <w:spacing w:after="0"/>
              <w:rPr>
                <w:sz w:val="20"/>
                <w:szCs w:val="20"/>
                <w:color w:val="auto"/>
              </w:rPr>
            </w:pPr>
            <w:r>
              <w:rPr>
                <w:rFonts w:ascii="Arial" w:cs="Arial" w:eastAsia="Arial" w:hAnsi="Arial"/>
                <w:sz w:val="14"/>
                <w:szCs w:val="14"/>
                <w:b w:val="1"/>
                <w:bCs w:val="1"/>
                <w:color w:val="auto"/>
              </w:rPr>
              <w:t>or Good</w:t>
            </w:r>
          </w:p>
        </w:tc>
        <w:tc>
          <w:tcPr>
            <w:tcW w:w="1160" w:type="dxa"/>
            <w:vAlign w:val="bottom"/>
            <w:gridSpan w:val="2"/>
            <w:shd w:val="clear" w:color="auto" w:fill="9DB8D2"/>
          </w:tcPr>
          <w:p>
            <w:pPr>
              <w:jc w:val="center"/>
              <w:ind w:right="280"/>
              <w:spacing w:after="0"/>
              <w:rPr>
                <w:sz w:val="20"/>
                <w:szCs w:val="20"/>
                <w:color w:val="auto"/>
              </w:rPr>
            </w:pPr>
            <w:r>
              <w:rPr>
                <w:rFonts w:ascii="Arial" w:cs="Arial" w:eastAsia="Arial" w:hAnsi="Arial"/>
                <w:sz w:val="14"/>
                <w:szCs w:val="14"/>
                <w:b w:val="1"/>
                <w:bCs w:val="1"/>
                <w:color w:val="auto"/>
              </w:rPr>
              <w:t>(COC+</w:t>
            </w:r>
          </w:p>
        </w:tc>
        <w:tc>
          <w:tcPr>
            <w:tcW w:w="720" w:type="dxa"/>
            <w:vAlign w:val="bottom"/>
            <w:shd w:val="clear" w:color="auto" w:fill="9DB8D2"/>
          </w:tcPr>
          <w:p>
            <w:pPr>
              <w:spacing w:after="0"/>
              <w:rPr>
                <w:sz w:val="14"/>
                <w:szCs w:val="14"/>
                <w:color w:val="auto"/>
              </w:rPr>
            </w:pPr>
          </w:p>
        </w:tc>
        <w:tc>
          <w:tcPr>
            <w:tcW w:w="12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r>
      <w:tr>
        <w:trPr>
          <w:trHeight w:val="162"/>
        </w:trPr>
        <w:tc>
          <w:tcPr>
            <w:tcW w:w="4920" w:type="dxa"/>
            <w:vAlign w:val="bottom"/>
            <w:shd w:val="clear" w:color="auto" w:fill="9DB8D2"/>
          </w:tcPr>
          <w:p>
            <w:pPr>
              <w:spacing w:after="0"/>
              <w:rPr>
                <w:sz w:val="14"/>
                <w:szCs w:val="14"/>
                <w:color w:val="auto"/>
              </w:rPr>
            </w:pPr>
          </w:p>
        </w:tc>
        <w:tc>
          <w:tcPr>
            <w:tcW w:w="20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1140" w:type="dxa"/>
            <w:vAlign w:val="bottom"/>
            <w:gridSpan w:val="2"/>
            <w:shd w:val="clear" w:color="auto" w:fill="9DB8D2"/>
          </w:tcPr>
          <w:p>
            <w:pPr>
              <w:jc w:val="center"/>
              <w:ind w:right="280"/>
              <w:spacing w:after="0"/>
              <w:rPr>
                <w:sz w:val="20"/>
                <w:szCs w:val="20"/>
                <w:color w:val="auto"/>
              </w:rPr>
            </w:pPr>
            <w:r>
              <w:rPr>
                <w:rFonts w:ascii="Arial" w:cs="Arial" w:eastAsia="Arial" w:hAnsi="Arial"/>
                <w:sz w:val="14"/>
                <w:szCs w:val="14"/>
                <w:b w:val="1"/>
                <w:bCs w:val="1"/>
                <w:color w:val="auto"/>
              </w:rPr>
              <w:t>Reason – no</w:t>
            </w:r>
          </w:p>
        </w:tc>
        <w:tc>
          <w:tcPr>
            <w:tcW w:w="1160" w:type="dxa"/>
            <w:vAlign w:val="bottom"/>
            <w:gridSpan w:val="2"/>
            <w:shd w:val="clear" w:color="auto" w:fill="9DB8D2"/>
          </w:tcPr>
          <w:p>
            <w:pPr>
              <w:jc w:val="center"/>
              <w:ind w:right="260"/>
              <w:spacing w:after="0"/>
              <w:rPr>
                <w:sz w:val="20"/>
                <w:szCs w:val="20"/>
                <w:color w:val="auto"/>
              </w:rPr>
            </w:pPr>
            <w:r>
              <w:rPr>
                <w:rFonts w:ascii="Arial" w:cs="Arial" w:eastAsia="Arial" w:hAnsi="Arial"/>
                <w:sz w:val="14"/>
                <w:szCs w:val="14"/>
                <w:b w:val="1"/>
                <w:bCs w:val="1"/>
                <w:color w:val="auto"/>
              </w:rPr>
              <w:t>Termination)</w:t>
            </w:r>
          </w:p>
        </w:tc>
        <w:tc>
          <w:tcPr>
            <w:tcW w:w="7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For</w:t>
            </w:r>
          </w:p>
        </w:tc>
        <w:tc>
          <w:tcPr>
            <w:tcW w:w="120" w:type="dxa"/>
            <w:vAlign w:val="bottom"/>
            <w:shd w:val="clear" w:color="auto" w:fill="9DB8D2"/>
          </w:tcPr>
          <w:p>
            <w:pPr>
              <w:spacing w:after="0"/>
              <w:rPr>
                <w:sz w:val="14"/>
                <w:szCs w:val="14"/>
                <w:color w:val="auto"/>
              </w:rPr>
            </w:pPr>
          </w:p>
        </w:tc>
        <w:tc>
          <w:tcPr>
            <w:tcW w:w="860" w:type="dxa"/>
            <w:vAlign w:val="bottom"/>
            <w:shd w:val="clear" w:color="auto" w:fill="9DB8D2"/>
          </w:tcPr>
          <w:p>
            <w:pPr>
              <w:spacing w:after="0"/>
              <w:rPr>
                <w:sz w:val="14"/>
                <w:szCs w:val="14"/>
                <w:color w:val="auto"/>
              </w:rPr>
            </w:pPr>
          </w:p>
        </w:tc>
      </w:tr>
      <w:tr>
        <w:trPr>
          <w:trHeight w:val="189"/>
        </w:trPr>
        <w:tc>
          <w:tcPr>
            <w:tcW w:w="4920" w:type="dxa"/>
            <w:vAlign w:val="bottom"/>
            <w:tcBorders>
              <w:bottom w:val="single" w:sz="8" w:color="auto"/>
            </w:tcBorders>
            <w:shd w:val="clear" w:color="auto" w:fill="9DB8D2"/>
          </w:tcPr>
          <w:p>
            <w:pPr>
              <w:spacing w:after="0"/>
              <w:rPr>
                <w:sz w:val="16"/>
                <w:szCs w:val="16"/>
                <w:color w:val="auto"/>
              </w:rPr>
            </w:pPr>
          </w:p>
        </w:tc>
        <w:tc>
          <w:tcPr>
            <w:tcW w:w="200" w:type="dxa"/>
            <w:vAlign w:val="bottom"/>
            <w:tcBorders>
              <w:bottom w:val="single" w:sz="8" w:color="auto"/>
            </w:tcBorders>
            <w:shd w:val="clear" w:color="auto" w:fill="9DB8D2"/>
          </w:tcPr>
          <w:p>
            <w:pPr>
              <w:spacing w:after="0"/>
              <w:rPr>
                <w:sz w:val="16"/>
                <w:szCs w:val="16"/>
                <w:color w:val="auto"/>
              </w:rPr>
            </w:pPr>
          </w:p>
        </w:tc>
        <w:tc>
          <w:tcPr>
            <w:tcW w:w="1160" w:type="dxa"/>
            <w:vAlign w:val="bottom"/>
            <w:tcBorders>
              <w:bottom w:val="single" w:sz="8" w:color="auto"/>
            </w:tcBorders>
            <w:gridSpan w:val="2"/>
            <w:shd w:val="clear" w:color="auto" w:fill="9DB8D2"/>
          </w:tcPr>
          <w:p>
            <w:pPr>
              <w:jc w:val="right"/>
              <w:ind w:right="420"/>
              <w:spacing w:after="0"/>
              <w:rPr>
                <w:sz w:val="20"/>
                <w:szCs w:val="20"/>
                <w:color w:val="auto"/>
              </w:rPr>
            </w:pPr>
            <w:r>
              <w:rPr>
                <w:rFonts w:ascii="Arial" w:cs="Arial" w:eastAsia="Arial" w:hAnsi="Arial"/>
                <w:sz w:val="14"/>
                <w:szCs w:val="14"/>
                <w:b w:val="1"/>
                <w:bCs w:val="1"/>
                <w:color w:val="auto"/>
              </w:rPr>
              <w:t>Death($)</w:t>
            </w:r>
          </w:p>
        </w:tc>
        <w:tc>
          <w:tcPr>
            <w:tcW w:w="1140" w:type="dxa"/>
            <w:vAlign w:val="bottom"/>
            <w:tcBorders>
              <w:bottom w:val="single" w:sz="8" w:color="auto"/>
            </w:tcBorders>
            <w:gridSpan w:val="2"/>
            <w:shd w:val="clear" w:color="auto" w:fill="9DB8D2"/>
          </w:tcPr>
          <w:p>
            <w:pPr>
              <w:ind w:left="20"/>
              <w:spacing w:after="0"/>
              <w:rPr>
                <w:sz w:val="20"/>
                <w:szCs w:val="20"/>
                <w:color w:val="auto"/>
              </w:rPr>
            </w:pPr>
            <w:r>
              <w:rPr>
                <w:rFonts w:ascii="Arial" w:cs="Arial" w:eastAsia="Arial" w:hAnsi="Arial"/>
                <w:sz w:val="14"/>
                <w:szCs w:val="14"/>
                <w:b w:val="1"/>
                <w:bCs w:val="1"/>
                <w:color w:val="auto"/>
              </w:rPr>
              <w:t>Disability($)</w:t>
            </w:r>
          </w:p>
        </w:tc>
        <w:tc>
          <w:tcPr>
            <w:tcW w:w="1140" w:type="dxa"/>
            <w:vAlign w:val="bottom"/>
            <w:tcBorders>
              <w:bottom w:val="single" w:sz="8" w:color="auto"/>
            </w:tcBorders>
            <w:gridSpan w:val="2"/>
            <w:shd w:val="clear" w:color="auto" w:fill="9DB8D2"/>
          </w:tcPr>
          <w:p>
            <w:pPr>
              <w:jc w:val="center"/>
              <w:ind w:right="280"/>
              <w:spacing w:after="0"/>
              <w:rPr>
                <w:sz w:val="20"/>
                <w:szCs w:val="20"/>
                <w:color w:val="auto"/>
              </w:rPr>
            </w:pPr>
            <w:r>
              <w:rPr>
                <w:rFonts w:ascii="Arial" w:cs="Arial" w:eastAsia="Arial" w:hAnsi="Arial"/>
                <w:sz w:val="14"/>
                <w:szCs w:val="14"/>
                <w:b w:val="1"/>
                <w:bCs w:val="1"/>
                <w:color w:val="auto"/>
              </w:rPr>
              <w:t>COC($)</w:t>
            </w:r>
          </w:p>
        </w:tc>
        <w:tc>
          <w:tcPr>
            <w:tcW w:w="88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($)(2)</w:t>
            </w:r>
          </w:p>
        </w:tc>
        <w:tc>
          <w:tcPr>
            <w:tcW w:w="280" w:type="dxa"/>
            <w:vAlign w:val="bottom"/>
            <w:tcBorders>
              <w:bottom w:val="single" w:sz="8" w:color="auto"/>
            </w:tcBorders>
            <w:shd w:val="clear" w:color="auto" w:fill="9DB8D2"/>
          </w:tcPr>
          <w:p>
            <w:pPr>
              <w:spacing w:after="0"/>
              <w:rPr>
                <w:sz w:val="16"/>
                <w:szCs w:val="16"/>
                <w:color w:val="auto"/>
              </w:rPr>
            </w:pPr>
          </w:p>
        </w:tc>
        <w:tc>
          <w:tcPr>
            <w:tcW w:w="1700" w:type="dxa"/>
            <w:vAlign w:val="bottom"/>
            <w:tcBorders>
              <w:bottom w:val="single" w:sz="8" w:color="auto"/>
            </w:tcBorders>
            <w:gridSpan w:val="3"/>
            <w:shd w:val="clear" w:color="auto" w:fill="9DB8D2"/>
          </w:tcPr>
          <w:p>
            <w:pPr>
              <w:ind w:left="60"/>
              <w:spacing w:after="0"/>
              <w:rPr>
                <w:sz w:val="20"/>
                <w:szCs w:val="20"/>
                <w:color w:val="auto"/>
              </w:rPr>
            </w:pPr>
            <w:r>
              <w:rPr>
                <w:rFonts w:ascii="Arial" w:cs="Arial" w:eastAsia="Arial" w:hAnsi="Arial"/>
                <w:sz w:val="14"/>
                <w:szCs w:val="14"/>
                <w:b w:val="1"/>
                <w:bCs w:val="1"/>
                <w:color w:val="auto"/>
              </w:rPr>
              <w:t>Cause($)   Voluntary($)</w:t>
            </w:r>
          </w:p>
        </w:tc>
      </w:tr>
      <w:tr>
        <w:trPr>
          <w:trHeight w:val="183"/>
        </w:trPr>
        <w:tc>
          <w:tcPr>
            <w:tcW w:w="492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Severance Payment(3)</w:t>
            </w:r>
          </w:p>
        </w:tc>
        <w:tc>
          <w:tcPr>
            <w:tcW w:w="200" w:type="dxa"/>
            <w:vAlign w:val="bottom"/>
            <w:shd w:val="clear" w:color="auto" w:fill="E6EDF3"/>
          </w:tcPr>
          <w:p>
            <w:pPr>
              <w:spacing w:after="0"/>
              <w:rPr>
                <w:sz w:val="15"/>
                <w:szCs w:val="15"/>
                <w:color w:val="auto"/>
              </w:rPr>
            </w:pPr>
          </w:p>
        </w:tc>
        <w:tc>
          <w:tcPr>
            <w:tcW w:w="1160" w:type="dxa"/>
            <w:vAlign w:val="bottom"/>
            <w:gridSpan w:val="2"/>
            <w:shd w:val="clear" w:color="auto" w:fill="E6EDF3"/>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140" w:type="dxa"/>
            <w:vAlign w:val="bottom"/>
            <w:gridSpan w:val="2"/>
            <w:shd w:val="clear" w:color="auto" w:fill="E6EDF3"/>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140" w:type="dxa"/>
            <w:vAlign w:val="bottom"/>
            <w:gridSpan w:val="2"/>
            <w:shd w:val="clear" w:color="auto" w:fill="E6EDF3"/>
          </w:tcPr>
          <w:p>
            <w:pPr>
              <w:jc w:val="right"/>
              <w:ind w:right="280"/>
              <w:spacing w:after="0" w:line="183" w:lineRule="exact"/>
              <w:rPr>
                <w:sz w:val="20"/>
                <w:szCs w:val="20"/>
                <w:color w:val="auto"/>
              </w:rPr>
            </w:pPr>
            <w:r>
              <w:rPr>
                <w:rFonts w:ascii="Arial" w:cs="Arial" w:eastAsia="Arial" w:hAnsi="Arial"/>
                <w:sz w:val="16"/>
                <w:szCs w:val="16"/>
                <w:color w:val="auto"/>
              </w:rPr>
              <w:t>1,600,000</w:t>
            </w:r>
          </w:p>
        </w:tc>
        <w:tc>
          <w:tcPr>
            <w:tcW w:w="1160" w:type="dxa"/>
            <w:vAlign w:val="bottom"/>
            <w:gridSpan w:val="2"/>
            <w:shd w:val="clear" w:color="auto" w:fill="E6EDF3"/>
          </w:tcPr>
          <w:p>
            <w:pPr>
              <w:jc w:val="right"/>
              <w:ind w:right="280"/>
              <w:spacing w:after="0" w:line="183" w:lineRule="exact"/>
              <w:rPr>
                <w:sz w:val="20"/>
                <w:szCs w:val="20"/>
                <w:color w:val="auto"/>
              </w:rPr>
            </w:pPr>
            <w:r>
              <w:rPr>
                <w:rFonts w:ascii="Arial" w:cs="Arial" w:eastAsia="Arial" w:hAnsi="Arial"/>
                <w:sz w:val="16"/>
                <w:szCs w:val="16"/>
                <w:color w:val="auto"/>
              </w:rPr>
              <w:t>3,200,000</w:t>
            </w:r>
          </w:p>
        </w:tc>
        <w:tc>
          <w:tcPr>
            <w:tcW w:w="720" w:type="dxa"/>
            <w:vAlign w:val="bottom"/>
            <w:shd w:val="clear" w:color="auto" w:fill="E6EDF3"/>
          </w:tcPr>
          <w:p>
            <w:pPr>
              <w:jc w:val="center"/>
              <w:spacing w:after="0" w:line="183" w:lineRule="exact"/>
              <w:rPr>
                <w:sz w:val="20"/>
                <w:szCs w:val="20"/>
                <w:color w:val="auto"/>
              </w:rPr>
            </w:pPr>
            <w:r>
              <w:rPr>
                <w:rFonts w:ascii="Arial" w:cs="Arial" w:eastAsia="Arial" w:hAnsi="Arial"/>
                <w:sz w:val="16"/>
                <w:szCs w:val="16"/>
                <w:color w:val="auto"/>
                <w:w w:val="99"/>
              </w:rPr>
              <w:t>—</w:t>
            </w:r>
          </w:p>
        </w:tc>
        <w:tc>
          <w:tcPr>
            <w:tcW w:w="120" w:type="dxa"/>
            <w:vAlign w:val="bottom"/>
            <w:shd w:val="clear" w:color="auto" w:fill="E6EDF3"/>
          </w:tcPr>
          <w:p>
            <w:pPr>
              <w:spacing w:after="0"/>
              <w:rPr>
                <w:sz w:val="15"/>
                <w:szCs w:val="15"/>
                <w:color w:val="auto"/>
              </w:rPr>
            </w:pPr>
          </w:p>
        </w:tc>
        <w:tc>
          <w:tcPr>
            <w:tcW w:w="860" w:type="dxa"/>
            <w:vAlign w:val="bottom"/>
            <w:shd w:val="clear" w:color="auto" w:fill="E6EDF3"/>
          </w:tcPr>
          <w:p>
            <w:pPr>
              <w:ind w:left="340"/>
              <w:spacing w:after="0" w:line="183" w:lineRule="exact"/>
              <w:rPr>
                <w:sz w:val="20"/>
                <w:szCs w:val="20"/>
                <w:color w:val="auto"/>
              </w:rPr>
            </w:pPr>
            <w:r>
              <w:rPr>
                <w:rFonts w:ascii="Arial" w:cs="Arial" w:eastAsia="Arial" w:hAnsi="Arial"/>
                <w:sz w:val="16"/>
                <w:szCs w:val="16"/>
                <w:color w:val="auto"/>
              </w:rPr>
              <w:t>—</w:t>
            </w:r>
          </w:p>
        </w:tc>
      </w:tr>
      <w:tr>
        <w:trPr>
          <w:trHeight w:val="189"/>
        </w:trPr>
        <w:tc>
          <w:tcPr>
            <w:tcW w:w="4920" w:type="dxa"/>
            <w:vAlign w:val="bottom"/>
          </w:tcPr>
          <w:p>
            <w:pPr>
              <w:ind w:left="80"/>
              <w:spacing w:after="0"/>
              <w:rPr>
                <w:sz w:val="20"/>
                <w:szCs w:val="20"/>
                <w:color w:val="auto"/>
              </w:rPr>
            </w:pPr>
            <w:r>
              <w:rPr>
                <w:rFonts w:ascii="Arial" w:cs="Arial" w:eastAsia="Arial" w:hAnsi="Arial"/>
                <w:sz w:val="16"/>
                <w:szCs w:val="16"/>
                <w:color w:val="auto"/>
              </w:rPr>
              <w:t>Prorated Incentive(4)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800,000</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800,000</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910,240</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800,000</w:t>
            </w:r>
          </w:p>
        </w:tc>
        <w:tc>
          <w:tcPr>
            <w:tcW w:w="2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6"/>
                <w:szCs w:val="16"/>
                <w:color w:val="auto"/>
              </w:rPr>
            </w:pPr>
          </w:p>
        </w:tc>
        <w:tc>
          <w:tcPr>
            <w:tcW w:w="86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189"/>
        </w:trPr>
        <w:tc>
          <w:tcPr>
            <w:tcW w:w="4920" w:type="dxa"/>
            <w:vAlign w:val="bottom"/>
            <w:shd w:val="clear" w:color="auto" w:fill="E6EDF3"/>
          </w:tcPr>
          <w:p>
            <w:pPr>
              <w:ind w:left="80"/>
              <w:spacing w:after="0"/>
              <w:rPr>
                <w:sz w:val="20"/>
                <w:szCs w:val="20"/>
                <w:color w:val="auto"/>
              </w:rPr>
            </w:pPr>
            <w:r>
              <w:rPr>
                <w:rFonts w:ascii="Arial" w:cs="Arial" w:eastAsia="Arial" w:hAnsi="Arial"/>
                <w:sz w:val="16"/>
                <w:szCs w:val="16"/>
                <w:color w:val="auto"/>
              </w:rPr>
              <w:t>Options(5)</w:t>
            </w:r>
          </w:p>
        </w:tc>
        <w:tc>
          <w:tcPr>
            <w:tcW w:w="108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1,141,769</w:t>
            </w:r>
          </w:p>
        </w:tc>
        <w:tc>
          <w:tcPr>
            <w:tcW w:w="280" w:type="dxa"/>
            <w:vAlign w:val="bottom"/>
            <w:shd w:val="clear" w:color="auto" w:fill="E6EDF3"/>
          </w:tcPr>
          <w:p>
            <w:pPr>
              <w:spacing w:after="0"/>
              <w:rPr>
                <w:sz w:val="16"/>
                <w:szCs w:val="16"/>
                <w:color w:val="auto"/>
              </w:rPr>
            </w:pPr>
          </w:p>
        </w:tc>
        <w:tc>
          <w:tcPr>
            <w:tcW w:w="1140" w:type="dxa"/>
            <w:vAlign w:val="bottom"/>
            <w:gridSpan w:val="2"/>
            <w:shd w:val="clear" w:color="auto" w:fill="E6EDF3"/>
          </w:tcPr>
          <w:p>
            <w:pPr>
              <w:jc w:val="right"/>
              <w:ind w:right="260"/>
              <w:spacing w:after="0"/>
              <w:rPr>
                <w:sz w:val="20"/>
                <w:szCs w:val="20"/>
                <w:color w:val="auto"/>
              </w:rPr>
            </w:pPr>
            <w:r>
              <w:rPr>
                <w:rFonts w:ascii="Arial" w:cs="Arial" w:eastAsia="Arial" w:hAnsi="Arial"/>
                <w:sz w:val="16"/>
                <w:szCs w:val="16"/>
                <w:color w:val="auto"/>
              </w:rPr>
              <w:t>1,141,769</w:t>
            </w:r>
          </w:p>
        </w:tc>
        <w:tc>
          <w:tcPr>
            <w:tcW w:w="1140" w:type="dxa"/>
            <w:vAlign w:val="bottom"/>
            <w:gridSpan w:val="2"/>
            <w:shd w:val="clear" w:color="auto" w:fill="E6EDF3"/>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E6EDF3"/>
          </w:tcPr>
          <w:p>
            <w:pPr>
              <w:jc w:val="right"/>
              <w:ind w:right="280"/>
              <w:spacing w:after="0"/>
              <w:rPr>
                <w:sz w:val="20"/>
                <w:szCs w:val="20"/>
                <w:color w:val="auto"/>
              </w:rPr>
            </w:pPr>
            <w:r>
              <w:rPr>
                <w:rFonts w:ascii="Arial" w:cs="Arial" w:eastAsia="Arial" w:hAnsi="Arial"/>
                <w:sz w:val="16"/>
                <w:szCs w:val="16"/>
                <w:color w:val="auto"/>
              </w:rPr>
              <w:t>1,141,769</w:t>
            </w:r>
          </w:p>
        </w:tc>
        <w:tc>
          <w:tcPr>
            <w:tcW w:w="72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E6EDF3"/>
          </w:tcPr>
          <w:p>
            <w:pPr>
              <w:spacing w:after="0"/>
              <w:rPr>
                <w:sz w:val="16"/>
                <w:szCs w:val="16"/>
                <w:color w:val="auto"/>
              </w:rPr>
            </w:pPr>
          </w:p>
        </w:tc>
        <w:tc>
          <w:tcPr>
            <w:tcW w:w="860" w:type="dxa"/>
            <w:vAlign w:val="bottom"/>
            <w:shd w:val="clear" w:color="auto" w:fill="E6EDF3"/>
          </w:tcPr>
          <w:p>
            <w:pPr>
              <w:ind w:left="340"/>
              <w:spacing w:after="0"/>
              <w:rPr>
                <w:sz w:val="20"/>
                <w:szCs w:val="20"/>
                <w:color w:val="auto"/>
              </w:rPr>
            </w:pPr>
            <w:r>
              <w:rPr>
                <w:rFonts w:ascii="Arial" w:cs="Arial" w:eastAsia="Arial" w:hAnsi="Arial"/>
                <w:sz w:val="16"/>
                <w:szCs w:val="16"/>
                <w:color w:val="auto"/>
              </w:rPr>
              <w:t>—</w:t>
            </w:r>
          </w:p>
        </w:tc>
      </w:tr>
      <w:tr>
        <w:trPr>
          <w:trHeight w:val="189"/>
        </w:trPr>
        <w:tc>
          <w:tcPr>
            <w:tcW w:w="4920" w:type="dxa"/>
            <w:vAlign w:val="bottom"/>
          </w:tcPr>
          <w:p>
            <w:pPr>
              <w:ind w:left="80"/>
              <w:spacing w:after="0"/>
              <w:rPr>
                <w:sz w:val="20"/>
                <w:szCs w:val="20"/>
                <w:color w:val="auto"/>
              </w:rPr>
            </w:pPr>
            <w:r>
              <w:rPr>
                <w:rFonts w:ascii="Arial" w:cs="Arial" w:eastAsia="Arial" w:hAnsi="Arial"/>
                <w:sz w:val="16"/>
                <w:szCs w:val="16"/>
                <w:color w:val="auto"/>
              </w:rPr>
              <w:t>Performance Share Units(6)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7,222,909</w:t>
            </w:r>
          </w:p>
        </w:tc>
        <w:tc>
          <w:tcPr>
            <w:tcW w:w="28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7,222,909</w:t>
            </w: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9,311,510</w:t>
            </w: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6"/>
                <w:szCs w:val="16"/>
                <w:color w:val="auto"/>
              </w:rPr>
            </w:pPr>
          </w:p>
        </w:tc>
        <w:tc>
          <w:tcPr>
            <w:tcW w:w="86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189"/>
        </w:trPr>
        <w:tc>
          <w:tcPr>
            <w:tcW w:w="4920" w:type="dxa"/>
            <w:vAlign w:val="bottom"/>
            <w:shd w:val="clear" w:color="auto" w:fill="E6EDF3"/>
          </w:tcPr>
          <w:p>
            <w:pPr>
              <w:ind w:left="80"/>
              <w:spacing w:after="0"/>
              <w:rPr>
                <w:sz w:val="20"/>
                <w:szCs w:val="20"/>
                <w:color w:val="auto"/>
              </w:rPr>
            </w:pPr>
            <w:r>
              <w:rPr>
                <w:rFonts w:ascii="Arial" w:cs="Arial" w:eastAsia="Arial" w:hAnsi="Arial"/>
                <w:sz w:val="16"/>
                <w:szCs w:val="16"/>
                <w:color w:val="auto"/>
              </w:rPr>
              <w:t>Restricted Stock Units/Career Shares(7)</w:t>
            </w:r>
          </w:p>
        </w:tc>
        <w:tc>
          <w:tcPr>
            <w:tcW w:w="108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2,523,819</w:t>
            </w:r>
          </w:p>
        </w:tc>
        <w:tc>
          <w:tcPr>
            <w:tcW w:w="280" w:type="dxa"/>
            <w:vAlign w:val="bottom"/>
            <w:shd w:val="clear" w:color="auto" w:fill="E6EDF3"/>
          </w:tcPr>
          <w:p>
            <w:pPr>
              <w:spacing w:after="0"/>
              <w:rPr>
                <w:sz w:val="16"/>
                <w:szCs w:val="16"/>
                <w:color w:val="auto"/>
              </w:rPr>
            </w:pPr>
          </w:p>
        </w:tc>
        <w:tc>
          <w:tcPr>
            <w:tcW w:w="1140" w:type="dxa"/>
            <w:vAlign w:val="bottom"/>
            <w:gridSpan w:val="2"/>
            <w:shd w:val="clear" w:color="auto" w:fill="E6EDF3"/>
          </w:tcPr>
          <w:p>
            <w:pPr>
              <w:jc w:val="right"/>
              <w:ind w:right="260"/>
              <w:spacing w:after="0"/>
              <w:rPr>
                <w:sz w:val="20"/>
                <w:szCs w:val="20"/>
                <w:color w:val="auto"/>
              </w:rPr>
            </w:pPr>
            <w:r>
              <w:rPr>
                <w:rFonts w:ascii="Arial" w:cs="Arial" w:eastAsia="Arial" w:hAnsi="Arial"/>
                <w:sz w:val="16"/>
                <w:szCs w:val="16"/>
                <w:color w:val="auto"/>
              </w:rPr>
              <w:t>2,523,819</w:t>
            </w:r>
          </w:p>
        </w:tc>
        <w:tc>
          <w:tcPr>
            <w:tcW w:w="1140" w:type="dxa"/>
            <w:vAlign w:val="bottom"/>
            <w:gridSpan w:val="2"/>
            <w:shd w:val="clear" w:color="auto" w:fill="E6EDF3"/>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E6EDF3"/>
          </w:tcPr>
          <w:p>
            <w:pPr>
              <w:jc w:val="right"/>
              <w:ind w:right="280"/>
              <w:spacing w:after="0"/>
              <w:rPr>
                <w:sz w:val="20"/>
                <w:szCs w:val="20"/>
                <w:color w:val="auto"/>
              </w:rPr>
            </w:pPr>
            <w:r>
              <w:rPr>
                <w:rFonts w:ascii="Arial" w:cs="Arial" w:eastAsia="Arial" w:hAnsi="Arial"/>
                <w:sz w:val="16"/>
                <w:szCs w:val="16"/>
                <w:color w:val="auto"/>
              </w:rPr>
              <w:t>2,523,819</w:t>
            </w:r>
          </w:p>
        </w:tc>
        <w:tc>
          <w:tcPr>
            <w:tcW w:w="72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E6EDF3"/>
          </w:tcPr>
          <w:p>
            <w:pPr>
              <w:spacing w:after="0"/>
              <w:rPr>
                <w:sz w:val="16"/>
                <w:szCs w:val="16"/>
                <w:color w:val="auto"/>
              </w:rPr>
            </w:pPr>
          </w:p>
        </w:tc>
        <w:tc>
          <w:tcPr>
            <w:tcW w:w="860" w:type="dxa"/>
            <w:vAlign w:val="bottom"/>
            <w:shd w:val="clear" w:color="auto" w:fill="E6EDF3"/>
          </w:tcPr>
          <w:p>
            <w:pPr>
              <w:ind w:left="340"/>
              <w:spacing w:after="0"/>
              <w:rPr>
                <w:sz w:val="20"/>
                <w:szCs w:val="20"/>
                <w:color w:val="auto"/>
              </w:rPr>
            </w:pPr>
            <w:r>
              <w:rPr>
                <w:rFonts w:ascii="Arial" w:cs="Arial" w:eastAsia="Arial" w:hAnsi="Arial"/>
                <w:sz w:val="16"/>
                <w:szCs w:val="16"/>
                <w:color w:val="auto"/>
              </w:rPr>
              <w:t>—</w:t>
            </w:r>
          </w:p>
        </w:tc>
      </w:tr>
      <w:tr>
        <w:trPr>
          <w:trHeight w:val="189"/>
        </w:trPr>
        <w:tc>
          <w:tcPr>
            <w:tcW w:w="4920" w:type="dxa"/>
            <w:vAlign w:val="bottom"/>
          </w:tcPr>
          <w:p>
            <w:pPr>
              <w:ind w:left="80"/>
              <w:spacing w:after="0"/>
              <w:rPr>
                <w:sz w:val="20"/>
                <w:szCs w:val="20"/>
                <w:color w:val="auto"/>
              </w:rPr>
            </w:pPr>
            <w:r>
              <w:rPr>
                <w:rFonts w:ascii="Arial" w:cs="Arial" w:eastAsia="Arial" w:hAnsi="Arial"/>
                <w:sz w:val="16"/>
                <w:szCs w:val="16"/>
                <w:color w:val="auto"/>
              </w:rPr>
              <w:t>Health Benefits</w:t>
            </w:r>
          </w:p>
        </w:tc>
        <w:tc>
          <w:tcPr>
            <w:tcW w:w="200" w:type="dxa"/>
            <w:vAlign w:val="bottom"/>
          </w:tcPr>
          <w:p>
            <w:pPr>
              <w:spacing w:after="0"/>
              <w:rPr>
                <w:sz w:val="16"/>
                <w:szCs w:val="16"/>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27,531</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41,632</w:t>
            </w:r>
          </w:p>
        </w:tc>
        <w:tc>
          <w:tcPr>
            <w:tcW w:w="2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6"/>
                <w:szCs w:val="16"/>
                <w:color w:val="auto"/>
              </w:rPr>
            </w:pPr>
          </w:p>
        </w:tc>
        <w:tc>
          <w:tcPr>
            <w:tcW w:w="86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189"/>
        </w:trPr>
        <w:tc>
          <w:tcPr>
            <w:tcW w:w="4920" w:type="dxa"/>
            <w:vAlign w:val="bottom"/>
            <w:shd w:val="clear" w:color="auto" w:fill="E6EDF3"/>
          </w:tcPr>
          <w:p>
            <w:pPr>
              <w:ind w:left="80"/>
              <w:spacing w:after="0"/>
              <w:rPr>
                <w:sz w:val="20"/>
                <w:szCs w:val="20"/>
                <w:color w:val="auto"/>
              </w:rPr>
            </w:pPr>
            <w:r>
              <w:rPr>
                <w:rFonts w:ascii="Arial" w:cs="Arial" w:eastAsia="Arial" w:hAnsi="Arial"/>
                <w:sz w:val="16"/>
                <w:szCs w:val="16"/>
                <w:color w:val="auto"/>
              </w:rPr>
              <w:t>Outplacement</w:t>
            </w:r>
          </w:p>
        </w:tc>
        <w:tc>
          <w:tcPr>
            <w:tcW w:w="200" w:type="dxa"/>
            <w:vAlign w:val="bottom"/>
            <w:shd w:val="clear" w:color="auto" w:fill="E6EDF3"/>
          </w:tcPr>
          <w:p>
            <w:pPr>
              <w:spacing w:after="0"/>
              <w:rPr>
                <w:sz w:val="16"/>
                <w:szCs w:val="16"/>
                <w:color w:val="auto"/>
              </w:rPr>
            </w:pPr>
          </w:p>
        </w:tc>
        <w:tc>
          <w:tcPr>
            <w:tcW w:w="1160" w:type="dxa"/>
            <w:vAlign w:val="bottom"/>
            <w:gridSpan w:val="2"/>
            <w:shd w:val="clear" w:color="auto" w:fill="E6EDF3"/>
          </w:tcPr>
          <w:p>
            <w:pPr>
              <w:jc w:val="right"/>
              <w:ind w:right="2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E6EDF3"/>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shd w:val="clear" w:color="auto" w:fill="E6EDF3"/>
          </w:tcPr>
          <w:p>
            <w:pPr>
              <w:jc w:val="right"/>
              <w:spacing w:after="0"/>
              <w:rPr>
                <w:sz w:val="20"/>
                <w:szCs w:val="20"/>
                <w:color w:val="auto"/>
              </w:rPr>
            </w:pPr>
            <w:r>
              <w:rPr>
                <w:rFonts w:ascii="Arial" w:cs="Arial" w:eastAsia="Arial" w:hAnsi="Arial"/>
                <w:sz w:val="16"/>
                <w:szCs w:val="16"/>
                <w:color w:val="auto"/>
              </w:rPr>
              <w:t>25,000</w:t>
            </w:r>
          </w:p>
        </w:tc>
        <w:tc>
          <w:tcPr>
            <w:tcW w:w="280" w:type="dxa"/>
            <w:vAlign w:val="bottom"/>
            <w:shd w:val="clear" w:color="auto" w:fill="E6EDF3"/>
          </w:tcPr>
          <w:p>
            <w:pPr>
              <w:spacing w:after="0"/>
              <w:rPr>
                <w:sz w:val="16"/>
                <w:szCs w:val="16"/>
                <w:color w:val="auto"/>
              </w:rPr>
            </w:pPr>
          </w:p>
        </w:tc>
        <w:tc>
          <w:tcPr>
            <w:tcW w:w="880" w:type="dxa"/>
            <w:vAlign w:val="bottom"/>
            <w:shd w:val="clear" w:color="auto" w:fill="E6EDF3"/>
          </w:tcPr>
          <w:p>
            <w:pPr>
              <w:jc w:val="right"/>
              <w:spacing w:after="0"/>
              <w:rPr>
                <w:sz w:val="20"/>
                <w:szCs w:val="20"/>
                <w:color w:val="auto"/>
              </w:rPr>
            </w:pPr>
            <w:r>
              <w:rPr>
                <w:rFonts w:ascii="Arial" w:cs="Arial" w:eastAsia="Arial" w:hAnsi="Arial"/>
                <w:sz w:val="16"/>
                <w:szCs w:val="16"/>
                <w:color w:val="auto"/>
              </w:rPr>
              <w:t>25,000</w:t>
            </w:r>
          </w:p>
        </w:tc>
        <w:tc>
          <w:tcPr>
            <w:tcW w:w="280" w:type="dxa"/>
            <w:vAlign w:val="bottom"/>
            <w:shd w:val="clear" w:color="auto" w:fill="E6EDF3"/>
          </w:tcPr>
          <w:p>
            <w:pPr>
              <w:spacing w:after="0"/>
              <w:rPr>
                <w:sz w:val="16"/>
                <w:szCs w:val="16"/>
                <w:color w:val="auto"/>
              </w:rPr>
            </w:pPr>
          </w:p>
        </w:tc>
        <w:tc>
          <w:tcPr>
            <w:tcW w:w="72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E6EDF3"/>
          </w:tcPr>
          <w:p>
            <w:pPr>
              <w:spacing w:after="0"/>
              <w:rPr>
                <w:sz w:val="16"/>
                <w:szCs w:val="16"/>
                <w:color w:val="auto"/>
              </w:rPr>
            </w:pPr>
          </w:p>
        </w:tc>
        <w:tc>
          <w:tcPr>
            <w:tcW w:w="860" w:type="dxa"/>
            <w:vAlign w:val="bottom"/>
            <w:shd w:val="clear" w:color="auto" w:fill="E6EDF3"/>
          </w:tcPr>
          <w:p>
            <w:pPr>
              <w:ind w:left="340"/>
              <w:spacing w:after="0"/>
              <w:rPr>
                <w:sz w:val="20"/>
                <w:szCs w:val="20"/>
                <w:color w:val="auto"/>
              </w:rPr>
            </w:pPr>
            <w:r>
              <w:rPr>
                <w:rFonts w:ascii="Arial" w:cs="Arial" w:eastAsia="Arial" w:hAnsi="Arial"/>
                <w:sz w:val="16"/>
                <w:szCs w:val="16"/>
                <w:color w:val="auto"/>
              </w:rPr>
              <w:t>—</w:t>
            </w:r>
          </w:p>
        </w:tc>
      </w:tr>
      <w:tr>
        <w:trPr>
          <w:trHeight w:val="20"/>
        </w:trPr>
        <w:tc>
          <w:tcPr>
            <w:tcW w:w="4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r>
        <w:trPr>
          <w:trHeight w:val="196"/>
        </w:trPr>
        <w:tc>
          <w:tcPr>
            <w:tcW w:w="4920" w:type="dxa"/>
            <w:vAlign w:val="bottom"/>
          </w:tcPr>
          <w:p>
            <w:pPr>
              <w:ind w:left="80"/>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11,688,497</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11,688,497</w:t>
            </w:r>
          </w:p>
        </w:tc>
        <w:tc>
          <w:tcPr>
            <w:tcW w:w="26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2,562,771</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17,043,730</w:t>
            </w: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86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20"/>
        </w:trPr>
        <w:tc>
          <w:tcPr>
            <w:tcW w:w="4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340" w:right="220" w:hanging="332"/>
        <w:spacing w:after="0" w:line="258"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On July 28, 2016, ManpowerGroup entered into a severance agreement with Mr. Green that replaced his previous agreement, which was scheduled to expire on August 1, 2016. The term of Mr. Green’s severance agreement expires on July 28, 2019.</w:t>
      </w:r>
    </w:p>
    <w:p>
      <w:pPr>
        <w:spacing w:after="0" w:line="45" w:lineRule="exact"/>
        <w:rPr>
          <w:rFonts w:ascii="Arial" w:cs="Arial" w:eastAsia="Arial" w:hAnsi="Arial"/>
          <w:sz w:val="14"/>
          <w:szCs w:val="14"/>
          <w:color w:val="auto"/>
        </w:rPr>
      </w:pPr>
    </w:p>
    <w:p>
      <w:pPr>
        <w:ind w:left="340" w:right="380" w:hanging="332"/>
        <w:spacing w:after="0" w:line="258"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45" w:lineRule="exact"/>
        <w:rPr>
          <w:rFonts w:ascii="Arial" w:cs="Arial" w:eastAsia="Arial" w:hAnsi="Arial"/>
          <w:sz w:val="14"/>
          <w:szCs w:val="14"/>
          <w:color w:val="auto"/>
        </w:rPr>
      </w:pPr>
    </w:p>
    <w:p>
      <w:pPr>
        <w:ind w:left="340" w:right="20" w:hanging="332"/>
        <w:spacing w:after="0" w:line="250"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amount of the severance payment under Mr. Green’s severance agreement is equal to his annual base salary at the highest rate in effect during the term of the agreement (here, $800,000) and his target annual incentive for the fiscal year in which the termination occurs (here, $800,000). In a double-trigger scenario, the amount of his severance payment is multiplied by two.</w:t>
      </w:r>
    </w:p>
    <w:p>
      <w:pPr>
        <w:spacing w:after="0" w:line="50" w:lineRule="exact"/>
        <w:rPr>
          <w:rFonts w:ascii="Arial" w:cs="Arial" w:eastAsia="Arial" w:hAnsi="Arial"/>
          <w:sz w:val="14"/>
          <w:szCs w:val="14"/>
          <w:color w:val="auto"/>
        </w:rPr>
      </w:pPr>
    </w:p>
    <w:p>
      <w:pPr>
        <w:ind w:left="340" w:right="20" w:hanging="332"/>
        <w:spacing w:after="0" w:line="244"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 the case of his involuntary termination (other than for cause) or voluntary termination for good reason, the amount of the prorated incentive payable to him under his severance agreement is based on the actual incentive earned for 2016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2016, immediately before the incentive was earned, so as not to understate the potential value of the benefit upon the applicable termination of employment. Note that an incentive amount has also been reported as 2016 compensation for him in the Summary Compensation Table, as well as in the Grants of Plan-Based Awards Table.</w:t>
      </w:r>
    </w:p>
    <w:p>
      <w:pPr>
        <w:spacing w:after="0" w:line="57" w:lineRule="exact"/>
        <w:rPr>
          <w:rFonts w:ascii="Arial" w:cs="Arial" w:eastAsia="Arial" w:hAnsi="Arial"/>
          <w:sz w:val="14"/>
          <w:szCs w:val="14"/>
          <w:color w:val="auto"/>
        </w:rPr>
      </w:pPr>
    </w:p>
    <w:p>
      <w:pPr>
        <w:ind w:left="340" w:right="380" w:hanging="332"/>
        <w:spacing w:after="0" w:line="258"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31, 2016 ($88.87) and the exercise price of each unvested stock option held by Mr. Green on such date.</w:t>
      </w:r>
    </w:p>
    <w:p>
      <w:pPr>
        <w:spacing w:after="0" w:line="45" w:lineRule="exact"/>
        <w:rPr>
          <w:rFonts w:ascii="Arial" w:cs="Arial" w:eastAsia="Arial" w:hAnsi="Arial"/>
          <w:sz w:val="14"/>
          <w:szCs w:val="14"/>
          <w:color w:val="auto"/>
        </w:rPr>
      </w:pPr>
    </w:p>
    <w:p>
      <w:pPr>
        <w:ind w:left="340" w:right="60" w:hanging="332"/>
        <w:spacing w:after="0" w:line="244"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value of performance share units is illustrated here by measuring the value of the number of shares payable under outstanding awards (2014, 2015 and 2016 grants) using the closing stock price on December 31, 2016 ($88.87). In the case of a change of control, the payout is shown based on the number of shares earned based on actual performance for the 2014 award and assuming the Committee would determine the amount of shares earned relating to the 2015 and 2016 awards will equal the target award. In the case of a death or disability, the payout is shown based on the target awards for 2014, 2015 and 2016. Although the performance share units for the 2014 grant vested on December 31, 2016, the values shown in the table above were calculated to illustrate the value of vesting in the event of an applicable termination occurring on December 31, 2016, immediately before vesting, and includes the performance shares that vested on that date so as not to understate the potential value of an acceleration upon the applicable termination of employment.</w:t>
      </w:r>
    </w:p>
    <w:p>
      <w:pPr>
        <w:spacing w:after="0" w:line="56" w:lineRule="exact"/>
        <w:rPr>
          <w:rFonts w:ascii="Arial" w:cs="Arial" w:eastAsia="Arial" w:hAnsi="Arial"/>
          <w:sz w:val="14"/>
          <w:szCs w:val="14"/>
          <w:color w:val="auto"/>
        </w:rPr>
      </w:pPr>
    </w:p>
    <w:p>
      <w:pPr>
        <w:ind w:left="340" w:right="160" w:hanging="332"/>
        <w:spacing w:after="0" w:line="258"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value of any unvested restricted stock units and career shares is illustrated here by measuring the value of the number of shares payable under unvested awards using the closing stock price on December 31, 2016 ($88.87).</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72</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9600"/>
        <w:spacing w:after="0"/>
        <w:rPr>
          <w:sz w:val="20"/>
          <w:szCs w:val="20"/>
          <w:color w:val="auto"/>
        </w:rPr>
      </w:pPr>
      <w:r>
        <w:rPr>
          <w:rFonts w:ascii="Arial" w:cs="Arial" w:eastAsia="Arial" w:hAnsi="Arial"/>
          <w:sz w:val="18"/>
          <w:szCs w:val="18"/>
          <w:color w:val="FFFFFF"/>
        </w:rPr>
        <w:t>Compensation Tables</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Ram Chandrashekar, EVP, Operational Excellence and IT and President, Asia Pacific Middle East (1)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160" w:type="dxa"/>
            <w:vAlign w:val="bottom"/>
            <w:tcBorders>
              <w:top w:val="single" w:sz="8" w:color="auto"/>
            </w:tcBorders>
            <w:shd w:val="clear" w:color="auto" w:fill="9DB8D2"/>
          </w:tcPr>
          <w:p>
            <w:pPr>
              <w:spacing w:after="0"/>
              <w:rPr>
                <w:sz w:val="22"/>
                <w:szCs w:val="22"/>
                <w:color w:val="auto"/>
              </w:rPr>
            </w:pPr>
          </w:p>
        </w:tc>
        <w:tc>
          <w:tcPr>
            <w:tcW w:w="220" w:type="dxa"/>
            <w:vAlign w:val="bottom"/>
            <w:tcBorders>
              <w:top w:val="single" w:sz="8" w:color="auto"/>
            </w:tcBorders>
            <w:shd w:val="clear" w:color="auto" w:fill="9DB8D2"/>
          </w:tcPr>
          <w:p>
            <w:pPr>
              <w:spacing w:after="0"/>
              <w:rPr>
                <w:sz w:val="22"/>
                <w:szCs w:val="22"/>
                <w:color w:val="auto"/>
              </w:rPr>
            </w:pPr>
          </w:p>
        </w:tc>
        <w:tc>
          <w:tcPr>
            <w:tcW w:w="780" w:type="dxa"/>
            <w:vAlign w:val="bottom"/>
            <w:tcBorders>
              <w:top w:val="single" w:sz="8" w:color="auto"/>
            </w:tcBorders>
            <w:shd w:val="clear" w:color="auto" w:fill="9DB8D2"/>
          </w:tcPr>
          <w:p>
            <w:pPr>
              <w:spacing w:after="0"/>
              <w:rPr>
                <w:sz w:val="22"/>
                <w:szCs w:val="22"/>
                <w:color w:val="auto"/>
              </w:rPr>
            </w:pPr>
          </w:p>
        </w:tc>
        <w:tc>
          <w:tcPr>
            <w:tcW w:w="280" w:type="dxa"/>
            <w:vAlign w:val="bottom"/>
            <w:tcBorders>
              <w:top w:val="single" w:sz="8" w:color="auto"/>
            </w:tcBorders>
            <w:shd w:val="clear" w:color="auto" w:fill="9DB8D2"/>
          </w:tcPr>
          <w:p>
            <w:pPr>
              <w:spacing w:after="0"/>
              <w:rPr>
                <w:sz w:val="22"/>
                <w:szCs w:val="22"/>
                <w:color w:val="auto"/>
              </w:rPr>
            </w:pPr>
          </w:p>
        </w:tc>
        <w:tc>
          <w:tcPr>
            <w:tcW w:w="820" w:type="dxa"/>
            <w:vAlign w:val="bottom"/>
            <w:tcBorders>
              <w:top w:val="single" w:sz="8" w:color="auto"/>
            </w:tcBorders>
            <w:shd w:val="clear" w:color="auto" w:fill="9DB8D2"/>
          </w:tcPr>
          <w:p>
            <w:pPr>
              <w:spacing w:after="0"/>
              <w:rPr>
                <w:sz w:val="22"/>
                <w:szCs w:val="22"/>
                <w:color w:val="auto"/>
              </w:rPr>
            </w:pPr>
          </w:p>
        </w:tc>
        <w:tc>
          <w:tcPr>
            <w:tcW w:w="280" w:type="dxa"/>
            <w:vAlign w:val="bottom"/>
            <w:tcBorders>
              <w:top w:val="single" w:sz="8" w:color="auto"/>
            </w:tcBorders>
            <w:shd w:val="clear" w:color="auto" w:fill="9DB8D2"/>
          </w:tcPr>
          <w:p>
            <w:pPr>
              <w:spacing w:after="0"/>
              <w:rPr>
                <w:sz w:val="22"/>
                <w:szCs w:val="22"/>
                <w:color w:val="auto"/>
              </w:rPr>
            </w:pPr>
          </w:p>
        </w:tc>
        <w:tc>
          <w:tcPr>
            <w:tcW w:w="82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Involuntary</w:t>
            </w:r>
          </w:p>
        </w:tc>
        <w:tc>
          <w:tcPr>
            <w:tcW w:w="26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spacing w:after="0"/>
              <w:rPr>
                <w:sz w:val="22"/>
                <w:szCs w:val="22"/>
                <w:color w:val="auto"/>
              </w:rPr>
            </w:pPr>
          </w:p>
        </w:tc>
        <w:tc>
          <w:tcPr>
            <w:tcW w:w="280" w:type="dxa"/>
            <w:vAlign w:val="bottom"/>
            <w:tcBorders>
              <w:top w:val="single" w:sz="8" w:color="auto"/>
            </w:tcBorders>
            <w:shd w:val="clear" w:color="auto" w:fill="9DB8D2"/>
          </w:tcPr>
          <w:p>
            <w:pPr>
              <w:spacing w:after="0"/>
              <w:rPr>
                <w:sz w:val="22"/>
                <w:szCs w:val="22"/>
                <w:color w:val="auto"/>
              </w:rPr>
            </w:pPr>
          </w:p>
        </w:tc>
        <w:tc>
          <w:tcPr>
            <w:tcW w:w="720" w:type="dxa"/>
            <w:vAlign w:val="bottom"/>
            <w:tcBorders>
              <w:top w:val="single" w:sz="8" w:color="auto"/>
            </w:tcBorders>
            <w:shd w:val="clear" w:color="auto" w:fill="9DB8D2"/>
          </w:tcPr>
          <w:p>
            <w:pPr>
              <w:spacing w:after="0"/>
              <w:rPr>
                <w:sz w:val="22"/>
                <w:szCs w:val="22"/>
                <w:color w:val="auto"/>
              </w:rPr>
            </w:pPr>
          </w:p>
        </w:tc>
        <w:tc>
          <w:tcPr>
            <w:tcW w:w="100" w:type="dxa"/>
            <w:vAlign w:val="bottom"/>
            <w:tcBorders>
              <w:top w:val="single" w:sz="8" w:color="auto"/>
            </w:tcBorders>
            <w:shd w:val="clear" w:color="auto" w:fill="9DB8D2"/>
          </w:tcPr>
          <w:p>
            <w:pPr>
              <w:spacing w:after="0"/>
              <w:rPr>
                <w:sz w:val="22"/>
                <w:szCs w:val="22"/>
                <w:color w:val="auto"/>
              </w:rPr>
            </w:pPr>
          </w:p>
        </w:tc>
        <w:tc>
          <w:tcPr>
            <w:tcW w:w="840" w:type="dxa"/>
            <w:vAlign w:val="bottom"/>
            <w:tcBorders>
              <w:top w:val="single" w:sz="8" w:color="auto"/>
            </w:tcBorders>
            <w:shd w:val="clear" w:color="auto" w:fill="9DB8D2"/>
          </w:tcPr>
          <w:p>
            <w:pPr>
              <w:spacing w:after="0"/>
              <w:rPr>
                <w:sz w:val="22"/>
                <w:szCs w:val="22"/>
                <w:color w:val="auto"/>
              </w:rPr>
            </w:pPr>
          </w:p>
        </w:tc>
      </w:tr>
      <w:tr>
        <w:trPr>
          <w:trHeight w:val="162"/>
        </w:trPr>
        <w:tc>
          <w:tcPr>
            <w:tcW w:w="516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260" w:type="dxa"/>
            <w:vAlign w:val="bottom"/>
            <w:shd w:val="clear" w:color="auto" w:fill="9DB8D2"/>
          </w:tcPr>
          <w:p>
            <w:pPr>
              <w:spacing w:after="0"/>
              <w:rPr>
                <w:sz w:val="14"/>
                <w:szCs w:val="14"/>
                <w:color w:val="auto"/>
              </w:rPr>
            </w:pPr>
          </w:p>
        </w:tc>
        <w:tc>
          <w:tcPr>
            <w:tcW w:w="1140" w:type="dxa"/>
            <w:vAlign w:val="bottom"/>
            <w:gridSpan w:val="2"/>
            <w:shd w:val="clear" w:color="auto" w:fill="9DB8D2"/>
          </w:tcPr>
          <w:p>
            <w:pPr>
              <w:jc w:val="center"/>
              <w:ind w:right="260"/>
              <w:spacing w:after="0"/>
              <w:rPr>
                <w:sz w:val="20"/>
                <w:szCs w:val="20"/>
                <w:color w:val="auto"/>
              </w:rPr>
            </w:pPr>
            <w:r>
              <w:rPr>
                <w:rFonts w:ascii="Arial" w:cs="Arial" w:eastAsia="Arial" w:hAnsi="Arial"/>
                <w:sz w:val="14"/>
                <w:szCs w:val="14"/>
                <w:b w:val="1"/>
                <w:bCs w:val="1"/>
                <w:color w:val="auto"/>
              </w:rPr>
              <w:t>Double</w:t>
            </w:r>
          </w:p>
        </w:tc>
        <w:tc>
          <w:tcPr>
            <w:tcW w:w="720" w:type="dxa"/>
            <w:vAlign w:val="bottom"/>
            <w:shd w:val="clear" w:color="auto" w:fill="9DB8D2"/>
          </w:tcPr>
          <w:p>
            <w:pPr>
              <w:spacing w:after="0"/>
              <w:rPr>
                <w:sz w:val="14"/>
                <w:szCs w:val="14"/>
                <w:color w:val="auto"/>
              </w:rPr>
            </w:pPr>
          </w:p>
        </w:tc>
        <w:tc>
          <w:tcPr>
            <w:tcW w:w="100" w:type="dxa"/>
            <w:vAlign w:val="bottom"/>
            <w:shd w:val="clear" w:color="auto" w:fill="9DB8D2"/>
          </w:tcPr>
          <w:p>
            <w:pPr>
              <w:spacing w:after="0"/>
              <w:rPr>
                <w:sz w:val="14"/>
                <w:szCs w:val="14"/>
                <w:color w:val="auto"/>
              </w:rPr>
            </w:pPr>
          </w:p>
        </w:tc>
        <w:tc>
          <w:tcPr>
            <w:tcW w:w="840" w:type="dxa"/>
            <w:vAlign w:val="bottom"/>
            <w:shd w:val="clear" w:color="auto" w:fill="9DB8D2"/>
          </w:tcPr>
          <w:p>
            <w:pPr>
              <w:spacing w:after="0"/>
              <w:rPr>
                <w:sz w:val="14"/>
                <w:szCs w:val="14"/>
                <w:color w:val="auto"/>
              </w:rPr>
            </w:pPr>
          </w:p>
        </w:tc>
      </w:tr>
      <w:tr>
        <w:trPr>
          <w:trHeight w:val="162"/>
        </w:trPr>
        <w:tc>
          <w:tcPr>
            <w:tcW w:w="516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or Good</w:t>
            </w:r>
          </w:p>
        </w:tc>
        <w:tc>
          <w:tcPr>
            <w:tcW w:w="260" w:type="dxa"/>
            <w:vAlign w:val="bottom"/>
            <w:shd w:val="clear" w:color="auto" w:fill="9DB8D2"/>
          </w:tcPr>
          <w:p>
            <w:pPr>
              <w:spacing w:after="0"/>
              <w:rPr>
                <w:sz w:val="14"/>
                <w:szCs w:val="14"/>
                <w:color w:val="auto"/>
              </w:rPr>
            </w:pPr>
          </w:p>
        </w:tc>
        <w:tc>
          <w:tcPr>
            <w:tcW w:w="1140" w:type="dxa"/>
            <w:vAlign w:val="bottom"/>
            <w:gridSpan w:val="2"/>
            <w:shd w:val="clear" w:color="auto" w:fill="9DB8D2"/>
          </w:tcPr>
          <w:p>
            <w:pPr>
              <w:jc w:val="center"/>
              <w:ind w:right="260"/>
              <w:spacing w:after="0"/>
              <w:rPr>
                <w:sz w:val="20"/>
                <w:szCs w:val="20"/>
                <w:color w:val="auto"/>
              </w:rPr>
            </w:pPr>
            <w:r>
              <w:rPr>
                <w:rFonts w:ascii="Arial" w:cs="Arial" w:eastAsia="Arial" w:hAnsi="Arial"/>
                <w:sz w:val="14"/>
                <w:szCs w:val="14"/>
                <w:b w:val="1"/>
                <w:bCs w:val="1"/>
                <w:color w:val="auto"/>
                <w:w w:val="99"/>
              </w:rPr>
              <w:t>Trigger</w:t>
            </w:r>
          </w:p>
        </w:tc>
        <w:tc>
          <w:tcPr>
            <w:tcW w:w="720" w:type="dxa"/>
            <w:vAlign w:val="bottom"/>
            <w:shd w:val="clear" w:color="auto" w:fill="9DB8D2"/>
          </w:tcPr>
          <w:p>
            <w:pPr>
              <w:spacing w:after="0"/>
              <w:rPr>
                <w:sz w:val="14"/>
                <w:szCs w:val="14"/>
                <w:color w:val="auto"/>
              </w:rPr>
            </w:pPr>
          </w:p>
        </w:tc>
        <w:tc>
          <w:tcPr>
            <w:tcW w:w="100" w:type="dxa"/>
            <w:vAlign w:val="bottom"/>
            <w:shd w:val="clear" w:color="auto" w:fill="9DB8D2"/>
          </w:tcPr>
          <w:p>
            <w:pPr>
              <w:spacing w:after="0"/>
              <w:rPr>
                <w:sz w:val="14"/>
                <w:szCs w:val="14"/>
                <w:color w:val="auto"/>
              </w:rPr>
            </w:pPr>
          </w:p>
        </w:tc>
        <w:tc>
          <w:tcPr>
            <w:tcW w:w="840" w:type="dxa"/>
            <w:vAlign w:val="bottom"/>
            <w:shd w:val="clear" w:color="auto" w:fill="9DB8D2"/>
          </w:tcPr>
          <w:p>
            <w:pPr>
              <w:spacing w:after="0"/>
              <w:rPr>
                <w:sz w:val="14"/>
                <w:szCs w:val="14"/>
                <w:color w:val="auto"/>
              </w:rPr>
            </w:pPr>
          </w:p>
        </w:tc>
      </w:tr>
      <w:tr>
        <w:trPr>
          <w:trHeight w:val="162"/>
        </w:trPr>
        <w:tc>
          <w:tcPr>
            <w:tcW w:w="516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Reason –</w:t>
            </w:r>
          </w:p>
        </w:tc>
        <w:tc>
          <w:tcPr>
            <w:tcW w:w="260" w:type="dxa"/>
            <w:vAlign w:val="bottom"/>
            <w:shd w:val="clear" w:color="auto" w:fill="9DB8D2"/>
          </w:tcPr>
          <w:p>
            <w:pPr>
              <w:spacing w:after="0"/>
              <w:rPr>
                <w:sz w:val="14"/>
                <w:szCs w:val="14"/>
                <w:color w:val="auto"/>
              </w:rPr>
            </w:pPr>
          </w:p>
        </w:tc>
        <w:tc>
          <w:tcPr>
            <w:tcW w:w="1140" w:type="dxa"/>
            <w:vAlign w:val="bottom"/>
            <w:gridSpan w:val="2"/>
            <w:shd w:val="clear" w:color="auto" w:fill="9DB8D2"/>
          </w:tcPr>
          <w:p>
            <w:pPr>
              <w:jc w:val="center"/>
              <w:ind w:right="260"/>
              <w:spacing w:after="0"/>
              <w:rPr>
                <w:sz w:val="20"/>
                <w:szCs w:val="20"/>
                <w:color w:val="auto"/>
              </w:rPr>
            </w:pPr>
            <w:r>
              <w:rPr>
                <w:rFonts w:ascii="Arial" w:cs="Arial" w:eastAsia="Arial" w:hAnsi="Arial"/>
                <w:sz w:val="14"/>
                <w:szCs w:val="14"/>
                <w:b w:val="1"/>
                <w:bCs w:val="1"/>
                <w:color w:val="auto"/>
              </w:rPr>
              <w:t>(COC+</w:t>
            </w:r>
          </w:p>
        </w:tc>
        <w:tc>
          <w:tcPr>
            <w:tcW w:w="720" w:type="dxa"/>
            <w:vAlign w:val="bottom"/>
            <w:shd w:val="clear" w:color="auto" w:fill="9DB8D2"/>
          </w:tcPr>
          <w:p>
            <w:pPr>
              <w:spacing w:after="0"/>
              <w:rPr>
                <w:sz w:val="14"/>
                <w:szCs w:val="14"/>
                <w:color w:val="auto"/>
              </w:rPr>
            </w:pPr>
          </w:p>
        </w:tc>
        <w:tc>
          <w:tcPr>
            <w:tcW w:w="100" w:type="dxa"/>
            <w:vAlign w:val="bottom"/>
            <w:shd w:val="clear" w:color="auto" w:fill="9DB8D2"/>
          </w:tcPr>
          <w:p>
            <w:pPr>
              <w:spacing w:after="0"/>
              <w:rPr>
                <w:sz w:val="14"/>
                <w:szCs w:val="14"/>
                <w:color w:val="auto"/>
              </w:rPr>
            </w:pPr>
          </w:p>
        </w:tc>
        <w:tc>
          <w:tcPr>
            <w:tcW w:w="840" w:type="dxa"/>
            <w:vAlign w:val="bottom"/>
            <w:shd w:val="clear" w:color="auto" w:fill="9DB8D2"/>
          </w:tcPr>
          <w:p>
            <w:pPr>
              <w:spacing w:after="0"/>
              <w:rPr>
                <w:sz w:val="14"/>
                <w:szCs w:val="14"/>
                <w:color w:val="auto"/>
              </w:rPr>
            </w:pPr>
          </w:p>
        </w:tc>
      </w:tr>
      <w:tr>
        <w:trPr>
          <w:trHeight w:val="162"/>
        </w:trPr>
        <w:tc>
          <w:tcPr>
            <w:tcW w:w="516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2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8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no</w:t>
            </w:r>
          </w:p>
        </w:tc>
        <w:tc>
          <w:tcPr>
            <w:tcW w:w="260" w:type="dxa"/>
            <w:vAlign w:val="bottom"/>
            <w:shd w:val="clear" w:color="auto" w:fill="9DB8D2"/>
          </w:tcPr>
          <w:p>
            <w:pPr>
              <w:spacing w:after="0"/>
              <w:rPr>
                <w:sz w:val="14"/>
                <w:szCs w:val="14"/>
                <w:color w:val="auto"/>
              </w:rPr>
            </w:pPr>
          </w:p>
        </w:tc>
        <w:tc>
          <w:tcPr>
            <w:tcW w:w="1140" w:type="dxa"/>
            <w:vAlign w:val="bottom"/>
            <w:gridSpan w:val="2"/>
            <w:shd w:val="clear" w:color="auto" w:fill="9DB8D2"/>
          </w:tcPr>
          <w:p>
            <w:pPr>
              <w:jc w:val="right"/>
              <w:ind w:right="280"/>
              <w:spacing w:after="0"/>
              <w:rPr>
                <w:sz w:val="20"/>
                <w:szCs w:val="20"/>
                <w:color w:val="auto"/>
              </w:rPr>
            </w:pPr>
            <w:r>
              <w:rPr>
                <w:rFonts w:ascii="Arial" w:cs="Arial" w:eastAsia="Arial" w:hAnsi="Arial"/>
                <w:sz w:val="14"/>
                <w:szCs w:val="14"/>
                <w:b w:val="1"/>
                <w:bCs w:val="1"/>
                <w:color w:val="auto"/>
                <w:w w:val="99"/>
              </w:rPr>
              <w:t>Termination)</w:t>
            </w:r>
          </w:p>
        </w:tc>
        <w:tc>
          <w:tcPr>
            <w:tcW w:w="7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For</w:t>
            </w:r>
          </w:p>
        </w:tc>
        <w:tc>
          <w:tcPr>
            <w:tcW w:w="100" w:type="dxa"/>
            <w:vAlign w:val="bottom"/>
            <w:shd w:val="clear" w:color="auto" w:fill="9DB8D2"/>
          </w:tcPr>
          <w:p>
            <w:pPr>
              <w:spacing w:after="0"/>
              <w:rPr>
                <w:sz w:val="14"/>
                <w:szCs w:val="14"/>
                <w:color w:val="auto"/>
              </w:rPr>
            </w:pPr>
          </w:p>
        </w:tc>
        <w:tc>
          <w:tcPr>
            <w:tcW w:w="840" w:type="dxa"/>
            <w:vAlign w:val="bottom"/>
            <w:shd w:val="clear" w:color="auto" w:fill="9DB8D2"/>
          </w:tcPr>
          <w:p>
            <w:pPr>
              <w:spacing w:after="0"/>
              <w:rPr>
                <w:sz w:val="14"/>
                <w:szCs w:val="14"/>
                <w:color w:val="auto"/>
              </w:rPr>
            </w:pPr>
          </w:p>
        </w:tc>
      </w:tr>
      <w:tr>
        <w:trPr>
          <w:trHeight w:val="189"/>
        </w:trPr>
        <w:tc>
          <w:tcPr>
            <w:tcW w:w="5160" w:type="dxa"/>
            <w:vAlign w:val="bottom"/>
            <w:tcBorders>
              <w:bottom w:val="single" w:sz="8" w:color="auto"/>
            </w:tcBorders>
            <w:shd w:val="clear" w:color="auto" w:fill="9DB8D2"/>
          </w:tcPr>
          <w:p>
            <w:pPr>
              <w:spacing w:after="0"/>
              <w:rPr>
                <w:sz w:val="16"/>
                <w:szCs w:val="16"/>
                <w:color w:val="auto"/>
              </w:rPr>
            </w:pPr>
          </w:p>
        </w:tc>
        <w:tc>
          <w:tcPr>
            <w:tcW w:w="220" w:type="dxa"/>
            <w:vAlign w:val="bottom"/>
            <w:tcBorders>
              <w:bottom w:val="single" w:sz="8" w:color="auto"/>
            </w:tcBorders>
            <w:shd w:val="clear" w:color="auto" w:fill="9DB8D2"/>
          </w:tcPr>
          <w:p>
            <w:pPr>
              <w:spacing w:after="0"/>
              <w:rPr>
                <w:sz w:val="16"/>
                <w:szCs w:val="16"/>
                <w:color w:val="auto"/>
              </w:rPr>
            </w:pPr>
          </w:p>
        </w:tc>
        <w:tc>
          <w:tcPr>
            <w:tcW w:w="780" w:type="dxa"/>
            <w:vAlign w:val="bottom"/>
            <w:tcBorders>
              <w:bottom w:val="single" w:sz="8" w:color="auto"/>
            </w:tcBorders>
            <w:shd w:val="clear" w:color="auto" w:fill="9DB8D2"/>
          </w:tcPr>
          <w:p>
            <w:pPr>
              <w:jc w:val="right"/>
              <w:ind w:right="21"/>
              <w:spacing w:after="0"/>
              <w:rPr>
                <w:sz w:val="20"/>
                <w:szCs w:val="20"/>
                <w:color w:val="auto"/>
              </w:rPr>
            </w:pPr>
            <w:r>
              <w:rPr>
                <w:rFonts w:ascii="Arial" w:cs="Arial" w:eastAsia="Arial" w:hAnsi="Arial"/>
                <w:sz w:val="14"/>
                <w:szCs w:val="14"/>
                <w:b w:val="1"/>
                <w:bCs w:val="1"/>
                <w:color w:val="auto"/>
              </w:rPr>
              <w:t>Death($)</w:t>
            </w:r>
          </w:p>
        </w:tc>
        <w:tc>
          <w:tcPr>
            <w:tcW w:w="280" w:type="dxa"/>
            <w:vAlign w:val="bottom"/>
            <w:tcBorders>
              <w:bottom w:val="single" w:sz="8" w:color="auto"/>
            </w:tcBorders>
            <w:shd w:val="clear" w:color="auto" w:fill="9DB8D2"/>
          </w:tcPr>
          <w:p>
            <w:pPr>
              <w:spacing w:after="0"/>
              <w:rPr>
                <w:sz w:val="16"/>
                <w:szCs w:val="16"/>
                <w:color w:val="auto"/>
              </w:rPr>
            </w:pPr>
          </w:p>
        </w:tc>
        <w:tc>
          <w:tcPr>
            <w:tcW w:w="1100" w:type="dxa"/>
            <w:vAlign w:val="bottom"/>
            <w:tcBorders>
              <w:bottom w:val="single" w:sz="8" w:color="auto"/>
            </w:tcBorders>
            <w:gridSpan w:val="2"/>
            <w:shd w:val="clear" w:color="auto" w:fill="9DB8D2"/>
          </w:tcPr>
          <w:p>
            <w:pPr>
              <w:jc w:val="right"/>
              <w:ind w:right="280"/>
              <w:spacing w:after="0"/>
              <w:rPr>
                <w:sz w:val="20"/>
                <w:szCs w:val="20"/>
                <w:color w:val="auto"/>
              </w:rPr>
            </w:pPr>
            <w:r>
              <w:rPr>
                <w:rFonts w:ascii="Arial" w:cs="Arial" w:eastAsia="Arial" w:hAnsi="Arial"/>
                <w:sz w:val="14"/>
                <w:szCs w:val="14"/>
                <w:b w:val="1"/>
                <w:bCs w:val="1"/>
                <w:color w:val="auto"/>
              </w:rPr>
              <w:t>Disability($)</w:t>
            </w:r>
          </w:p>
        </w:tc>
        <w:tc>
          <w:tcPr>
            <w:tcW w:w="82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COC($)</w:t>
            </w:r>
          </w:p>
        </w:tc>
        <w:tc>
          <w:tcPr>
            <w:tcW w:w="1120" w:type="dxa"/>
            <w:vAlign w:val="bottom"/>
            <w:tcBorders>
              <w:bottom w:val="single" w:sz="8" w:color="auto"/>
            </w:tcBorders>
            <w:gridSpan w:val="2"/>
            <w:shd w:val="clear" w:color="auto" w:fill="9DB8D2"/>
          </w:tcPr>
          <w:p>
            <w:pPr>
              <w:jc w:val="center"/>
              <w:ind w:left="200"/>
              <w:spacing w:after="0"/>
              <w:rPr>
                <w:sz w:val="20"/>
                <w:szCs w:val="20"/>
                <w:color w:val="auto"/>
              </w:rPr>
            </w:pPr>
            <w:r>
              <w:rPr>
                <w:rFonts w:ascii="Arial" w:cs="Arial" w:eastAsia="Arial" w:hAnsi="Arial"/>
                <w:sz w:val="14"/>
                <w:szCs w:val="14"/>
                <w:b w:val="1"/>
                <w:bCs w:val="1"/>
                <w:color w:val="auto"/>
              </w:rPr>
              <w:t>($)(2)</w:t>
            </w:r>
          </w:p>
        </w:tc>
        <w:tc>
          <w:tcPr>
            <w:tcW w:w="280" w:type="dxa"/>
            <w:vAlign w:val="bottom"/>
            <w:tcBorders>
              <w:bottom w:val="single" w:sz="8" w:color="auto"/>
            </w:tcBorders>
            <w:shd w:val="clear" w:color="auto" w:fill="9DB8D2"/>
          </w:tcPr>
          <w:p>
            <w:pPr>
              <w:spacing w:after="0"/>
              <w:rPr>
                <w:sz w:val="16"/>
                <w:szCs w:val="16"/>
                <w:color w:val="auto"/>
              </w:rPr>
            </w:pPr>
          </w:p>
        </w:tc>
        <w:tc>
          <w:tcPr>
            <w:tcW w:w="1660" w:type="dxa"/>
            <w:vAlign w:val="bottom"/>
            <w:tcBorders>
              <w:bottom w:val="single" w:sz="8" w:color="auto"/>
            </w:tcBorders>
            <w:gridSpan w:val="3"/>
            <w:shd w:val="clear" w:color="auto" w:fill="9DB8D2"/>
          </w:tcPr>
          <w:p>
            <w:pPr>
              <w:ind w:left="60"/>
              <w:spacing w:after="0"/>
              <w:rPr>
                <w:sz w:val="20"/>
                <w:szCs w:val="20"/>
                <w:color w:val="auto"/>
              </w:rPr>
            </w:pPr>
            <w:r>
              <w:rPr>
                <w:rFonts w:ascii="Arial" w:cs="Arial" w:eastAsia="Arial" w:hAnsi="Arial"/>
                <w:sz w:val="14"/>
                <w:szCs w:val="14"/>
                <w:b w:val="1"/>
                <w:bCs w:val="1"/>
                <w:color w:val="auto"/>
              </w:rPr>
              <w:t>Cause($)  Voluntary($)</w:t>
            </w:r>
          </w:p>
        </w:tc>
      </w:tr>
      <w:tr>
        <w:trPr>
          <w:trHeight w:val="183"/>
        </w:trPr>
        <w:tc>
          <w:tcPr>
            <w:tcW w:w="516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Severance Payment(3)</w:t>
            </w:r>
          </w:p>
        </w:tc>
        <w:tc>
          <w:tcPr>
            <w:tcW w:w="220" w:type="dxa"/>
            <w:vAlign w:val="bottom"/>
            <w:shd w:val="clear" w:color="auto" w:fill="E6EDF3"/>
          </w:tcPr>
          <w:p>
            <w:pPr>
              <w:spacing w:after="0"/>
              <w:rPr>
                <w:sz w:val="15"/>
                <w:szCs w:val="15"/>
                <w:color w:val="auto"/>
              </w:rPr>
            </w:pPr>
          </w:p>
        </w:tc>
        <w:tc>
          <w:tcPr>
            <w:tcW w:w="780" w:type="dxa"/>
            <w:vAlign w:val="bottom"/>
            <w:shd w:val="clear" w:color="auto" w:fill="E6EDF3"/>
          </w:tcPr>
          <w:p>
            <w:pPr>
              <w:jc w:val="right"/>
              <w:spacing w:after="0" w:line="183" w:lineRule="exact"/>
              <w:rPr>
                <w:sz w:val="20"/>
                <w:szCs w:val="20"/>
                <w:color w:val="auto"/>
              </w:rPr>
            </w:pPr>
            <w:r>
              <w:rPr>
                <w:rFonts w:ascii="Arial" w:cs="Arial" w:eastAsia="Arial" w:hAnsi="Arial"/>
                <w:sz w:val="16"/>
                <w:szCs w:val="16"/>
                <w:color w:val="auto"/>
              </w:rPr>
              <w:t>—</w:t>
            </w:r>
          </w:p>
        </w:tc>
        <w:tc>
          <w:tcPr>
            <w:tcW w:w="280" w:type="dxa"/>
            <w:vAlign w:val="bottom"/>
            <w:shd w:val="clear" w:color="auto" w:fill="E6EDF3"/>
          </w:tcPr>
          <w:p>
            <w:pPr>
              <w:spacing w:after="0"/>
              <w:rPr>
                <w:sz w:val="15"/>
                <w:szCs w:val="15"/>
                <w:color w:val="auto"/>
              </w:rPr>
            </w:pPr>
          </w:p>
        </w:tc>
        <w:tc>
          <w:tcPr>
            <w:tcW w:w="1100" w:type="dxa"/>
            <w:vAlign w:val="bottom"/>
            <w:gridSpan w:val="2"/>
            <w:shd w:val="clear" w:color="auto" w:fill="E6EDF3"/>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E6EDF3"/>
          </w:tcPr>
          <w:p>
            <w:pPr>
              <w:jc w:val="right"/>
              <w:spacing w:after="0" w:line="183" w:lineRule="exact"/>
              <w:rPr>
                <w:sz w:val="20"/>
                <w:szCs w:val="20"/>
                <w:color w:val="auto"/>
              </w:rPr>
            </w:pPr>
            <w:r>
              <w:rPr>
                <w:rFonts w:ascii="Arial" w:cs="Arial" w:eastAsia="Arial" w:hAnsi="Arial"/>
                <w:sz w:val="16"/>
                <w:szCs w:val="16"/>
                <w:color w:val="auto"/>
              </w:rPr>
              <w:t>994,060</w:t>
            </w:r>
          </w:p>
        </w:tc>
        <w:tc>
          <w:tcPr>
            <w:tcW w:w="1400" w:type="dxa"/>
            <w:vAlign w:val="bottom"/>
            <w:gridSpan w:val="3"/>
            <w:shd w:val="clear" w:color="auto" w:fill="E6EDF3"/>
          </w:tcPr>
          <w:p>
            <w:pPr>
              <w:jc w:val="right"/>
              <w:ind w:right="280"/>
              <w:spacing w:after="0" w:line="183" w:lineRule="exact"/>
              <w:rPr>
                <w:sz w:val="20"/>
                <w:szCs w:val="20"/>
                <w:color w:val="auto"/>
              </w:rPr>
            </w:pPr>
            <w:r>
              <w:rPr>
                <w:rFonts w:ascii="Arial" w:cs="Arial" w:eastAsia="Arial" w:hAnsi="Arial"/>
                <w:sz w:val="16"/>
                <w:szCs w:val="16"/>
                <w:color w:val="auto"/>
              </w:rPr>
              <w:t>1,988,120</w:t>
            </w:r>
          </w:p>
        </w:tc>
        <w:tc>
          <w:tcPr>
            <w:tcW w:w="720" w:type="dxa"/>
            <w:vAlign w:val="bottom"/>
            <w:shd w:val="clear" w:color="auto" w:fill="E6EDF3"/>
          </w:tcPr>
          <w:p>
            <w:pPr>
              <w:jc w:val="center"/>
              <w:spacing w:after="0" w:line="183" w:lineRule="exact"/>
              <w:rPr>
                <w:sz w:val="20"/>
                <w:szCs w:val="20"/>
                <w:color w:val="auto"/>
              </w:rPr>
            </w:pPr>
            <w:r>
              <w:rPr>
                <w:rFonts w:ascii="Arial" w:cs="Arial" w:eastAsia="Arial" w:hAnsi="Arial"/>
                <w:sz w:val="16"/>
                <w:szCs w:val="16"/>
                <w:color w:val="auto"/>
                <w:w w:val="99"/>
              </w:rPr>
              <w:t>—</w:t>
            </w:r>
          </w:p>
        </w:tc>
        <w:tc>
          <w:tcPr>
            <w:tcW w:w="100" w:type="dxa"/>
            <w:vAlign w:val="bottom"/>
            <w:shd w:val="clear" w:color="auto" w:fill="E6EDF3"/>
          </w:tcPr>
          <w:p>
            <w:pPr>
              <w:spacing w:after="0"/>
              <w:rPr>
                <w:sz w:val="15"/>
                <w:szCs w:val="15"/>
                <w:color w:val="auto"/>
              </w:rPr>
            </w:pPr>
          </w:p>
        </w:tc>
        <w:tc>
          <w:tcPr>
            <w:tcW w:w="840" w:type="dxa"/>
            <w:vAlign w:val="bottom"/>
            <w:shd w:val="clear" w:color="auto" w:fill="E6EDF3"/>
          </w:tcPr>
          <w:p>
            <w:pPr>
              <w:ind w:left="340"/>
              <w:spacing w:after="0" w:line="183" w:lineRule="exact"/>
              <w:rPr>
                <w:sz w:val="20"/>
                <w:szCs w:val="20"/>
                <w:color w:val="auto"/>
              </w:rPr>
            </w:pPr>
            <w:r>
              <w:rPr>
                <w:rFonts w:ascii="Arial" w:cs="Arial" w:eastAsia="Arial" w:hAnsi="Arial"/>
                <w:sz w:val="16"/>
                <w:szCs w:val="16"/>
                <w:color w:val="auto"/>
              </w:rPr>
              <w:t>—</w:t>
            </w:r>
          </w:p>
        </w:tc>
      </w:tr>
      <w:tr>
        <w:trPr>
          <w:trHeight w:val="189"/>
        </w:trPr>
        <w:tc>
          <w:tcPr>
            <w:tcW w:w="5160" w:type="dxa"/>
            <w:vAlign w:val="bottom"/>
          </w:tcPr>
          <w:p>
            <w:pPr>
              <w:ind w:left="80"/>
              <w:spacing w:after="0"/>
              <w:rPr>
                <w:sz w:val="20"/>
                <w:szCs w:val="20"/>
                <w:color w:val="auto"/>
              </w:rPr>
            </w:pPr>
            <w:r>
              <w:rPr>
                <w:rFonts w:ascii="Arial" w:cs="Arial" w:eastAsia="Arial" w:hAnsi="Arial"/>
                <w:sz w:val="16"/>
                <w:szCs w:val="16"/>
                <w:color w:val="auto"/>
              </w:rPr>
              <w:t>Prorated Incentive(4)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426,025</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426,025</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284,983</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426,025</w:t>
            </w:r>
          </w:p>
        </w:tc>
        <w:tc>
          <w:tcPr>
            <w:tcW w:w="2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6"/>
                <w:szCs w:val="16"/>
                <w:color w:val="auto"/>
              </w:rPr>
            </w:pPr>
          </w:p>
        </w:tc>
        <w:tc>
          <w:tcPr>
            <w:tcW w:w="84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189"/>
        </w:trPr>
        <w:tc>
          <w:tcPr>
            <w:tcW w:w="5160" w:type="dxa"/>
            <w:vAlign w:val="bottom"/>
            <w:shd w:val="clear" w:color="auto" w:fill="E6EDF3"/>
          </w:tcPr>
          <w:p>
            <w:pPr>
              <w:ind w:left="80"/>
              <w:spacing w:after="0"/>
              <w:rPr>
                <w:sz w:val="20"/>
                <w:szCs w:val="20"/>
                <w:color w:val="auto"/>
              </w:rPr>
            </w:pPr>
            <w:r>
              <w:rPr>
                <w:rFonts w:ascii="Arial" w:cs="Arial" w:eastAsia="Arial" w:hAnsi="Arial"/>
                <w:sz w:val="16"/>
                <w:szCs w:val="16"/>
                <w:color w:val="auto"/>
              </w:rPr>
              <w:t>Options(5)</w:t>
            </w:r>
          </w:p>
        </w:tc>
        <w:tc>
          <w:tcPr>
            <w:tcW w:w="100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441,914</w:t>
            </w:r>
          </w:p>
        </w:tc>
        <w:tc>
          <w:tcPr>
            <w:tcW w:w="110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441,914</w:t>
            </w:r>
          </w:p>
        </w:tc>
        <w:tc>
          <w:tcPr>
            <w:tcW w:w="280" w:type="dxa"/>
            <w:vAlign w:val="bottom"/>
            <w:shd w:val="clear" w:color="auto" w:fill="E6EDF3"/>
          </w:tcPr>
          <w:p>
            <w:pPr>
              <w:spacing w:after="0"/>
              <w:rPr>
                <w:sz w:val="16"/>
                <w:szCs w:val="16"/>
                <w:color w:val="auto"/>
              </w:rPr>
            </w:pPr>
          </w:p>
        </w:tc>
        <w:tc>
          <w:tcPr>
            <w:tcW w:w="8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441,914</w:t>
            </w:r>
          </w:p>
        </w:tc>
        <w:tc>
          <w:tcPr>
            <w:tcW w:w="280" w:type="dxa"/>
            <w:vAlign w:val="bottom"/>
            <w:shd w:val="clear" w:color="auto" w:fill="E6EDF3"/>
          </w:tcPr>
          <w:p>
            <w:pPr>
              <w:spacing w:after="0"/>
              <w:rPr>
                <w:sz w:val="16"/>
                <w:szCs w:val="16"/>
                <w:color w:val="auto"/>
              </w:rPr>
            </w:pPr>
          </w:p>
        </w:tc>
        <w:tc>
          <w:tcPr>
            <w:tcW w:w="72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E6EDF3"/>
          </w:tcPr>
          <w:p>
            <w:pPr>
              <w:spacing w:after="0"/>
              <w:rPr>
                <w:sz w:val="16"/>
                <w:szCs w:val="16"/>
                <w:color w:val="auto"/>
              </w:rPr>
            </w:pPr>
          </w:p>
        </w:tc>
        <w:tc>
          <w:tcPr>
            <w:tcW w:w="840" w:type="dxa"/>
            <w:vAlign w:val="bottom"/>
            <w:shd w:val="clear" w:color="auto" w:fill="E6EDF3"/>
          </w:tcPr>
          <w:p>
            <w:pPr>
              <w:ind w:left="340"/>
              <w:spacing w:after="0"/>
              <w:rPr>
                <w:sz w:val="20"/>
                <w:szCs w:val="20"/>
                <w:color w:val="auto"/>
              </w:rPr>
            </w:pPr>
            <w:r>
              <w:rPr>
                <w:rFonts w:ascii="Arial" w:cs="Arial" w:eastAsia="Arial" w:hAnsi="Arial"/>
                <w:sz w:val="16"/>
                <w:szCs w:val="16"/>
                <w:color w:val="auto"/>
              </w:rPr>
              <w:t>—</w:t>
            </w:r>
          </w:p>
        </w:tc>
      </w:tr>
      <w:tr>
        <w:trPr>
          <w:trHeight w:val="189"/>
        </w:trPr>
        <w:tc>
          <w:tcPr>
            <w:tcW w:w="5160" w:type="dxa"/>
            <w:vAlign w:val="bottom"/>
          </w:tcPr>
          <w:p>
            <w:pPr>
              <w:ind w:left="80"/>
              <w:spacing w:after="0"/>
              <w:rPr>
                <w:sz w:val="20"/>
                <w:szCs w:val="20"/>
                <w:color w:val="auto"/>
              </w:rPr>
            </w:pPr>
            <w:r>
              <w:rPr>
                <w:rFonts w:ascii="Arial" w:cs="Arial" w:eastAsia="Arial" w:hAnsi="Arial"/>
                <w:sz w:val="16"/>
                <w:szCs w:val="16"/>
                <w:color w:val="auto"/>
              </w:rPr>
              <w:t>Performance Share Units(6)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2,944,974</w:t>
            </w:r>
          </w:p>
        </w:tc>
        <w:tc>
          <w:tcPr>
            <w:tcW w:w="1380" w:type="dxa"/>
            <w:vAlign w:val="bottom"/>
            <w:gridSpan w:val="3"/>
          </w:tcPr>
          <w:p>
            <w:pPr>
              <w:jc w:val="right"/>
              <w:ind w:right="280"/>
              <w:spacing w:after="0"/>
              <w:rPr>
                <w:sz w:val="20"/>
                <w:szCs w:val="20"/>
                <w:color w:val="auto"/>
              </w:rPr>
            </w:pPr>
            <w:r>
              <w:rPr>
                <w:rFonts w:ascii="Arial" w:cs="Arial" w:eastAsia="Arial" w:hAnsi="Arial"/>
                <w:sz w:val="16"/>
                <w:szCs w:val="16"/>
                <w:color w:val="auto"/>
              </w:rPr>
              <w:t>2,944,974</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280"/>
              <w:spacing w:after="0"/>
              <w:rPr>
                <w:sz w:val="20"/>
                <w:szCs w:val="20"/>
                <w:color w:val="auto"/>
              </w:rPr>
            </w:pPr>
            <w:r>
              <w:rPr>
                <w:rFonts w:ascii="Arial" w:cs="Arial" w:eastAsia="Arial" w:hAnsi="Arial"/>
                <w:sz w:val="16"/>
                <w:szCs w:val="16"/>
                <w:color w:val="auto"/>
              </w:rPr>
              <w:t>3,807,880</w:t>
            </w: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6"/>
                <w:szCs w:val="16"/>
                <w:color w:val="auto"/>
              </w:rPr>
            </w:pPr>
          </w:p>
        </w:tc>
        <w:tc>
          <w:tcPr>
            <w:tcW w:w="84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189"/>
        </w:trPr>
        <w:tc>
          <w:tcPr>
            <w:tcW w:w="5160" w:type="dxa"/>
            <w:vAlign w:val="bottom"/>
            <w:shd w:val="clear" w:color="auto" w:fill="E6EDF3"/>
          </w:tcPr>
          <w:p>
            <w:pPr>
              <w:ind w:left="80"/>
              <w:spacing w:after="0"/>
              <w:rPr>
                <w:sz w:val="20"/>
                <w:szCs w:val="20"/>
                <w:color w:val="auto"/>
              </w:rPr>
            </w:pPr>
            <w:r>
              <w:rPr>
                <w:rFonts w:ascii="Arial" w:cs="Arial" w:eastAsia="Arial" w:hAnsi="Arial"/>
                <w:sz w:val="16"/>
                <w:szCs w:val="16"/>
                <w:color w:val="auto"/>
              </w:rPr>
              <w:t>Restricted Stock Units/Career Shares(7)</w:t>
            </w:r>
          </w:p>
        </w:tc>
        <w:tc>
          <w:tcPr>
            <w:tcW w:w="100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2,241,390</w:t>
            </w:r>
          </w:p>
        </w:tc>
        <w:tc>
          <w:tcPr>
            <w:tcW w:w="1380" w:type="dxa"/>
            <w:vAlign w:val="bottom"/>
            <w:gridSpan w:val="3"/>
            <w:shd w:val="clear" w:color="auto" w:fill="E6EDF3"/>
          </w:tcPr>
          <w:p>
            <w:pPr>
              <w:jc w:val="right"/>
              <w:ind w:right="280"/>
              <w:spacing w:after="0"/>
              <w:rPr>
                <w:sz w:val="20"/>
                <w:szCs w:val="20"/>
                <w:color w:val="auto"/>
              </w:rPr>
            </w:pPr>
            <w:r>
              <w:rPr>
                <w:rFonts w:ascii="Arial" w:cs="Arial" w:eastAsia="Arial" w:hAnsi="Arial"/>
                <w:sz w:val="16"/>
                <w:szCs w:val="16"/>
                <w:color w:val="auto"/>
              </w:rPr>
              <w:t>2,241,390</w:t>
            </w:r>
          </w:p>
        </w:tc>
        <w:tc>
          <w:tcPr>
            <w:tcW w:w="8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3"/>
            <w:shd w:val="clear" w:color="auto" w:fill="E6EDF3"/>
          </w:tcPr>
          <w:p>
            <w:pPr>
              <w:jc w:val="right"/>
              <w:ind w:right="280"/>
              <w:spacing w:after="0"/>
              <w:rPr>
                <w:sz w:val="20"/>
                <w:szCs w:val="20"/>
                <w:color w:val="auto"/>
              </w:rPr>
            </w:pPr>
            <w:r>
              <w:rPr>
                <w:rFonts w:ascii="Arial" w:cs="Arial" w:eastAsia="Arial" w:hAnsi="Arial"/>
                <w:sz w:val="16"/>
                <w:szCs w:val="16"/>
                <w:color w:val="auto"/>
              </w:rPr>
              <w:t>2,241,390</w:t>
            </w:r>
          </w:p>
        </w:tc>
        <w:tc>
          <w:tcPr>
            <w:tcW w:w="72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E6EDF3"/>
          </w:tcPr>
          <w:p>
            <w:pPr>
              <w:spacing w:after="0"/>
              <w:rPr>
                <w:sz w:val="16"/>
                <w:szCs w:val="16"/>
                <w:color w:val="auto"/>
              </w:rPr>
            </w:pPr>
          </w:p>
        </w:tc>
        <w:tc>
          <w:tcPr>
            <w:tcW w:w="840" w:type="dxa"/>
            <w:vAlign w:val="bottom"/>
            <w:shd w:val="clear" w:color="auto" w:fill="E6EDF3"/>
          </w:tcPr>
          <w:p>
            <w:pPr>
              <w:ind w:left="340"/>
              <w:spacing w:after="0"/>
              <w:rPr>
                <w:sz w:val="20"/>
                <w:szCs w:val="20"/>
                <w:color w:val="auto"/>
              </w:rPr>
            </w:pPr>
            <w:r>
              <w:rPr>
                <w:rFonts w:ascii="Arial" w:cs="Arial" w:eastAsia="Arial" w:hAnsi="Arial"/>
                <w:sz w:val="16"/>
                <w:szCs w:val="16"/>
                <w:color w:val="auto"/>
              </w:rPr>
              <w:t>—</w:t>
            </w:r>
          </w:p>
        </w:tc>
      </w:tr>
      <w:tr>
        <w:trPr>
          <w:trHeight w:val="189"/>
        </w:trPr>
        <w:tc>
          <w:tcPr>
            <w:tcW w:w="5160" w:type="dxa"/>
            <w:vAlign w:val="bottom"/>
          </w:tcPr>
          <w:p>
            <w:pPr>
              <w:ind w:left="80"/>
              <w:spacing w:after="0"/>
              <w:rPr>
                <w:sz w:val="20"/>
                <w:szCs w:val="20"/>
                <w:color w:val="auto"/>
              </w:rPr>
            </w:pPr>
            <w:r>
              <w:rPr>
                <w:rFonts w:ascii="Arial" w:cs="Arial" w:eastAsia="Arial" w:hAnsi="Arial"/>
                <w:sz w:val="16"/>
                <w:szCs w:val="16"/>
                <w:color w:val="auto"/>
              </w:rPr>
              <w:t>Outplacement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25,000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25,000</w:t>
            </w:r>
          </w:p>
        </w:tc>
        <w:tc>
          <w:tcPr>
            <w:tcW w:w="2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6"/>
                <w:szCs w:val="16"/>
                <w:color w:val="auto"/>
              </w:rPr>
            </w:pPr>
          </w:p>
        </w:tc>
        <w:tc>
          <w:tcPr>
            <w:tcW w:w="84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r>
      <w:tr>
        <w:trPr>
          <w:trHeight w:val="189"/>
        </w:trPr>
        <w:tc>
          <w:tcPr>
            <w:tcW w:w="5160" w:type="dxa"/>
            <w:vAlign w:val="bottom"/>
            <w:shd w:val="clear" w:color="auto" w:fill="E6EDF3"/>
          </w:tcPr>
          <w:p>
            <w:pPr>
              <w:ind w:left="80"/>
              <w:spacing w:after="0"/>
              <w:rPr>
                <w:sz w:val="20"/>
                <w:szCs w:val="20"/>
                <w:color w:val="auto"/>
              </w:rPr>
            </w:pPr>
            <w:r>
              <w:rPr>
                <w:rFonts w:ascii="Arial" w:cs="Arial" w:eastAsia="Arial" w:hAnsi="Arial"/>
                <w:sz w:val="16"/>
                <w:szCs w:val="16"/>
                <w:color w:val="auto"/>
              </w:rPr>
              <w:t>Total</w:t>
            </w:r>
          </w:p>
        </w:tc>
        <w:tc>
          <w:tcPr>
            <w:tcW w:w="220" w:type="dxa"/>
            <w:vAlign w:val="bottom"/>
            <w:shd w:val="clear" w:color="auto" w:fill="E6EDF3"/>
          </w:tcPr>
          <w:p>
            <w:pPr>
              <w:spacing w:after="0"/>
              <w:rPr>
                <w:sz w:val="16"/>
                <w:szCs w:val="16"/>
                <w:color w:val="auto"/>
              </w:rPr>
            </w:pPr>
          </w:p>
        </w:tc>
        <w:tc>
          <w:tcPr>
            <w:tcW w:w="780" w:type="dxa"/>
            <w:vAlign w:val="bottom"/>
            <w:shd w:val="clear" w:color="auto" w:fill="E6EDF3"/>
          </w:tcPr>
          <w:p>
            <w:pPr>
              <w:jc w:val="right"/>
              <w:spacing w:after="0"/>
              <w:rPr>
                <w:sz w:val="20"/>
                <w:szCs w:val="20"/>
                <w:color w:val="auto"/>
              </w:rPr>
            </w:pPr>
            <w:r>
              <w:rPr>
                <w:rFonts w:ascii="Arial" w:cs="Arial" w:eastAsia="Arial" w:hAnsi="Arial"/>
                <w:sz w:val="16"/>
                <w:szCs w:val="16"/>
                <w:color w:val="auto"/>
              </w:rPr>
              <w:t>6,054,303</w:t>
            </w:r>
          </w:p>
        </w:tc>
        <w:tc>
          <w:tcPr>
            <w:tcW w:w="280" w:type="dxa"/>
            <w:vAlign w:val="bottom"/>
            <w:shd w:val="clear" w:color="auto" w:fill="E6EDF3"/>
          </w:tcPr>
          <w:p>
            <w:pPr>
              <w:spacing w:after="0"/>
              <w:rPr>
                <w:sz w:val="16"/>
                <w:szCs w:val="16"/>
                <w:color w:val="auto"/>
              </w:rPr>
            </w:pPr>
          </w:p>
        </w:tc>
        <w:tc>
          <w:tcPr>
            <w:tcW w:w="1100" w:type="dxa"/>
            <w:vAlign w:val="bottom"/>
            <w:gridSpan w:val="2"/>
            <w:shd w:val="clear" w:color="auto" w:fill="E6EDF3"/>
          </w:tcPr>
          <w:p>
            <w:pPr>
              <w:jc w:val="right"/>
              <w:ind w:right="280"/>
              <w:spacing w:after="0"/>
              <w:rPr>
                <w:sz w:val="20"/>
                <w:szCs w:val="20"/>
                <w:color w:val="auto"/>
              </w:rPr>
            </w:pPr>
            <w:r>
              <w:rPr>
                <w:rFonts w:ascii="Arial" w:cs="Arial" w:eastAsia="Arial" w:hAnsi="Arial"/>
                <w:sz w:val="16"/>
                <w:szCs w:val="16"/>
                <w:color w:val="auto"/>
              </w:rPr>
              <w:t>6,054,303</w:t>
            </w:r>
          </w:p>
        </w:tc>
        <w:tc>
          <w:tcPr>
            <w:tcW w:w="8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1,304,043</w:t>
            </w:r>
          </w:p>
        </w:tc>
        <w:tc>
          <w:tcPr>
            <w:tcW w:w="1400" w:type="dxa"/>
            <w:vAlign w:val="bottom"/>
            <w:gridSpan w:val="3"/>
            <w:shd w:val="clear" w:color="auto" w:fill="E6EDF3"/>
          </w:tcPr>
          <w:p>
            <w:pPr>
              <w:jc w:val="right"/>
              <w:ind w:right="280"/>
              <w:spacing w:after="0"/>
              <w:rPr>
                <w:sz w:val="20"/>
                <w:szCs w:val="20"/>
                <w:color w:val="auto"/>
              </w:rPr>
            </w:pPr>
            <w:r>
              <w:rPr>
                <w:rFonts w:ascii="Arial" w:cs="Arial" w:eastAsia="Arial" w:hAnsi="Arial"/>
                <w:sz w:val="16"/>
                <w:szCs w:val="16"/>
                <w:color w:val="auto"/>
              </w:rPr>
              <w:t>8,930,329</w:t>
            </w:r>
          </w:p>
        </w:tc>
        <w:tc>
          <w:tcPr>
            <w:tcW w:w="72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E6EDF3"/>
          </w:tcPr>
          <w:p>
            <w:pPr>
              <w:spacing w:after="0"/>
              <w:rPr>
                <w:sz w:val="16"/>
                <w:szCs w:val="16"/>
                <w:color w:val="auto"/>
              </w:rPr>
            </w:pPr>
          </w:p>
        </w:tc>
        <w:tc>
          <w:tcPr>
            <w:tcW w:w="840" w:type="dxa"/>
            <w:vAlign w:val="bottom"/>
            <w:shd w:val="clear" w:color="auto" w:fill="E6EDF3"/>
          </w:tcPr>
          <w:p>
            <w:pPr>
              <w:ind w:left="340"/>
              <w:spacing w:after="0"/>
              <w:rPr>
                <w:sz w:val="20"/>
                <w:szCs w:val="20"/>
                <w:color w:val="auto"/>
              </w:rPr>
            </w:pPr>
            <w:r>
              <w:rPr>
                <w:rFonts w:ascii="Arial" w:cs="Arial" w:eastAsia="Arial" w:hAnsi="Arial"/>
                <w:sz w:val="16"/>
                <w:szCs w:val="16"/>
                <w:color w:val="auto"/>
              </w:rPr>
              <w:t>—</w:t>
            </w:r>
          </w:p>
        </w:tc>
      </w:tr>
      <w:tr>
        <w:trPr>
          <w:trHeight w:val="20"/>
        </w:trPr>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term of Mr. Chandrashekar’s severance agreement expires on October 29, 2018.</w:t>
      </w:r>
    </w:p>
    <w:p>
      <w:pPr>
        <w:spacing w:after="0" w:line="68" w:lineRule="exact"/>
        <w:rPr>
          <w:rFonts w:ascii="Arial" w:cs="Arial" w:eastAsia="Arial" w:hAnsi="Arial"/>
          <w:sz w:val="14"/>
          <w:szCs w:val="14"/>
          <w:color w:val="auto"/>
        </w:rPr>
      </w:pPr>
    </w:p>
    <w:p>
      <w:pPr>
        <w:ind w:left="340" w:right="380" w:hanging="332"/>
        <w:spacing w:after="0" w:line="258"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45" w:lineRule="exact"/>
        <w:rPr>
          <w:rFonts w:ascii="Arial" w:cs="Arial" w:eastAsia="Arial" w:hAnsi="Arial"/>
          <w:sz w:val="14"/>
          <w:szCs w:val="14"/>
          <w:color w:val="auto"/>
        </w:rPr>
      </w:pPr>
    </w:p>
    <w:p>
      <w:pPr>
        <w:ind w:left="340" w:right="100" w:hanging="332"/>
        <w:spacing w:after="0" w:line="250"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amount of the severance payment under Mr. Chandrashekar’s severance agreement is equal to his annual base salary at the highest rate in effect during the term of the agreement (here, $568,035) and his prorated target annual incentive for the fiscal year in which the termination occurs (here, $426,025). In a double-trigger scenario, the amount of his severance payment is multiplied by two.</w:t>
      </w:r>
    </w:p>
    <w:p>
      <w:pPr>
        <w:spacing w:after="0" w:line="50" w:lineRule="exact"/>
        <w:rPr>
          <w:rFonts w:ascii="Arial" w:cs="Arial" w:eastAsia="Arial" w:hAnsi="Arial"/>
          <w:sz w:val="14"/>
          <w:szCs w:val="14"/>
          <w:color w:val="auto"/>
        </w:rPr>
      </w:pPr>
    </w:p>
    <w:p>
      <w:pPr>
        <w:ind w:left="340" w:right="20" w:hanging="332"/>
        <w:spacing w:after="0" w:line="244"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 the case of his involuntary termination (other than for cause) or voluntary termination for good reason, the amount of the prorated incentive payable to him under his severance agreement is based on the actual incentive earned for 2016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2016, immediately before the incentive was earned, so as not to understate the potential value of the benefit upon the applicable termination of employment. Note that an incentive amount has also been reported as 2016 compensation for him in the Summary Compensation Table, as well as in the Grants of Plan-Based Awards Table.</w:t>
      </w:r>
    </w:p>
    <w:p>
      <w:pPr>
        <w:spacing w:after="0" w:line="57" w:lineRule="exact"/>
        <w:rPr>
          <w:rFonts w:ascii="Arial" w:cs="Arial" w:eastAsia="Arial" w:hAnsi="Arial"/>
          <w:sz w:val="14"/>
          <w:szCs w:val="14"/>
          <w:color w:val="auto"/>
        </w:rPr>
      </w:pPr>
    </w:p>
    <w:p>
      <w:pPr>
        <w:ind w:left="340" w:right="380" w:hanging="332"/>
        <w:spacing w:after="0" w:line="258"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31, 2016 ($88.87) and the exercise price of each unvested stock option held by Mr. Chandrashekar on such date.</w:t>
      </w:r>
    </w:p>
    <w:p>
      <w:pPr>
        <w:spacing w:after="0" w:line="45" w:lineRule="exact"/>
        <w:rPr>
          <w:rFonts w:ascii="Arial" w:cs="Arial" w:eastAsia="Arial" w:hAnsi="Arial"/>
          <w:sz w:val="14"/>
          <w:szCs w:val="14"/>
          <w:color w:val="auto"/>
        </w:rPr>
      </w:pPr>
    </w:p>
    <w:p>
      <w:pPr>
        <w:ind w:left="340" w:right="60" w:hanging="332"/>
        <w:spacing w:after="0" w:line="244"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value of performance share units is illustrated here by measuring the value of the number of shares payable under outstanding awards (2014, 2015 and 2016 grants) using the closing stock price on December 31, 2016 ($88.87). In the case of a change of control, the payout is shown based on the number of shares earned based on actual performance for the 2014 award and assuming the Committee would determine the amount of shares earned relating to the 2015 and 2016 awards will equal the target award. In the case of a death or disability, the payout is shown based on the target awards for 2014, 2015 and 2016. Although the performance share units for the 2014 grant vested on December 31, 2016, the values shown in the table above were calculated to illustrate the value of vesting in the event of an applicable termination occurring on December 31, 2016, immediately before vesting, and includes the performance shares that vested on that date so as not to understate the potential value of an acceleration upon the applicable termination of employment.</w:t>
      </w:r>
    </w:p>
    <w:p>
      <w:pPr>
        <w:spacing w:after="0" w:line="56" w:lineRule="exact"/>
        <w:rPr>
          <w:rFonts w:ascii="Arial" w:cs="Arial" w:eastAsia="Arial" w:hAnsi="Arial"/>
          <w:sz w:val="14"/>
          <w:szCs w:val="14"/>
          <w:color w:val="auto"/>
        </w:rPr>
      </w:pPr>
    </w:p>
    <w:p>
      <w:pPr>
        <w:ind w:left="340" w:right="160" w:hanging="332"/>
        <w:spacing w:after="0" w:line="258"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value of any unvested restricted stock units and career shares is illustrated here by measuring the value of the number of shares payable under unvested awards using the closing stock price on December 31, 2016 ($88.87).</w:t>
      </w:r>
    </w:p>
    <w:p>
      <w:pPr>
        <w:spacing w:after="0" w:line="115" w:lineRule="exact"/>
        <w:rPr>
          <w:sz w:val="20"/>
          <w:szCs w:val="20"/>
          <w:color w:val="auto"/>
        </w:rPr>
      </w:pPr>
    </w:p>
    <w:p>
      <w:pPr>
        <w:ind w:left="9880"/>
        <w:spacing w:after="0"/>
        <w:rPr>
          <w:sz w:val="20"/>
          <w:szCs w:val="20"/>
          <w:color w:val="auto"/>
        </w:rPr>
      </w:pPr>
      <w:r>
        <w:rPr>
          <w:rFonts w:ascii="Arial" w:cs="Arial" w:eastAsia="Arial" w:hAnsi="Arial"/>
          <w:sz w:val="16"/>
          <w:szCs w:val="16"/>
          <w:b w:val="1"/>
          <w:bCs w:val="1"/>
          <w:color w:val="5D89B4"/>
        </w:rPr>
        <w:t xml:space="preserve">73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Compensation Tables</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Mara E. Swan, EVP, Global Strategy and Talent (1)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880" w:type="dxa"/>
            <w:vAlign w:val="bottom"/>
            <w:tcBorders>
              <w:top w:val="single" w:sz="8" w:color="auto"/>
            </w:tcBorders>
            <w:shd w:val="clear" w:color="auto" w:fill="9DB8D2"/>
          </w:tcPr>
          <w:p>
            <w:pPr>
              <w:spacing w:after="0"/>
              <w:rPr>
                <w:sz w:val="22"/>
                <w:szCs w:val="22"/>
                <w:color w:val="auto"/>
              </w:rPr>
            </w:pPr>
          </w:p>
        </w:tc>
        <w:tc>
          <w:tcPr>
            <w:tcW w:w="200" w:type="dxa"/>
            <w:vAlign w:val="bottom"/>
            <w:tcBorders>
              <w:top w:val="single" w:sz="8" w:color="auto"/>
            </w:tcBorders>
            <w:shd w:val="clear" w:color="auto" w:fill="9DB8D2"/>
          </w:tcPr>
          <w:p>
            <w:pPr>
              <w:spacing w:after="0"/>
              <w:rPr>
                <w:sz w:val="22"/>
                <w:szCs w:val="22"/>
                <w:color w:val="auto"/>
              </w:rPr>
            </w:pPr>
          </w:p>
        </w:tc>
        <w:tc>
          <w:tcPr>
            <w:tcW w:w="780" w:type="dxa"/>
            <w:vAlign w:val="bottom"/>
            <w:tcBorders>
              <w:top w:val="single" w:sz="8" w:color="auto"/>
            </w:tcBorders>
            <w:shd w:val="clear" w:color="auto" w:fill="9DB8D2"/>
          </w:tcPr>
          <w:p>
            <w:pPr>
              <w:spacing w:after="0"/>
              <w:rPr>
                <w:sz w:val="22"/>
                <w:szCs w:val="22"/>
                <w:color w:val="auto"/>
              </w:rPr>
            </w:pPr>
          </w:p>
        </w:tc>
        <w:tc>
          <w:tcPr>
            <w:tcW w:w="260" w:type="dxa"/>
            <w:vAlign w:val="bottom"/>
            <w:tcBorders>
              <w:top w:val="single" w:sz="8" w:color="auto"/>
            </w:tcBorders>
            <w:shd w:val="clear" w:color="auto" w:fill="9DB8D2"/>
          </w:tcPr>
          <w:p>
            <w:pPr>
              <w:spacing w:after="0"/>
              <w:rPr>
                <w:sz w:val="22"/>
                <w:szCs w:val="22"/>
                <w:color w:val="auto"/>
              </w:rPr>
            </w:pPr>
          </w:p>
        </w:tc>
        <w:tc>
          <w:tcPr>
            <w:tcW w:w="840" w:type="dxa"/>
            <w:vAlign w:val="bottom"/>
            <w:tcBorders>
              <w:top w:val="single" w:sz="8" w:color="auto"/>
            </w:tcBorders>
            <w:shd w:val="clear" w:color="auto" w:fill="9DB8D2"/>
          </w:tcPr>
          <w:p>
            <w:pPr>
              <w:spacing w:after="0"/>
              <w:rPr>
                <w:sz w:val="22"/>
                <w:szCs w:val="22"/>
                <w:color w:val="auto"/>
              </w:rPr>
            </w:pPr>
          </w:p>
        </w:tc>
        <w:tc>
          <w:tcPr>
            <w:tcW w:w="260" w:type="dxa"/>
            <w:vAlign w:val="bottom"/>
            <w:tcBorders>
              <w:top w:val="single" w:sz="8" w:color="auto"/>
            </w:tcBorders>
            <w:shd w:val="clear" w:color="auto" w:fill="9DB8D2"/>
          </w:tcPr>
          <w:p>
            <w:pPr>
              <w:spacing w:after="0"/>
              <w:rPr>
                <w:sz w:val="22"/>
                <w:szCs w:val="22"/>
                <w:color w:val="auto"/>
              </w:rPr>
            </w:pPr>
          </w:p>
        </w:tc>
        <w:tc>
          <w:tcPr>
            <w:tcW w:w="820" w:type="dxa"/>
            <w:vAlign w:val="bottom"/>
            <w:tcBorders>
              <w:top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Involuntary</w:t>
            </w:r>
          </w:p>
        </w:tc>
        <w:tc>
          <w:tcPr>
            <w:tcW w:w="280" w:type="dxa"/>
            <w:vAlign w:val="bottom"/>
            <w:tcBorders>
              <w:top w:val="single" w:sz="8" w:color="auto"/>
            </w:tcBorders>
            <w:shd w:val="clear" w:color="auto" w:fill="9DB8D2"/>
          </w:tcPr>
          <w:p>
            <w:pPr>
              <w:spacing w:after="0"/>
              <w:rPr>
                <w:sz w:val="22"/>
                <w:szCs w:val="22"/>
                <w:color w:val="auto"/>
              </w:rPr>
            </w:pPr>
          </w:p>
        </w:tc>
        <w:tc>
          <w:tcPr>
            <w:tcW w:w="860" w:type="dxa"/>
            <w:vAlign w:val="bottom"/>
            <w:tcBorders>
              <w:top w:val="single" w:sz="8" w:color="auto"/>
            </w:tcBorders>
            <w:shd w:val="clear" w:color="auto" w:fill="9DB8D2"/>
          </w:tcPr>
          <w:p>
            <w:pPr>
              <w:spacing w:after="0"/>
              <w:rPr>
                <w:sz w:val="22"/>
                <w:szCs w:val="22"/>
                <w:color w:val="auto"/>
              </w:rPr>
            </w:pPr>
          </w:p>
        </w:tc>
        <w:tc>
          <w:tcPr>
            <w:tcW w:w="260" w:type="dxa"/>
            <w:vAlign w:val="bottom"/>
            <w:tcBorders>
              <w:top w:val="single" w:sz="8" w:color="auto"/>
            </w:tcBorders>
            <w:shd w:val="clear" w:color="auto" w:fill="9DB8D2"/>
          </w:tcPr>
          <w:p>
            <w:pPr>
              <w:spacing w:after="0"/>
              <w:rPr>
                <w:sz w:val="22"/>
                <w:szCs w:val="22"/>
                <w:color w:val="auto"/>
              </w:rPr>
            </w:pPr>
          </w:p>
        </w:tc>
        <w:tc>
          <w:tcPr>
            <w:tcW w:w="940" w:type="dxa"/>
            <w:vAlign w:val="bottom"/>
            <w:tcBorders>
              <w:top w:val="single" w:sz="8" w:color="auto"/>
            </w:tcBorders>
            <w:shd w:val="clear" w:color="auto" w:fill="9DB8D2"/>
          </w:tcPr>
          <w:p>
            <w:pPr>
              <w:spacing w:after="0"/>
              <w:rPr>
                <w:sz w:val="22"/>
                <w:szCs w:val="22"/>
                <w:color w:val="auto"/>
              </w:rPr>
            </w:pPr>
          </w:p>
        </w:tc>
        <w:tc>
          <w:tcPr>
            <w:tcW w:w="280" w:type="dxa"/>
            <w:vAlign w:val="bottom"/>
            <w:tcBorders>
              <w:top w:val="single" w:sz="8" w:color="auto"/>
            </w:tcBorders>
            <w:shd w:val="clear" w:color="auto" w:fill="9DB8D2"/>
          </w:tcPr>
          <w:p>
            <w:pPr>
              <w:spacing w:after="0"/>
              <w:rPr>
                <w:sz w:val="22"/>
                <w:szCs w:val="22"/>
                <w:color w:val="auto"/>
              </w:rPr>
            </w:pPr>
          </w:p>
        </w:tc>
        <w:tc>
          <w:tcPr>
            <w:tcW w:w="700" w:type="dxa"/>
            <w:vAlign w:val="bottom"/>
            <w:tcBorders>
              <w:top w:val="single" w:sz="8" w:color="auto"/>
            </w:tcBorders>
            <w:shd w:val="clear" w:color="auto" w:fill="9DB8D2"/>
          </w:tcPr>
          <w:p>
            <w:pPr>
              <w:spacing w:after="0"/>
              <w:rPr>
                <w:sz w:val="22"/>
                <w:szCs w:val="22"/>
                <w:color w:val="auto"/>
              </w:rPr>
            </w:pPr>
          </w:p>
        </w:tc>
        <w:tc>
          <w:tcPr>
            <w:tcW w:w="220" w:type="dxa"/>
            <w:vAlign w:val="bottom"/>
            <w:tcBorders>
              <w:top w:val="single" w:sz="8" w:color="auto"/>
            </w:tcBorders>
            <w:shd w:val="clear" w:color="auto" w:fill="9DB8D2"/>
          </w:tcPr>
          <w:p>
            <w:pPr>
              <w:spacing w:after="0"/>
              <w:rPr>
                <w:sz w:val="22"/>
                <w:szCs w:val="22"/>
                <w:color w:val="auto"/>
              </w:rPr>
            </w:pPr>
          </w:p>
        </w:tc>
        <w:tc>
          <w:tcPr>
            <w:tcW w:w="840" w:type="dxa"/>
            <w:vAlign w:val="bottom"/>
            <w:tcBorders>
              <w:top w:val="single" w:sz="8" w:color="auto"/>
            </w:tcBorders>
            <w:shd w:val="clear" w:color="auto" w:fill="9DB8D2"/>
          </w:tcPr>
          <w:p>
            <w:pPr>
              <w:spacing w:after="0"/>
              <w:rPr>
                <w:sz w:val="22"/>
                <w:szCs w:val="22"/>
                <w:color w:val="auto"/>
              </w:rPr>
            </w:pPr>
          </w:p>
        </w:tc>
      </w:tr>
      <w:tr>
        <w:trPr>
          <w:trHeight w:val="162"/>
        </w:trPr>
        <w:tc>
          <w:tcPr>
            <w:tcW w:w="3880" w:type="dxa"/>
            <w:vAlign w:val="bottom"/>
            <w:shd w:val="clear" w:color="auto" w:fill="9DB8D2"/>
          </w:tcPr>
          <w:p>
            <w:pPr>
              <w:spacing w:after="0"/>
              <w:rPr>
                <w:sz w:val="14"/>
                <w:szCs w:val="14"/>
                <w:color w:val="auto"/>
              </w:rPr>
            </w:pPr>
          </w:p>
        </w:tc>
        <w:tc>
          <w:tcPr>
            <w:tcW w:w="20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4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Termination</w:t>
            </w:r>
          </w:p>
        </w:tc>
        <w:tc>
          <w:tcPr>
            <w:tcW w:w="280" w:type="dxa"/>
            <w:vAlign w:val="bottom"/>
            <w:shd w:val="clear" w:color="auto" w:fill="9DB8D2"/>
          </w:tcPr>
          <w:p>
            <w:pPr>
              <w:spacing w:after="0"/>
              <w:rPr>
                <w:sz w:val="14"/>
                <w:szCs w:val="14"/>
                <w:color w:val="auto"/>
              </w:rPr>
            </w:pPr>
          </w:p>
        </w:tc>
        <w:tc>
          <w:tcPr>
            <w:tcW w:w="1120" w:type="dxa"/>
            <w:vAlign w:val="bottom"/>
            <w:gridSpan w:val="2"/>
            <w:shd w:val="clear" w:color="auto" w:fill="9DB8D2"/>
          </w:tcPr>
          <w:p>
            <w:pPr>
              <w:jc w:val="center"/>
              <w:ind w:right="260"/>
              <w:spacing w:after="0"/>
              <w:rPr>
                <w:sz w:val="20"/>
                <w:szCs w:val="20"/>
                <w:color w:val="auto"/>
              </w:rPr>
            </w:pPr>
            <w:r>
              <w:rPr>
                <w:rFonts w:ascii="Arial" w:cs="Arial" w:eastAsia="Arial" w:hAnsi="Arial"/>
                <w:sz w:val="14"/>
                <w:szCs w:val="14"/>
                <w:b w:val="1"/>
                <w:bCs w:val="1"/>
                <w:color w:val="auto"/>
              </w:rPr>
              <w:t>Double</w:t>
            </w:r>
          </w:p>
        </w:tc>
        <w:tc>
          <w:tcPr>
            <w:tcW w:w="94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70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840" w:type="dxa"/>
            <w:vAlign w:val="bottom"/>
            <w:shd w:val="clear" w:color="auto" w:fill="9DB8D2"/>
          </w:tcPr>
          <w:p>
            <w:pPr>
              <w:spacing w:after="0"/>
              <w:rPr>
                <w:sz w:val="14"/>
                <w:szCs w:val="14"/>
                <w:color w:val="auto"/>
              </w:rPr>
            </w:pPr>
          </w:p>
        </w:tc>
      </w:tr>
      <w:tr>
        <w:trPr>
          <w:trHeight w:val="162"/>
        </w:trPr>
        <w:tc>
          <w:tcPr>
            <w:tcW w:w="3880" w:type="dxa"/>
            <w:vAlign w:val="bottom"/>
            <w:shd w:val="clear" w:color="auto" w:fill="9DB8D2"/>
          </w:tcPr>
          <w:p>
            <w:pPr>
              <w:spacing w:after="0"/>
              <w:rPr>
                <w:sz w:val="14"/>
                <w:szCs w:val="14"/>
                <w:color w:val="auto"/>
              </w:rPr>
            </w:pPr>
          </w:p>
        </w:tc>
        <w:tc>
          <w:tcPr>
            <w:tcW w:w="20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4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or Good</w:t>
            </w:r>
          </w:p>
        </w:tc>
        <w:tc>
          <w:tcPr>
            <w:tcW w:w="280" w:type="dxa"/>
            <w:vAlign w:val="bottom"/>
            <w:shd w:val="clear" w:color="auto" w:fill="9DB8D2"/>
          </w:tcPr>
          <w:p>
            <w:pPr>
              <w:spacing w:after="0"/>
              <w:rPr>
                <w:sz w:val="14"/>
                <w:szCs w:val="14"/>
                <w:color w:val="auto"/>
              </w:rPr>
            </w:pPr>
          </w:p>
        </w:tc>
        <w:tc>
          <w:tcPr>
            <w:tcW w:w="1120" w:type="dxa"/>
            <w:vAlign w:val="bottom"/>
            <w:gridSpan w:val="2"/>
            <w:shd w:val="clear" w:color="auto" w:fill="9DB8D2"/>
          </w:tcPr>
          <w:p>
            <w:pPr>
              <w:jc w:val="center"/>
              <w:ind w:right="260"/>
              <w:spacing w:after="0"/>
              <w:rPr>
                <w:sz w:val="20"/>
                <w:szCs w:val="20"/>
                <w:color w:val="auto"/>
              </w:rPr>
            </w:pPr>
            <w:r>
              <w:rPr>
                <w:rFonts w:ascii="Arial" w:cs="Arial" w:eastAsia="Arial" w:hAnsi="Arial"/>
                <w:sz w:val="14"/>
                <w:szCs w:val="14"/>
                <w:b w:val="1"/>
                <w:bCs w:val="1"/>
                <w:color w:val="auto"/>
              </w:rPr>
              <w:t>Trigger</w:t>
            </w:r>
          </w:p>
        </w:tc>
        <w:tc>
          <w:tcPr>
            <w:tcW w:w="94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70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840" w:type="dxa"/>
            <w:vAlign w:val="bottom"/>
            <w:shd w:val="clear" w:color="auto" w:fill="9DB8D2"/>
          </w:tcPr>
          <w:p>
            <w:pPr>
              <w:spacing w:after="0"/>
              <w:rPr>
                <w:sz w:val="14"/>
                <w:szCs w:val="14"/>
                <w:color w:val="auto"/>
              </w:rPr>
            </w:pPr>
          </w:p>
        </w:tc>
      </w:tr>
      <w:tr>
        <w:trPr>
          <w:trHeight w:val="162"/>
        </w:trPr>
        <w:tc>
          <w:tcPr>
            <w:tcW w:w="3880" w:type="dxa"/>
            <w:vAlign w:val="bottom"/>
            <w:shd w:val="clear" w:color="auto" w:fill="9DB8D2"/>
          </w:tcPr>
          <w:p>
            <w:pPr>
              <w:spacing w:after="0"/>
              <w:rPr>
                <w:sz w:val="14"/>
                <w:szCs w:val="14"/>
                <w:color w:val="auto"/>
              </w:rPr>
            </w:pPr>
          </w:p>
        </w:tc>
        <w:tc>
          <w:tcPr>
            <w:tcW w:w="20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4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Reason –</w:t>
            </w:r>
          </w:p>
        </w:tc>
        <w:tc>
          <w:tcPr>
            <w:tcW w:w="280" w:type="dxa"/>
            <w:vAlign w:val="bottom"/>
            <w:shd w:val="clear" w:color="auto" w:fill="9DB8D2"/>
          </w:tcPr>
          <w:p>
            <w:pPr>
              <w:spacing w:after="0"/>
              <w:rPr>
                <w:sz w:val="14"/>
                <w:szCs w:val="14"/>
                <w:color w:val="auto"/>
              </w:rPr>
            </w:pPr>
          </w:p>
        </w:tc>
        <w:tc>
          <w:tcPr>
            <w:tcW w:w="1120" w:type="dxa"/>
            <w:vAlign w:val="bottom"/>
            <w:gridSpan w:val="2"/>
            <w:shd w:val="clear" w:color="auto" w:fill="9DB8D2"/>
          </w:tcPr>
          <w:p>
            <w:pPr>
              <w:jc w:val="center"/>
              <w:ind w:right="260"/>
              <w:spacing w:after="0"/>
              <w:rPr>
                <w:sz w:val="20"/>
                <w:szCs w:val="20"/>
                <w:color w:val="auto"/>
              </w:rPr>
            </w:pPr>
            <w:r>
              <w:rPr>
                <w:rFonts w:ascii="Arial" w:cs="Arial" w:eastAsia="Arial" w:hAnsi="Arial"/>
                <w:sz w:val="14"/>
                <w:szCs w:val="14"/>
                <w:b w:val="1"/>
                <w:bCs w:val="1"/>
                <w:color w:val="auto"/>
              </w:rPr>
              <w:t>(COC+</w:t>
            </w:r>
          </w:p>
        </w:tc>
        <w:tc>
          <w:tcPr>
            <w:tcW w:w="94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700" w:type="dxa"/>
            <w:vAlign w:val="bottom"/>
            <w:shd w:val="clear" w:color="auto" w:fill="9DB8D2"/>
          </w:tcPr>
          <w:p>
            <w:pPr>
              <w:spacing w:after="0"/>
              <w:rPr>
                <w:sz w:val="14"/>
                <w:szCs w:val="14"/>
                <w:color w:val="auto"/>
              </w:rPr>
            </w:pPr>
          </w:p>
        </w:tc>
        <w:tc>
          <w:tcPr>
            <w:tcW w:w="220" w:type="dxa"/>
            <w:vAlign w:val="bottom"/>
            <w:shd w:val="clear" w:color="auto" w:fill="9DB8D2"/>
          </w:tcPr>
          <w:p>
            <w:pPr>
              <w:spacing w:after="0"/>
              <w:rPr>
                <w:sz w:val="14"/>
                <w:szCs w:val="14"/>
                <w:color w:val="auto"/>
              </w:rPr>
            </w:pPr>
          </w:p>
        </w:tc>
        <w:tc>
          <w:tcPr>
            <w:tcW w:w="840" w:type="dxa"/>
            <w:vAlign w:val="bottom"/>
            <w:shd w:val="clear" w:color="auto" w:fill="9DB8D2"/>
          </w:tcPr>
          <w:p>
            <w:pPr>
              <w:spacing w:after="0"/>
              <w:rPr>
                <w:sz w:val="14"/>
                <w:szCs w:val="14"/>
                <w:color w:val="auto"/>
              </w:rPr>
            </w:pPr>
          </w:p>
        </w:tc>
      </w:tr>
      <w:tr>
        <w:trPr>
          <w:trHeight w:val="162"/>
        </w:trPr>
        <w:tc>
          <w:tcPr>
            <w:tcW w:w="3880" w:type="dxa"/>
            <w:vAlign w:val="bottom"/>
            <w:shd w:val="clear" w:color="auto" w:fill="9DB8D2"/>
          </w:tcPr>
          <w:p>
            <w:pPr>
              <w:spacing w:after="0"/>
              <w:rPr>
                <w:sz w:val="14"/>
                <w:szCs w:val="14"/>
                <w:color w:val="auto"/>
              </w:rPr>
            </w:pPr>
          </w:p>
        </w:tc>
        <w:tc>
          <w:tcPr>
            <w:tcW w:w="200" w:type="dxa"/>
            <w:vAlign w:val="bottom"/>
            <w:shd w:val="clear" w:color="auto" w:fill="9DB8D2"/>
          </w:tcPr>
          <w:p>
            <w:pPr>
              <w:spacing w:after="0"/>
              <w:rPr>
                <w:sz w:val="14"/>
                <w:szCs w:val="14"/>
                <w:color w:val="auto"/>
              </w:rPr>
            </w:pPr>
          </w:p>
        </w:tc>
        <w:tc>
          <w:tcPr>
            <w:tcW w:w="78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40" w:type="dxa"/>
            <w:vAlign w:val="bottom"/>
            <w:shd w:val="clear" w:color="auto" w:fill="9DB8D2"/>
          </w:tcPr>
          <w:p>
            <w:pPr>
              <w:spacing w:after="0"/>
              <w:rPr>
                <w:sz w:val="14"/>
                <w:szCs w:val="14"/>
                <w:color w:val="auto"/>
              </w:rPr>
            </w:pPr>
          </w:p>
        </w:tc>
        <w:tc>
          <w:tcPr>
            <w:tcW w:w="260" w:type="dxa"/>
            <w:vAlign w:val="bottom"/>
            <w:shd w:val="clear" w:color="auto" w:fill="9DB8D2"/>
          </w:tcPr>
          <w:p>
            <w:pPr>
              <w:spacing w:after="0"/>
              <w:rPr>
                <w:sz w:val="14"/>
                <w:szCs w:val="14"/>
                <w:color w:val="auto"/>
              </w:rPr>
            </w:pPr>
          </w:p>
        </w:tc>
        <w:tc>
          <w:tcPr>
            <w:tcW w:w="82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rPr>
              <w:t>no</w:t>
            </w:r>
          </w:p>
        </w:tc>
        <w:tc>
          <w:tcPr>
            <w:tcW w:w="280" w:type="dxa"/>
            <w:vAlign w:val="bottom"/>
            <w:shd w:val="clear" w:color="auto" w:fill="9DB8D2"/>
          </w:tcPr>
          <w:p>
            <w:pPr>
              <w:spacing w:after="0"/>
              <w:rPr>
                <w:sz w:val="14"/>
                <w:szCs w:val="14"/>
                <w:color w:val="auto"/>
              </w:rPr>
            </w:pPr>
          </w:p>
        </w:tc>
        <w:tc>
          <w:tcPr>
            <w:tcW w:w="1120" w:type="dxa"/>
            <w:vAlign w:val="bottom"/>
            <w:gridSpan w:val="2"/>
            <w:shd w:val="clear" w:color="auto" w:fill="9DB8D2"/>
          </w:tcPr>
          <w:p>
            <w:pPr>
              <w:jc w:val="center"/>
              <w:ind w:right="260"/>
              <w:spacing w:after="0"/>
              <w:rPr>
                <w:sz w:val="20"/>
                <w:szCs w:val="20"/>
                <w:color w:val="auto"/>
              </w:rPr>
            </w:pPr>
            <w:r>
              <w:rPr>
                <w:rFonts w:ascii="Arial" w:cs="Arial" w:eastAsia="Arial" w:hAnsi="Arial"/>
                <w:sz w:val="14"/>
                <w:szCs w:val="14"/>
                <w:b w:val="1"/>
                <w:bCs w:val="1"/>
                <w:color w:val="auto"/>
              </w:rPr>
              <w:t>Termination)</w:t>
            </w:r>
          </w:p>
        </w:tc>
        <w:tc>
          <w:tcPr>
            <w:tcW w:w="940" w:type="dxa"/>
            <w:vAlign w:val="bottom"/>
            <w:shd w:val="clear" w:color="auto" w:fill="9DB8D2"/>
          </w:tcPr>
          <w:p>
            <w:pPr>
              <w:spacing w:after="0"/>
              <w:rPr>
                <w:sz w:val="14"/>
                <w:szCs w:val="14"/>
                <w:color w:val="auto"/>
              </w:rPr>
            </w:pPr>
          </w:p>
        </w:tc>
        <w:tc>
          <w:tcPr>
            <w:tcW w:w="280" w:type="dxa"/>
            <w:vAlign w:val="bottom"/>
            <w:shd w:val="clear" w:color="auto" w:fill="9DB8D2"/>
          </w:tcPr>
          <w:p>
            <w:pPr>
              <w:spacing w:after="0"/>
              <w:rPr>
                <w:sz w:val="14"/>
                <w:szCs w:val="14"/>
                <w:color w:val="auto"/>
              </w:rPr>
            </w:pPr>
          </w:p>
        </w:tc>
        <w:tc>
          <w:tcPr>
            <w:tcW w:w="700" w:type="dxa"/>
            <w:vAlign w:val="bottom"/>
            <w:shd w:val="clear" w:color="auto" w:fill="9DB8D2"/>
          </w:tcPr>
          <w:p>
            <w:pPr>
              <w:jc w:val="center"/>
              <w:spacing w:after="0"/>
              <w:rPr>
                <w:sz w:val="20"/>
                <w:szCs w:val="20"/>
                <w:color w:val="auto"/>
              </w:rPr>
            </w:pPr>
            <w:r>
              <w:rPr>
                <w:rFonts w:ascii="Arial" w:cs="Arial" w:eastAsia="Arial" w:hAnsi="Arial"/>
                <w:sz w:val="14"/>
                <w:szCs w:val="14"/>
                <w:b w:val="1"/>
                <w:bCs w:val="1"/>
                <w:color w:val="auto"/>
                <w:w w:val="97"/>
              </w:rPr>
              <w:t>For</w:t>
            </w:r>
          </w:p>
        </w:tc>
        <w:tc>
          <w:tcPr>
            <w:tcW w:w="220" w:type="dxa"/>
            <w:vAlign w:val="bottom"/>
            <w:shd w:val="clear" w:color="auto" w:fill="9DB8D2"/>
          </w:tcPr>
          <w:p>
            <w:pPr>
              <w:spacing w:after="0"/>
              <w:rPr>
                <w:sz w:val="14"/>
                <w:szCs w:val="14"/>
                <w:color w:val="auto"/>
              </w:rPr>
            </w:pPr>
          </w:p>
        </w:tc>
        <w:tc>
          <w:tcPr>
            <w:tcW w:w="840" w:type="dxa"/>
            <w:vAlign w:val="bottom"/>
            <w:shd w:val="clear" w:color="auto" w:fill="9DB8D2"/>
          </w:tcPr>
          <w:p>
            <w:pPr>
              <w:spacing w:after="0"/>
              <w:rPr>
                <w:sz w:val="14"/>
                <w:szCs w:val="14"/>
                <w:color w:val="auto"/>
              </w:rPr>
            </w:pPr>
          </w:p>
        </w:tc>
      </w:tr>
      <w:tr>
        <w:trPr>
          <w:trHeight w:val="189"/>
        </w:trPr>
        <w:tc>
          <w:tcPr>
            <w:tcW w:w="3880" w:type="dxa"/>
            <w:vAlign w:val="bottom"/>
            <w:tcBorders>
              <w:bottom w:val="single" w:sz="8" w:color="auto"/>
            </w:tcBorders>
            <w:shd w:val="clear" w:color="auto" w:fill="9DB8D2"/>
          </w:tcPr>
          <w:p>
            <w:pPr>
              <w:spacing w:after="0"/>
              <w:rPr>
                <w:sz w:val="16"/>
                <w:szCs w:val="16"/>
                <w:color w:val="auto"/>
              </w:rPr>
            </w:pPr>
          </w:p>
        </w:tc>
        <w:tc>
          <w:tcPr>
            <w:tcW w:w="200" w:type="dxa"/>
            <w:vAlign w:val="bottom"/>
            <w:tcBorders>
              <w:bottom w:val="single" w:sz="8" w:color="auto"/>
            </w:tcBorders>
            <w:shd w:val="clear" w:color="auto" w:fill="9DB8D2"/>
          </w:tcPr>
          <w:p>
            <w:pPr>
              <w:spacing w:after="0"/>
              <w:rPr>
                <w:sz w:val="16"/>
                <w:szCs w:val="16"/>
                <w:color w:val="auto"/>
              </w:rPr>
            </w:pPr>
          </w:p>
        </w:tc>
        <w:tc>
          <w:tcPr>
            <w:tcW w:w="780" w:type="dxa"/>
            <w:vAlign w:val="bottom"/>
            <w:tcBorders>
              <w:bottom w:val="single" w:sz="8" w:color="auto"/>
            </w:tcBorders>
            <w:shd w:val="clear" w:color="auto" w:fill="9DB8D2"/>
          </w:tcPr>
          <w:p>
            <w:pPr>
              <w:jc w:val="right"/>
              <w:ind w:right="21"/>
              <w:spacing w:after="0"/>
              <w:rPr>
                <w:sz w:val="20"/>
                <w:szCs w:val="20"/>
                <w:color w:val="auto"/>
              </w:rPr>
            </w:pPr>
            <w:r>
              <w:rPr>
                <w:rFonts w:ascii="Arial" w:cs="Arial" w:eastAsia="Arial" w:hAnsi="Arial"/>
                <w:sz w:val="14"/>
                <w:szCs w:val="14"/>
                <w:b w:val="1"/>
                <w:bCs w:val="1"/>
                <w:color w:val="auto"/>
              </w:rPr>
              <w:t>Death($)</w:t>
            </w:r>
          </w:p>
        </w:tc>
        <w:tc>
          <w:tcPr>
            <w:tcW w:w="260" w:type="dxa"/>
            <w:vAlign w:val="bottom"/>
            <w:tcBorders>
              <w:bottom w:val="single" w:sz="8" w:color="auto"/>
            </w:tcBorders>
            <w:shd w:val="clear" w:color="auto" w:fill="9DB8D2"/>
          </w:tcPr>
          <w:p>
            <w:pPr>
              <w:spacing w:after="0"/>
              <w:rPr>
                <w:sz w:val="16"/>
                <w:szCs w:val="16"/>
                <w:color w:val="auto"/>
              </w:rPr>
            </w:pPr>
          </w:p>
        </w:tc>
        <w:tc>
          <w:tcPr>
            <w:tcW w:w="1100" w:type="dxa"/>
            <w:vAlign w:val="bottom"/>
            <w:tcBorders>
              <w:bottom w:val="single" w:sz="8" w:color="auto"/>
            </w:tcBorders>
            <w:gridSpan w:val="2"/>
            <w:shd w:val="clear" w:color="auto" w:fill="9DB8D2"/>
          </w:tcPr>
          <w:p>
            <w:pPr>
              <w:ind w:left="20"/>
              <w:spacing w:after="0"/>
              <w:rPr>
                <w:sz w:val="20"/>
                <w:szCs w:val="20"/>
                <w:color w:val="auto"/>
              </w:rPr>
            </w:pPr>
            <w:r>
              <w:rPr>
                <w:rFonts w:ascii="Arial" w:cs="Arial" w:eastAsia="Arial" w:hAnsi="Arial"/>
                <w:sz w:val="14"/>
                <w:szCs w:val="14"/>
                <w:b w:val="1"/>
                <w:bCs w:val="1"/>
                <w:color w:val="auto"/>
              </w:rPr>
              <w:t>Disability($)</w:t>
            </w:r>
          </w:p>
        </w:tc>
        <w:tc>
          <w:tcPr>
            <w:tcW w:w="82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COC($)</w:t>
            </w:r>
          </w:p>
        </w:tc>
        <w:tc>
          <w:tcPr>
            <w:tcW w:w="1140" w:type="dxa"/>
            <w:vAlign w:val="bottom"/>
            <w:tcBorders>
              <w:bottom w:val="single" w:sz="8" w:color="auto"/>
            </w:tcBorders>
            <w:gridSpan w:val="2"/>
            <w:shd w:val="clear" w:color="auto" w:fill="9DB8D2"/>
          </w:tcPr>
          <w:p>
            <w:pPr>
              <w:jc w:val="center"/>
              <w:ind w:left="200"/>
              <w:spacing w:after="0"/>
              <w:rPr>
                <w:sz w:val="20"/>
                <w:szCs w:val="20"/>
                <w:color w:val="auto"/>
              </w:rPr>
            </w:pPr>
            <w:r>
              <w:rPr>
                <w:rFonts w:ascii="Arial" w:cs="Arial" w:eastAsia="Arial" w:hAnsi="Arial"/>
                <w:sz w:val="14"/>
                <w:szCs w:val="14"/>
                <w:b w:val="1"/>
                <w:bCs w:val="1"/>
                <w:color w:val="auto"/>
                <w:w w:val="99"/>
              </w:rPr>
              <w:t>($)(2)</w:t>
            </w:r>
          </w:p>
        </w:tc>
        <w:tc>
          <w:tcPr>
            <w:tcW w:w="260" w:type="dxa"/>
            <w:vAlign w:val="bottom"/>
            <w:tcBorders>
              <w:bottom w:val="single" w:sz="8" w:color="auto"/>
            </w:tcBorders>
            <w:shd w:val="clear" w:color="auto" w:fill="9DB8D2"/>
          </w:tcPr>
          <w:p>
            <w:pPr>
              <w:spacing w:after="0"/>
              <w:rPr>
                <w:sz w:val="16"/>
                <w:szCs w:val="16"/>
                <w:color w:val="auto"/>
              </w:rPr>
            </w:pPr>
          </w:p>
        </w:tc>
        <w:tc>
          <w:tcPr>
            <w:tcW w:w="940" w:type="dxa"/>
            <w:vAlign w:val="bottom"/>
            <w:tcBorders>
              <w:bottom w:val="single" w:sz="8" w:color="auto"/>
            </w:tcBorders>
            <w:shd w:val="clear" w:color="auto" w:fill="9DB8D2"/>
          </w:tcPr>
          <w:p>
            <w:pPr>
              <w:jc w:val="right"/>
              <w:spacing w:after="0"/>
              <w:rPr>
                <w:sz w:val="20"/>
                <w:szCs w:val="20"/>
                <w:color w:val="auto"/>
              </w:rPr>
            </w:pPr>
            <w:r>
              <w:rPr>
                <w:rFonts w:ascii="Arial" w:cs="Arial" w:eastAsia="Arial" w:hAnsi="Arial"/>
                <w:sz w:val="14"/>
                <w:szCs w:val="14"/>
                <w:b w:val="1"/>
                <w:bCs w:val="1"/>
                <w:color w:val="auto"/>
              </w:rPr>
              <w:t>Retirement($)</w:t>
            </w:r>
          </w:p>
        </w:tc>
        <w:tc>
          <w:tcPr>
            <w:tcW w:w="280" w:type="dxa"/>
            <w:vAlign w:val="bottom"/>
            <w:tcBorders>
              <w:bottom w:val="single" w:sz="8" w:color="auto"/>
            </w:tcBorders>
            <w:shd w:val="clear" w:color="auto" w:fill="9DB8D2"/>
          </w:tcPr>
          <w:p>
            <w:pPr>
              <w:spacing w:after="0"/>
              <w:rPr>
                <w:sz w:val="16"/>
                <w:szCs w:val="16"/>
                <w:color w:val="auto"/>
              </w:rPr>
            </w:pPr>
          </w:p>
        </w:tc>
        <w:tc>
          <w:tcPr>
            <w:tcW w:w="70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Cause($)</w:t>
            </w:r>
          </w:p>
        </w:tc>
        <w:tc>
          <w:tcPr>
            <w:tcW w:w="220" w:type="dxa"/>
            <w:vAlign w:val="bottom"/>
            <w:tcBorders>
              <w:bottom w:val="single" w:sz="8" w:color="auto"/>
            </w:tcBorders>
            <w:shd w:val="clear" w:color="auto" w:fill="9DB8D2"/>
          </w:tcPr>
          <w:p>
            <w:pPr>
              <w:spacing w:after="0"/>
              <w:rPr>
                <w:sz w:val="16"/>
                <w:szCs w:val="16"/>
                <w:color w:val="auto"/>
              </w:rPr>
            </w:pPr>
          </w:p>
        </w:tc>
        <w:tc>
          <w:tcPr>
            <w:tcW w:w="840" w:type="dxa"/>
            <w:vAlign w:val="bottom"/>
            <w:tcBorders>
              <w:bottom w:val="single" w:sz="8" w:color="auto"/>
            </w:tcBorders>
            <w:shd w:val="clear" w:color="auto" w:fill="9DB8D2"/>
          </w:tcPr>
          <w:p>
            <w:pPr>
              <w:jc w:val="center"/>
              <w:spacing w:after="0"/>
              <w:rPr>
                <w:sz w:val="20"/>
                <w:szCs w:val="20"/>
                <w:color w:val="auto"/>
              </w:rPr>
            </w:pPr>
            <w:r>
              <w:rPr>
                <w:rFonts w:ascii="Arial" w:cs="Arial" w:eastAsia="Arial" w:hAnsi="Arial"/>
                <w:sz w:val="14"/>
                <w:szCs w:val="14"/>
                <w:b w:val="1"/>
                <w:bCs w:val="1"/>
                <w:color w:val="auto"/>
              </w:rPr>
              <w:t>Voluntary($)</w:t>
            </w:r>
          </w:p>
        </w:tc>
      </w:tr>
      <w:tr>
        <w:trPr>
          <w:trHeight w:val="183"/>
        </w:trPr>
        <w:tc>
          <w:tcPr>
            <w:tcW w:w="388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Severance Payment(3)</w:t>
            </w:r>
          </w:p>
        </w:tc>
        <w:tc>
          <w:tcPr>
            <w:tcW w:w="200" w:type="dxa"/>
            <w:vAlign w:val="bottom"/>
            <w:shd w:val="clear" w:color="auto" w:fill="E6EDF3"/>
          </w:tcPr>
          <w:p>
            <w:pPr>
              <w:spacing w:after="0"/>
              <w:rPr>
                <w:sz w:val="15"/>
                <w:szCs w:val="15"/>
                <w:color w:val="auto"/>
              </w:rPr>
            </w:pPr>
          </w:p>
        </w:tc>
        <w:tc>
          <w:tcPr>
            <w:tcW w:w="780" w:type="dxa"/>
            <w:vAlign w:val="bottom"/>
            <w:shd w:val="clear" w:color="auto" w:fill="E6EDF3"/>
          </w:tcPr>
          <w:p>
            <w:pPr>
              <w:jc w:val="right"/>
              <w:spacing w:after="0" w:line="183" w:lineRule="exact"/>
              <w:rPr>
                <w:sz w:val="20"/>
                <w:szCs w:val="20"/>
                <w:color w:val="auto"/>
              </w:rPr>
            </w:pPr>
            <w:r>
              <w:rPr>
                <w:rFonts w:ascii="Arial" w:cs="Arial" w:eastAsia="Arial" w:hAnsi="Arial"/>
                <w:sz w:val="16"/>
                <w:szCs w:val="16"/>
                <w:color w:val="auto"/>
              </w:rPr>
              <w:t>—</w:t>
            </w:r>
          </w:p>
        </w:tc>
        <w:tc>
          <w:tcPr>
            <w:tcW w:w="260" w:type="dxa"/>
            <w:vAlign w:val="bottom"/>
            <w:shd w:val="clear" w:color="auto" w:fill="E6EDF3"/>
          </w:tcPr>
          <w:p>
            <w:pPr>
              <w:spacing w:after="0"/>
              <w:rPr>
                <w:sz w:val="15"/>
                <w:szCs w:val="15"/>
                <w:color w:val="auto"/>
              </w:rPr>
            </w:pPr>
          </w:p>
        </w:tc>
        <w:tc>
          <w:tcPr>
            <w:tcW w:w="1100" w:type="dxa"/>
            <w:vAlign w:val="bottom"/>
            <w:gridSpan w:val="2"/>
            <w:shd w:val="clear" w:color="auto" w:fill="E6EDF3"/>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E6EDF3"/>
          </w:tcPr>
          <w:p>
            <w:pPr>
              <w:jc w:val="right"/>
              <w:spacing w:after="0" w:line="183" w:lineRule="exact"/>
              <w:rPr>
                <w:sz w:val="20"/>
                <w:szCs w:val="20"/>
                <w:color w:val="auto"/>
              </w:rPr>
            </w:pPr>
            <w:r>
              <w:rPr>
                <w:rFonts w:ascii="Arial" w:cs="Arial" w:eastAsia="Arial" w:hAnsi="Arial"/>
                <w:sz w:val="16"/>
                <w:szCs w:val="16"/>
                <w:color w:val="auto"/>
              </w:rPr>
              <w:t>980,000</w:t>
            </w:r>
          </w:p>
        </w:tc>
        <w:tc>
          <w:tcPr>
            <w:tcW w:w="1400" w:type="dxa"/>
            <w:vAlign w:val="bottom"/>
            <w:gridSpan w:val="3"/>
            <w:shd w:val="clear" w:color="auto" w:fill="E6EDF3"/>
          </w:tcPr>
          <w:p>
            <w:pPr>
              <w:jc w:val="right"/>
              <w:ind w:right="260"/>
              <w:spacing w:after="0" w:line="183" w:lineRule="exact"/>
              <w:rPr>
                <w:sz w:val="20"/>
                <w:szCs w:val="20"/>
                <w:color w:val="auto"/>
              </w:rPr>
            </w:pPr>
            <w:r>
              <w:rPr>
                <w:rFonts w:ascii="Arial" w:cs="Arial" w:eastAsia="Arial" w:hAnsi="Arial"/>
                <w:sz w:val="16"/>
                <w:szCs w:val="16"/>
                <w:color w:val="auto"/>
              </w:rPr>
              <w:t>1,960,000</w:t>
            </w:r>
          </w:p>
        </w:tc>
        <w:tc>
          <w:tcPr>
            <w:tcW w:w="940" w:type="dxa"/>
            <w:vAlign w:val="bottom"/>
            <w:shd w:val="clear" w:color="auto" w:fill="E6EDF3"/>
          </w:tcPr>
          <w:p>
            <w:pPr>
              <w:jc w:val="right"/>
              <w:spacing w:after="0" w:line="183" w:lineRule="exact"/>
              <w:rPr>
                <w:sz w:val="20"/>
                <w:szCs w:val="20"/>
                <w:color w:val="auto"/>
              </w:rPr>
            </w:pPr>
            <w:r>
              <w:rPr>
                <w:rFonts w:ascii="Arial" w:cs="Arial" w:eastAsia="Arial" w:hAnsi="Arial"/>
                <w:sz w:val="16"/>
                <w:szCs w:val="16"/>
                <w:color w:val="auto"/>
              </w:rPr>
              <w:t>—</w:t>
            </w:r>
          </w:p>
        </w:tc>
        <w:tc>
          <w:tcPr>
            <w:tcW w:w="280" w:type="dxa"/>
            <w:vAlign w:val="bottom"/>
            <w:shd w:val="clear" w:color="auto" w:fill="E6EDF3"/>
          </w:tcPr>
          <w:p>
            <w:pPr>
              <w:spacing w:after="0"/>
              <w:rPr>
                <w:sz w:val="15"/>
                <w:szCs w:val="15"/>
                <w:color w:val="auto"/>
              </w:rPr>
            </w:pPr>
          </w:p>
        </w:tc>
        <w:tc>
          <w:tcPr>
            <w:tcW w:w="700" w:type="dxa"/>
            <w:vAlign w:val="bottom"/>
            <w:shd w:val="clear" w:color="auto" w:fill="E6EDF3"/>
          </w:tcPr>
          <w:p>
            <w:pPr>
              <w:jc w:val="center"/>
              <w:spacing w:after="0" w:line="183" w:lineRule="exact"/>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15"/>
                <w:szCs w:val="15"/>
                <w:color w:val="auto"/>
              </w:rPr>
            </w:pPr>
          </w:p>
        </w:tc>
        <w:tc>
          <w:tcPr>
            <w:tcW w:w="840" w:type="dxa"/>
            <w:vAlign w:val="bottom"/>
            <w:shd w:val="clear" w:color="auto" w:fill="E6EDF3"/>
          </w:tcPr>
          <w:p>
            <w:pPr>
              <w:jc w:val="center"/>
              <w:spacing w:after="0" w:line="183" w:lineRule="exact"/>
              <w:rPr>
                <w:sz w:val="20"/>
                <w:szCs w:val="20"/>
                <w:color w:val="auto"/>
              </w:rPr>
            </w:pPr>
            <w:r>
              <w:rPr>
                <w:rFonts w:ascii="Arial" w:cs="Arial" w:eastAsia="Arial" w:hAnsi="Arial"/>
                <w:sz w:val="16"/>
                <w:szCs w:val="16"/>
                <w:color w:val="auto"/>
                <w:w w:val="99"/>
              </w:rPr>
              <w:t>—</w:t>
            </w:r>
          </w:p>
        </w:tc>
      </w:tr>
      <w:tr>
        <w:trPr>
          <w:trHeight w:val="189"/>
        </w:trPr>
        <w:tc>
          <w:tcPr>
            <w:tcW w:w="3880" w:type="dxa"/>
            <w:vAlign w:val="bottom"/>
          </w:tcPr>
          <w:p>
            <w:pPr>
              <w:ind w:left="80"/>
              <w:spacing w:after="0"/>
              <w:rPr>
                <w:sz w:val="20"/>
                <w:szCs w:val="20"/>
                <w:color w:val="auto"/>
              </w:rPr>
            </w:pPr>
            <w:r>
              <w:rPr>
                <w:rFonts w:ascii="Arial" w:cs="Arial" w:eastAsia="Arial" w:hAnsi="Arial"/>
                <w:sz w:val="16"/>
                <w:szCs w:val="16"/>
                <w:color w:val="auto"/>
              </w:rPr>
              <w:t>Prorated Incentive(4)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420,000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420,000</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477,848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420,000</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522,648</w:t>
            </w:r>
          </w:p>
        </w:tc>
        <w:tc>
          <w:tcPr>
            <w:tcW w:w="2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189"/>
        </w:trPr>
        <w:tc>
          <w:tcPr>
            <w:tcW w:w="3880" w:type="dxa"/>
            <w:vAlign w:val="bottom"/>
            <w:shd w:val="clear" w:color="auto" w:fill="E6EDF3"/>
          </w:tcPr>
          <w:p>
            <w:pPr>
              <w:ind w:left="80"/>
              <w:spacing w:after="0"/>
              <w:rPr>
                <w:sz w:val="20"/>
                <w:szCs w:val="20"/>
                <w:color w:val="auto"/>
              </w:rPr>
            </w:pPr>
            <w:r>
              <w:rPr>
                <w:rFonts w:ascii="Arial" w:cs="Arial" w:eastAsia="Arial" w:hAnsi="Arial"/>
                <w:sz w:val="16"/>
                <w:szCs w:val="16"/>
                <w:color w:val="auto"/>
              </w:rPr>
              <w:t>Options(5)</w:t>
            </w:r>
          </w:p>
        </w:tc>
        <w:tc>
          <w:tcPr>
            <w:tcW w:w="98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492,839</w:t>
            </w:r>
          </w:p>
        </w:tc>
        <w:tc>
          <w:tcPr>
            <w:tcW w:w="110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492,839</w:t>
            </w:r>
          </w:p>
        </w:tc>
        <w:tc>
          <w:tcPr>
            <w:tcW w:w="260" w:type="dxa"/>
            <w:vAlign w:val="bottom"/>
            <w:shd w:val="clear" w:color="auto" w:fill="E6EDF3"/>
          </w:tcPr>
          <w:p>
            <w:pPr>
              <w:spacing w:after="0"/>
              <w:rPr>
                <w:sz w:val="16"/>
                <w:szCs w:val="16"/>
                <w:color w:val="auto"/>
              </w:rPr>
            </w:pPr>
          </w:p>
        </w:tc>
        <w:tc>
          <w:tcPr>
            <w:tcW w:w="8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492,839</w:t>
            </w:r>
          </w:p>
        </w:tc>
        <w:tc>
          <w:tcPr>
            <w:tcW w:w="260" w:type="dxa"/>
            <w:vAlign w:val="bottom"/>
            <w:shd w:val="clear" w:color="auto" w:fill="E6EDF3"/>
          </w:tcPr>
          <w:p>
            <w:pPr>
              <w:spacing w:after="0"/>
              <w:rPr>
                <w:sz w:val="16"/>
                <w:szCs w:val="16"/>
                <w:color w:val="auto"/>
              </w:rPr>
            </w:pPr>
          </w:p>
        </w:tc>
        <w:tc>
          <w:tcPr>
            <w:tcW w:w="940" w:type="dxa"/>
            <w:vAlign w:val="bottom"/>
            <w:shd w:val="clear" w:color="auto" w:fill="E6EDF3"/>
          </w:tcPr>
          <w:p>
            <w:pPr>
              <w:jc w:val="right"/>
              <w:spacing w:after="0"/>
              <w:rPr>
                <w:sz w:val="20"/>
                <w:szCs w:val="20"/>
                <w:color w:val="auto"/>
              </w:rPr>
            </w:pPr>
            <w:r>
              <w:rPr>
                <w:rFonts w:ascii="Arial" w:cs="Arial" w:eastAsia="Arial" w:hAnsi="Arial"/>
                <w:sz w:val="16"/>
                <w:szCs w:val="16"/>
                <w:color w:val="auto"/>
              </w:rPr>
              <w:t>492,839</w:t>
            </w:r>
          </w:p>
        </w:tc>
        <w:tc>
          <w:tcPr>
            <w:tcW w:w="280" w:type="dxa"/>
            <w:vAlign w:val="bottom"/>
            <w:shd w:val="clear" w:color="auto" w:fill="E6EDF3"/>
          </w:tcPr>
          <w:p>
            <w:pPr>
              <w:spacing w:after="0"/>
              <w:rPr>
                <w:sz w:val="16"/>
                <w:szCs w:val="16"/>
                <w:color w:val="auto"/>
              </w:rPr>
            </w:pPr>
          </w:p>
        </w:tc>
        <w:tc>
          <w:tcPr>
            <w:tcW w:w="70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16"/>
                <w:szCs w:val="16"/>
                <w:color w:val="auto"/>
              </w:rPr>
            </w:pPr>
          </w:p>
        </w:tc>
        <w:tc>
          <w:tcPr>
            <w:tcW w:w="84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r>
      <w:tr>
        <w:trPr>
          <w:trHeight w:val="189"/>
        </w:trPr>
        <w:tc>
          <w:tcPr>
            <w:tcW w:w="3880" w:type="dxa"/>
            <w:vAlign w:val="bottom"/>
          </w:tcPr>
          <w:p>
            <w:pPr>
              <w:ind w:left="80"/>
              <w:spacing w:after="0"/>
              <w:rPr>
                <w:sz w:val="20"/>
                <w:szCs w:val="20"/>
                <w:color w:val="auto"/>
              </w:rPr>
            </w:pPr>
            <w:r>
              <w:rPr>
                <w:rFonts w:ascii="Arial" w:cs="Arial" w:eastAsia="Arial" w:hAnsi="Arial"/>
                <w:sz w:val="16"/>
                <w:szCs w:val="16"/>
                <w:color w:val="auto"/>
              </w:rPr>
              <w:t>Performance Share Units(6)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2,524,352</w:t>
            </w: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2,524,352</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260"/>
              <w:spacing w:after="0"/>
              <w:rPr>
                <w:sz w:val="20"/>
                <w:szCs w:val="20"/>
                <w:color w:val="auto"/>
              </w:rPr>
            </w:pPr>
            <w:r>
              <w:rPr>
                <w:rFonts w:ascii="Arial" w:cs="Arial" w:eastAsia="Arial" w:hAnsi="Arial"/>
                <w:sz w:val="16"/>
                <w:szCs w:val="16"/>
                <w:color w:val="auto"/>
              </w:rPr>
              <w:t>3,264,008</w:t>
            </w:r>
          </w:p>
        </w:tc>
        <w:tc>
          <w:tcPr>
            <w:tcW w:w="940" w:type="dxa"/>
            <w:vAlign w:val="bottom"/>
          </w:tcPr>
          <w:p>
            <w:pPr>
              <w:jc w:val="right"/>
              <w:spacing w:after="0"/>
              <w:rPr>
                <w:sz w:val="20"/>
                <w:szCs w:val="20"/>
                <w:color w:val="auto"/>
              </w:rPr>
            </w:pPr>
            <w:r>
              <w:rPr>
                <w:rFonts w:ascii="Arial" w:cs="Arial" w:eastAsia="Arial" w:hAnsi="Arial"/>
                <w:sz w:val="16"/>
                <w:szCs w:val="16"/>
                <w:color w:val="auto"/>
              </w:rPr>
              <w:t>3,256,987</w:t>
            </w:r>
          </w:p>
        </w:tc>
        <w:tc>
          <w:tcPr>
            <w:tcW w:w="2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189"/>
        </w:trPr>
        <w:tc>
          <w:tcPr>
            <w:tcW w:w="3880" w:type="dxa"/>
            <w:vAlign w:val="bottom"/>
            <w:shd w:val="clear" w:color="auto" w:fill="E6EDF3"/>
          </w:tcPr>
          <w:p>
            <w:pPr>
              <w:ind w:left="80"/>
              <w:spacing w:after="0"/>
              <w:rPr>
                <w:sz w:val="20"/>
                <w:szCs w:val="20"/>
                <w:color w:val="auto"/>
              </w:rPr>
            </w:pPr>
            <w:r>
              <w:rPr>
                <w:rFonts w:ascii="Arial" w:cs="Arial" w:eastAsia="Arial" w:hAnsi="Arial"/>
                <w:sz w:val="16"/>
                <w:szCs w:val="16"/>
                <w:color w:val="auto"/>
              </w:rPr>
              <w:t>Restricted Stock Units/Career Shares(7)</w:t>
            </w:r>
          </w:p>
        </w:tc>
        <w:tc>
          <w:tcPr>
            <w:tcW w:w="980" w:type="dxa"/>
            <w:vAlign w:val="bottom"/>
            <w:gridSpan w:val="2"/>
            <w:shd w:val="clear" w:color="auto" w:fill="E6EDF3"/>
          </w:tcPr>
          <w:p>
            <w:pPr>
              <w:jc w:val="right"/>
              <w:spacing w:after="0"/>
              <w:rPr>
                <w:sz w:val="20"/>
                <w:szCs w:val="20"/>
                <w:color w:val="auto"/>
              </w:rPr>
            </w:pPr>
            <w:r>
              <w:rPr>
                <w:rFonts w:ascii="Arial" w:cs="Arial" w:eastAsia="Arial" w:hAnsi="Arial"/>
                <w:sz w:val="16"/>
                <w:szCs w:val="16"/>
                <w:color w:val="auto"/>
              </w:rPr>
              <w:t>1,490,528</w:t>
            </w:r>
          </w:p>
        </w:tc>
        <w:tc>
          <w:tcPr>
            <w:tcW w:w="1360" w:type="dxa"/>
            <w:vAlign w:val="bottom"/>
            <w:gridSpan w:val="3"/>
            <w:shd w:val="clear" w:color="auto" w:fill="E6EDF3"/>
          </w:tcPr>
          <w:p>
            <w:pPr>
              <w:jc w:val="right"/>
              <w:ind w:right="260"/>
              <w:spacing w:after="0"/>
              <w:rPr>
                <w:sz w:val="20"/>
                <w:szCs w:val="20"/>
                <w:color w:val="auto"/>
              </w:rPr>
            </w:pPr>
            <w:r>
              <w:rPr>
                <w:rFonts w:ascii="Arial" w:cs="Arial" w:eastAsia="Arial" w:hAnsi="Arial"/>
                <w:sz w:val="16"/>
                <w:szCs w:val="16"/>
                <w:color w:val="auto"/>
              </w:rPr>
              <w:t>1,490,528</w:t>
            </w:r>
          </w:p>
        </w:tc>
        <w:tc>
          <w:tcPr>
            <w:tcW w:w="820" w:type="dxa"/>
            <w:vAlign w:val="bottom"/>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3"/>
            <w:shd w:val="clear" w:color="auto" w:fill="E6EDF3"/>
          </w:tcPr>
          <w:p>
            <w:pPr>
              <w:jc w:val="right"/>
              <w:ind w:right="260"/>
              <w:spacing w:after="0"/>
              <w:rPr>
                <w:sz w:val="20"/>
                <w:szCs w:val="20"/>
                <w:color w:val="auto"/>
              </w:rPr>
            </w:pPr>
            <w:r>
              <w:rPr>
                <w:rFonts w:ascii="Arial" w:cs="Arial" w:eastAsia="Arial" w:hAnsi="Arial"/>
                <w:sz w:val="16"/>
                <w:szCs w:val="16"/>
                <w:color w:val="auto"/>
              </w:rPr>
              <w:t>1,490,528</w:t>
            </w:r>
          </w:p>
        </w:tc>
        <w:tc>
          <w:tcPr>
            <w:tcW w:w="940" w:type="dxa"/>
            <w:vAlign w:val="bottom"/>
            <w:shd w:val="clear" w:color="auto" w:fill="E6EDF3"/>
          </w:tcPr>
          <w:p>
            <w:pPr>
              <w:jc w:val="right"/>
              <w:spacing w:after="0"/>
              <w:rPr>
                <w:sz w:val="20"/>
                <w:szCs w:val="20"/>
                <w:color w:val="auto"/>
              </w:rPr>
            </w:pPr>
            <w:r>
              <w:rPr>
                <w:rFonts w:ascii="Arial" w:cs="Arial" w:eastAsia="Arial" w:hAnsi="Arial"/>
                <w:sz w:val="16"/>
                <w:szCs w:val="16"/>
                <w:color w:val="auto"/>
              </w:rPr>
              <w:t>874,747</w:t>
            </w:r>
          </w:p>
        </w:tc>
        <w:tc>
          <w:tcPr>
            <w:tcW w:w="280" w:type="dxa"/>
            <w:vAlign w:val="bottom"/>
            <w:shd w:val="clear" w:color="auto" w:fill="E6EDF3"/>
          </w:tcPr>
          <w:p>
            <w:pPr>
              <w:spacing w:after="0"/>
              <w:rPr>
                <w:sz w:val="16"/>
                <w:szCs w:val="16"/>
                <w:color w:val="auto"/>
              </w:rPr>
            </w:pPr>
          </w:p>
        </w:tc>
        <w:tc>
          <w:tcPr>
            <w:tcW w:w="70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16"/>
                <w:szCs w:val="16"/>
                <w:color w:val="auto"/>
              </w:rPr>
            </w:pPr>
          </w:p>
        </w:tc>
        <w:tc>
          <w:tcPr>
            <w:tcW w:w="840" w:type="dxa"/>
            <w:vAlign w:val="bottom"/>
            <w:shd w:val="clear" w:color="auto" w:fill="E6EDF3"/>
          </w:tcPr>
          <w:p>
            <w:pPr>
              <w:jc w:val="center"/>
              <w:spacing w:after="0"/>
              <w:rPr>
                <w:sz w:val="20"/>
                <w:szCs w:val="20"/>
                <w:color w:val="auto"/>
              </w:rPr>
            </w:pPr>
            <w:r>
              <w:rPr>
                <w:rFonts w:ascii="Arial" w:cs="Arial" w:eastAsia="Arial" w:hAnsi="Arial"/>
                <w:sz w:val="16"/>
                <w:szCs w:val="16"/>
                <w:color w:val="auto"/>
                <w:w w:val="99"/>
              </w:rPr>
              <w:t>—</w:t>
            </w:r>
          </w:p>
        </w:tc>
      </w:tr>
      <w:tr>
        <w:trPr>
          <w:trHeight w:val="189"/>
        </w:trPr>
        <w:tc>
          <w:tcPr>
            <w:tcW w:w="3880" w:type="dxa"/>
            <w:vAlign w:val="bottom"/>
          </w:tcPr>
          <w:p>
            <w:pPr>
              <w:ind w:left="80"/>
              <w:spacing w:after="0"/>
              <w:rPr>
                <w:sz w:val="20"/>
                <w:szCs w:val="20"/>
                <w:color w:val="auto"/>
              </w:rPr>
            </w:pPr>
            <w:r>
              <w:rPr>
                <w:rFonts w:ascii="Arial" w:cs="Arial" w:eastAsia="Arial" w:hAnsi="Arial"/>
                <w:sz w:val="16"/>
                <w:szCs w:val="16"/>
                <w:color w:val="auto"/>
              </w:rPr>
              <w:t>Health Benefits</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27,531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41,632</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189"/>
        </w:trPr>
        <w:tc>
          <w:tcPr>
            <w:tcW w:w="3880" w:type="dxa"/>
            <w:vAlign w:val="bottom"/>
            <w:shd w:val="clear" w:color="auto" w:fill="E6EDF3"/>
          </w:tcPr>
          <w:p>
            <w:pPr>
              <w:ind w:left="80"/>
              <w:spacing w:after="0"/>
              <w:rPr>
                <w:sz w:val="20"/>
                <w:szCs w:val="20"/>
                <w:color w:val="auto"/>
              </w:rPr>
            </w:pPr>
            <w:r>
              <w:rPr>
                <w:rFonts w:ascii="Arial" w:cs="Arial" w:eastAsia="Arial" w:hAnsi="Arial"/>
                <w:sz w:val="16"/>
                <w:szCs w:val="16"/>
                <w:color w:val="auto"/>
              </w:rPr>
              <w:t>Outplacement</w:t>
            </w:r>
          </w:p>
        </w:tc>
        <w:tc>
          <w:tcPr>
            <w:tcW w:w="200" w:type="dxa"/>
            <w:vAlign w:val="bottom"/>
            <w:shd w:val="clear" w:color="auto" w:fill="E6EDF3"/>
          </w:tcPr>
          <w:p>
            <w:pPr>
              <w:spacing w:after="0"/>
              <w:rPr>
                <w:sz w:val="16"/>
                <w:szCs w:val="16"/>
                <w:color w:val="auto"/>
              </w:rPr>
            </w:pPr>
          </w:p>
        </w:tc>
        <w:tc>
          <w:tcPr>
            <w:tcW w:w="78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6EDF3"/>
          </w:tcPr>
          <w:p>
            <w:pPr>
              <w:spacing w:after="0"/>
              <w:rPr>
                <w:sz w:val="16"/>
                <w:szCs w:val="16"/>
                <w:color w:val="auto"/>
              </w:rPr>
            </w:pPr>
          </w:p>
        </w:tc>
        <w:tc>
          <w:tcPr>
            <w:tcW w:w="84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6EDF3"/>
          </w:tcPr>
          <w:p>
            <w:pPr>
              <w:spacing w:after="0"/>
              <w:rPr>
                <w:sz w:val="16"/>
                <w:szCs w:val="16"/>
                <w:color w:val="auto"/>
              </w:rPr>
            </w:pPr>
          </w:p>
        </w:tc>
        <w:tc>
          <w:tcPr>
            <w:tcW w:w="82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25,000</w:t>
            </w:r>
          </w:p>
        </w:tc>
        <w:tc>
          <w:tcPr>
            <w:tcW w:w="280" w:type="dxa"/>
            <w:vAlign w:val="bottom"/>
            <w:shd w:val="clear" w:color="auto" w:fill="E6EDF3"/>
          </w:tcPr>
          <w:p>
            <w:pPr>
              <w:spacing w:after="0"/>
              <w:rPr>
                <w:sz w:val="16"/>
                <w:szCs w:val="16"/>
                <w:color w:val="auto"/>
              </w:rPr>
            </w:pPr>
          </w:p>
        </w:tc>
        <w:tc>
          <w:tcPr>
            <w:tcW w:w="86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25,000</w:t>
            </w:r>
          </w:p>
        </w:tc>
        <w:tc>
          <w:tcPr>
            <w:tcW w:w="260" w:type="dxa"/>
            <w:vAlign w:val="bottom"/>
            <w:shd w:val="clear" w:color="auto" w:fill="E6EDF3"/>
          </w:tcPr>
          <w:p>
            <w:pPr>
              <w:spacing w:after="0"/>
              <w:rPr>
                <w:sz w:val="16"/>
                <w:szCs w:val="16"/>
                <w:color w:val="auto"/>
              </w:rPr>
            </w:pPr>
          </w:p>
        </w:tc>
        <w:tc>
          <w:tcPr>
            <w:tcW w:w="94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6EDF3"/>
          </w:tcPr>
          <w:p>
            <w:pPr>
              <w:spacing w:after="0"/>
              <w:rPr>
                <w:sz w:val="16"/>
                <w:szCs w:val="16"/>
                <w:color w:val="auto"/>
              </w:rPr>
            </w:pPr>
          </w:p>
        </w:tc>
        <w:tc>
          <w:tcPr>
            <w:tcW w:w="700" w:type="dxa"/>
            <w:vAlign w:val="bottom"/>
            <w:tcBorders>
              <w:bottom w:val="single" w:sz="8" w:color="auto"/>
            </w:tcBorders>
            <w:shd w:val="clear" w:color="auto" w:fill="E6EDF3"/>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E6EDF3"/>
          </w:tcPr>
          <w:p>
            <w:pPr>
              <w:spacing w:after="0"/>
              <w:rPr>
                <w:sz w:val="16"/>
                <w:szCs w:val="16"/>
                <w:color w:val="auto"/>
              </w:rPr>
            </w:pPr>
          </w:p>
        </w:tc>
        <w:tc>
          <w:tcPr>
            <w:tcW w:w="840" w:type="dxa"/>
            <w:vAlign w:val="bottom"/>
            <w:tcBorders>
              <w:bottom w:val="single" w:sz="8" w:color="auto"/>
            </w:tcBorders>
            <w:shd w:val="clear" w:color="auto" w:fill="E6EDF3"/>
          </w:tcPr>
          <w:p>
            <w:pPr>
              <w:jc w:val="center"/>
              <w:spacing w:after="0"/>
              <w:rPr>
                <w:sz w:val="20"/>
                <w:szCs w:val="20"/>
                <w:color w:val="auto"/>
              </w:rPr>
            </w:pPr>
            <w:r>
              <w:rPr>
                <w:rFonts w:ascii="Arial" w:cs="Arial" w:eastAsia="Arial" w:hAnsi="Arial"/>
                <w:sz w:val="16"/>
                <w:szCs w:val="16"/>
                <w:color w:val="auto"/>
                <w:w w:val="99"/>
              </w:rPr>
              <w:t>—</w:t>
            </w:r>
          </w:p>
        </w:tc>
      </w:tr>
      <w:tr>
        <w:trPr>
          <w:trHeight w:val="196"/>
        </w:trPr>
        <w:tc>
          <w:tcPr>
            <w:tcW w:w="3880" w:type="dxa"/>
            <w:vAlign w:val="bottom"/>
          </w:tcPr>
          <w:p>
            <w:pPr>
              <w:ind w:left="80"/>
              <w:spacing w:after="0"/>
              <w:rPr>
                <w:sz w:val="20"/>
                <w:szCs w:val="20"/>
                <w:color w:val="auto"/>
              </w:rPr>
            </w:pPr>
            <w:r>
              <w:rPr>
                <w:rFonts w:ascii="Arial" w:cs="Arial" w:eastAsia="Arial" w:hAnsi="Arial"/>
                <w:sz w:val="16"/>
                <w:szCs w:val="16"/>
                <w:color w:val="auto"/>
              </w:rPr>
              <w:t>Total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4,927,719</w:t>
            </w:r>
          </w:p>
        </w:tc>
        <w:tc>
          <w:tcPr>
            <w:tcW w:w="1360" w:type="dxa"/>
            <w:vAlign w:val="bottom"/>
            <w:gridSpan w:val="3"/>
          </w:tcPr>
          <w:p>
            <w:pPr>
              <w:jc w:val="right"/>
              <w:ind w:right="260"/>
              <w:spacing w:after="0"/>
              <w:rPr>
                <w:sz w:val="20"/>
                <w:szCs w:val="20"/>
                <w:color w:val="auto"/>
              </w:rPr>
            </w:pPr>
            <w:r>
              <w:rPr>
                <w:rFonts w:ascii="Arial" w:cs="Arial" w:eastAsia="Arial" w:hAnsi="Arial"/>
                <w:sz w:val="16"/>
                <w:szCs w:val="16"/>
                <w:color w:val="auto"/>
              </w:rPr>
              <w:t>4,927,719</w:t>
            </w:r>
          </w:p>
        </w:tc>
        <w:tc>
          <w:tcPr>
            <w:tcW w:w="820" w:type="dxa"/>
            <w:vAlign w:val="bottom"/>
          </w:tcPr>
          <w:p>
            <w:pPr>
              <w:jc w:val="right"/>
              <w:spacing w:after="0"/>
              <w:rPr>
                <w:sz w:val="20"/>
                <w:szCs w:val="20"/>
                <w:color w:val="auto"/>
              </w:rPr>
            </w:pPr>
            <w:r>
              <w:rPr>
                <w:rFonts w:ascii="Arial" w:cs="Arial" w:eastAsia="Arial" w:hAnsi="Arial"/>
                <w:sz w:val="16"/>
                <w:szCs w:val="16"/>
                <w:color w:val="auto"/>
              </w:rPr>
              <w:t>1,510,379</w:t>
            </w:r>
          </w:p>
        </w:tc>
        <w:tc>
          <w:tcPr>
            <w:tcW w:w="1400" w:type="dxa"/>
            <w:vAlign w:val="bottom"/>
            <w:gridSpan w:val="3"/>
          </w:tcPr>
          <w:p>
            <w:pPr>
              <w:jc w:val="right"/>
              <w:ind w:right="260"/>
              <w:spacing w:after="0"/>
              <w:rPr>
                <w:sz w:val="20"/>
                <w:szCs w:val="20"/>
                <w:color w:val="auto"/>
              </w:rPr>
            </w:pPr>
            <w:r>
              <w:rPr>
                <w:rFonts w:ascii="Arial" w:cs="Arial" w:eastAsia="Arial" w:hAnsi="Arial"/>
                <w:sz w:val="16"/>
                <w:szCs w:val="16"/>
                <w:color w:val="auto"/>
              </w:rPr>
              <w:t>7,694,007</w:t>
            </w:r>
          </w:p>
        </w:tc>
        <w:tc>
          <w:tcPr>
            <w:tcW w:w="940" w:type="dxa"/>
            <w:vAlign w:val="bottom"/>
          </w:tcPr>
          <w:p>
            <w:pPr>
              <w:jc w:val="right"/>
              <w:spacing w:after="0"/>
              <w:rPr>
                <w:sz w:val="20"/>
                <w:szCs w:val="20"/>
                <w:color w:val="auto"/>
              </w:rPr>
            </w:pPr>
            <w:r>
              <w:rPr>
                <w:rFonts w:ascii="Arial" w:cs="Arial" w:eastAsia="Arial" w:hAnsi="Arial"/>
                <w:sz w:val="16"/>
                <w:szCs w:val="16"/>
                <w:color w:val="auto"/>
              </w:rPr>
              <w:t>5,147,221</w:t>
            </w:r>
          </w:p>
        </w:tc>
        <w:tc>
          <w:tcPr>
            <w:tcW w:w="2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
        </w:trPr>
        <w:tc>
          <w:tcPr>
            <w:tcW w:w="3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term of Ms. Swan’s severance agreement expires on February 10, 2018.</w:t>
      </w:r>
    </w:p>
    <w:p>
      <w:pPr>
        <w:spacing w:after="0" w:line="68" w:lineRule="exact"/>
        <w:rPr>
          <w:rFonts w:ascii="Arial" w:cs="Arial" w:eastAsia="Arial" w:hAnsi="Arial"/>
          <w:sz w:val="14"/>
          <w:szCs w:val="14"/>
          <w:color w:val="auto"/>
        </w:rPr>
      </w:pPr>
    </w:p>
    <w:p>
      <w:pPr>
        <w:ind w:left="340" w:right="380" w:hanging="332"/>
        <w:spacing w:after="0" w:line="258" w:lineRule="auto"/>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45" w:lineRule="exact"/>
        <w:rPr>
          <w:rFonts w:ascii="Arial" w:cs="Arial" w:eastAsia="Arial" w:hAnsi="Arial"/>
          <w:sz w:val="14"/>
          <w:szCs w:val="14"/>
          <w:color w:val="auto"/>
        </w:rPr>
      </w:pPr>
    </w:p>
    <w:p>
      <w:pPr>
        <w:ind w:left="340" w:right="320" w:hanging="332"/>
        <w:spacing w:after="0" w:line="250" w:lineRule="auto"/>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amount of the severance payment under Ms. Swan’s severance agreement is equal to her annual base salary at the highest rate in effect during the term of the agreement (here, $560,000) and her prorated target annual incentive for the fiscal year in which the termination occurs (here, $420,000). In a double-trigger scenario, the amount of her severance payment is multiplied by two.</w:t>
      </w:r>
    </w:p>
    <w:p>
      <w:pPr>
        <w:spacing w:after="0" w:line="50" w:lineRule="exact"/>
        <w:rPr>
          <w:rFonts w:ascii="Arial" w:cs="Arial" w:eastAsia="Arial" w:hAnsi="Arial"/>
          <w:sz w:val="14"/>
          <w:szCs w:val="14"/>
          <w:color w:val="auto"/>
        </w:rPr>
      </w:pPr>
    </w:p>
    <w:p>
      <w:pPr>
        <w:ind w:left="340" w:right="20" w:hanging="332"/>
        <w:spacing w:after="0" w:line="244" w:lineRule="auto"/>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 the case of her involuntary termination (other than for cause) or voluntary termination for good reason, the amount of the prorated incentive payable to her under her severance agreement is based on the actual incentive earned for 2016 for the financial objectives and the target amount for the operating objectives. In the event of death, disability, or certain terminations following a change of control, the prorated incentive is based on the target incentive for the year of termination. In the event of retirement, the prorated incentive is based on the actual incentive earned for 2016. No proration has been applied here as this table illustrates the effect of such a termination on December 31, 2016, immediately before the incentive was earned, so as not to understate the potential value of the benefit upon the applicable termination of employment. Note that an incentive amount has also been reported as 2016 compensation for her in the Summary Compensation Table, as well as in the Grants of Plan-Based Awards Table.</w:t>
      </w:r>
    </w:p>
    <w:p>
      <w:pPr>
        <w:spacing w:after="0" w:line="219" w:lineRule="exact"/>
        <w:rPr>
          <w:rFonts w:ascii="Arial" w:cs="Arial" w:eastAsia="Arial" w:hAnsi="Arial"/>
          <w:sz w:val="14"/>
          <w:szCs w:val="14"/>
          <w:color w:val="auto"/>
        </w:rPr>
      </w:pPr>
    </w:p>
    <w:p>
      <w:pPr>
        <w:ind w:left="340" w:right="380" w:hanging="332"/>
        <w:spacing w:after="0" w:line="258" w:lineRule="auto"/>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31, 2016 ($88.87) and the exercise price of each unvested stock option held by Ms. Swan on such date.</w:t>
      </w:r>
    </w:p>
    <w:p>
      <w:pPr>
        <w:spacing w:after="0" w:line="45" w:lineRule="exact"/>
        <w:rPr>
          <w:rFonts w:ascii="Arial" w:cs="Arial" w:eastAsia="Arial" w:hAnsi="Arial"/>
          <w:sz w:val="14"/>
          <w:szCs w:val="14"/>
          <w:color w:val="auto"/>
        </w:rPr>
      </w:pPr>
    </w:p>
    <w:p>
      <w:pPr>
        <w:ind w:left="340" w:right="60" w:hanging="332"/>
        <w:spacing w:after="0" w:line="243" w:lineRule="auto"/>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value of performance share units is illustrated here by measuring the value of the number of shares payable under outstanding awards (2014, 2015 and 2016 grants) using the closing stock price on December 31, 2016 ($88.87). In the case of a change of control, the payout is shown based on the number of shares earned based on actual performance for the 2014 award and assuming the Committee would determine the amount of shares earned relating to the 2015 and 2016 awards will equal the target award. In the case of a death or disability, the payout is shown based on the target awards for 2014, 2015 and 2016. In the case of retirement, the payout is shown based on the number of shares earned based on actual performance for the 2014 award and assuming actual performance for the 2015 and 2016 awards at the outstanding performance level. Although the performance share units for the 2014 grant vested on December 31, 2016, the values shown in the table above were calculated to illustrate the value of vesting in the event of an applicable termination occurring on December 31, 2016, immediately before vesting, and includes the performance shares that vested on that date so as not to understate the potential value of an acceleration upon the applicable termination of employment.</w:t>
      </w:r>
    </w:p>
    <w:p>
      <w:pPr>
        <w:spacing w:after="0" w:line="59" w:lineRule="exact"/>
        <w:rPr>
          <w:rFonts w:ascii="Arial" w:cs="Arial" w:eastAsia="Arial" w:hAnsi="Arial"/>
          <w:sz w:val="14"/>
          <w:szCs w:val="14"/>
          <w:color w:val="auto"/>
        </w:rPr>
      </w:pPr>
    </w:p>
    <w:p>
      <w:pPr>
        <w:ind w:left="340" w:right="160" w:hanging="332"/>
        <w:spacing w:after="0" w:line="258" w:lineRule="auto"/>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value of any unvested restricted stock units and career shares is illustrated here by measuring the value of the number of shares payable under unvested awards using the closing stock price on December 31, 2016 ($88.87).</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74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9600"/>
        <w:spacing w:after="0"/>
        <w:rPr>
          <w:sz w:val="20"/>
          <w:szCs w:val="20"/>
          <w:color w:val="auto"/>
        </w:rPr>
      </w:pPr>
      <w:r>
        <w:rPr>
          <w:rFonts w:ascii="Arial" w:cs="Arial" w:eastAsia="Arial" w:hAnsi="Arial"/>
          <w:sz w:val="18"/>
          <w:szCs w:val="18"/>
          <w:color w:val="FFFFFF"/>
        </w:rPr>
        <w:t>Compensation Tables</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Retirement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J. Van Handel, Senior Executive Vice President and Former CFO (1)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020" w:type="dxa"/>
            <w:vAlign w:val="bottom"/>
            <w:tcBorders>
              <w:top w:val="single" w:sz="8" w:color="auto"/>
            </w:tcBorders>
            <w:shd w:val="clear" w:color="auto" w:fill="9DB8D2"/>
          </w:tcPr>
          <w:p>
            <w:pPr>
              <w:spacing w:after="0"/>
              <w:rPr>
                <w:sz w:val="22"/>
                <w:szCs w:val="22"/>
                <w:color w:val="auto"/>
              </w:rPr>
            </w:pPr>
          </w:p>
        </w:tc>
        <w:tc>
          <w:tcPr>
            <w:tcW w:w="7400" w:type="dxa"/>
            <w:vAlign w:val="bottom"/>
            <w:tcBorders>
              <w:top w:val="single" w:sz="8" w:color="auto"/>
            </w:tcBorders>
            <w:gridSpan w:val="5"/>
            <w:shd w:val="clear" w:color="auto" w:fill="9DB8D2"/>
          </w:tcPr>
          <w:p>
            <w:pPr>
              <w:ind w:left="740"/>
              <w:spacing w:after="0"/>
              <w:rPr>
                <w:sz w:val="20"/>
                <w:szCs w:val="20"/>
                <w:color w:val="auto"/>
              </w:rPr>
            </w:pPr>
            <w:r>
              <w:rPr>
                <w:rFonts w:ascii="Arial" w:cs="Arial" w:eastAsia="Arial" w:hAnsi="Arial"/>
                <w:sz w:val="14"/>
                <w:szCs w:val="14"/>
                <w:b w:val="1"/>
                <w:bCs w:val="1"/>
                <w:color w:val="auto"/>
              </w:rPr>
              <w:t>Benefits Upon Retirement</w:t>
            </w:r>
          </w:p>
        </w:tc>
      </w:tr>
      <w:tr>
        <w:trPr>
          <w:trHeight w:val="264"/>
        </w:trPr>
        <w:tc>
          <w:tcPr>
            <w:tcW w:w="4020" w:type="dxa"/>
            <w:vAlign w:val="bottom"/>
            <w:tcBorders>
              <w:top w:val="single" w:sz="8" w:color="9DB8D2"/>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Benefit</w:t>
            </w:r>
          </w:p>
        </w:tc>
        <w:tc>
          <w:tcPr>
            <w:tcW w:w="740" w:type="dxa"/>
            <w:vAlign w:val="bottom"/>
            <w:tcBorders>
              <w:top w:val="single" w:sz="8" w:color="9DB8D2"/>
              <w:bottom w:val="single" w:sz="8" w:color="auto"/>
            </w:tcBorders>
            <w:shd w:val="clear" w:color="auto" w:fill="9DB8D2"/>
          </w:tcPr>
          <w:p>
            <w:pPr>
              <w:spacing w:after="0"/>
              <w:rPr>
                <w:sz w:val="22"/>
                <w:szCs w:val="22"/>
                <w:color w:val="auto"/>
              </w:rPr>
            </w:pPr>
          </w:p>
        </w:tc>
        <w:tc>
          <w:tcPr>
            <w:tcW w:w="1760" w:type="dxa"/>
            <w:vAlign w:val="bottom"/>
            <w:tcBorders>
              <w:top w:val="single" w:sz="8" w:color="auto"/>
              <w:bottom w:val="single" w:sz="8" w:color="auto"/>
            </w:tcBorders>
            <w:shd w:val="clear" w:color="auto" w:fill="9DB8D2"/>
          </w:tcPr>
          <w:p>
            <w:pPr>
              <w:spacing w:after="0"/>
              <w:rPr>
                <w:sz w:val="22"/>
                <w:szCs w:val="22"/>
                <w:color w:val="auto"/>
              </w:rPr>
            </w:pPr>
          </w:p>
        </w:tc>
        <w:tc>
          <w:tcPr>
            <w:tcW w:w="3860" w:type="dxa"/>
            <w:vAlign w:val="bottom"/>
            <w:tcBorders>
              <w:top w:val="single" w:sz="8" w:color="9DB8D2"/>
              <w:bottom w:val="single" w:sz="8" w:color="auto"/>
            </w:tcBorders>
            <w:shd w:val="clear" w:color="auto" w:fill="9DB8D2"/>
          </w:tcPr>
          <w:p>
            <w:pPr>
              <w:spacing w:after="0"/>
              <w:rPr>
                <w:sz w:val="22"/>
                <w:szCs w:val="22"/>
                <w:color w:val="auto"/>
              </w:rPr>
            </w:pPr>
          </w:p>
        </w:tc>
        <w:tc>
          <w:tcPr>
            <w:tcW w:w="1040" w:type="dxa"/>
            <w:vAlign w:val="bottom"/>
            <w:tcBorders>
              <w:top w:val="single" w:sz="8" w:color="9DB8D2"/>
              <w:bottom w:val="single" w:sz="8" w:color="auto"/>
            </w:tcBorders>
            <w:gridSpan w:val="2"/>
            <w:shd w:val="clear" w:color="auto" w:fill="9DB8D2"/>
          </w:tcPr>
          <w:p>
            <w:pPr>
              <w:ind w:left="40"/>
              <w:spacing w:after="0"/>
              <w:rPr>
                <w:sz w:val="20"/>
                <w:szCs w:val="20"/>
                <w:color w:val="auto"/>
              </w:rPr>
            </w:pPr>
            <w:r>
              <w:rPr>
                <w:rFonts w:ascii="Arial" w:cs="Arial" w:eastAsia="Arial" w:hAnsi="Arial"/>
                <w:sz w:val="14"/>
                <w:szCs w:val="14"/>
                <w:b w:val="1"/>
                <w:bCs w:val="1"/>
                <w:color w:val="auto"/>
              </w:rPr>
              <w:t>Amount ($)</w:t>
            </w:r>
          </w:p>
        </w:tc>
      </w:tr>
      <w:tr>
        <w:trPr>
          <w:trHeight w:val="183"/>
        </w:trPr>
        <w:tc>
          <w:tcPr>
            <w:tcW w:w="402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Options(2)</w:t>
            </w:r>
          </w:p>
        </w:tc>
        <w:tc>
          <w:tcPr>
            <w:tcW w:w="7180" w:type="dxa"/>
            <w:vAlign w:val="bottom"/>
            <w:gridSpan w:val="4"/>
            <w:shd w:val="clear" w:color="auto" w:fill="E6EDF3"/>
          </w:tcPr>
          <w:p>
            <w:pPr>
              <w:jc w:val="right"/>
              <w:spacing w:after="0" w:line="183" w:lineRule="exact"/>
              <w:rPr>
                <w:sz w:val="20"/>
                <w:szCs w:val="20"/>
                <w:color w:val="auto"/>
              </w:rPr>
            </w:pPr>
            <w:r>
              <w:rPr>
                <w:rFonts w:ascii="Arial" w:cs="Arial" w:eastAsia="Arial" w:hAnsi="Arial"/>
                <w:sz w:val="16"/>
                <w:szCs w:val="16"/>
                <w:color w:val="auto"/>
              </w:rPr>
              <w:t>349,380</w:t>
            </w:r>
          </w:p>
        </w:tc>
        <w:tc>
          <w:tcPr>
            <w:tcW w:w="220" w:type="dxa"/>
            <w:vAlign w:val="bottom"/>
            <w:shd w:val="clear" w:color="auto" w:fill="E6EDF3"/>
          </w:tcPr>
          <w:p>
            <w:pPr>
              <w:spacing w:after="0"/>
              <w:rPr>
                <w:sz w:val="15"/>
                <w:szCs w:val="15"/>
                <w:color w:val="auto"/>
              </w:rPr>
            </w:pPr>
          </w:p>
        </w:tc>
      </w:tr>
      <w:tr>
        <w:trPr>
          <w:trHeight w:val="189"/>
        </w:trPr>
        <w:tc>
          <w:tcPr>
            <w:tcW w:w="4020" w:type="dxa"/>
            <w:vAlign w:val="bottom"/>
          </w:tcPr>
          <w:p>
            <w:pPr>
              <w:ind w:left="80"/>
              <w:spacing w:after="0"/>
              <w:rPr>
                <w:sz w:val="20"/>
                <w:szCs w:val="20"/>
                <w:color w:val="auto"/>
              </w:rPr>
            </w:pPr>
            <w:r>
              <w:rPr>
                <w:rFonts w:ascii="Arial" w:cs="Arial" w:eastAsia="Arial" w:hAnsi="Arial"/>
                <w:sz w:val="16"/>
                <w:szCs w:val="16"/>
                <w:color w:val="auto"/>
              </w:rPr>
              <w:t>Performance Share Units(3)</w:t>
            </w:r>
          </w:p>
        </w:tc>
        <w:tc>
          <w:tcPr>
            <w:tcW w:w="7180" w:type="dxa"/>
            <w:vAlign w:val="bottom"/>
            <w:gridSpan w:val="4"/>
          </w:tcPr>
          <w:p>
            <w:pPr>
              <w:jc w:val="right"/>
              <w:spacing w:after="0"/>
              <w:rPr>
                <w:sz w:val="20"/>
                <w:szCs w:val="20"/>
                <w:color w:val="auto"/>
              </w:rPr>
            </w:pPr>
            <w:r>
              <w:rPr>
                <w:rFonts w:ascii="Arial" w:cs="Arial" w:eastAsia="Arial" w:hAnsi="Arial"/>
                <w:sz w:val="16"/>
                <w:szCs w:val="16"/>
                <w:color w:val="auto"/>
              </w:rPr>
              <w:t>3,938,072</w:t>
            </w:r>
          </w:p>
        </w:tc>
        <w:tc>
          <w:tcPr>
            <w:tcW w:w="220" w:type="dxa"/>
            <w:vAlign w:val="bottom"/>
          </w:tcPr>
          <w:p>
            <w:pPr>
              <w:spacing w:after="0"/>
              <w:rPr>
                <w:sz w:val="16"/>
                <w:szCs w:val="16"/>
                <w:color w:val="auto"/>
              </w:rPr>
            </w:pPr>
          </w:p>
        </w:tc>
      </w:tr>
      <w:tr>
        <w:trPr>
          <w:trHeight w:val="189"/>
        </w:trPr>
        <w:tc>
          <w:tcPr>
            <w:tcW w:w="4020" w:type="dxa"/>
            <w:vAlign w:val="bottom"/>
            <w:shd w:val="clear" w:color="auto" w:fill="E6EDF3"/>
          </w:tcPr>
          <w:p>
            <w:pPr>
              <w:ind w:left="80"/>
              <w:spacing w:after="0"/>
              <w:rPr>
                <w:sz w:val="20"/>
                <w:szCs w:val="20"/>
                <w:color w:val="auto"/>
              </w:rPr>
            </w:pPr>
            <w:r>
              <w:rPr>
                <w:rFonts w:ascii="Arial" w:cs="Arial" w:eastAsia="Arial" w:hAnsi="Arial"/>
                <w:sz w:val="16"/>
                <w:szCs w:val="16"/>
                <w:color w:val="auto"/>
              </w:rPr>
              <w:t>Restricted Stock Units(4)</w:t>
            </w:r>
          </w:p>
        </w:tc>
        <w:tc>
          <w:tcPr>
            <w:tcW w:w="7180" w:type="dxa"/>
            <w:vAlign w:val="bottom"/>
            <w:gridSpan w:val="4"/>
            <w:shd w:val="clear" w:color="auto" w:fill="E6EDF3"/>
          </w:tcPr>
          <w:p>
            <w:pPr>
              <w:jc w:val="right"/>
              <w:spacing w:after="0"/>
              <w:rPr>
                <w:sz w:val="20"/>
                <w:szCs w:val="20"/>
                <w:color w:val="auto"/>
              </w:rPr>
            </w:pPr>
            <w:r>
              <w:rPr>
                <w:rFonts w:ascii="Arial" w:cs="Arial" w:eastAsia="Arial" w:hAnsi="Arial"/>
                <w:sz w:val="16"/>
                <w:szCs w:val="16"/>
                <w:color w:val="auto"/>
              </w:rPr>
              <w:t>4,123,726</w:t>
            </w:r>
          </w:p>
        </w:tc>
        <w:tc>
          <w:tcPr>
            <w:tcW w:w="220" w:type="dxa"/>
            <w:vAlign w:val="bottom"/>
            <w:shd w:val="clear" w:color="auto" w:fill="E6EDF3"/>
          </w:tcPr>
          <w:p>
            <w:pPr>
              <w:spacing w:after="0"/>
              <w:rPr>
                <w:sz w:val="16"/>
                <w:szCs w:val="16"/>
                <w:color w:val="auto"/>
              </w:rPr>
            </w:pPr>
          </w:p>
        </w:tc>
      </w:tr>
      <w:tr>
        <w:trPr>
          <w:trHeight w:val="189"/>
        </w:trPr>
        <w:tc>
          <w:tcPr>
            <w:tcW w:w="4020" w:type="dxa"/>
            <w:vAlign w:val="bottom"/>
          </w:tcPr>
          <w:p>
            <w:pPr>
              <w:ind w:left="80"/>
              <w:spacing w:after="0"/>
              <w:rPr>
                <w:sz w:val="20"/>
                <w:szCs w:val="20"/>
                <w:color w:val="auto"/>
              </w:rPr>
            </w:pPr>
            <w:r>
              <w:rPr>
                <w:rFonts w:ascii="Arial" w:cs="Arial" w:eastAsia="Arial" w:hAnsi="Arial"/>
                <w:sz w:val="16"/>
                <w:szCs w:val="16"/>
                <w:color w:val="auto"/>
              </w:rPr>
              <w:t>Performance-Based Deferred Compensation</w:t>
            </w:r>
          </w:p>
        </w:tc>
        <w:tc>
          <w:tcPr>
            <w:tcW w:w="7180" w:type="dxa"/>
            <w:vAlign w:val="bottom"/>
            <w:gridSpan w:val="4"/>
          </w:tcPr>
          <w:p>
            <w:pPr>
              <w:jc w:val="right"/>
              <w:spacing w:after="0"/>
              <w:rPr>
                <w:sz w:val="20"/>
                <w:szCs w:val="20"/>
                <w:color w:val="auto"/>
              </w:rPr>
            </w:pPr>
            <w:r>
              <w:rPr>
                <w:rFonts w:ascii="Arial" w:cs="Arial" w:eastAsia="Arial" w:hAnsi="Arial"/>
                <w:sz w:val="16"/>
                <w:szCs w:val="16"/>
                <w:color w:val="auto"/>
              </w:rPr>
              <w:t>710,781</w:t>
            </w:r>
          </w:p>
        </w:tc>
        <w:tc>
          <w:tcPr>
            <w:tcW w:w="220" w:type="dxa"/>
            <w:vAlign w:val="bottom"/>
          </w:tcPr>
          <w:p>
            <w:pPr>
              <w:spacing w:after="0"/>
              <w:rPr>
                <w:sz w:val="16"/>
                <w:szCs w:val="16"/>
                <w:color w:val="auto"/>
              </w:rPr>
            </w:pPr>
          </w:p>
        </w:tc>
      </w:tr>
      <w:tr>
        <w:trPr>
          <w:trHeight w:val="189"/>
        </w:trPr>
        <w:tc>
          <w:tcPr>
            <w:tcW w:w="4020" w:type="dxa"/>
            <w:vAlign w:val="bottom"/>
            <w:shd w:val="clear" w:color="auto" w:fill="E6EDF3"/>
          </w:tcPr>
          <w:p>
            <w:pPr>
              <w:ind w:left="80"/>
              <w:spacing w:after="0"/>
              <w:rPr>
                <w:sz w:val="20"/>
                <w:szCs w:val="20"/>
                <w:color w:val="auto"/>
              </w:rPr>
            </w:pPr>
            <w:r>
              <w:rPr>
                <w:rFonts w:ascii="Arial" w:cs="Arial" w:eastAsia="Arial" w:hAnsi="Arial"/>
                <w:sz w:val="16"/>
                <w:szCs w:val="16"/>
                <w:color w:val="auto"/>
              </w:rPr>
              <w:t>Pension Benefits(5)</w:t>
            </w:r>
          </w:p>
        </w:tc>
        <w:tc>
          <w:tcPr>
            <w:tcW w:w="6360" w:type="dxa"/>
            <w:vAlign w:val="bottom"/>
            <w:gridSpan w:val="3"/>
            <w:shd w:val="clear" w:color="auto" w:fill="E6EDF3"/>
          </w:tcPr>
          <w:p>
            <w:pPr>
              <w:spacing w:after="0"/>
              <w:rPr>
                <w:sz w:val="16"/>
                <w:szCs w:val="16"/>
                <w:color w:val="auto"/>
              </w:rPr>
            </w:pPr>
          </w:p>
        </w:tc>
        <w:tc>
          <w:tcPr>
            <w:tcW w:w="820" w:type="dxa"/>
            <w:vAlign w:val="bottom"/>
            <w:tcBorders>
              <w:bottom w:val="single" w:sz="8" w:color="auto"/>
            </w:tcBorders>
            <w:shd w:val="clear" w:color="auto" w:fill="E6EDF3"/>
          </w:tcPr>
          <w:p>
            <w:pPr>
              <w:jc w:val="right"/>
              <w:spacing w:after="0"/>
              <w:rPr>
                <w:sz w:val="20"/>
                <w:szCs w:val="20"/>
                <w:color w:val="auto"/>
              </w:rPr>
            </w:pPr>
            <w:r>
              <w:rPr>
                <w:rFonts w:ascii="Arial" w:cs="Arial" w:eastAsia="Arial" w:hAnsi="Arial"/>
                <w:sz w:val="16"/>
                <w:szCs w:val="16"/>
                <w:color w:val="auto"/>
              </w:rPr>
              <w:t>129,854</w:t>
            </w:r>
          </w:p>
        </w:tc>
        <w:tc>
          <w:tcPr>
            <w:tcW w:w="220" w:type="dxa"/>
            <w:vAlign w:val="bottom"/>
            <w:shd w:val="clear" w:color="auto" w:fill="E6EDF3"/>
          </w:tcPr>
          <w:p>
            <w:pPr>
              <w:spacing w:after="0"/>
              <w:rPr>
                <w:sz w:val="16"/>
                <w:szCs w:val="16"/>
                <w:color w:val="auto"/>
              </w:rPr>
            </w:pPr>
          </w:p>
        </w:tc>
      </w:tr>
      <w:tr>
        <w:trPr>
          <w:trHeight w:val="196"/>
        </w:trPr>
        <w:tc>
          <w:tcPr>
            <w:tcW w:w="4020" w:type="dxa"/>
            <w:vAlign w:val="bottom"/>
          </w:tcPr>
          <w:p>
            <w:pPr>
              <w:ind w:left="80"/>
              <w:spacing w:after="0"/>
              <w:rPr>
                <w:sz w:val="20"/>
                <w:szCs w:val="20"/>
                <w:color w:val="auto"/>
              </w:rPr>
            </w:pPr>
            <w:r>
              <w:rPr>
                <w:rFonts w:ascii="Arial" w:cs="Arial" w:eastAsia="Arial" w:hAnsi="Arial"/>
                <w:sz w:val="16"/>
                <w:szCs w:val="16"/>
                <w:color w:val="auto"/>
              </w:rPr>
              <w:t>Total</w:t>
            </w:r>
          </w:p>
        </w:tc>
        <w:tc>
          <w:tcPr>
            <w:tcW w:w="7180" w:type="dxa"/>
            <w:vAlign w:val="bottom"/>
            <w:gridSpan w:val="4"/>
          </w:tcPr>
          <w:p>
            <w:pPr>
              <w:jc w:val="right"/>
              <w:spacing w:after="0"/>
              <w:rPr>
                <w:sz w:val="20"/>
                <w:szCs w:val="20"/>
                <w:color w:val="auto"/>
              </w:rPr>
            </w:pPr>
            <w:r>
              <w:rPr>
                <w:rFonts w:ascii="Arial" w:cs="Arial" w:eastAsia="Arial" w:hAnsi="Arial"/>
                <w:sz w:val="16"/>
                <w:szCs w:val="16"/>
                <w:color w:val="auto"/>
              </w:rPr>
              <w:t>9,251,813</w:t>
            </w:r>
          </w:p>
        </w:tc>
        <w:tc>
          <w:tcPr>
            <w:tcW w:w="220" w:type="dxa"/>
            <w:vAlign w:val="bottom"/>
          </w:tcPr>
          <w:p>
            <w:pPr>
              <w:spacing w:after="0"/>
              <w:rPr>
                <w:sz w:val="17"/>
                <w:szCs w:val="17"/>
                <w:color w:val="auto"/>
              </w:rPr>
            </w:pPr>
          </w:p>
        </w:tc>
      </w:tr>
      <w:tr>
        <w:trPr>
          <w:trHeight w:val="20"/>
        </w:trPr>
        <w:tc>
          <w:tcPr>
            <w:tcW w:w="4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86"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Mr. Van Handel retired effective February 15, 2017.</w:t>
      </w:r>
    </w:p>
    <w:p>
      <w:pPr>
        <w:spacing w:after="0" w:line="68" w:lineRule="exact"/>
        <w:rPr>
          <w:rFonts w:ascii="Arial" w:cs="Arial" w:eastAsia="Arial" w:hAnsi="Arial"/>
          <w:sz w:val="14"/>
          <w:szCs w:val="14"/>
          <w:color w:val="auto"/>
        </w:rPr>
      </w:pPr>
    </w:p>
    <w:p>
      <w:pPr>
        <w:ind w:left="340" w:right="440" w:hanging="332"/>
        <w:spacing w:after="0" w:line="258" w:lineRule="auto"/>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the date of Mr. Van Handel’s retirement, February 15, 2017 ($97.15), and the exercise price of each unvested stock option held by Mr. Van Handel on such date.</w:t>
      </w:r>
    </w:p>
    <w:p>
      <w:pPr>
        <w:spacing w:after="0" w:line="45" w:lineRule="exact"/>
        <w:rPr>
          <w:rFonts w:ascii="Arial" w:cs="Arial" w:eastAsia="Arial" w:hAnsi="Arial"/>
          <w:sz w:val="14"/>
          <w:szCs w:val="14"/>
          <w:color w:val="auto"/>
        </w:rPr>
      </w:pPr>
    </w:p>
    <w:p>
      <w:pPr>
        <w:ind w:left="340" w:right="80" w:hanging="332"/>
        <w:spacing w:after="0" w:line="250" w:lineRule="auto"/>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value of performance share units which Mr. Van Handel became vested in upon his retirement on February 15, 2017 is illustrated here by measuring the value of the number of shares payable under his 2015 award using the closing stock price on February 15, 2017 ($97.15), even though the actual number of shares is unknown and such shares are not payable to him until a later date (February 2018). The payout is shown assuming actual performance for the 2015 award at the outstanding level.</w:t>
      </w:r>
    </w:p>
    <w:p>
      <w:pPr>
        <w:spacing w:after="0" w:line="50" w:lineRule="exact"/>
        <w:rPr>
          <w:rFonts w:ascii="Arial" w:cs="Arial" w:eastAsia="Arial" w:hAnsi="Arial"/>
          <w:sz w:val="14"/>
          <w:szCs w:val="14"/>
          <w:color w:val="auto"/>
        </w:rPr>
      </w:pPr>
    </w:p>
    <w:p>
      <w:pPr>
        <w:jc w:val="both"/>
        <w:ind w:left="340" w:right="40" w:hanging="332"/>
        <w:spacing w:after="0" w:line="253" w:lineRule="auto"/>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value of any unvested restricted stock and restricted stock units is illustrated here by measuring the value of the number of shares payable under unvested awards using the closing stock price on the date of Mr. Van Handel’s retirement, February 15, 2017 ($97.15) even though shares under such awards are not payable to him until August 16, 2017.</w:t>
      </w:r>
    </w:p>
    <w:p>
      <w:pPr>
        <w:spacing w:after="0" w:line="214" w:lineRule="exact"/>
        <w:rPr>
          <w:rFonts w:ascii="Arial" w:cs="Arial" w:eastAsia="Arial" w:hAnsi="Arial"/>
          <w:sz w:val="14"/>
          <w:szCs w:val="14"/>
          <w:color w:val="auto"/>
        </w:rPr>
      </w:pPr>
    </w:p>
    <w:p>
      <w:pPr>
        <w:ind w:left="340" w:right="340" w:hanging="332"/>
        <w:spacing w:after="0" w:line="258" w:lineRule="auto"/>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This value reflects the present value of Mr. Van Handel’s pension benefits, which has been calculated as of February 15, 2017 assuming a 3.99% discount rate and early retirement occurring at his actual retirement age of 57, as well as applying the RP-2006 Mortality Table with the MP-2016 Projection Scale.</w:t>
      </w:r>
    </w:p>
    <w:p>
      <w:pPr>
        <w:spacing w:after="0" w:line="115" w:lineRule="exact"/>
        <w:rPr>
          <w:sz w:val="20"/>
          <w:szCs w:val="20"/>
          <w:color w:val="auto"/>
        </w:rPr>
      </w:pPr>
    </w:p>
    <w:p>
      <w:pPr>
        <w:ind w:left="9880"/>
        <w:spacing w:after="0"/>
        <w:rPr>
          <w:sz w:val="20"/>
          <w:szCs w:val="20"/>
          <w:color w:val="auto"/>
        </w:rPr>
      </w:pPr>
      <w:r>
        <w:rPr>
          <w:rFonts w:ascii="Arial" w:cs="Arial" w:eastAsia="Arial" w:hAnsi="Arial"/>
          <w:sz w:val="16"/>
          <w:szCs w:val="16"/>
          <w:b w:val="1"/>
          <w:bCs w:val="1"/>
          <w:color w:val="5D89B4"/>
        </w:rPr>
        <w:t xml:space="preserve">75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Compensation Tables</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Director Compensation for 2016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400" w:type="dxa"/>
            <w:vAlign w:val="bottom"/>
            <w:tcBorders>
              <w:top w:val="single" w:sz="8" w:color="auto"/>
            </w:tcBorders>
            <w:shd w:val="clear" w:color="auto" w:fill="9DB8D2"/>
          </w:tcPr>
          <w:p>
            <w:pPr>
              <w:spacing w:after="0"/>
              <w:rPr>
                <w:sz w:val="22"/>
                <w:szCs w:val="22"/>
                <w:color w:val="auto"/>
              </w:rPr>
            </w:pPr>
          </w:p>
        </w:tc>
        <w:tc>
          <w:tcPr>
            <w:tcW w:w="1700" w:type="dxa"/>
            <w:vAlign w:val="bottom"/>
            <w:tcBorders>
              <w:top w:val="single" w:sz="8" w:color="auto"/>
            </w:tcBorders>
            <w:shd w:val="clear" w:color="auto" w:fill="9DB8D2"/>
          </w:tcPr>
          <w:p>
            <w:pPr>
              <w:jc w:val="center"/>
              <w:ind w:left="101"/>
              <w:spacing w:after="0"/>
              <w:rPr>
                <w:sz w:val="20"/>
                <w:szCs w:val="20"/>
                <w:color w:val="auto"/>
              </w:rPr>
            </w:pPr>
            <w:r>
              <w:rPr>
                <w:rFonts w:ascii="Arial" w:cs="Arial" w:eastAsia="Arial" w:hAnsi="Arial"/>
                <w:sz w:val="14"/>
                <w:szCs w:val="14"/>
                <w:b w:val="1"/>
                <w:bCs w:val="1"/>
                <w:color w:val="auto"/>
              </w:rPr>
              <w:t>Fees Earned or</w:t>
            </w:r>
          </w:p>
        </w:tc>
        <w:tc>
          <w:tcPr>
            <w:tcW w:w="1400" w:type="dxa"/>
            <w:vAlign w:val="bottom"/>
            <w:tcBorders>
              <w:top w:val="single" w:sz="8" w:color="auto"/>
            </w:tcBorders>
            <w:shd w:val="clear" w:color="auto" w:fill="9DB8D2"/>
          </w:tcPr>
          <w:p>
            <w:pPr>
              <w:spacing w:after="0"/>
              <w:rPr>
                <w:sz w:val="22"/>
                <w:szCs w:val="22"/>
                <w:color w:val="auto"/>
              </w:rPr>
            </w:pPr>
          </w:p>
        </w:tc>
        <w:tc>
          <w:tcPr>
            <w:tcW w:w="920" w:type="dxa"/>
            <w:vAlign w:val="bottom"/>
            <w:tcBorders>
              <w:top w:val="single" w:sz="8" w:color="auto"/>
            </w:tcBorders>
            <w:shd w:val="clear" w:color="auto" w:fill="9DB8D2"/>
          </w:tcPr>
          <w:p>
            <w:pPr>
              <w:spacing w:after="0"/>
              <w:rPr>
                <w:sz w:val="22"/>
                <w:szCs w:val="22"/>
                <w:color w:val="auto"/>
              </w:rPr>
            </w:pPr>
          </w:p>
        </w:tc>
      </w:tr>
      <w:tr>
        <w:trPr>
          <w:trHeight w:val="162"/>
        </w:trPr>
        <w:tc>
          <w:tcPr>
            <w:tcW w:w="7400" w:type="dxa"/>
            <w:vAlign w:val="bottom"/>
            <w:shd w:val="clear" w:color="auto" w:fill="9DB8D2"/>
          </w:tcPr>
          <w:p>
            <w:pPr>
              <w:spacing w:after="0"/>
              <w:rPr>
                <w:sz w:val="14"/>
                <w:szCs w:val="14"/>
                <w:color w:val="auto"/>
              </w:rPr>
            </w:pPr>
          </w:p>
        </w:tc>
        <w:tc>
          <w:tcPr>
            <w:tcW w:w="1700" w:type="dxa"/>
            <w:vAlign w:val="bottom"/>
            <w:shd w:val="clear" w:color="auto" w:fill="9DB8D2"/>
          </w:tcPr>
          <w:p>
            <w:pPr>
              <w:jc w:val="center"/>
              <w:ind w:left="121"/>
              <w:spacing w:after="0"/>
              <w:rPr>
                <w:sz w:val="20"/>
                <w:szCs w:val="20"/>
                <w:color w:val="auto"/>
              </w:rPr>
            </w:pPr>
            <w:r>
              <w:rPr>
                <w:rFonts w:ascii="Arial" w:cs="Arial" w:eastAsia="Arial" w:hAnsi="Arial"/>
                <w:sz w:val="14"/>
                <w:szCs w:val="14"/>
                <w:b w:val="1"/>
                <w:bCs w:val="1"/>
                <w:color w:val="auto"/>
              </w:rPr>
              <w:t>Paid in Cash</w:t>
            </w:r>
          </w:p>
        </w:tc>
        <w:tc>
          <w:tcPr>
            <w:tcW w:w="1400" w:type="dxa"/>
            <w:vAlign w:val="bottom"/>
            <w:shd w:val="clear" w:color="auto" w:fill="9DB8D2"/>
          </w:tcPr>
          <w:p>
            <w:pPr>
              <w:jc w:val="right"/>
              <w:ind w:right="140"/>
              <w:spacing w:after="0"/>
              <w:rPr>
                <w:sz w:val="20"/>
                <w:szCs w:val="20"/>
                <w:color w:val="auto"/>
              </w:rPr>
            </w:pPr>
            <w:r>
              <w:rPr>
                <w:rFonts w:ascii="Arial" w:cs="Arial" w:eastAsia="Arial" w:hAnsi="Arial"/>
                <w:sz w:val="14"/>
                <w:szCs w:val="14"/>
                <w:b w:val="1"/>
                <w:bCs w:val="1"/>
                <w:color w:val="auto"/>
              </w:rPr>
              <w:t>Stock Awards</w:t>
            </w:r>
          </w:p>
        </w:tc>
        <w:tc>
          <w:tcPr>
            <w:tcW w:w="920" w:type="dxa"/>
            <w:vAlign w:val="bottom"/>
            <w:shd w:val="clear" w:color="auto" w:fill="9DB8D2"/>
          </w:tcPr>
          <w:p>
            <w:pPr>
              <w:spacing w:after="0"/>
              <w:rPr>
                <w:sz w:val="14"/>
                <w:szCs w:val="14"/>
                <w:color w:val="auto"/>
              </w:rPr>
            </w:pPr>
          </w:p>
        </w:tc>
      </w:tr>
      <w:tr>
        <w:trPr>
          <w:trHeight w:val="189"/>
        </w:trPr>
        <w:tc>
          <w:tcPr>
            <w:tcW w:w="740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Name</w:t>
            </w:r>
          </w:p>
        </w:tc>
        <w:tc>
          <w:tcPr>
            <w:tcW w:w="1700" w:type="dxa"/>
            <w:vAlign w:val="bottom"/>
            <w:tcBorders>
              <w:bottom w:val="single" w:sz="8" w:color="auto"/>
            </w:tcBorders>
            <w:shd w:val="clear" w:color="auto" w:fill="9DB8D2"/>
          </w:tcPr>
          <w:p>
            <w:pPr>
              <w:jc w:val="center"/>
              <w:ind w:left="121"/>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shd w:val="clear" w:color="auto" w:fill="9DB8D2"/>
          </w:tcPr>
          <w:p>
            <w:pPr>
              <w:jc w:val="right"/>
              <w:ind w:right="440"/>
              <w:spacing w:after="0"/>
              <w:rPr>
                <w:sz w:val="20"/>
                <w:szCs w:val="20"/>
                <w:color w:val="auto"/>
              </w:rPr>
            </w:pPr>
            <w:r>
              <w:rPr>
                <w:rFonts w:ascii="Arial" w:cs="Arial" w:eastAsia="Arial" w:hAnsi="Arial"/>
                <w:sz w:val="14"/>
                <w:szCs w:val="14"/>
                <w:b w:val="1"/>
                <w:bCs w:val="1"/>
                <w:color w:val="auto"/>
              </w:rPr>
              <w:t>($)(2)</w:t>
            </w:r>
          </w:p>
        </w:tc>
        <w:tc>
          <w:tcPr>
            <w:tcW w:w="920" w:type="dxa"/>
            <w:vAlign w:val="bottom"/>
            <w:tcBorders>
              <w:bottom w:val="single" w:sz="8" w:color="auto"/>
            </w:tcBorders>
            <w:shd w:val="clear" w:color="auto" w:fill="9DB8D2"/>
          </w:tcPr>
          <w:p>
            <w:pPr>
              <w:jc w:val="right"/>
              <w:ind w:right="80"/>
              <w:spacing w:after="0"/>
              <w:rPr>
                <w:sz w:val="20"/>
                <w:szCs w:val="20"/>
                <w:color w:val="auto"/>
              </w:rPr>
            </w:pPr>
            <w:r>
              <w:rPr>
                <w:rFonts w:ascii="Arial" w:cs="Arial" w:eastAsia="Arial" w:hAnsi="Arial"/>
                <w:sz w:val="14"/>
                <w:szCs w:val="14"/>
                <w:b w:val="1"/>
                <w:bCs w:val="1"/>
                <w:color w:val="auto"/>
              </w:rPr>
              <w:t>Total ($)</w:t>
            </w:r>
          </w:p>
        </w:tc>
      </w:tr>
      <w:tr>
        <w:trPr>
          <w:trHeight w:val="183"/>
        </w:trPr>
        <w:tc>
          <w:tcPr>
            <w:tcW w:w="740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Gina R. Boswell</w:t>
            </w:r>
          </w:p>
        </w:tc>
        <w:tc>
          <w:tcPr>
            <w:tcW w:w="1700" w:type="dxa"/>
            <w:vAlign w:val="bottom"/>
            <w:shd w:val="clear" w:color="auto" w:fill="E6EDF3"/>
          </w:tcPr>
          <w:p>
            <w:pPr>
              <w:jc w:val="right"/>
              <w:ind w:right="161"/>
              <w:spacing w:after="0" w:line="183" w:lineRule="exact"/>
              <w:rPr>
                <w:sz w:val="20"/>
                <w:szCs w:val="20"/>
                <w:color w:val="auto"/>
              </w:rPr>
            </w:pPr>
            <w:r>
              <w:rPr>
                <w:rFonts w:ascii="Arial" w:cs="Arial" w:eastAsia="Arial" w:hAnsi="Arial"/>
                <w:sz w:val="16"/>
                <w:szCs w:val="16"/>
                <w:color w:val="auto"/>
              </w:rPr>
              <w:t>115,000</w:t>
            </w:r>
          </w:p>
        </w:tc>
        <w:tc>
          <w:tcPr>
            <w:tcW w:w="1400" w:type="dxa"/>
            <w:vAlign w:val="bottom"/>
            <w:shd w:val="clear" w:color="auto" w:fill="E6EDF3"/>
          </w:tcPr>
          <w:p>
            <w:pPr>
              <w:jc w:val="right"/>
              <w:ind w:right="140"/>
              <w:spacing w:after="0" w:line="183" w:lineRule="exact"/>
              <w:rPr>
                <w:sz w:val="20"/>
                <w:szCs w:val="20"/>
                <w:color w:val="auto"/>
              </w:rPr>
            </w:pPr>
            <w:r>
              <w:rPr>
                <w:rFonts w:ascii="Arial" w:cs="Arial" w:eastAsia="Arial" w:hAnsi="Arial"/>
                <w:sz w:val="16"/>
                <w:szCs w:val="16"/>
                <w:color w:val="auto"/>
              </w:rPr>
              <w:t>140,000</w:t>
            </w:r>
          </w:p>
        </w:tc>
        <w:tc>
          <w:tcPr>
            <w:tcW w:w="920" w:type="dxa"/>
            <w:vAlign w:val="bottom"/>
            <w:shd w:val="clear" w:color="auto" w:fill="E6EDF3"/>
          </w:tcPr>
          <w:p>
            <w:pPr>
              <w:jc w:val="right"/>
              <w:ind w:right="20"/>
              <w:spacing w:after="0" w:line="183" w:lineRule="exact"/>
              <w:rPr>
                <w:sz w:val="20"/>
                <w:szCs w:val="20"/>
                <w:color w:val="auto"/>
              </w:rPr>
            </w:pPr>
            <w:r>
              <w:rPr>
                <w:rFonts w:ascii="Arial" w:cs="Arial" w:eastAsia="Arial" w:hAnsi="Arial"/>
                <w:sz w:val="16"/>
                <w:szCs w:val="16"/>
                <w:color w:val="auto"/>
              </w:rPr>
              <w:t>255,000</w:t>
            </w:r>
          </w:p>
        </w:tc>
      </w:tr>
      <w:tr>
        <w:trPr>
          <w:trHeight w:val="189"/>
        </w:trPr>
        <w:tc>
          <w:tcPr>
            <w:tcW w:w="7400" w:type="dxa"/>
            <w:vAlign w:val="bottom"/>
          </w:tcPr>
          <w:p>
            <w:pPr>
              <w:ind w:left="80"/>
              <w:spacing w:after="0"/>
              <w:rPr>
                <w:sz w:val="20"/>
                <w:szCs w:val="20"/>
                <w:color w:val="auto"/>
              </w:rPr>
            </w:pPr>
            <w:r>
              <w:rPr>
                <w:rFonts w:ascii="Arial" w:cs="Arial" w:eastAsia="Arial" w:hAnsi="Arial"/>
                <w:sz w:val="16"/>
                <w:szCs w:val="16"/>
                <w:color w:val="auto"/>
              </w:rPr>
              <w:t>Cari M. Dominguez</w:t>
            </w:r>
          </w:p>
        </w:tc>
        <w:tc>
          <w:tcPr>
            <w:tcW w:w="1700" w:type="dxa"/>
            <w:vAlign w:val="bottom"/>
          </w:tcPr>
          <w:p>
            <w:pPr>
              <w:jc w:val="right"/>
              <w:ind w:right="161"/>
              <w:spacing w:after="0"/>
              <w:rPr>
                <w:sz w:val="20"/>
                <w:szCs w:val="20"/>
                <w:color w:val="auto"/>
              </w:rPr>
            </w:pPr>
            <w:r>
              <w:rPr>
                <w:rFonts w:ascii="Arial" w:cs="Arial" w:eastAsia="Arial" w:hAnsi="Arial"/>
                <w:sz w:val="16"/>
                <w:szCs w:val="16"/>
                <w:color w:val="auto"/>
              </w:rPr>
              <w:t>95,000</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145,754</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240,754</w:t>
            </w:r>
          </w:p>
        </w:tc>
      </w:tr>
      <w:tr>
        <w:trPr>
          <w:trHeight w:val="189"/>
        </w:trPr>
        <w:tc>
          <w:tcPr>
            <w:tcW w:w="7400" w:type="dxa"/>
            <w:vAlign w:val="bottom"/>
            <w:shd w:val="clear" w:color="auto" w:fill="E6EDF3"/>
          </w:tcPr>
          <w:p>
            <w:pPr>
              <w:ind w:left="80"/>
              <w:spacing w:after="0"/>
              <w:rPr>
                <w:sz w:val="20"/>
                <w:szCs w:val="20"/>
                <w:color w:val="auto"/>
              </w:rPr>
            </w:pPr>
            <w:r>
              <w:rPr>
                <w:rFonts w:ascii="Arial" w:cs="Arial" w:eastAsia="Arial" w:hAnsi="Arial"/>
                <w:sz w:val="16"/>
                <w:szCs w:val="16"/>
                <w:color w:val="auto"/>
              </w:rPr>
              <w:t>William Downe</w:t>
            </w:r>
          </w:p>
        </w:tc>
        <w:tc>
          <w:tcPr>
            <w:tcW w:w="1700" w:type="dxa"/>
            <w:vAlign w:val="bottom"/>
            <w:shd w:val="clear" w:color="auto" w:fill="E6EDF3"/>
          </w:tcPr>
          <w:p>
            <w:pPr>
              <w:jc w:val="right"/>
              <w:ind w:right="161"/>
              <w:spacing w:after="0"/>
              <w:rPr>
                <w:sz w:val="20"/>
                <w:szCs w:val="20"/>
                <w:color w:val="auto"/>
              </w:rPr>
            </w:pPr>
            <w:r>
              <w:rPr>
                <w:rFonts w:ascii="Arial" w:cs="Arial" w:eastAsia="Arial" w:hAnsi="Arial"/>
                <w:sz w:val="16"/>
                <w:szCs w:val="16"/>
                <w:color w:val="auto"/>
              </w:rPr>
              <w:t>—</w:t>
            </w:r>
          </w:p>
        </w:tc>
        <w:tc>
          <w:tcPr>
            <w:tcW w:w="1400" w:type="dxa"/>
            <w:vAlign w:val="bottom"/>
            <w:shd w:val="clear" w:color="auto" w:fill="E6EDF3"/>
          </w:tcPr>
          <w:p>
            <w:pPr>
              <w:jc w:val="right"/>
              <w:ind w:right="140"/>
              <w:spacing w:after="0"/>
              <w:rPr>
                <w:sz w:val="20"/>
                <w:szCs w:val="20"/>
                <w:color w:val="auto"/>
              </w:rPr>
            </w:pPr>
            <w:r>
              <w:rPr>
                <w:rFonts w:ascii="Arial" w:cs="Arial" w:eastAsia="Arial" w:hAnsi="Arial"/>
                <w:sz w:val="16"/>
                <w:szCs w:val="16"/>
                <w:color w:val="auto"/>
              </w:rPr>
              <w:t>260,625</w:t>
            </w:r>
          </w:p>
        </w:tc>
        <w:tc>
          <w:tcPr>
            <w:tcW w:w="920" w:type="dxa"/>
            <w:vAlign w:val="bottom"/>
            <w:shd w:val="clear" w:color="auto" w:fill="E6EDF3"/>
          </w:tcPr>
          <w:p>
            <w:pPr>
              <w:jc w:val="right"/>
              <w:ind w:right="20"/>
              <w:spacing w:after="0"/>
              <w:rPr>
                <w:sz w:val="20"/>
                <w:szCs w:val="20"/>
                <w:color w:val="auto"/>
              </w:rPr>
            </w:pPr>
            <w:r>
              <w:rPr>
                <w:rFonts w:ascii="Arial" w:cs="Arial" w:eastAsia="Arial" w:hAnsi="Arial"/>
                <w:sz w:val="16"/>
                <w:szCs w:val="16"/>
                <w:color w:val="auto"/>
              </w:rPr>
              <w:t>260,625</w:t>
            </w:r>
          </w:p>
        </w:tc>
      </w:tr>
      <w:tr>
        <w:trPr>
          <w:trHeight w:val="189"/>
        </w:trPr>
        <w:tc>
          <w:tcPr>
            <w:tcW w:w="7400" w:type="dxa"/>
            <w:vAlign w:val="bottom"/>
          </w:tcPr>
          <w:p>
            <w:pPr>
              <w:ind w:left="80"/>
              <w:spacing w:after="0"/>
              <w:rPr>
                <w:sz w:val="20"/>
                <w:szCs w:val="20"/>
                <w:color w:val="auto"/>
              </w:rPr>
            </w:pPr>
            <w:r>
              <w:rPr>
                <w:rFonts w:ascii="Arial" w:cs="Arial" w:eastAsia="Arial" w:hAnsi="Arial"/>
                <w:sz w:val="16"/>
                <w:szCs w:val="16"/>
                <w:color w:val="auto"/>
              </w:rPr>
              <w:t>John F. Ferraro</w:t>
            </w:r>
          </w:p>
        </w:tc>
        <w:tc>
          <w:tcPr>
            <w:tcW w:w="17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237,839</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237,839</w:t>
            </w:r>
          </w:p>
        </w:tc>
      </w:tr>
      <w:tr>
        <w:trPr>
          <w:trHeight w:val="189"/>
        </w:trPr>
        <w:tc>
          <w:tcPr>
            <w:tcW w:w="7400" w:type="dxa"/>
            <w:vAlign w:val="bottom"/>
            <w:shd w:val="clear" w:color="auto" w:fill="E6EDF3"/>
          </w:tcPr>
          <w:p>
            <w:pPr>
              <w:ind w:left="80"/>
              <w:spacing w:after="0"/>
              <w:rPr>
                <w:sz w:val="20"/>
                <w:szCs w:val="20"/>
                <w:color w:val="auto"/>
              </w:rPr>
            </w:pPr>
            <w:r>
              <w:rPr>
                <w:rFonts w:ascii="Arial" w:cs="Arial" w:eastAsia="Arial" w:hAnsi="Arial"/>
                <w:sz w:val="16"/>
                <w:szCs w:val="16"/>
                <w:color w:val="auto"/>
              </w:rPr>
              <w:t>Patricia Hemingway Hall</w:t>
            </w:r>
          </w:p>
        </w:tc>
        <w:tc>
          <w:tcPr>
            <w:tcW w:w="1700" w:type="dxa"/>
            <w:vAlign w:val="bottom"/>
            <w:shd w:val="clear" w:color="auto" w:fill="E6EDF3"/>
          </w:tcPr>
          <w:p>
            <w:pPr>
              <w:jc w:val="right"/>
              <w:ind w:right="161"/>
              <w:spacing w:after="0"/>
              <w:rPr>
                <w:sz w:val="20"/>
                <w:szCs w:val="20"/>
                <w:color w:val="auto"/>
              </w:rPr>
            </w:pPr>
            <w:r>
              <w:rPr>
                <w:rFonts w:ascii="Arial" w:cs="Arial" w:eastAsia="Arial" w:hAnsi="Arial"/>
                <w:sz w:val="16"/>
                <w:szCs w:val="16"/>
                <w:color w:val="auto"/>
              </w:rPr>
              <w:t>95,000</w:t>
            </w:r>
          </w:p>
        </w:tc>
        <w:tc>
          <w:tcPr>
            <w:tcW w:w="1400" w:type="dxa"/>
            <w:vAlign w:val="bottom"/>
            <w:shd w:val="clear" w:color="auto" w:fill="E6EDF3"/>
          </w:tcPr>
          <w:p>
            <w:pPr>
              <w:jc w:val="right"/>
              <w:ind w:right="140"/>
              <w:spacing w:after="0"/>
              <w:rPr>
                <w:sz w:val="20"/>
                <w:szCs w:val="20"/>
                <w:color w:val="auto"/>
              </w:rPr>
            </w:pPr>
            <w:r>
              <w:rPr>
                <w:rFonts w:ascii="Arial" w:cs="Arial" w:eastAsia="Arial" w:hAnsi="Arial"/>
                <w:sz w:val="16"/>
                <w:szCs w:val="16"/>
                <w:color w:val="auto"/>
              </w:rPr>
              <w:t>148,593</w:t>
            </w:r>
          </w:p>
        </w:tc>
        <w:tc>
          <w:tcPr>
            <w:tcW w:w="920" w:type="dxa"/>
            <w:vAlign w:val="bottom"/>
            <w:shd w:val="clear" w:color="auto" w:fill="E6EDF3"/>
          </w:tcPr>
          <w:p>
            <w:pPr>
              <w:jc w:val="right"/>
              <w:ind w:right="20"/>
              <w:spacing w:after="0"/>
              <w:rPr>
                <w:sz w:val="20"/>
                <w:szCs w:val="20"/>
                <w:color w:val="auto"/>
              </w:rPr>
            </w:pPr>
            <w:r>
              <w:rPr>
                <w:rFonts w:ascii="Arial" w:cs="Arial" w:eastAsia="Arial" w:hAnsi="Arial"/>
                <w:sz w:val="16"/>
                <w:szCs w:val="16"/>
                <w:color w:val="auto"/>
              </w:rPr>
              <w:t>243,593</w:t>
            </w:r>
          </w:p>
        </w:tc>
      </w:tr>
      <w:tr>
        <w:trPr>
          <w:trHeight w:val="189"/>
        </w:trPr>
        <w:tc>
          <w:tcPr>
            <w:tcW w:w="7400" w:type="dxa"/>
            <w:vAlign w:val="bottom"/>
          </w:tcPr>
          <w:p>
            <w:pPr>
              <w:ind w:left="80"/>
              <w:spacing w:after="0"/>
              <w:rPr>
                <w:sz w:val="20"/>
                <w:szCs w:val="20"/>
                <w:color w:val="auto"/>
              </w:rPr>
            </w:pPr>
            <w:r>
              <w:rPr>
                <w:rFonts w:ascii="Arial" w:cs="Arial" w:eastAsia="Arial" w:hAnsi="Arial"/>
                <w:sz w:val="16"/>
                <w:szCs w:val="16"/>
                <w:color w:val="auto"/>
              </w:rPr>
              <w:t>Julie M. Howard(1)</w:t>
            </w:r>
          </w:p>
        </w:tc>
        <w:tc>
          <w:tcPr>
            <w:tcW w:w="1700" w:type="dxa"/>
            <w:vAlign w:val="bottom"/>
          </w:tcPr>
          <w:p>
            <w:pPr>
              <w:jc w:val="right"/>
              <w:ind w:right="161"/>
              <w:spacing w:after="0"/>
              <w:rPr>
                <w:sz w:val="20"/>
                <w:szCs w:val="20"/>
                <w:color w:val="auto"/>
              </w:rPr>
            </w:pPr>
            <w:r>
              <w:rPr>
                <w:rFonts w:ascii="Arial" w:cs="Arial" w:eastAsia="Arial" w:hAnsi="Arial"/>
                <w:sz w:val="16"/>
                <w:szCs w:val="16"/>
                <w:color w:val="auto"/>
              </w:rPr>
              <w:t>5,205</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7,824</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13,029</w:t>
            </w:r>
          </w:p>
        </w:tc>
      </w:tr>
      <w:tr>
        <w:trPr>
          <w:trHeight w:val="189"/>
        </w:trPr>
        <w:tc>
          <w:tcPr>
            <w:tcW w:w="7400" w:type="dxa"/>
            <w:vAlign w:val="bottom"/>
            <w:shd w:val="clear" w:color="auto" w:fill="E6EDF3"/>
          </w:tcPr>
          <w:p>
            <w:pPr>
              <w:ind w:left="80"/>
              <w:spacing w:after="0"/>
              <w:rPr>
                <w:sz w:val="20"/>
                <w:szCs w:val="20"/>
                <w:color w:val="auto"/>
              </w:rPr>
            </w:pPr>
            <w:r>
              <w:rPr>
                <w:rFonts w:ascii="Arial" w:cs="Arial" w:eastAsia="Arial" w:hAnsi="Arial"/>
                <w:sz w:val="16"/>
                <w:szCs w:val="16"/>
                <w:color w:val="auto"/>
              </w:rPr>
              <w:t>Roberto Mendoza</w:t>
            </w:r>
          </w:p>
        </w:tc>
        <w:tc>
          <w:tcPr>
            <w:tcW w:w="1700" w:type="dxa"/>
            <w:vAlign w:val="bottom"/>
            <w:shd w:val="clear" w:color="auto" w:fill="E6EDF3"/>
          </w:tcPr>
          <w:p>
            <w:pPr>
              <w:jc w:val="right"/>
              <w:ind w:right="161"/>
              <w:spacing w:after="0"/>
              <w:rPr>
                <w:sz w:val="20"/>
                <w:szCs w:val="20"/>
                <w:color w:val="auto"/>
              </w:rPr>
            </w:pPr>
            <w:r>
              <w:rPr>
                <w:rFonts w:ascii="Arial" w:cs="Arial" w:eastAsia="Arial" w:hAnsi="Arial"/>
                <w:sz w:val="16"/>
                <w:szCs w:val="16"/>
                <w:color w:val="auto"/>
              </w:rPr>
              <w:t>95,000</w:t>
            </w:r>
          </w:p>
        </w:tc>
        <w:tc>
          <w:tcPr>
            <w:tcW w:w="1400" w:type="dxa"/>
            <w:vAlign w:val="bottom"/>
            <w:shd w:val="clear" w:color="auto" w:fill="E6EDF3"/>
          </w:tcPr>
          <w:p>
            <w:pPr>
              <w:jc w:val="right"/>
              <w:ind w:right="140"/>
              <w:spacing w:after="0"/>
              <w:rPr>
                <w:sz w:val="20"/>
                <w:szCs w:val="20"/>
                <w:color w:val="auto"/>
              </w:rPr>
            </w:pPr>
            <w:r>
              <w:rPr>
                <w:rFonts w:ascii="Arial" w:cs="Arial" w:eastAsia="Arial" w:hAnsi="Arial"/>
                <w:sz w:val="16"/>
                <w:szCs w:val="16"/>
                <w:color w:val="auto"/>
              </w:rPr>
              <w:t>172,607</w:t>
            </w:r>
          </w:p>
        </w:tc>
        <w:tc>
          <w:tcPr>
            <w:tcW w:w="920" w:type="dxa"/>
            <w:vAlign w:val="bottom"/>
            <w:shd w:val="clear" w:color="auto" w:fill="E6EDF3"/>
          </w:tcPr>
          <w:p>
            <w:pPr>
              <w:jc w:val="right"/>
              <w:ind w:right="20"/>
              <w:spacing w:after="0"/>
              <w:rPr>
                <w:sz w:val="20"/>
                <w:szCs w:val="20"/>
                <w:color w:val="auto"/>
              </w:rPr>
            </w:pPr>
            <w:r>
              <w:rPr>
                <w:rFonts w:ascii="Arial" w:cs="Arial" w:eastAsia="Arial" w:hAnsi="Arial"/>
                <w:sz w:val="16"/>
                <w:szCs w:val="16"/>
                <w:color w:val="auto"/>
              </w:rPr>
              <w:t>267,607</w:t>
            </w:r>
          </w:p>
        </w:tc>
      </w:tr>
      <w:tr>
        <w:trPr>
          <w:trHeight w:val="189"/>
        </w:trPr>
        <w:tc>
          <w:tcPr>
            <w:tcW w:w="7400" w:type="dxa"/>
            <w:vAlign w:val="bottom"/>
          </w:tcPr>
          <w:p>
            <w:pPr>
              <w:ind w:left="80"/>
              <w:spacing w:after="0"/>
              <w:rPr>
                <w:sz w:val="20"/>
                <w:szCs w:val="20"/>
                <w:color w:val="auto"/>
              </w:rPr>
            </w:pPr>
            <w:r>
              <w:rPr>
                <w:rFonts w:ascii="Arial" w:cs="Arial" w:eastAsia="Arial" w:hAnsi="Arial"/>
                <w:sz w:val="16"/>
                <w:szCs w:val="16"/>
                <w:color w:val="auto"/>
              </w:rPr>
              <w:t>Ulice Payne, Jr.</w:t>
            </w:r>
          </w:p>
        </w:tc>
        <w:tc>
          <w:tcPr>
            <w:tcW w:w="1700" w:type="dxa"/>
            <w:vAlign w:val="bottom"/>
          </w:tcPr>
          <w:p>
            <w:pPr>
              <w:jc w:val="right"/>
              <w:ind w:right="161"/>
              <w:spacing w:after="0"/>
              <w:rPr>
                <w:sz w:val="20"/>
                <w:szCs w:val="20"/>
                <w:color w:val="auto"/>
              </w:rPr>
            </w:pPr>
            <w:r>
              <w:rPr>
                <w:rFonts w:ascii="Arial" w:cs="Arial" w:eastAsia="Arial" w:hAnsi="Arial"/>
                <w:sz w:val="16"/>
                <w:szCs w:val="16"/>
                <w:color w:val="auto"/>
              </w:rPr>
              <w:t>110,000</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140,000</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250,000</w:t>
            </w:r>
          </w:p>
        </w:tc>
      </w:tr>
      <w:tr>
        <w:trPr>
          <w:trHeight w:val="189"/>
        </w:trPr>
        <w:tc>
          <w:tcPr>
            <w:tcW w:w="7400" w:type="dxa"/>
            <w:vAlign w:val="bottom"/>
            <w:shd w:val="clear" w:color="auto" w:fill="E6EDF3"/>
          </w:tcPr>
          <w:p>
            <w:pPr>
              <w:ind w:left="80"/>
              <w:spacing w:after="0"/>
              <w:rPr>
                <w:sz w:val="20"/>
                <w:szCs w:val="20"/>
                <w:color w:val="auto"/>
              </w:rPr>
            </w:pPr>
            <w:r>
              <w:rPr>
                <w:rFonts w:ascii="Arial" w:cs="Arial" w:eastAsia="Arial" w:hAnsi="Arial"/>
                <w:sz w:val="16"/>
                <w:szCs w:val="16"/>
                <w:color w:val="auto"/>
              </w:rPr>
              <w:t>Paul Read</w:t>
            </w:r>
          </w:p>
        </w:tc>
        <w:tc>
          <w:tcPr>
            <w:tcW w:w="1700" w:type="dxa"/>
            <w:vAlign w:val="bottom"/>
            <w:shd w:val="clear" w:color="auto" w:fill="E6EDF3"/>
          </w:tcPr>
          <w:p>
            <w:pPr>
              <w:jc w:val="right"/>
              <w:ind w:right="161"/>
              <w:spacing w:after="0"/>
              <w:rPr>
                <w:sz w:val="20"/>
                <w:szCs w:val="20"/>
                <w:color w:val="auto"/>
              </w:rPr>
            </w:pPr>
            <w:r>
              <w:rPr>
                <w:rFonts w:ascii="Arial" w:cs="Arial" w:eastAsia="Arial" w:hAnsi="Arial"/>
                <w:sz w:val="16"/>
                <w:szCs w:val="16"/>
                <w:color w:val="auto"/>
              </w:rPr>
              <w:t>95,000</w:t>
            </w:r>
          </w:p>
        </w:tc>
        <w:tc>
          <w:tcPr>
            <w:tcW w:w="1400" w:type="dxa"/>
            <w:vAlign w:val="bottom"/>
            <w:shd w:val="clear" w:color="auto" w:fill="E6EDF3"/>
          </w:tcPr>
          <w:p>
            <w:pPr>
              <w:jc w:val="right"/>
              <w:ind w:right="140"/>
              <w:spacing w:after="0"/>
              <w:rPr>
                <w:sz w:val="20"/>
                <w:szCs w:val="20"/>
                <w:color w:val="auto"/>
              </w:rPr>
            </w:pPr>
            <w:r>
              <w:rPr>
                <w:rFonts w:ascii="Arial" w:cs="Arial" w:eastAsia="Arial" w:hAnsi="Arial"/>
                <w:sz w:val="16"/>
                <w:szCs w:val="16"/>
                <w:color w:val="auto"/>
              </w:rPr>
              <w:t>140,153</w:t>
            </w:r>
          </w:p>
        </w:tc>
        <w:tc>
          <w:tcPr>
            <w:tcW w:w="920" w:type="dxa"/>
            <w:vAlign w:val="bottom"/>
            <w:shd w:val="clear" w:color="auto" w:fill="E6EDF3"/>
          </w:tcPr>
          <w:p>
            <w:pPr>
              <w:jc w:val="right"/>
              <w:ind w:right="20"/>
              <w:spacing w:after="0"/>
              <w:rPr>
                <w:sz w:val="20"/>
                <w:szCs w:val="20"/>
                <w:color w:val="auto"/>
              </w:rPr>
            </w:pPr>
            <w:r>
              <w:rPr>
                <w:rFonts w:ascii="Arial" w:cs="Arial" w:eastAsia="Arial" w:hAnsi="Arial"/>
                <w:sz w:val="16"/>
                <w:szCs w:val="16"/>
                <w:color w:val="auto"/>
              </w:rPr>
              <w:t>235,153</w:t>
            </w:r>
          </w:p>
        </w:tc>
      </w:tr>
      <w:tr>
        <w:trPr>
          <w:trHeight w:val="189"/>
        </w:trPr>
        <w:tc>
          <w:tcPr>
            <w:tcW w:w="7400" w:type="dxa"/>
            <w:vAlign w:val="bottom"/>
          </w:tcPr>
          <w:p>
            <w:pPr>
              <w:ind w:left="80"/>
              <w:spacing w:after="0"/>
              <w:rPr>
                <w:sz w:val="20"/>
                <w:szCs w:val="20"/>
                <w:color w:val="auto"/>
              </w:rPr>
            </w:pPr>
            <w:r>
              <w:rPr>
                <w:rFonts w:ascii="Arial" w:cs="Arial" w:eastAsia="Arial" w:hAnsi="Arial"/>
                <w:sz w:val="16"/>
                <w:szCs w:val="16"/>
                <w:color w:val="auto"/>
              </w:rPr>
              <w:t>Elizabeth P. Sartain</w:t>
            </w:r>
          </w:p>
        </w:tc>
        <w:tc>
          <w:tcPr>
            <w:tcW w:w="1700" w:type="dxa"/>
            <w:vAlign w:val="bottom"/>
          </w:tcPr>
          <w:p>
            <w:pPr>
              <w:jc w:val="right"/>
              <w:ind w:right="161"/>
              <w:spacing w:after="0"/>
              <w:rPr>
                <w:sz w:val="20"/>
                <w:szCs w:val="20"/>
                <w:color w:val="auto"/>
              </w:rPr>
            </w:pPr>
            <w:r>
              <w:rPr>
                <w:rFonts w:ascii="Arial" w:cs="Arial" w:eastAsia="Arial" w:hAnsi="Arial"/>
                <w:sz w:val="16"/>
                <w:szCs w:val="16"/>
                <w:color w:val="auto"/>
              </w:rPr>
              <w:t>95,000</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140,000</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235,000</w:t>
            </w:r>
          </w:p>
        </w:tc>
      </w:tr>
      <w:tr>
        <w:trPr>
          <w:trHeight w:val="189"/>
        </w:trPr>
        <w:tc>
          <w:tcPr>
            <w:tcW w:w="7400" w:type="dxa"/>
            <w:vAlign w:val="bottom"/>
            <w:shd w:val="clear" w:color="auto" w:fill="E6EDF3"/>
          </w:tcPr>
          <w:p>
            <w:pPr>
              <w:ind w:left="80"/>
              <w:spacing w:after="0"/>
              <w:rPr>
                <w:sz w:val="20"/>
                <w:szCs w:val="20"/>
                <w:color w:val="auto"/>
              </w:rPr>
            </w:pPr>
            <w:r>
              <w:rPr>
                <w:rFonts w:ascii="Arial" w:cs="Arial" w:eastAsia="Arial" w:hAnsi="Arial"/>
                <w:sz w:val="16"/>
                <w:szCs w:val="16"/>
                <w:color w:val="auto"/>
              </w:rPr>
              <w:t>John R. Walter</w:t>
            </w:r>
          </w:p>
        </w:tc>
        <w:tc>
          <w:tcPr>
            <w:tcW w:w="1700" w:type="dxa"/>
            <w:vAlign w:val="bottom"/>
            <w:shd w:val="clear" w:color="auto" w:fill="E6EDF3"/>
          </w:tcPr>
          <w:p>
            <w:pPr>
              <w:jc w:val="right"/>
              <w:ind w:right="161"/>
              <w:spacing w:after="0"/>
              <w:rPr>
                <w:sz w:val="20"/>
                <w:szCs w:val="20"/>
                <w:color w:val="auto"/>
              </w:rPr>
            </w:pPr>
            <w:r>
              <w:rPr>
                <w:rFonts w:ascii="Arial" w:cs="Arial" w:eastAsia="Arial" w:hAnsi="Arial"/>
                <w:sz w:val="16"/>
                <w:szCs w:val="16"/>
                <w:color w:val="auto"/>
              </w:rPr>
              <w:t>—</w:t>
            </w:r>
          </w:p>
        </w:tc>
        <w:tc>
          <w:tcPr>
            <w:tcW w:w="1400" w:type="dxa"/>
            <w:vAlign w:val="bottom"/>
            <w:shd w:val="clear" w:color="auto" w:fill="E6EDF3"/>
          </w:tcPr>
          <w:p>
            <w:pPr>
              <w:jc w:val="right"/>
              <w:ind w:right="140"/>
              <w:spacing w:after="0"/>
              <w:rPr>
                <w:sz w:val="20"/>
                <w:szCs w:val="20"/>
                <w:color w:val="auto"/>
              </w:rPr>
            </w:pPr>
            <w:r>
              <w:rPr>
                <w:rFonts w:ascii="Arial" w:cs="Arial" w:eastAsia="Arial" w:hAnsi="Arial"/>
                <w:sz w:val="16"/>
                <w:szCs w:val="16"/>
                <w:color w:val="auto"/>
              </w:rPr>
              <w:t>262,620</w:t>
            </w:r>
          </w:p>
        </w:tc>
        <w:tc>
          <w:tcPr>
            <w:tcW w:w="920" w:type="dxa"/>
            <w:vAlign w:val="bottom"/>
            <w:shd w:val="clear" w:color="auto" w:fill="E6EDF3"/>
          </w:tcPr>
          <w:p>
            <w:pPr>
              <w:jc w:val="right"/>
              <w:ind w:right="20"/>
              <w:spacing w:after="0"/>
              <w:rPr>
                <w:sz w:val="20"/>
                <w:szCs w:val="20"/>
                <w:color w:val="auto"/>
              </w:rPr>
            </w:pPr>
            <w:r>
              <w:rPr>
                <w:rFonts w:ascii="Arial" w:cs="Arial" w:eastAsia="Arial" w:hAnsi="Arial"/>
                <w:sz w:val="16"/>
                <w:szCs w:val="16"/>
                <w:color w:val="auto"/>
              </w:rPr>
              <w:t>262,620</w:t>
            </w:r>
          </w:p>
        </w:tc>
      </w:tr>
      <w:tr>
        <w:trPr>
          <w:trHeight w:val="189"/>
        </w:trPr>
        <w:tc>
          <w:tcPr>
            <w:tcW w:w="74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Edward J. Zore</w:t>
            </w:r>
          </w:p>
        </w:tc>
        <w:tc>
          <w:tcPr>
            <w:tcW w:w="17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125,000</w:t>
            </w:r>
          </w:p>
        </w:tc>
        <w:tc>
          <w:tcPr>
            <w:tcW w:w="1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141,074</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266,074</w:t>
            </w:r>
          </w:p>
        </w:tc>
      </w:tr>
    </w:tbl>
    <w:p>
      <w:pPr>
        <w:spacing w:after="0" w:line="72"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Ms. Howard was elected to the Board of Directors on December 12, 2016 and received a pro-rata annual grant of deferred stock and annual retainer.</w:t>
      </w:r>
    </w:p>
    <w:p>
      <w:pPr>
        <w:spacing w:after="0" w:line="68" w:lineRule="exact"/>
        <w:rPr>
          <w:rFonts w:ascii="Arial" w:cs="Arial" w:eastAsia="Arial" w:hAnsi="Arial"/>
          <w:sz w:val="14"/>
          <w:szCs w:val="14"/>
          <w:color w:val="auto"/>
        </w:rPr>
      </w:pPr>
    </w:p>
    <w:p>
      <w:pPr>
        <w:ind w:left="340" w:right="260" w:hanging="332"/>
        <w:spacing w:after="0" w:line="250"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Reflects deferred stock and restricted stock granted under our 2011 Equity Incentive Plan and the Terms and Conditions Regarding the Grant of Awards to Non-Employee Directors under the 2011 Equity Incentive Plan. These amounts reflect the grant date fair value of the awards as computed in accordance with FASB ASC Topic 718. The amount reflected in the table was made up of:</w:t>
      </w:r>
    </w:p>
    <w:p>
      <w:pPr>
        <w:spacing w:after="0" w:line="50"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For Ms. Boswell, $140,000 attributable to the annual grant of restricted stock (1,661 shares) in 2016.</w:t>
      </w:r>
    </w:p>
    <w:p>
      <w:pPr>
        <w:spacing w:after="0" w:line="68" w:lineRule="exact"/>
        <w:rPr>
          <w:rFonts w:ascii="Arial" w:cs="Arial" w:eastAsia="Arial" w:hAnsi="Arial"/>
          <w:sz w:val="14"/>
          <w:szCs w:val="14"/>
          <w:color w:val="auto"/>
        </w:rPr>
      </w:pPr>
    </w:p>
    <w:p>
      <w:pPr>
        <w:ind w:left="340" w:right="460"/>
        <w:spacing w:after="0" w:line="258" w:lineRule="auto"/>
        <w:rPr>
          <w:rFonts w:ascii="Arial" w:cs="Arial" w:eastAsia="Arial" w:hAnsi="Arial"/>
          <w:sz w:val="14"/>
          <w:szCs w:val="14"/>
          <w:color w:val="auto"/>
        </w:rPr>
      </w:pPr>
      <w:r>
        <w:rPr>
          <w:rFonts w:ascii="Arial" w:cs="Arial" w:eastAsia="Arial" w:hAnsi="Arial"/>
          <w:sz w:val="14"/>
          <w:szCs w:val="14"/>
          <w:color w:val="auto"/>
        </w:rPr>
        <w:t>For Ms. Dominguez, $140,000 attributable to the annual grant of restricted stock (1,661 shares) and $5,754 attributable to deferred stock issued in lieu of dividends (75 shares) in 2016.</w:t>
      </w:r>
    </w:p>
    <w:p>
      <w:pPr>
        <w:spacing w:after="0" w:line="45" w:lineRule="exact"/>
        <w:rPr>
          <w:rFonts w:ascii="Arial" w:cs="Arial" w:eastAsia="Arial" w:hAnsi="Arial"/>
          <w:sz w:val="14"/>
          <w:szCs w:val="14"/>
          <w:color w:val="auto"/>
        </w:rPr>
      </w:pPr>
    </w:p>
    <w:p>
      <w:pPr>
        <w:ind w:left="340" w:right="20"/>
        <w:spacing w:after="0" w:line="258" w:lineRule="auto"/>
        <w:rPr>
          <w:rFonts w:ascii="Arial" w:cs="Arial" w:eastAsia="Arial" w:hAnsi="Arial"/>
          <w:sz w:val="14"/>
          <w:szCs w:val="14"/>
          <w:color w:val="auto"/>
        </w:rPr>
      </w:pPr>
      <w:r>
        <w:rPr>
          <w:rFonts w:ascii="Arial" w:cs="Arial" w:eastAsia="Arial" w:hAnsi="Arial"/>
          <w:sz w:val="14"/>
          <w:szCs w:val="14"/>
          <w:color w:val="auto"/>
        </w:rPr>
        <w:t>For Mr. Downe, $140,000 attributable to the annual grant of deferred stock (1,661 shares), $95,000 attributable to deferred stock granted in lieu of 100% of his annual retainer (1,238 shares) and $25,625 attributable to deferred stock issued in lieu of dividends (334 shares) in 2016.</w:t>
      </w:r>
    </w:p>
    <w:p>
      <w:pPr>
        <w:spacing w:after="0" w:line="45" w:lineRule="exact"/>
        <w:rPr>
          <w:rFonts w:ascii="Arial" w:cs="Arial" w:eastAsia="Arial" w:hAnsi="Arial"/>
          <w:sz w:val="14"/>
          <w:szCs w:val="14"/>
          <w:color w:val="auto"/>
        </w:rPr>
      </w:pPr>
    </w:p>
    <w:p>
      <w:pPr>
        <w:ind w:left="340" w:right="520"/>
        <w:spacing w:after="0" w:line="258" w:lineRule="auto"/>
        <w:rPr>
          <w:rFonts w:ascii="Arial" w:cs="Arial" w:eastAsia="Arial" w:hAnsi="Arial"/>
          <w:sz w:val="14"/>
          <w:szCs w:val="14"/>
          <w:color w:val="auto"/>
        </w:rPr>
      </w:pPr>
      <w:r>
        <w:rPr>
          <w:rFonts w:ascii="Arial" w:cs="Arial" w:eastAsia="Arial" w:hAnsi="Arial"/>
          <w:sz w:val="14"/>
          <w:szCs w:val="14"/>
          <w:color w:val="auto"/>
        </w:rPr>
        <w:t>For Mr. Ferraro, $140,000 attributable to the annual grant of deferred stock (1,661 shares), $95,000 attributable to deferred stock granted in lieu of 100% of his annual retainer (1,238 shares) and $2,839 attributable to deferred stock issued in lieu of dividends (37 shares) in 2016.</w:t>
      </w:r>
    </w:p>
    <w:p>
      <w:pPr>
        <w:spacing w:after="0" w:line="45" w:lineRule="exact"/>
        <w:rPr>
          <w:rFonts w:ascii="Arial" w:cs="Arial" w:eastAsia="Arial" w:hAnsi="Arial"/>
          <w:sz w:val="14"/>
          <w:szCs w:val="14"/>
          <w:color w:val="auto"/>
        </w:rPr>
      </w:pPr>
    </w:p>
    <w:p>
      <w:pPr>
        <w:ind w:left="340" w:right="120"/>
        <w:spacing w:after="0" w:line="258" w:lineRule="auto"/>
        <w:rPr>
          <w:rFonts w:ascii="Arial" w:cs="Arial" w:eastAsia="Arial" w:hAnsi="Arial"/>
          <w:sz w:val="14"/>
          <w:szCs w:val="14"/>
          <w:color w:val="auto"/>
        </w:rPr>
      </w:pPr>
      <w:r>
        <w:rPr>
          <w:rFonts w:ascii="Arial" w:cs="Arial" w:eastAsia="Arial" w:hAnsi="Arial"/>
          <w:sz w:val="14"/>
          <w:szCs w:val="14"/>
          <w:color w:val="auto"/>
        </w:rPr>
        <w:t>For Ms. Hemingway Hall, $140,000 attributable to the annual grant of deferred stock (1,661 shares) and $8,593 attributable to deferred stock issued in lieu of dividends (112 shares) in 2016.</w:t>
      </w:r>
    </w:p>
    <w:p>
      <w:pPr>
        <w:spacing w:after="0" w:line="45" w:lineRule="exact"/>
        <w:rPr>
          <w:rFonts w:ascii="Arial" w:cs="Arial" w:eastAsia="Arial" w:hAnsi="Arial"/>
          <w:sz w:val="14"/>
          <w:szCs w:val="14"/>
          <w:color w:val="auto"/>
        </w:rPr>
      </w:pPr>
    </w:p>
    <w:p>
      <w:pPr>
        <w:ind w:left="340" w:right="500"/>
        <w:spacing w:after="0" w:line="258" w:lineRule="auto"/>
        <w:rPr>
          <w:rFonts w:ascii="Arial" w:cs="Arial" w:eastAsia="Arial" w:hAnsi="Arial"/>
          <w:sz w:val="14"/>
          <w:szCs w:val="14"/>
          <w:color w:val="auto"/>
        </w:rPr>
      </w:pPr>
      <w:r>
        <w:rPr>
          <w:rFonts w:ascii="Arial" w:cs="Arial" w:eastAsia="Arial" w:hAnsi="Arial"/>
          <w:sz w:val="14"/>
          <w:szCs w:val="14"/>
          <w:color w:val="auto"/>
        </w:rPr>
        <w:t>For Ms. Howard, $7,671 attributable to the annual grant of deferred stock pro-rated based on the start date of December 12, 2016 (83 shares) and $153 attributable to deferred stock in lieu of dividends (2 shares) in 2016.</w:t>
      </w:r>
    </w:p>
    <w:p>
      <w:pPr>
        <w:spacing w:after="0" w:line="45" w:lineRule="exact"/>
        <w:rPr>
          <w:rFonts w:ascii="Arial" w:cs="Arial" w:eastAsia="Arial" w:hAnsi="Arial"/>
          <w:sz w:val="14"/>
          <w:szCs w:val="14"/>
          <w:color w:val="auto"/>
        </w:rPr>
      </w:pPr>
    </w:p>
    <w:p>
      <w:pPr>
        <w:ind w:left="340" w:right="480"/>
        <w:spacing w:after="0" w:line="258" w:lineRule="auto"/>
        <w:rPr>
          <w:rFonts w:ascii="Arial" w:cs="Arial" w:eastAsia="Arial" w:hAnsi="Arial"/>
          <w:sz w:val="14"/>
          <w:szCs w:val="14"/>
          <w:color w:val="auto"/>
        </w:rPr>
      </w:pPr>
      <w:r>
        <w:rPr>
          <w:rFonts w:ascii="Arial" w:cs="Arial" w:eastAsia="Arial" w:hAnsi="Arial"/>
          <w:sz w:val="14"/>
          <w:szCs w:val="14"/>
          <w:color w:val="auto"/>
        </w:rPr>
        <w:t>For Mr. Mendoza, $140,000 attributable to the annual grant of deferred stock (1,661 shares), and $32,607 attributable to deferred stock issued in lieu of dividends (425 shares) in 2016.</w:t>
      </w:r>
    </w:p>
    <w:p>
      <w:pPr>
        <w:spacing w:after="0" w:line="45"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For Mr. Payne, $140,000 attributable to the annual grant of restricted stock (1,661 shares) in 2016.</w:t>
      </w:r>
    </w:p>
    <w:p>
      <w:pPr>
        <w:spacing w:after="0" w:line="68" w:lineRule="exact"/>
        <w:rPr>
          <w:rFonts w:ascii="Arial" w:cs="Arial" w:eastAsia="Arial" w:hAnsi="Arial"/>
          <w:sz w:val="14"/>
          <w:szCs w:val="14"/>
          <w:color w:val="auto"/>
        </w:rPr>
      </w:pPr>
    </w:p>
    <w:p>
      <w:pPr>
        <w:ind w:left="340"/>
        <w:spacing w:after="0" w:line="342" w:lineRule="auto"/>
        <w:rPr>
          <w:rFonts w:ascii="Arial" w:cs="Arial" w:eastAsia="Arial" w:hAnsi="Arial"/>
          <w:sz w:val="14"/>
          <w:szCs w:val="14"/>
          <w:color w:val="auto"/>
        </w:rPr>
      </w:pPr>
      <w:r>
        <w:rPr>
          <w:rFonts w:ascii="Arial" w:cs="Arial" w:eastAsia="Arial" w:hAnsi="Arial"/>
          <w:sz w:val="14"/>
          <w:szCs w:val="14"/>
          <w:color w:val="auto"/>
        </w:rPr>
        <w:t>For Mr. Read, $140,000 attributable to the annual grant of restricted stock (1,661 shares) and $153 attributable to deferred stock issued in lieu of dividends (2 shares) in 2016. For Ms. Sartain,$140,000 attributable to the annual grant of restricted stock (1,661 shares) in 2016.</w:t>
      </w:r>
    </w:p>
    <w:p>
      <w:pPr>
        <w:ind w:left="340" w:right="60"/>
        <w:spacing w:after="0" w:line="258" w:lineRule="auto"/>
        <w:rPr>
          <w:rFonts w:ascii="Arial" w:cs="Arial" w:eastAsia="Arial" w:hAnsi="Arial"/>
          <w:sz w:val="14"/>
          <w:szCs w:val="14"/>
          <w:color w:val="auto"/>
        </w:rPr>
      </w:pPr>
      <w:r>
        <w:rPr>
          <w:rFonts w:ascii="Arial" w:cs="Arial" w:eastAsia="Arial" w:hAnsi="Arial"/>
          <w:sz w:val="14"/>
          <w:szCs w:val="14"/>
          <w:color w:val="auto"/>
        </w:rPr>
        <w:t>For Mr. Walter, $140,000 attributable to the annual grant of deferred stock (1,661 shares), $95,000 attributable to deferred stock granted in lieu of 100% of his annual retainer (1,238 shares) and $27,620 attributable to deferred stock issued in lieu of dividends (360 shares) in 2016.</w:t>
      </w:r>
    </w:p>
    <w:p>
      <w:pPr>
        <w:spacing w:after="0" w:line="45" w:lineRule="exact"/>
        <w:rPr>
          <w:rFonts w:ascii="Arial" w:cs="Arial" w:eastAsia="Arial" w:hAnsi="Arial"/>
          <w:sz w:val="14"/>
          <w:szCs w:val="14"/>
          <w:color w:val="auto"/>
        </w:rPr>
      </w:pPr>
    </w:p>
    <w:p>
      <w:pPr>
        <w:ind w:left="340" w:right="260"/>
        <w:spacing w:after="0" w:line="258" w:lineRule="auto"/>
        <w:rPr>
          <w:rFonts w:ascii="Arial" w:cs="Arial" w:eastAsia="Arial" w:hAnsi="Arial"/>
          <w:sz w:val="14"/>
          <w:szCs w:val="14"/>
          <w:color w:val="auto"/>
        </w:rPr>
      </w:pPr>
      <w:r>
        <w:rPr>
          <w:rFonts w:ascii="Arial" w:cs="Arial" w:eastAsia="Arial" w:hAnsi="Arial"/>
          <w:sz w:val="14"/>
          <w:szCs w:val="14"/>
          <w:color w:val="auto"/>
        </w:rPr>
        <w:t>For Mr. Zore, $140,000 attributable to the annual grant of restricted stock (1,661 shares) and $1,074 attributable to deferred stock issued in lieu of dividends (14 shares) in 2016.</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76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400" w:type="dxa"/>
            <w:vAlign w:val="bottom"/>
            <w:shd w:val="clear" w:color="auto" w:fill="5D89B4"/>
          </w:tcPr>
          <w:p>
            <w:pPr>
              <w:spacing w:after="0"/>
              <w:rPr>
                <w:sz w:val="24"/>
                <w:szCs w:val="24"/>
                <w:color w:val="auto"/>
              </w:rPr>
            </w:pPr>
          </w:p>
        </w:tc>
        <w:tc>
          <w:tcPr>
            <w:tcW w:w="3020" w:type="dxa"/>
            <w:vAlign w:val="bottom"/>
            <w:shd w:val="clear" w:color="auto" w:fill="5D89B4"/>
          </w:tcPr>
          <w:p>
            <w:pPr>
              <w:jc w:val="right"/>
              <w:ind w:right="20"/>
              <w:spacing w:after="0"/>
              <w:rPr>
                <w:sz w:val="20"/>
                <w:szCs w:val="20"/>
                <w:color w:val="auto"/>
              </w:rPr>
            </w:pPr>
            <w:r>
              <w:rPr>
                <w:rFonts w:ascii="Arial" w:cs="Arial" w:eastAsia="Arial" w:hAnsi="Arial"/>
                <w:sz w:val="18"/>
                <w:szCs w:val="18"/>
                <w:color w:val="FFFFFF"/>
              </w:rPr>
              <w:t>Compensation Tables</w:t>
            </w:r>
          </w:p>
        </w:tc>
      </w:tr>
      <w:tr>
        <w:trPr>
          <w:trHeight w:val="81"/>
        </w:trPr>
        <w:tc>
          <w:tcPr>
            <w:tcW w:w="8400" w:type="dxa"/>
            <w:vAlign w:val="bottom"/>
            <w:shd w:val="clear" w:color="auto" w:fill="5D89B4"/>
          </w:tcPr>
          <w:p>
            <w:pPr>
              <w:spacing w:after="0"/>
              <w:rPr>
                <w:sz w:val="7"/>
                <w:szCs w:val="7"/>
                <w:color w:val="auto"/>
              </w:rPr>
            </w:pPr>
          </w:p>
        </w:tc>
        <w:tc>
          <w:tcPr>
            <w:tcW w:w="3020" w:type="dxa"/>
            <w:vAlign w:val="bottom"/>
            <w:shd w:val="clear" w:color="auto" w:fill="5D89B4"/>
          </w:tcPr>
          <w:p>
            <w:pPr>
              <w:spacing w:after="0"/>
              <w:rPr>
                <w:sz w:val="7"/>
                <w:szCs w:val="7"/>
                <w:color w:val="auto"/>
              </w:rPr>
            </w:pPr>
          </w:p>
        </w:tc>
      </w:tr>
      <w:tr>
        <w:trPr>
          <w:trHeight w:val="326"/>
        </w:trPr>
        <w:tc>
          <w:tcPr>
            <w:tcW w:w="8400" w:type="dxa"/>
            <w:vAlign w:val="bottom"/>
          </w:tcPr>
          <w:p>
            <w:pPr>
              <w:spacing w:after="0"/>
              <w:rPr>
                <w:sz w:val="20"/>
                <w:szCs w:val="20"/>
                <w:color w:val="auto"/>
              </w:rPr>
            </w:pPr>
            <w:r>
              <w:rPr>
                <w:rFonts w:ascii="Arial" w:cs="Arial" w:eastAsia="Arial" w:hAnsi="Arial"/>
                <w:sz w:val="14"/>
                <w:szCs w:val="14"/>
                <w:color w:val="auto"/>
              </w:rPr>
              <w:t>As of December 31, 2016, the aggregate number of shares of deferred stock held by the non-employee directors was as follows:</w:t>
            </w:r>
          </w:p>
        </w:tc>
        <w:tc>
          <w:tcPr>
            <w:tcW w:w="3020" w:type="dxa"/>
            <w:vAlign w:val="bottom"/>
          </w:tcPr>
          <w:p>
            <w:pPr>
              <w:spacing w:after="0"/>
              <w:rPr>
                <w:sz w:val="24"/>
                <w:szCs w:val="24"/>
                <w:color w:val="auto"/>
              </w:rPr>
            </w:pPr>
          </w:p>
        </w:tc>
      </w:tr>
      <w:tr>
        <w:trPr>
          <w:trHeight w:val="228"/>
        </w:trPr>
        <w:tc>
          <w:tcPr>
            <w:tcW w:w="84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r>
      <w:tr>
        <w:trPr>
          <w:trHeight w:val="237"/>
        </w:trPr>
        <w:tc>
          <w:tcPr>
            <w:tcW w:w="8400" w:type="dxa"/>
            <w:vAlign w:val="bottom"/>
            <w:shd w:val="clear" w:color="auto" w:fill="9DB8D2"/>
          </w:tcPr>
          <w:p>
            <w:pPr>
              <w:spacing w:after="0"/>
              <w:rPr>
                <w:sz w:val="20"/>
                <w:szCs w:val="20"/>
                <w:color w:val="auto"/>
              </w:rPr>
            </w:pPr>
          </w:p>
        </w:tc>
        <w:tc>
          <w:tcPr>
            <w:tcW w:w="3020" w:type="dxa"/>
            <w:vAlign w:val="bottom"/>
            <w:shd w:val="clear" w:color="auto" w:fill="9DB8D2"/>
          </w:tcPr>
          <w:p>
            <w:pPr>
              <w:jc w:val="right"/>
              <w:ind w:right="500"/>
              <w:spacing w:after="0"/>
              <w:rPr>
                <w:sz w:val="20"/>
                <w:szCs w:val="20"/>
                <w:color w:val="auto"/>
              </w:rPr>
            </w:pPr>
            <w:r>
              <w:rPr>
                <w:rFonts w:ascii="Arial" w:cs="Arial" w:eastAsia="Arial" w:hAnsi="Arial"/>
                <w:sz w:val="14"/>
                <w:szCs w:val="14"/>
                <w:b w:val="1"/>
                <w:bCs w:val="1"/>
                <w:color w:val="auto"/>
              </w:rPr>
              <w:t>Shares of Deferred Stock held at</w:t>
            </w:r>
          </w:p>
        </w:tc>
      </w:tr>
      <w:tr>
        <w:trPr>
          <w:trHeight w:val="175"/>
        </w:trPr>
        <w:tc>
          <w:tcPr>
            <w:tcW w:w="840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Name</w:t>
            </w:r>
          </w:p>
        </w:tc>
        <w:tc>
          <w:tcPr>
            <w:tcW w:w="3020" w:type="dxa"/>
            <w:vAlign w:val="bottom"/>
            <w:tcBorders>
              <w:bottom w:val="single" w:sz="8" w:color="auto"/>
            </w:tcBorders>
            <w:shd w:val="clear" w:color="auto" w:fill="9DB8D2"/>
          </w:tcPr>
          <w:p>
            <w:pPr>
              <w:jc w:val="right"/>
              <w:ind w:right="960"/>
              <w:spacing w:after="0"/>
              <w:rPr>
                <w:sz w:val="20"/>
                <w:szCs w:val="20"/>
                <w:color w:val="auto"/>
              </w:rPr>
            </w:pPr>
            <w:r>
              <w:rPr>
                <w:rFonts w:ascii="Arial" w:cs="Arial" w:eastAsia="Arial" w:hAnsi="Arial"/>
                <w:sz w:val="14"/>
                <w:szCs w:val="14"/>
                <w:b w:val="1"/>
                <w:bCs w:val="1"/>
                <w:color w:val="auto"/>
              </w:rPr>
              <w:t>December 31, 2016</w:t>
            </w:r>
          </w:p>
        </w:tc>
      </w:tr>
      <w:tr>
        <w:trPr>
          <w:trHeight w:val="183"/>
        </w:trPr>
        <w:tc>
          <w:tcPr>
            <w:tcW w:w="840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Gina R. Boswell</w:t>
            </w:r>
          </w:p>
        </w:tc>
        <w:tc>
          <w:tcPr>
            <w:tcW w:w="3020" w:type="dxa"/>
            <w:vAlign w:val="bottom"/>
            <w:shd w:val="clear" w:color="auto" w:fill="E6EDF3"/>
          </w:tcPr>
          <w:p>
            <w:pPr>
              <w:jc w:val="right"/>
              <w:ind w:right="500"/>
              <w:spacing w:after="0" w:line="183" w:lineRule="exact"/>
              <w:rPr>
                <w:sz w:val="20"/>
                <w:szCs w:val="20"/>
                <w:color w:val="auto"/>
              </w:rPr>
            </w:pPr>
            <w:r>
              <w:rPr>
                <w:rFonts w:ascii="Arial" w:cs="Arial" w:eastAsia="Arial" w:hAnsi="Arial"/>
                <w:sz w:val="16"/>
                <w:szCs w:val="16"/>
                <w:color w:val="auto"/>
              </w:rPr>
              <w:t>—</w:t>
            </w:r>
          </w:p>
        </w:tc>
      </w:tr>
      <w:tr>
        <w:trPr>
          <w:trHeight w:val="189"/>
        </w:trPr>
        <w:tc>
          <w:tcPr>
            <w:tcW w:w="8400" w:type="dxa"/>
            <w:vAlign w:val="bottom"/>
          </w:tcPr>
          <w:p>
            <w:pPr>
              <w:ind w:left="80"/>
              <w:spacing w:after="0"/>
              <w:rPr>
                <w:sz w:val="20"/>
                <w:szCs w:val="20"/>
                <w:color w:val="auto"/>
              </w:rPr>
            </w:pPr>
            <w:r>
              <w:rPr>
                <w:rFonts w:ascii="Arial" w:cs="Arial" w:eastAsia="Arial" w:hAnsi="Arial"/>
                <w:sz w:val="16"/>
                <w:szCs w:val="16"/>
                <w:color w:val="auto"/>
              </w:rPr>
              <w:t>Cari M. Dominguez</w:t>
            </w:r>
          </w:p>
        </w:tc>
        <w:tc>
          <w:tcPr>
            <w:tcW w:w="3020" w:type="dxa"/>
            <w:vAlign w:val="bottom"/>
          </w:tcPr>
          <w:p>
            <w:pPr>
              <w:jc w:val="right"/>
              <w:ind w:right="500"/>
              <w:spacing w:after="0"/>
              <w:rPr>
                <w:sz w:val="20"/>
                <w:szCs w:val="20"/>
                <w:color w:val="auto"/>
              </w:rPr>
            </w:pPr>
            <w:r>
              <w:rPr>
                <w:rFonts w:ascii="Arial" w:cs="Arial" w:eastAsia="Arial" w:hAnsi="Arial"/>
                <w:sz w:val="16"/>
                <w:szCs w:val="16"/>
                <w:color w:val="auto"/>
              </w:rPr>
              <w:t>3,414</w:t>
            </w:r>
          </w:p>
        </w:tc>
      </w:tr>
      <w:tr>
        <w:trPr>
          <w:trHeight w:val="189"/>
        </w:trPr>
        <w:tc>
          <w:tcPr>
            <w:tcW w:w="8400" w:type="dxa"/>
            <w:vAlign w:val="bottom"/>
            <w:shd w:val="clear" w:color="auto" w:fill="E6EDF3"/>
          </w:tcPr>
          <w:p>
            <w:pPr>
              <w:ind w:left="80"/>
              <w:spacing w:after="0"/>
              <w:rPr>
                <w:sz w:val="20"/>
                <w:szCs w:val="20"/>
                <w:color w:val="auto"/>
              </w:rPr>
            </w:pPr>
            <w:r>
              <w:rPr>
                <w:rFonts w:ascii="Arial" w:cs="Arial" w:eastAsia="Arial" w:hAnsi="Arial"/>
                <w:sz w:val="16"/>
                <w:szCs w:val="16"/>
                <w:color w:val="auto"/>
              </w:rPr>
              <w:t>William Downe</w:t>
            </w:r>
          </w:p>
        </w:tc>
        <w:tc>
          <w:tcPr>
            <w:tcW w:w="3020" w:type="dxa"/>
            <w:vAlign w:val="bottom"/>
            <w:shd w:val="clear" w:color="auto" w:fill="E6EDF3"/>
          </w:tcPr>
          <w:p>
            <w:pPr>
              <w:jc w:val="right"/>
              <w:ind w:right="500"/>
              <w:spacing w:after="0"/>
              <w:rPr>
                <w:sz w:val="20"/>
                <w:szCs w:val="20"/>
                <w:color w:val="auto"/>
              </w:rPr>
            </w:pPr>
            <w:r>
              <w:rPr>
                <w:rFonts w:ascii="Arial" w:cs="Arial" w:eastAsia="Arial" w:hAnsi="Arial"/>
                <w:sz w:val="16"/>
                <w:szCs w:val="16"/>
                <w:color w:val="auto"/>
              </w:rPr>
              <w:t>16,523</w:t>
            </w:r>
          </w:p>
        </w:tc>
      </w:tr>
      <w:tr>
        <w:trPr>
          <w:trHeight w:val="189"/>
        </w:trPr>
        <w:tc>
          <w:tcPr>
            <w:tcW w:w="8400" w:type="dxa"/>
            <w:vAlign w:val="bottom"/>
          </w:tcPr>
          <w:p>
            <w:pPr>
              <w:ind w:left="80"/>
              <w:spacing w:after="0"/>
              <w:rPr>
                <w:sz w:val="20"/>
                <w:szCs w:val="20"/>
                <w:color w:val="auto"/>
              </w:rPr>
            </w:pPr>
            <w:r>
              <w:rPr>
                <w:rFonts w:ascii="Arial" w:cs="Arial" w:eastAsia="Arial" w:hAnsi="Arial"/>
                <w:sz w:val="16"/>
                <w:szCs w:val="16"/>
                <w:color w:val="auto"/>
              </w:rPr>
              <w:t>John F. Ferraro</w:t>
            </w:r>
          </w:p>
        </w:tc>
        <w:tc>
          <w:tcPr>
            <w:tcW w:w="3020" w:type="dxa"/>
            <w:vAlign w:val="bottom"/>
          </w:tcPr>
          <w:p>
            <w:pPr>
              <w:jc w:val="right"/>
              <w:ind w:right="500"/>
              <w:spacing w:after="0"/>
              <w:rPr>
                <w:sz w:val="20"/>
                <w:szCs w:val="20"/>
                <w:color w:val="auto"/>
              </w:rPr>
            </w:pPr>
            <w:r>
              <w:rPr>
                <w:rFonts w:ascii="Arial" w:cs="Arial" w:eastAsia="Arial" w:hAnsi="Arial"/>
                <w:sz w:val="16"/>
                <w:szCs w:val="16"/>
                <w:color w:val="auto"/>
              </w:rPr>
              <w:t>2,936</w:t>
            </w:r>
          </w:p>
        </w:tc>
      </w:tr>
      <w:tr>
        <w:trPr>
          <w:trHeight w:val="189"/>
        </w:trPr>
        <w:tc>
          <w:tcPr>
            <w:tcW w:w="8400" w:type="dxa"/>
            <w:vAlign w:val="bottom"/>
            <w:shd w:val="clear" w:color="auto" w:fill="E6EDF3"/>
          </w:tcPr>
          <w:p>
            <w:pPr>
              <w:ind w:left="80"/>
              <w:spacing w:after="0"/>
              <w:rPr>
                <w:sz w:val="20"/>
                <w:szCs w:val="20"/>
                <w:color w:val="auto"/>
              </w:rPr>
            </w:pPr>
            <w:r>
              <w:rPr>
                <w:rFonts w:ascii="Arial" w:cs="Arial" w:eastAsia="Arial" w:hAnsi="Arial"/>
                <w:sz w:val="16"/>
                <w:szCs w:val="16"/>
                <w:color w:val="auto"/>
              </w:rPr>
              <w:t>Patricia Hemingway Hall</w:t>
            </w:r>
          </w:p>
        </w:tc>
        <w:tc>
          <w:tcPr>
            <w:tcW w:w="3020" w:type="dxa"/>
            <w:vAlign w:val="bottom"/>
            <w:shd w:val="clear" w:color="auto" w:fill="E6EDF3"/>
          </w:tcPr>
          <w:p>
            <w:pPr>
              <w:jc w:val="right"/>
              <w:ind w:right="500"/>
              <w:spacing w:after="0"/>
              <w:rPr>
                <w:sz w:val="20"/>
                <w:szCs w:val="20"/>
                <w:color w:val="auto"/>
              </w:rPr>
            </w:pPr>
            <w:r>
              <w:rPr>
                <w:rFonts w:ascii="Arial" w:cs="Arial" w:eastAsia="Arial" w:hAnsi="Arial"/>
                <w:sz w:val="16"/>
                <w:szCs w:val="16"/>
                <w:color w:val="auto"/>
              </w:rPr>
              <w:t>5,112</w:t>
            </w:r>
          </w:p>
        </w:tc>
      </w:tr>
      <w:tr>
        <w:trPr>
          <w:trHeight w:val="189"/>
        </w:trPr>
        <w:tc>
          <w:tcPr>
            <w:tcW w:w="8400" w:type="dxa"/>
            <w:vAlign w:val="bottom"/>
          </w:tcPr>
          <w:p>
            <w:pPr>
              <w:ind w:left="80"/>
              <w:spacing w:after="0"/>
              <w:rPr>
                <w:sz w:val="20"/>
                <w:szCs w:val="20"/>
                <w:color w:val="auto"/>
              </w:rPr>
            </w:pPr>
            <w:r>
              <w:rPr>
                <w:rFonts w:ascii="Arial" w:cs="Arial" w:eastAsia="Arial" w:hAnsi="Arial"/>
                <w:sz w:val="16"/>
                <w:szCs w:val="16"/>
                <w:color w:val="auto"/>
              </w:rPr>
              <w:t>Julie M. Howard</w:t>
            </w:r>
          </w:p>
        </w:tc>
        <w:tc>
          <w:tcPr>
            <w:tcW w:w="3020" w:type="dxa"/>
            <w:vAlign w:val="bottom"/>
          </w:tcPr>
          <w:p>
            <w:pPr>
              <w:jc w:val="right"/>
              <w:ind w:right="500"/>
              <w:spacing w:after="0"/>
              <w:rPr>
                <w:sz w:val="20"/>
                <w:szCs w:val="20"/>
                <w:color w:val="auto"/>
              </w:rPr>
            </w:pPr>
            <w:r>
              <w:rPr>
                <w:rFonts w:ascii="Arial" w:cs="Arial" w:eastAsia="Arial" w:hAnsi="Arial"/>
                <w:sz w:val="16"/>
                <w:szCs w:val="16"/>
                <w:color w:val="auto"/>
              </w:rPr>
              <w:t>85</w:t>
            </w:r>
          </w:p>
        </w:tc>
      </w:tr>
      <w:tr>
        <w:trPr>
          <w:trHeight w:val="189"/>
        </w:trPr>
        <w:tc>
          <w:tcPr>
            <w:tcW w:w="8400" w:type="dxa"/>
            <w:vAlign w:val="bottom"/>
            <w:shd w:val="clear" w:color="auto" w:fill="E6EDF3"/>
          </w:tcPr>
          <w:p>
            <w:pPr>
              <w:ind w:left="80"/>
              <w:spacing w:after="0"/>
              <w:rPr>
                <w:sz w:val="20"/>
                <w:szCs w:val="20"/>
                <w:color w:val="auto"/>
              </w:rPr>
            </w:pPr>
            <w:r>
              <w:rPr>
                <w:rFonts w:ascii="Arial" w:cs="Arial" w:eastAsia="Arial" w:hAnsi="Arial"/>
                <w:sz w:val="16"/>
                <w:szCs w:val="16"/>
                <w:color w:val="auto"/>
              </w:rPr>
              <w:t>Roberto Mendoza</w:t>
            </w:r>
          </w:p>
        </w:tc>
        <w:tc>
          <w:tcPr>
            <w:tcW w:w="3020" w:type="dxa"/>
            <w:vAlign w:val="bottom"/>
            <w:shd w:val="clear" w:color="auto" w:fill="E6EDF3"/>
          </w:tcPr>
          <w:p>
            <w:pPr>
              <w:jc w:val="right"/>
              <w:ind w:right="500"/>
              <w:spacing w:after="0"/>
              <w:rPr>
                <w:sz w:val="20"/>
                <w:szCs w:val="20"/>
                <w:color w:val="auto"/>
              </w:rPr>
            </w:pPr>
            <w:r>
              <w:rPr>
                <w:rFonts w:ascii="Arial" w:cs="Arial" w:eastAsia="Arial" w:hAnsi="Arial"/>
                <w:sz w:val="16"/>
                <w:szCs w:val="16"/>
                <w:color w:val="auto"/>
              </w:rPr>
              <w:t>19,425</w:t>
            </w:r>
          </w:p>
        </w:tc>
      </w:tr>
      <w:tr>
        <w:trPr>
          <w:trHeight w:val="189"/>
        </w:trPr>
        <w:tc>
          <w:tcPr>
            <w:tcW w:w="8400" w:type="dxa"/>
            <w:vAlign w:val="bottom"/>
          </w:tcPr>
          <w:p>
            <w:pPr>
              <w:ind w:left="80"/>
              <w:spacing w:after="0"/>
              <w:rPr>
                <w:sz w:val="20"/>
                <w:szCs w:val="20"/>
                <w:color w:val="auto"/>
              </w:rPr>
            </w:pPr>
            <w:r>
              <w:rPr>
                <w:rFonts w:ascii="Arial" w:cs="Arial" w:eastAsia="Arial" w:hAnsi="Arial"/>
                <w:sz w:val="16"/>
                <w:szCs w:val="16"/>
                <w:color w:val="auto"/>
              </w:rPr>
              <w:t>Ulice Payne, Jr.</w:t>
            </w:r>
          </w:p>
        </w:tc>
        <w:tc>
          <w:tcPr>
            <w:tcW w:w="3020" w:type="dxa"/>
            <w:vAlign w:val="bottom"/>
          </w:tcPr>
          <w:p>
            <w:pPr>
              <w:jc w:val="right"/>
              <w:ind w:right="500"/>
              <w:spacing w:after="0"/>
              <w:rPr>
                <w:sz w:val="20"/>
                <w:szCs w:val="20"/>
                <w:color w:val="auto"/>
              </w:rPr>
            </w:pPr>
            <w:r>
              <w:rPr>
                <w:rFonts w:ascii="Arial" w:cs="Arial" w:eastAsia="Arial" w:hAnsi="Arial"/>
                <w:sz w:val="16"/>
                <w:szCs w:val="16"/>
                <w:color w:val="auto"/>
              </w:rPr>
              <w:t>—</w:t>
            </w:r>
          </w:p>
        </w:tc>
      </w:tr>
      <w:tr>
        <w:trPr>
          <w:trHeight w:val="189"/>
        </w:trPr>
        <w:tc>
          <w:tcPr>
            <w:tcW w:w="8400" w:type="dxa"/>
            <w:vAlign w:val="bottom"/>
            <w:shd w:val="clear" w:color="auto" w:fill="E6EDF3"/>
          </w:tcPr>
          <w:p>
            <w:pPr>
              <w:ind w:left="80"/>
              <w:spacing w:after="0"/>
              <w:rPr>
                <w:sz w:val="20"/>
                <w:szCs w:val="20"/>
                <w:color w:val="auto"/>
              </w:rPr>
            </w:pPr>
            <w:r>
              <w:rPr>
                <w:rFonts w:ascii="Arial" w:cs="Arial" w:eastAsia="Arial" w:hAnsi="Arial"/>
                <w:sz w:val="16"/>
                <w:szCs w:val="16"/>
                <w:color w:val="auto"/>
              </w:rPr>
              <w:t>Paul Read</w:t>
            </w:r>
          </w:p>
        </w:tc>
        <w:tc>
          <w:tcPr>
            <w:tcW w:w="3020" w:type="dxa"/>
            <w:vAlign w:val="bottom"/>
            <w:shd w:val="clear" w:color="auto" w:fill="E6EDF3"/>
          </w:tcPr>
          <w:p>
            <w:pPr>
              <w:jc w:val="right"/>
              <w:ind w:right="500"/>
              <w:spacing w:after="0"/>
              <w:rPr>
                <w:sz w:val="20"/>
                <w:szCs w:val="20"/>
                <w:color w:val="auto"/>
              </w:rPr>
            </w:pPr>
            <w:r>
              <w:rPr>
                <w:rFonts w:ascii="Arial" w:cs="Arial" w:eastAsia="Arial" w:hAnsi="Arial"/>
                <w:sz w:val="16"/>
                <w:szCs w:val="16"/>
                <w:color w:val="auto"/>
              </w:rPr>
              <w:t>79</w:t>
            </w:r>
          </w:p>
        </w:tc>
      </w:tr>
      <w:tr>
        <w:trPr>
          <w:trHeight w:val="189"/>
        </w:trPr>
        <w:tc>
          <w:tcPr>
            <w:tcW w:w="8400" w:type="dxa"/>
            <w:vAlign w:val="bottom"/>
          </w:tcPr>
          <w:p>
            <w:pPr>
              <w:ind w:left="80"/>
              <w:spacing w:after="0"/>
              <w:rPr>
                <w:sz w:val="20"/>
                <w:szCs w:val="20"/>
                <w:color w:val="auto"/>
              </w:rPr>
            </w:pPr>
            <w:r>
              <w:rPr>
                <w:rFonts w:ascii="Arial" w:cs="Arial" w:eastAsia="Arial" w:hAnsi="Arial"/>
                <w:sz w:val="16"/>
                <w:szCs w:val="16"/>
                <w:color w:val="auto"/>
              </w:rPr>
              <w:t>Elizabeth P. Sartain</w:t>
            </w:r>
          </w:p>
        </w:tc>
        <w:tc>
          <w:tcPr>
            <w:tcW w:w="3020" w:type="dxa"/>
            <w:vAlign w:val="bottom"/>
          </w:tcPr>
          <w:p>
            <w:pPr>
              <w:jc w:val="right"/>
              <w:ind w:right="500"/>
              <w:spacing w:after="0"/>
              <w:rPr>
                <w:sz w:val="20"/>
                <w:szCs w:val="20"/>
                <w:color w:val="auto"/>
              </w:rPr>
            </w:pPr>
            <w:r>
              <w:rPr>
                <w:rFonts w:ascii="Arial" w:cs="Arial" w:eastAsia="Arial" w:hAnsi="Arial"/>
                <w:sz w:val="16"/>
                <w:szCs w:val="16"/>
                <w:color w:val="auto"/>
              </w:rPr>
              <w:t>—</w:t>
            </w:r>
          </w:p>
        </w:tc>
      </w:tr>
      <w:tr>
        <w:trPr>
          <w:trHeight w:val="189"/>
        </w:trPr>
        <w:tc>
          <w:tcPr>
            <w:tcW w:w="8400" w:type="dxa"/>
            <w:vAlign w:val="bottom"/>
            <w:shd w:val="clear" w:color="auto" w:fill="E6EDF3"/>
          </w:tcPr>
          <w:p>
            <w:pPr>
              <w:ind w:left="80"/>
              <w:spacing w:after="0"/>
              <w:rPr>
                <w:sz w:val="20"/>
                <w:szCs w:val="20"/>
                <w:color w:val="auto"/>
              </w:rPr>
            </w:pPr>
            <w:r>
              <w:rPr>
                <w:rFonts w:ascii="Arial" w:cs="Arial" w:eastAsia="Arial" w:hAnsi="Arial"/>
                <w:sz w:val="16"/>
                <w:szCs w:val="16"/>
                <w:color w:val="auto"/>
              </w:rPr>
              <w:t>John R. Walter</w:t>
            </w:r>
          </w:p>
        </w:tc>
        <w:tc>
          <w:tcPr>
            <w:tcW w:w="3020" w:type="dxa"/>
            <w:vAlign w:val="bottom"/>
            <w:shd w:val="clear" w:color="auto" w:fill="E6EDF3"/>
          </w:tcPr>
          <w:p>
            <w:pPr>
              <w:jc w:val="right"/>
              <w:ind w:right="500"/>
              <w:spacing w:after="0"/>
              <w:rPr>
                <w:sz w:val="20"/>
                <w:szCs w:val="20"/>
                <w:color w:val="auto"/>
              </w:rPr>
            </w:pPr>
            <w:r>
              <w:rPr>
                <w:rFonts w:ascii="Arial" w:cs="Arial" w:eastAsia="Arial" w:hAnsi="Arial"/>
                <w:sz w:val="16"/>
                <w:szCs w:val="16"/>
                <w:color w:val="auto"/>
              </w:rPr>
              <w:t>17,684</w:t>
            </w:r>
          </w:p>
        </w:tc>
      </w:tr>
      <w:tr>
        <w:trPr>
          <w:trHeight w:val="189"/>
        </w:trPr>
        <w:tc>
          <w:tcPr>
            <w:tcW w:w="84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Edward J. Zore</w:t>
            </w:r>
          </w:p>
        </w:tc>
        <w:tc>
          <w:tcPr>
            <w:tcW w:w="302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634</w:t>
            </w:r>
          </w:p>
        </w:tc>
      </w:tr>
    </w:tbl>
    <w:p>
      <w:pPr>
        <w:spacing w:after="0" w:line="148"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All such shares of deferred stock were fully vested as of December 31, 2016. All shares of restricted stock granted to the non-employee directors in 2016 were fully vested as of December 31, 2016.</w:t>
      </w:r>
    </w:p>
    <w:p>
      <w:pPr>
        <w:spacing w:after="0" w:line="12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For 2016, the board of directors approved the compensation arrangement for non-employee directors described below. Non-employee directors were paid a cash retainer equal to $95,000 per year. The fee structure for committee chairs and the lead director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6620"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126" w:lineRule="exact"/>
        <w:rPr>
          <w:sz w:val="20"/>
          <w:szCs w:val="20"/>
          <w:color w:val="auto"/>
        </w:rPr>
      </w:pPr>
    </w:p>
    <w:p>
      <w:pPr>
        <w:ind w:left="120"/>
        <w:spacing w:after="0"/>
        <w:tabs>
          <w:tab w:leader="none" w:pos="1020" w:val="left"/>
        </w:tabs>
        <w:rPr>
          <w:sz w:val="20"/>
          <w:szCs w:val="20"/>
          <w:color w:val="auto"/>
        </w:rPr>
      </w:pPr>
      <w:r>
        <w:rPr>
          <w:rFonts w:ascii="Arial" w:cs="Arial" w:eastAsia="Arial" w:hAnsi="Arial"/>
          <w:sz w:val="16"/>
          <w:szCs w:val="16"/>
          <w:color w:val="auto"/>
        </w:rPr>
        <w:t>$15,000</w:t>
      </w:r>
      <w:r>
        <w:rPr>
          <w:sz w:val="20"/>
          <w:szCs w:val="20"/>
          <w:color w:val="auto"/>
        </w:rPr>
        <w:tab/>
      </w:r>
      <w:r>
        <w:rPr>
          <w:rFonts w:ascii="Arial" w:cs="Arial" w:eastAsia="Arial" w:hAnsi="Arial"/>
          <w:sz w:val="16"/>
          <w:szCs w:val="16"/>
          <w:color w:val="auto"/>
        </w:rPr>
        <w:t>Annual retainer for services as chair of the Nominating and Governance Committee</w:t>
      </w:r>
    </w:p>
    <w:p>
      <w:pPr>
        <w:spacing w:after="0" w:line="5" w:lineRule="exact"/>
        <w:rPr>
          <w:sz w:val="20"/>
          <w:szCs w:val="20"/>
          <w:color w:val="auto"/>
        </w:rPr>
      </w:pPr>
    </w:p>
    <w:p>
      <w:pPr>
        <w:ind w:left="120"/>
        <w:spacing w:after="0"/>
        <w:tabs>
          <w:tab w:leader="none" w:pos="1020" w:val="left"/>
        </w:tabs>
        <w:rPr>
          <w:sz w:val="20"/>
          <w:szCs w:val="20"/>
          <w:color w:val="auto"/>
        </w:rPr>
      </w:pPr>
      <w:r>
        <w:rPr>
          <w:rFonts w:ascii="Arial" w:cs="Arial" w:eastAsia="Arial" w:hAnsi="Arial"/>
          <w:sz w:val="16"/>
          <w:szCs w:val="16"/>
          <w:color w:val="auto"/>
        </w:rPr>
        <w:t>$20,000</w:t>
      </w:r>
      <w:r>
        <w:rPr>
          <w:sz w:val="20"/>
          <w:szCs w:val="20"/>
          <w:color w:val="auto"/>
        </w:rPr>
        <w:tab/>
      </w:r>
      <w:r>
        <w:rPr>
          <w:rFonts w:ascii="Arial" w:cs="Arial" w:eastAsia="Arial" w:hAnsi="Arial"/>
          <w:sz w:val="16"/>
          <w:szCs w:val="16"/>
          <w:color w:val="auto"/>
        </w:rPr>
        <w:t>Annual retainer for services as chair of the Audit or Executive Compensation and Human Resources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200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ind w:left="120"/>
        <w:spacing w:after="0"/>
        <w:tabs>
          <w:tab w:leader="none" w:pos="1020" w:val="left"/>
        </w:tabs>
        <w:rPr>
          <w:sz w:val="20"/>
          <w:szCs w:val="20"/>
          <w:color w:val="auto"/>
        </w:rPr>
      </w:pPr>
      <w:r>
        <w:rPr>
          <w:rFonts w:ascii="Arial" w:cs="Arial" w:eastAsia="Arial" w:hAnsi="Arial"/>
          <w:sz w:val="16"/>
          <w:szCs w:val="16"/>
          <w:color w:val="auto"/>
        </w:rPr>
        <w:t>$25,000</w:t>
      </w:r>
      <w:r>
        <w:rPr>
          <w:sz w:val="20"/>
          <w:szCs w:val="20"/>
          <w:color w:val="auto"/>
        </w:rPr>
        <w:tab/>
      </w:r>
      <w:r>
        <w:rPr>
          <w:rFonts w:ascii="Arial" w:cs="Arial" w:eastAsia="Arial" w:hAnsi="Arial"/>
          <w:sz w:val="16"/>
          <w:szCs w:val="16"/>
          <w:color w:val="auto"/>
        </w:rPr>
        <w:t>Annual retainer for service as lead director of the corporation</w:t>
      </w:r>
    </w:p>
    <w:p>
      <w:pPr>
        <w:spacing w:after="0" w:line="5" w:lineRule="exact"/>
        <w:rPr>
          <w:sz w:val="20"/>
          <w:szCs w:val="20"/>
          <w:color w:val="auto"/>
        </w:rPr>
      </w:pPr>
    </w:p>
    <w:p>
      <w:pPr>
        <w:ind w:left="120"/>
        <w:spacing w:after="0"/>
        <w:tabs>
          <w:tab w:leader="none" w:pos="1020" w:val="left"/>
        </w:tabs>
        <w:rPr>
          <w:sz w:val="20"/>
          <w:szCs w:val="20"/>
          <w:color w:val="auto"/>
        </w:rPr>
      </w:pPr>
      <w:r>
        <w:rPr>
          <w:rFonts w:ascii="Arial" w:cs="Arial" w:eastAsia="Arial" w:hAnsi="Arial"/>
          <w:sz w:val="16"/>
          <w:szCs w:val="16"/>
          <w:color w:val="auto"/>
        </w:rPr>
        <w:t>$30,000</w:t>
      </w:r>
      <w:r>
        <w:rPr>
          <w:sz w:val="20"/>
          <w:szCs w:val="20"/>
          <w:color w:val="auto"/>
        </w:rPr>
        <w:tab/>
      </w:r>
      <w:r>
        <w:rPr>
          <w:rFonts w:ascii="Arial" w:cs="Arial" w:eastAsia="Arial" w:hAnsi="Arial"/>
          <w:sz w:val="16"/>
          <w:szCs w:val="16"/>
          <w:color w:val="auto"/>
        </w:rPr>
        <w:t>Annual retainer in the case where the lead director also serves as chair of one of the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Except as described below, non-employee directors may elect to receive deferred stock under the 2011 Equity Incentive Plan in lieu of their annual cash retainer. Elections may cover 50%, 75% or 100% of the annual cash retainer payable to the director for the election period for which the annual cash retainer is payable. An election period begins on January 1 of each year or the date of the director’s initial appointment to the board of directors, whichever is later, and ends on the date a director ceases to be a director or December 31, whichever is earlier. The deferred stock will be granted to the director following the end of the election period to which the election applies. The number of shares of deferred stock granted to the director will be equal to the amount of the annual cash retainer to which the election applies, divided by the average of the closing prices of ManpowerGroup common stock on the last trading day of each full or partial calendar quarter covered by the election period. For the election period that ended on December 31, 2016, Mr. Downe, Mr. Ferraro, and Mr. Walter elected to accept deferred stock in lieu of 100% of the annual cash retainer to which they were otherwise entitled.</w:t>
      </w:r>
    </w:p>
    <w:p>
      <w:pPr>
        <w:spacing w:after="0" w:line="14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Shares of common stock represented by deferred stock granted to a director prior to January 1, 2007 will be distributed to the director within 30 days after the date the director ceases to be a member of the board of directors. Shares of common stock represented by deferred stock granted to a director on or after January 1, 2007 will be distributed to the director on the earliest of the third anniversary of the date of grant or within 30 days after the date the director ceases to be a member of the board of directors. However, the director will have the right to extend the deferral period for these grants by at least five years, and thereafter to extend any previously extended deferral period by at least five more years, provided in each case this election to extend is made at least twelve months before the last day of the then current deferral period.</w:t>
      </w:r>
    </w:p>
    <w:p>
      <w:pPr>
        <w:spacing w:after="0" w:line="138"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In addition to the cash compensation (or elective deferred stock), each non-employee director received an annual grant of deferred stock. The grant was effective on the first day of 2016, and the number of shares granted equaled $140,000 divided by the closing sale price of a share of ManpowerGroup’s common stock on the last business day</w:t>
      </w:r>
    </w:p>
    <w:p>
      <w:pPr>
        <w:spacing w:after="0" w:line="130" w:lineRule="exact"/>
        <w:rPr>
          <w:sz w:val="20"/>
          <w:szCs w:val="20"/>
          <w:color w:val="auto"/>
        </w:rPr>
      </w:pPr>
    </w:p>
    <w:p>
      <w:pPr>
        <w:ind w:left="9880"/>
        <w:spacing w:after="0"/>
        <w:rPr>
          <w:sz w:val="20"/>
          <w:szCs w:val="20"/>
          <w:color w:val="auto"/>
        </w:rPr>
      </w:pPr>
      <w:r>
        <w:rPr>
          <w:rFonts w:ascii="Arial" w:cs="Arial" w:eastAsia="Arial" w:hAnsi="Arial"/>
          <w:sz w:val="16"/>
          <w:szCs w:val="16"/>
          <w:b w:val="1"/>
          <w:bCs w:val="1"/>
          <w:color w:val="5D89B4"/>
        </w:rPr>
        <w:t xml:space="preserve">77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Compensation Tables</w:t>
      </w:r>
    </w:p>
    <w:p>
      <w:pPr>
        <w:spacing w:after="0" w:line="239"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of the preceding year, or 1,661 shares of deferred stock for 2016. Such deferred stock vests in equal quarterly installments on the last day of each calendar quarter during the year. Shares of common stock represented by vested deferred stock held by a director will be distributed to the director on the earliest of the third anniversary of the effective date of grant or within 30 days after the date the director ceases to be a member of the board of directors. The director will have the right to extend the deferral period as described above. A new non-employee director will receive a grant of deferred stock effective the date the director is appointed to the board, and the grant will be prorated for the period beginning on the date of the director’s appointment and ending on December 31 of that year.</w:t>
      </w:r>
    </w:p>
    <w:p>
      <w:pPr>
        <w:spacing w:after="0" w:line="13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Instead of receiving the annual grant of deferred stock, non-employee directors have the right to elect to receive the same number of shares of restricted stock. Like the deferred stock, any such grant will be effective on the first day of the year and will vest in equal quarterly installments on the last day of each calendar quarter during the year. Any such election will be effective only if made on or before December 31 of the preceding year or within 10 days of appointment to the board of directors.</w:t>
      </w:r>
    </w:p>
    <w:p>
      <w:pPr>
        <w:spacing w:after="0" w:line="134" w:lineRule="exact"/>
        <w:rPr>
          <w:sz w:val="20"/>
          <w:szCs w:val="20"/>
          <w:color w:val="auto"/>
        </w:rPr>
      </w:pPr>
    </w:p>
    <w:p>
      <w:pPr>
        <w:jc w:val="both"/>
        <w:ind w:right="60"/>
        <w:spacing w:after="0" w:line="261" w:lineRule="auto"/>
        <w:rPr>
          <w:sz w:val="20"/>
          <w:szCs w:val="20"/>
          <w:color w:val="auto"/>
        </w:rPr>
      </w:pPr>
      <w:r>
        <w:rPr>
          <w:rFonts w:ascii="Arial" w:cs="Arial" w:eastAsia="Arial" w:hAnsi="Arial"/>
          <w:sz w:val="17"/>
          <w:szCs w:val="17"/>
          <w:color w:val="auto"/>
        </w:rPr>
        <w:t>The board of directors has approved an amendment to the compensation program for non-employee directors effective as of January 1, 2017. The annual equity grant has been increased from $ 140,000 per year to $145,000 per year. The annual cash board retainer has been increased from $95,000 per year to $100,000 per year. There was no change to the fee structure for committee chairs and the lead director for 2017.</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5D89B4"/>
        </w:rPr>
        <w:t>Non-Employee Director Stock Ownership Guidelines</w:t>
      </w:r>
    </w:p>
    <w:p>
      <w:pPr>
        <w:spacing w:after="0" w:line="17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nominating and governance committee believes that non-employee directors should hold a meaningful stake in ManpowerGroup to align their economic interests with those of the shareholders. To that end, the board of directors adopted stock ownership guidelines that currently require non-employee directors to own shares or hold vested deferred stock or vested restricted stock equal in value to five times the 2015 annual cash retainer ($90,000 at January 1, 2015, for a total guideline of $450,000). The committee takes into account vested deferred and restricted stock in determining targeted ownership levels. The following table details each non-employee director’s stock ownership relative to the stock ownership guidelines: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880" w:type="dxa"/>
            <w:vAlign w:val="bottom"/>
            <w:tcBorders>
              <w:top w:val="single" w:sz="8" w:color="auto"/>
            </w:tcBorders>
            <w:shd w:val="clear" w:color="auto" w:fill="9DB8D2"/>
          </w:tcPr>
          <w:p>
            <w:pPr>
              <w:spacing w:after="0"/>
              <w:rPr>
                <w:sz w:val="22"/>
                <w:szCs w:val="22"/>
                <w:color w:val="auto"/>
              </w:rPr>
            </w:pPr>
          </w:p>
        </w:tc>
        <w:tc>
          <w:tcPr>
            <w:tcW w:w="2220" w:type="dxa"/>
            <w:vAlign w:val="bottom"/>
            <w:tcBorders>
              <w:top w:val="single" w:sz="8" w:color="auto"/>
            </w:tcBorders>
            <w:shd w:val="clear" w:color="auto" w:fill="9DB8D2"/>
          </w:tcPr>
          <w:p>
            <w:pPr>
              <w:jc w:val="right"/>
              <w:ind w:right="681"/>
              <w:spacing w:after="0"/>
              <w:rPr>
                <w:sz w:val="20"/>
                <w:szCs w:val="20"/>
                <w:color w:val="auto"/>
              </w:rPr>
            </w:pPr>
            <w:r>
              <w:rPr>
                <w:rFonts w:ascii="Arial" w:cs="Arial" w:eastAsia="Arial" w:hAnsi="Arial"/>
                <w:sz w:val="14"/>
                <w:szCs w:val="14"/>
                <w:b w:val="1"/>
                <w:bCs w:val="1"/>
                <w:color w:val="auto"/>
              </w:rPr>
              <w:t>Target</w:t>
            </w:r>
          </w:p>
        </w:tc>
        <w:tc>
          <w:tcPr>
            <w:tcW w:w="1940" w:type="dxa"/>
            <w:vAlign w:val="bottom"/>
            <w:tcBorders>
              <w:top w:val="single" w:sz="8" w:color="auto"/>
            </w:tcBorders>
            <w:shd w:val="clear" w:color="auto" w:fill="9DB8D2"/>
          </w:tcPr>
          <w:p>
            <w:pPr>
              <w:spacing w:after="0"/>
              <w:rPr>
                <w:sz w:val="22"/>
                <w:szCs w:val="22"/>
                <w:color w:val="auto"/>
              </w:rPr>
            </w:pPr>
          </w:p>
        </w:tc>
        <w:tc>
          <w:tcPr>
            <w:tcW w:w="1680" w:type="dxa"/>
            <w:vAlign w:val="bottom"/>
            <w:tcBorders>
              <w:top w:val="single" w:sz="8" w:color="auto"/>
            </w:tcBorders>
            <w:shd w:val="clear" w:color="auto" w:fill="9DB8D2"/>
          </w:tcPr>
          <w:p>
            <w:pPr>
              <w:spacing w:after="0"/>
              <w:rPr>
                <w:sz w:val="22"/>
                <w:szCs w:val="22"/>
                <w:color w:val="auto"/>
              </w:rPr>
            </w:pPr>
          </w:p>
        </w:tc>
        <w:tc>
          <w:tcPr>
            <w:tcW w:w="1700" w:type="dxa"/>
            <w:vAlign w:val="bottom"/>
            <w:tcBorders>
              <w:top w:val="single" w:sz="8" w:color="auto"/>
            </w:tcBorders>
            <w:shd w:val="clear" w:color="auto" w:fill="9DB8D2"/>
          </w:tcPr>
          <w:p>
            <w:pPr>
              <w:spacing w:after="0"/>
              <w:rPr>
                <w:sz w:val="22"/>
                <w:szCs w:val="22"/>
                <w:color w:val="auto"/>
              </w:rPr>
            </w:pPr>
          </w:p>
        </w:tc>
      </w:tr>
      <w:tr>
        <w:trPr>
          <w:trHeight w:val="162"/>
        </w:trPr>
        <w:tc>
          <w:tcPr>
            <w:tcW w:w="3880" w:type="dxa"/>
            <w:vAlign w:val="bottom"/>
            <w:shd w:val="clear" w:color="auto" w:fill="9DB8D2"/>
          </w:tcPr>
          <w:p>
            <w:pPr>
              <w:spacing w:after="0"/>
              <w:rPr>
                <w:sz w:val="14"/>
                <w:szCs w:val="14"/>
                <w:color w:val="auto"/>
              </w:rPr>
            </w:pPr>
          </w:p>
        </w:tc>
        <w:tc>
          <w:tcPr>
            <w:tcW w:w="2220" w:type="dxa"/>
            <w:vAlign w:val="bottom"/>
            <w:shd w:val="clear" w:color="auto" w:fill="9DB8D2"/>
          </w:tcPr>
          <w:p>
            <w:pPr>
              <w:jc w:val="right"/>
              <w:ind w:right="281"/>
              <w:spacing w:after="0"/>
              <w:rPr>
                <w:sz w:val="20"/>
                <w:szCs w:val="20"/>
                <w:color w:val="auto"/>
              </w:rPr>
            </w:pPr>
            <w:r>
              <w:rPr>
                <w:rFonts w:ascii="Arial" w:cs="Arial" w:eastAsia="Arial" w:hAnsi="Arial"/>
                <w:sz w:val="14"/>
                <w:szCs w:val="14"/>
                <w:b w:val="1"/>
                <w:bCs w:val="1"/>
                <w:color w:val="auto"/>
              </w:rPr>
              <w:t>Number of shares</w:t>
            </w:r>
          </w:p>
        </w:tc>
        <w:tc>
          <w:tcPr>
            <w:tcW w:w="1940" w:type="dxa"/>
            <w:vAlign w:val="bottom"/>
            <w:shd w:val="clear" w:color="auto" w:fill="9DB8D2"/>
          </w:tcPr>
          <w:p>
            <w:pPr>
              <w:jc w:val="right"/>
              <w:ind w:right="280"/>
              <w:spacing w:after="0"/>
              <w:rPr>
                <w:sz w:val="20"/>
                <w:szCs w:val="20"/>
                <w:color w:val="auto"/>
              </w:rPr>
            </w:pPr>
            <w:r>
              <w:rPr>
                <w:rFonts w:ascii="Arial" w:cs="Arial" w:eastAsia="Arial" w:hAnsi="Arial"/>
                <w:sz w:val="14"/>
                <w:szCs w:val="14"/>
                <w:b w:val="1"/>
                <w:bCs w:val="1"/>
                <w:color w:val="auto"/>
              </w:rPr>
              <w:t>Number of shares</w:t>
            </w:r>
          </w:p>
        </w:tc>
        <w:tc>
          <w:tcPr>
            <w:tcW w:w="1680" w:type="dxa"/>
            <w:vAlign w:val="bottom"/>
            <w:shd w:val="clear" w:color="auto" w:fill="9DB8D2"/>
          </w:tcPr>
          <w:p>
            <w:pPr>
              <w:jc w:val="right"/>
              <w:ind w:right="200"/>
              <w:spacing w:after="0"/>
              <w:rPr>
                <w:sz w:val="20"/>
                <w:szCs w:val="20"/>
                <w:color w:val="auto"/>
              </w:rPr>
            </w:pPr>
            <w:r>
              <w:rPr>
                <w:rFonts w:ascii="Arial" w:cs="Arial" w:eastAsia="Arial" w:hAnsi="Arial"/>
                <w:sz w:val="14"/>
                <w:szCs w:val="14"/>
                <w:b w:val="1"/>
                <w:bCs w:val="1"/>
                <w:color w:val="auto"/>
              </w:rPr>
              <w:t>Value of shares</w:t>
            </w:r>
          </w:p>
        </w:tc>
        <w:tc>
          <w:tcPr>
            <w:tcW w:w="1700" w:type="dxa"/>
            <w:vAlign w:val="bottom"/>
            <w:shd w:val="clear" w:color="auto" w:fill="9DB8D2"/>
          </w:tcPr>
          <w:p>
            <w:pPr>
              <w:jc w:val="center"/>
              <w:ind w:left="180"/>
              <w:spacing w:after="0"/>
              <w:rPr>
                <w:sz w:val="20"/>
                <w:szCs w:val="20"/>
                <w:color w:val="auto"/>
              </w:rPr>
            </w:pPr>
            <w:r>
              <w:rPr>
                <w:rFonts w:ascii="Arial" w:cs="Arial" w:eastAsia="Arial" w:hAnsi="Arial"/>
                <w:sz w:val="14"/>
                <w:szCs w:val="14"/>
                <w:b w:val="1"/>
                <w:bCs w:val="1"/>
                <w:color w:val="auto"/>
              </w:rPr>
              <w:t>Target Date to</w:t>
            </w:r>
          </w:p>
        </w:tc>
      </w:tr>
      <w:tr>
        <w:trPr>
          <w:trHeight w:val="189"/>
        </w:trPr>
        <w:tc>
          <w:tcPr>
            <w:tcW w:w="3880" w:type="dxa"/>
            <w:vAlign w:val="bottom"/>
            <w:tcBorders>
              <w:bottom w:val="single" w:sz="8" w:color="auto"/>
            </w:tcBorders>
            <w:shd w:val="clear" w:color="auto" w:fill="9DB8D2"/>
          </w:tcPr>
          <w:p>
            <w:pPr>
              <w:ind w:left="80"/>
              <w:spacing w:after="0"/>
              <w:rPr>
                <w:sz w:val="20"/>
                <w:szCs w:val="20"/>
                <w:color w:val="auto"/>
              </w:rPr>
            </w:pPr>
            <w:r>
              <w:rPr>
                <w:rFonts w:ascii="Arial" w:cs="Arial" w:eastAsia="Arial" w:hAnsi="Arial"/>
                <w:sz w:val="14"/>
                <w:szCs w:val="14"/>
                <w:b w:val="1"/>
                <w:bCs w:val="1"/>
                <w:color w:val="auto"/>
              </w:rPr>
              <w:t>Director</w:t>
            </w:r>
          </w:p>
        </w:tc>
        <w:tc>
          <w:tcPr>
            <w:tcW w:w="2220" w:type="dxa"/>
            <w:vAlign w:val="bottom"/>
            <w:tcBorders>
              <w:bottom w:val="single" w:sz="8" w:color="auto"/>
            </w:tcBorders>
            <w:shd w:val="clear" w:color="auto" w:fill="9DB8D2"/>
          </w:tcPr>
          <w:p>
            <w:pPr>
              <w:jc w:val="right"/>
              <w:ind w:right="721"/>
              <w:spacing w:after="0"/>
              <w:rPr>
                <w:sz w:val="20"/>
                <w:szCs w:val="20"/>
                <w:color w:val="auto"/>
              </w:rPr>
            </w:pPr>
            <w:r>
              <w:rPr>
                <w:rFonts w:ascii="Arial" w:cs="Arial" w:eastAsia="Arial" w:hAnsi="Arial"/>
                <w:sz w:val="14"/>
                <w:szCs w:val="14"/>
                <w:b w:val="1"/>
                <w:bCs w:val="1"/>
                <w:color w:val="auto"/>
              </w:rPr>
              <w:t>(#)(1)</w:t>
            </w:r>
          </w:p>
        </w:tc>
        <w:tc>
          <w:tcPr>
            <w:tcW w:w="1940" w:type="dxa"/>
            <w:vAlign w:val="bottom"/>
            <w:tcBorders>
              <w:bottom w:val="single" w:sz="8" w:color="auto"/>
            </w:tcBorders>
            <w:shd w:val="clear" w:color="auto" w:fill="9DB8D2"/>
          </w:tcPr>
          <w:p>
            <w:pPr>
              <w:jc w:val="right"/>
              <w:ind w:right="580"/>
              <w:spacing w:after="0"/>
              <w:rPr>
                <w:sz w:val="20"/>
                <w:szCs w:val="20"/>
                <w:color w:val="auto"/>
              </w:rPr>
            </w:pPr>
            <w:r>
              <w:rPr>
                <w:rFonts w:ascii="Arial" w:cs="Arial" w:eastAsia="Arial" w:hAnsi="Arial"/>
                <w:sz w:val="14"/>
                <w:szCs w:val="14"/>
                <w:b w:val="1"/>
                <w:bCs w:val="1"/>
                <w:color w:val="auto"/>
              </w:rPr>
              <w:t>held(#)(2)</w:t>
            </w:r>
          </w:p>
        </w:tc>
        <w:tc>
          <w:tcPr>
            <w:tcW w:w="1680" w:type="dxa"/>
            <w:vAlign w:val="bottom"/>
            <w:tcBorders>
              <w:bottom w:val="single" w:sz="8" w:color="auto"/>
            </w:tcBorders>
            <w:shd w:val="clear" w:color="auto" w:fill="9DB8D2"/>
          </w:tcPr>
          <w:p>
            <w:pPr>
              <w:jc w:val="right"/>
              <w:ind w:right="540"/>
              <w:spacing w:after="0"/>
              <w:rPr>
                <w:sz w:val="20"/>
                <w:szCs w:val="20"/>
                <w:color w:val="auto"/>
              </w:rPr>
            </w:pPr>
            <w:r>
              <w:rPr>
                <w:rFonts w:ascii="Arial" w:cs="Arial" w:eastAsia="Arial" w:hAnsi="Arial"/>
                <w:sz w:val="14"/>
                <w:szCs w:val="14"/>
                <w:b w:val="1"/>
                <w:bCs w:val="1"/>
                <w:color w:val="auto"/>
              </w:rPr>
              <w:t>($)(3)</w:t>
            </w:r>
          </w:p>
        </w:tc>
        <w:tc>
          <w:tcPr>
            <w:tcW w:w="1700" w:type="dxa"/>
            <w:vAlign w:val="bottom"/>
            <w:tcBorders>
              <w:bottom w:val="single" w:sz="8" w:color="auto"/>
            </w:tcBorders>
            <w:shd w:val="clear" w:color="auto" w:fill="9DB8D2"/>
          </w:tcPr>
          <w:p>
            <w:pPr>
              <w:jc w:val="center"/>
              <w:ind w:left="160"/>
              <w:spacing w:after="0"/>
              <w:rPr>
                <w:sz w:val="20"/>
                <w:szCs w:val="20"/>
                <w:color w:val="auto"/>
              </w:rPr>
            </w:pPr>
            <w:r>
              <w:rPr>
                <w:rFonts w:ascii="Arial" w:cs="Arial" w:eastAsia="Arial" w:hAnsi="Arial"/>
                <w:sz w:val="14"/>
                <w:szCs w:val="14"/>
                <w:b w:val="1"/>
                <w:bCs w:val="1"/>
                <w:color w:val="auto"/>
              </w:rPr>
              <w:t>Satisfy Guidelines(4)</w:t>
            </w:r>
          </w:p>
        </w:tc>
      </w:tr>
      <w:tr>
        <w:trPr>
          <w:trHeight w:val="183"/>
        </w:trPr>
        <w:tc>
          <w:tcPr>
            <w:tcW w:w="3880" w:type="dxa"/>
            <w:vAlign w:val="bottom"/>
            <w:shd w:val="clear" w:color="auto" w:fill="E6EDF3"/>
          </w:tcPr>
          <w:p>
            <w:pPr>
              <w:ind w:left="80"/>
              <w:spacing w:after="0" w:line="183" w:lineRule="exact"/>
              <w:rPr>
                <w:sz w:val="20"/>
                <w:szCs w:val="20"/>
                <w:color w:val="auto"/>
              </w:rPr>
            </w:pPr>
            <w:r>
              <w:rPr>
                <w:rFonts w:ascii="Arial" w:cs="Arial" w:eastAsia="Arial" w:hAnsi="Arial"/>
                <w:sz w:val="16"/>
                <w:szCs w:val="16"/>
                <w:color w:val="auto"/>
              </w:rPr>
              <w:t>Gina R. Boswell</w:t>
            </w:r>
          </w:p>
        </w:tc>
        <w:tc>
          <w:tcPr>
            <w:tcW w:w="2220" w:type="dxa"/>
            <w:vAlign w:val="bottom"/>
            <w:shd w:val="clear" w:color="auto" w:fill="E6EDF3"/>
          </w:tcPr>
          <w:p>
            <w:pPr>
              <w:jc w:val="right"/>
              <w:ind w:right="281"/>
              <w:spacing w:after="0" w:line="183" w:lineRule="exact"/>
              <w:rPr>
                <w:sz w:val="20"/>
                <w:szCs w:val="20"/>
                <w:color w:val="auto"/>
              </w:rPr>
            </w:pPr>
            <w:r>
              <w:rPr>
                <w:rFonts w:ascii="Arial" w:cs="Arial" w:eastAsia="Arial" w:hAnsi="Arial"/>
                <w:sz w:val="16"/>
                <w:szCs w:val="16"/>
                <w:color w:val="auto"/>
              </w:rPr>
              <w:t>6,601</w:t>
            </w:r>
          </w:p>
        </w:tc>
        <w:tc>
          <w:tcPr>
            <w:tcW w:w="1940" w:type="dxa"/>
            <w:vAlign w:val="bottom"/>
            <w:shd w:val="clear" w:color="auto" w:fill="E6EDF3"/>
          </w:tcPr>
          <w:p>
            <w:pPr>
              <w:jc w:val="right"/>
              <w:ind w:right="280"/>
              <w:spacing w:after="0" w:line="183" w:lineRule="exact"/>
              <w:rPr>
                <w:sz w:val="20"/>
                <w:szCs w:val="20"/>
                <w:color w:val="auto"/>
              </w:rPr>
            </w:pPr>
            <w:r>
              <w:rPr>
                <w:rFonts w:ascii="Arial" w:cs="Arial" w:eastAsia="Arial" w:hAnsi="Arial"/>
                <w:sz w:val="16"/>
                <w:szCs w:val="16"/>
                <w:color w:val="auto"/>
              </w:rPr>
              <w:t>14,326</w:t>
            </w:r>
          </w:p>
        </w:tc>
        <w:tc>
          <w:tcPr>
            <w:tcW w:w="1680" w:type="dxa"/>
            <w:vAlign w:val="bottom"/>
            <w:shd w:val="clear" w:color="auto" w:fill="E6EDF3"/>
          </w:tcPr>
          <w:p>
            <w:pPr>
              <w:jc w:val="right"/>
              <w:ind w:right="200"/>
              <w:spacing w:after="0" w:line="183" w:lineRule="exact"/>
              <w:rPr>
                <w:sz w:val="20"/>
                <w:szCs w:val="20"/>
                <w:color w:val="auto"/>
              </w:rPr>
            </w:pPr>
            <w:r>
              <w:rPr>
                <w:rFonts w:ascii="Arial" w:cs="Arial" w:eastAsia="Arial" w:hAnsi="Arial"/>
                <w:sz w:val="16"/>
                <w:szCs w:val="16"/>
                <w:color w:val="auto"/>
              </w:rPr>
              <w:t>1,402,372</w:t>
            </w:r>
          </w:p>
        </w:tc>
        <w:tc>
          <w:tcPr>
            <w:tcW w:w="1700" w:type="dxa"/>
            <w:vAlign w:val="bottom"/>
            <w:shd w:val="clear" w:color="auto" w:fill="E6EDF3"/>
          </w:tcPr>
          <w:p>
            <w:pPr>
              <w:jc w:val="center"/>
              <w:ind w:left="180"/>
              <w:spacing w:after="0" w:line="183" w:lineRule="exact"/>
              <w:rPr>
                <w:sz w:val="20"/>
                <w:szCs w:val="20"/>
                <w:color w:val="auto"/>
              </w:rPr>
            </w:pPr>
            <w:r>
              <w:rPr>
                <w:rFonts w:ascii="Arial" w:cs="Arial" w:eastAsia="Arial" w:hAnsi="Arial"/>
                <w:sz w:val="16"/>
                <w:szCs w:val="16"/>
                <w:color w:val="auto"/>
              </w:rPr>
              <w:t>Guidelines Satisfied</w:t>
            </w:r>
          </w:p>
        </w:tc>
      </w:tr>
      <w:tr>
        <w:trPr>
          <w:trHeight w:val="189"/>
        </w:trPr>
        <w:tc>
          <w:tcPr>
            <w:tcW w:w="3880" w:type="dxa"/>
            <w:vAlign w:val="bottom"/>
          </w:tcPr>
          <w:p>
            <w:pPr>
              <w:ind w:left="80"/>
              <w:spacing w:after="0"/>
              <w:rPr>
                <w:sz w:val="20"/>
                <w:szCs w:val="20"/>
                <w:color w:val="auto"/>
              </w:rPr>
            </w:pPr>
            <w:r>
              <w:rPr>
                <w:rFonts w:ascii="Arial" w:cs="Arial" w:eastAsia="Arial" w:hAnsi="Arial"/>
                <w:sz w:val="16"/>
                <w:szCs w:val="16"/>
                <w:color w:val="auto"/>
              </w:rPr>
              <w:t>Cari M. Dominguez</w:t>
            </w:r>
          </w:p>
        </w:tc>
        <w:tc>
          <w:tcPr>
            <w:tcW w:w="2220" w:type="dxa"/>
            <w:vAlign w:val="bottom"/>
          </w:tcPr>
          <w:p>
            <w:pPr>
              <w:jc w:val="right"/>
              <w:ind w:right="281"/>
              <w:spacing w:after="0"/>
              <w:rPr>
                <w:sz w:val="20"/>
                <w:szCs w:val="20"/>
                <w:color w:val="auto"/>
              </w:rPr>
            </w:pPr>
            <w:r>
              <w:rPr>
                <w:rFonts w:ascii="Arial" w:cs="Arial" w:eastAsia="Arial" w:hAnsi="Arial"/>
                <w:sz w:val="16"/>
                <w:szCs w:val="16"/>
                <w:color w:val="auto"/>
              </w:rPr>
              <w:t>6,601</w:t>
            </w:r>
          </w:p>
        </w:tc>
        <w:tc>
          <w:tcPr>
            <w:tcW w:w="1940" w:type="dxa"/>
            <w:vAlign w:val="bottom"/>
          </w:tcPr>
          <w:p>
            <w:pPr>
              <w:jc w:val="right"/>
              <w:ind w:right="280"/>
              <w:spacing w:after="0"/>
              <w:rPr>
                <w:sz w:val="20"/>
                <w:szCs w:val="20"/>
                <w:color w:val="auto"/>
              </w:rPr>
            </w:pPr>
            <w:r>
              <w:rPr>
                <w:rFonts w:ascii="Arial" w:cs="Arial" w:eastAsia="Arial" w:hAnsi="Arial"/>
                <w:sz w:val="16"/>
                <w:szCs w:val="16"/>
                <w:color w:val="auto"/>
              </w:rPr>
              <w:t>19,552</w:t>
            </w:r>
          </w:p>
        </w:tc>
        <w:tc>
          <w:tcPr>
            <w:tcW w:w="1680" w:type="dxa"/>
            <w:vAlign w:val="bottom"/>
          </w:tcPr>
          <w:p>
            <w:pPr>
              <w:jc w:val="right"/>
              <w:ind w:right="200"/>
              <w:spacing w:after="0"/>
              <w:rPr>
                <w:sz w:val="20"/>
                <w:szCs w:val="20"/>
                <w:color w:val="auto"/>
              </w:rPr>
            </w:pPr>
            <w:r>
              <w:rPr>
                <w:rFonts w:ascii="Arial" w:cs="Arial" w:eastAsia="Arial" w:hAnsi="Arial"/>
                <w:sz w:val="16"/>
                <w:szCs w:val="16"/>
                <w:color w:val="auto"/>
              </w:rPr>
              <w:t>1,913,945</w:t>
            </w:r>
          </w:p>
        </w:tc>
        <w:tc>
          <w:tcPr>
            <w:tcW w:w="1700" w:type="dxa"/>
            <w:vAlign w:val="bottom"/>
          </w:tcPr>
          <w:p>
            <w:pPr>
              <w:jc w:val="center"/>
              <w:ind w:left="180"/>
              <w:spacing w:after="0"/>
              <w:rPr>
                <w:sz w:val="20"/>
                <w:szCs w:val="20"/>
                <w:color w:val="auto"/>
              </w:rPr>
            </w:pPr>
            <w:r>
              <w:rPr>
                <w:rFonts w:ascii="Arial" w:cs="Arial" w:eastAsia="Arial" w:hAnsi="Arial"/>
                <w:sz w:val="16"/>
                <w:szCs w:val="16"/>
                <w:color w:val="auto"/>
              </w:rPr>
              <w:t>Guidelines Satisfied</w:t>
            </w:r>
          </w:p>
        </w:tc>
      </w:tr>
      <w:tr>
        <w:trPr>
          <w:trHeight w:val="189"/>
        </w:trPr>
        <w:tc>
          <w:tcPr>
            <w:tcW w:w="3880" w:type="dxa"/>
            <w:vAlign w:val="bottom"/>
            <w:shd w:val="clear" w:color="auto" w:fill="E6EDF3"/>
          </w:tcPr>
          <w:p>
            <w:pPr>
              <w:ind w:left="80"/>
              <w:spacing w:after="0"/>
              <w:rPr>
                <w:sz w:val="20"/>
                <w:szCs w:val="20"/>
                <w:color w:val="auto"/>
              </w:rPr>
            </w:pPr>
            <w:r>
              <w:rPr>
                <w:rFonts w:ascii="Arial" w:cs="Arial" w:eastAsia="Arial" w:hAnsi="Arial"/>
                <w:sz w:val="16"/>
                <w:szCs w:val="16"/>
                <w:color w:val="auto"/>
              </w:rPr>
              <w:t>William Downe</w:t>
            </w:r>
          </w:p>
        </w:tc>
        <w:tc>
          <w:tcPr>
            <w:tcW w:w="2220" w:type="dxa"/>
            <w:vAlign w:val="bottom"/>
            <w:shd w:val="clear" w:color="auto" w:fill="E6EDF3"/>
          </w:tcPr>
          <w:p>
            <w:pPr>
              <w:jc w:val="right"/>
              <w:ind w:right="281"/>
              <w:spacing w:after="0"/>
              <w:rPr>
                <w:sz w:val="20"/>
                <w:szCs w:val="20"/>
                <w:color w:val="auto"/>
              </w:rPr>
            </w:pPr>
            <w:r>
              <w:rPr>
                <w:rFonts w:ascii="Arial" w:cs="Arial" w:eastAsia="Arial" w:hAnsi="Arial"/>
                <w:sz w:val="16"/>
                <w:szCs w:val="16"/>
                <w:color w:val="auto"/>
              </w:rPr>
              <w:t>6,601</w:t>
            </w:r>
          </w:p>
        </w:tc>
        <w:tc>
          <w:tcPr>
            <w:tcW w:w="1940" w:type="dxa"/>
            <w:vAlign w:val="bottom"/>
            <w:shd w:val="clear" w:color="auto" w:fill="E6EDF3"/>
          </w:tcPr>
          <w:p>
            <w:pPr>
              <w:jc w:val="right"/>
              <w:ind w:right="280"/>
              <w:spacing w:after="0"/>
              <w:rPr>
                <w:sz w:val="20"/>
                <w:szCs w:val="20"/>
                <w:color w:val="auto"/>
              </w:rPr>
            </w:pPr>
            <w:r>
              <w:rPr>
                <w:rFonts w:ascii="Arial" w:cs="Arial" w:eastAsia="Arial" w:hAnsi="Arial"/>
                <w:sz w:val="16"/>
                <w:szCs w:val="16"/>
                <w:color w:val="auto"/>
              </w:rPr>
              <w:t>34,784</w:t>
            </w:r>
          </w:p>
        </w:tc>
        <w:tc>
          <w:tcPr>
            <w:tcW w:w="1680" w:type="dxa"/>
            <w:vAlign w:val="bottom"/>
            <w:shd w:val="clear" w:color="auto" w:fill="E6EDF3"/>
          </w:tcPr>
          <w:p>
            <w:pPr>
              <w:jc w:val="right"/>
              <w:ind w:right="200"/>
              <w:spacing w:after="0"/>
              <w:rPr>
                <w:sz w:val="20"/>
                <w:szCs w:val="20"/>
                <w:color w:val="auto"/>
              </w:rPr>
            </w:pPr>
            <w:r>
              <w:rPr>
                <w:rFonts w:ascii="Arial" w:cs="Arial" w:eastAsia="Arial" w:hAnsi="Arial"/>
                <w:sz w:val="16"/>
                <w:szCs w:val="16"/>
                <w:color w:val="auto"/>
              </w:rPr>
              <w:t>3,405,006</w:t>
            </w:r>
          </w:p>
        </w:tc>
        <w:tc>
          <w:tcPr>
            <w:tcW w:w="1700" w:type="dxa"/>
            <w:vAlign w:val="bottom"/>
            <w:shd w:val="clear" w:color="auto" w:fill="E6EDF3"/>
          </w:tcPr>
          <w:p>
            <w:pPr>
              <w:jc w:val="center"/>
              <w:ind w:left="180"/>
              <w:spacing w:after="0"/>
              <w:rPr>
                <w:sz w:val="20"/>
                <w:szCs w:val="20"/>
                <w:color w:val="auto"/>
              </w:rPr>
            </w:pPr>
            <w:r>
              <w:rPr>
                <w:rFonts w:ascii="Arial" w:cs="Arial" w:eastAsia="Arial" w:hAnsi="Arial"/>
                <w:sz w:val="16"/>
                <w:szCs w:val="16"/>
                <w:color w:val="auto"/>
              </w:rPr>
              <w:t>Guidelines Satisfied</w:t>
            </w:r>
          </w:p>
        </w:tc>
      </w:tr>
      <w:tr>
        <w:trPr>
          <w:trHeight w:val="189"/>
        </w:trPr>
        <w:tc>
          <w:tcPr>
            <w:tcW w:w="3880" w:type="dxa"/>
            <w:vAlign w:val="bottom"/>
          </w:tcPr>
          <w:p>
            <w:pPr>
              <w:ind w:left="80"/>
              <w:spacing w:after="0"/>
              <w:rPr>
                <w:sz w:val="20"/>
                <w:szCs w:val="20"/>
                <w:color w:val="auto"/>
              </w:rPr>
            </w:pPr>
            <w:r>
              <w:rPr>
                <w:rFonts w:ascii="Arial" w:cs="Arial" w:eastAsia="Arial" w:hAnsi="Arial"/>
                <w:sz w:val="16"/>
                <w:szCs w:val="16"/>
                <w:color w:val="auto"/>
              </w:rPr>
              <w:t>John F. Ferraro</w:t>
            </w:r>
          </w:p>
        </w:tc>
        <w:tc>
          <w:tcPr>
            <w:tcW w:w="2220" w:type="dxa"/>
            <w:vAlign w:val="bottom"/>
          </w:tcPr>
          <w:p>
            <w:pPr>
              <w:jc w:val="right"/>
              <w:ind w:right="281"/>
              <w:spacing w:after="0"/>
              <w:rPr>
                <w:sz w:val="20"/>
                <w:szCs w:val="20"/>
                <w:color w:val="auto"/>
              </w:rPr>
            </w:pPr>
            <w:r>
              <w:rPr>
                <w:rFonts w:ascii="Arial" w:cs="Arial" w:eastAsia="Arial" w:hAnsi="Arial"/>
                <w:sz w:val="16"/>
                <w:szCs w:val="16"/>
                <w:color w:val="auto"/>
              </w:rPr>
              <w:t>5,894</w:t>
            </w:r>
          </w:p>
        </w:tc>
        <w:tc>
          <w:tcPr>
            <w:tcW w:w="1940" w:type="dxa"/>
            <w:vAlign w:val="bottom"/>
          </w:tcPr>
          <w:p>
            <w:pPr>
              <w:jc w:val="right"/>
              <w:ind w:right="280"/>
              <w:spacing w:after="0"/>
              <w:rPr>
                <w:sz w:val="20"/>
                <w:szCs w:val="20"/>
                <w:color w:val="auto"/>
              </w:rPr>
            </w:pPr>
            <w:r>
              <w:rPr>
                <w:rFonts w:ascii="Arial" w:cs="Arial" w:eastAsia="Arial" w:hAnsi="Arial"/>
                <w:sz w:val="16"/>
                <w:szCs w:val="16"/>
                <w:color w:val="auto"/>
              </w:rPr>
              <w:t>2,936</w:t>
            </w:r>
          </w:p>
        </w:tc>
        <w:tc>
          <w:tcPr>
            <w:tcW w:w="1680" w:type="dxa"/>
            <w:vAlign w:val="bottom"/>
          </w:tcPr>
          <w:p>
            <w:pPr>
              <w:jc w:val="right"/>
              <w:ind w:right="200"/>
              <w:spacing w:after="0"/>
              <w:rPr>
                <w:sz w:val="20"/>
                <w:szCs w:val="20"/>
                <w:color w:val="auto"/>
              </w:rPr>
            </w:pPr>
            <w:r>
              <w:rPr>
                <w:rFonts w:ascii="Arial" w:cs="Arial" w:eastAsia="Arial" w:hAnsi="Arial"/>
                <w:sz w:val="16"/>
                <w:szCs w:val="16"/>
                <w:color w:val="auto"/>
              </w:rPr>
              <w:t>287,405</w:t>
            </w:r>
          </w:p>
        </w:tc>
        <w:tc>
          <w:tcPr>
            <w:tcW w:w="1700" w:type="dxa"/>
            <w:vAlign w:val="bottom"/>
          </w:tcPr>
          <w:p>
            <w:pPr>
              <w:jc w:val="center"/>
              <w:ind w:left="180"/>
              <w:spacing w:after="0"/>
              <w:rPr>
                <w:sz w:val="20"/>
                <w:szCs w:val="20"/>
                <w:color w:val="auto"/>
              </w:rPr>
            </w:pPr>
            <w:r>
              <w:rPr>
                <w:rFonts w:ascii="Arial" w:cs="Arial" w:eastAsia="Arial" w:hAnsi="Arial"/>
                <w:sz w:val="16"/>
                <w:szCs w:val="16"/>
                <w:color w:val="auto"/>
              </w:rPr>
              <w:t>January 1, 2020</w:t>
            </w:r>
          </w:p>
        </w:tc>
      </w:tr>
      <w:tr>
        <w:trPr>
          <w:trHeight w:val="189"/>
        </w:trPr>
        <w:tc>
          <w:tcPr>
            <w:tcW w:w="3880" w:type="dxa"/>
            <w:vAlign w:val="bottom"/>
            <w:shd w:val="clear" w:color="auto" w:fill="E6EDF3"/>
          </w:tcPr>
          <w:p>
            <w:pPr>
              <w:ind w:left="80"/>
              <w:spacing w:after="0"/>
              <w:rPr>
                <w:sz w:val="20"/>
                <w:szCs w:val="20"/>
                <w:color w:val="auto"/>
              </w:rPr>
            </w:pPr>
            <w:r>
              <w:rPr>
                <w:rFonts w:ascii="Arial" w:cs="Arial" w:eastAsia="Arial" w:hAnsi="Arial"/>
                <w:sz w:val="16"/>
                <w:szCs w:val="16"/>
                <w:color w:val="auto"/>
              </w:rPr>
              <w:t>Patricia Hemingway Hall</w:t>
            </w:r>
          </w:p>
        </w:tc>
        <w:tc>
          <w:tcPr>
            <w:tcW w:w="2220" w:type="dxa"/>
            <w:vAlign w:val="bottom"/>
            <w:shd w:val="clear" w:color="auto" w:fill="E6EDF3"/>
          </w:tcPr>
          <w:p>
            <w:pPr>
              <w:jc w:val="right"/>
              <w:ind w:right="281"/>
              <w:spacing w:after="0"/>
              <w:rPr>
                <w:sz w:val="20"/>
                <w:szCs w:val="20"/>
                <w:color w:val="auto"/>
              </w:rPr>
            </w:pPr>
            <w:r>
              <w:rPr>
                <w:rFonts w:ascii="Arial" w:cs="Arial" w:eastAsia="Arial" w:hAnsi="Arial"/>
                <w:sz w:val="16"/>
                <w:szCs w:val="16"/>
                <w:color w:val="auto"/>
              </w:rPr>
              <w:t>6,601</w:t>
            </w:r>
          </w:p>
        </w:tc>
        <w:tc>
          <w:tcPr>
            <w:tcW w:w="1940" w:type="dxa"/>
            <w:vAlign w:val="bottom"/>
            <w:shd w:val="clear" w:color="auto" w:fill="E6EDF3"/>
          </w:tcPr>
          <w:p>
            <w:pPr>
              <w:jc w:val="right"/>
              <w:ind w:right="280"/>
              <w:spacing w:after="0"/>
              <w:rPr>
                <w:sz w:val="20"/>
                <w:szCs w:val="20"/>
                <w:color w:val="auto"/>
              </w:rPr>
            </w:pPr>
            <w:r>
              <w:rPr>
                <w:rFonts w:ascii="Arial" w:cs="Arial" w:eastAsia="Arial" w:hAnsi="Arial"/>
                <w:sz w:val="16"/>
                <w:szCs w:val="16"/>
                <w:color w:val="auto"/>
              </w:rPr>
              <w:t>10,781</w:t>
            </w:r>
          </w:p>
        </w:tc>
        <w:tc>
          <w:tcPr>
            <w:tcW w:w="1680" w:type="dxa"/>
            <w:vAlign w:val="bottom"/>
            <w:shd w:val="clear" w:color="auto" w:fill="E6EDF3"/>
          </w:tcPr>
          <w:p>
            <w:pPr>
              <w:jc w:val="right"/>
              <w:ind w:right="200"/>
              <w:spacing w:after="0"/>
              <w:rPr>
                <w:sz w:val="20"/>
                <w:szCs w:val="20"/>
                <w:color w:val="auto"/>
              </w:rPr>
            </w:pPr>
            <w:r>
              <w:rPr>
                <w:rFonts w:ascii="Arial" w:cs="Arial" w:eastAsia="Arial" w:hAnsi="Arial"/>
                <w:sz w:val="16"/>
                <w:szCs w:val="16"/>
                <w:color w:val="auto"/>
              </w:rPr>
              <w:t>1,055,352</w:t>
            </w:r>
          </w:p>
        </w:tc>
        <w:tc>
          <w:tcPr>
            <w:tcW w:w="1700" w:type="dxa"/>
            <w:vAlign w:val="bottom"/>
            <w:shd w:val="clear" w:color="auto" w:fill="E6EDF3"/>
          </w:tcPr>
          <w:p>
            <w:pPr>
              <w:jc w:val="center"/>
              <w:ind w:left="180"/>
              <w:spacing w:after="0"/>
              <w:rPr>
                <w:sz w:val="20"/>
                <w:szCs w:val="20"/>
                <w:color w:val="auto"/>
              </w:rPr>
            </w:pPr>
            <w:r>
              <w:rPr>
                <w:rFonts w:ascii="Arial" w:cs="Arial" w:eastAsia="Arial" w:hAnsi="Arial"/>
                <w:sz w:val="16"/>
                <w:szCs w:val="16"/>
                <w:color w:val="auto"/>
              </w:rPr>
              <w:t>Guidelines Satisfied</w:t>
            </w:r>
          </w:p>
        </w:tc>
      </w:tr>
      <w:tr>
        <w:trPr>
          <w:trHeight w:val="189"/>
        </w:trPr>
        <w:tc>
          <w:tcPr>
            <w:tcW w:w="3880" w:type="dxa"/>
            <w:vAlign w:val="bottom"/>
          </w:tcPr>
          <w:p>
            <w:pPr>
              <w:ind w:left="80"/>
              <w:spacing w:after="0"/>
              <w:rPr>
                <w:sz w:val="20"/>
                <w:szCs w:val="20"/>
                <w:color w:val="auto"/>
              </w:rPr>
            </w:pPr>
            <w:r>
              <w:rPr>
                <w:rFonts w:ascii="Arial" w:cs="Arial" w:eastAsia="Arial" w:hAnsi="Arial"/>
                <w:sz w:val="16"/>
                <w:szCs w:val="16"/>
                <w:color w:val="auto"/>
              </w:rPr>
              <w:t>Julie M. Howard</w:t>
            </w:r>
          </w:p>
        </w:tc>
        <w:tc>
          <w:tcPr>
            <w:tcW w:w="2220" w:type="dxa"/>
            <w:vAlign w:val="bottom"/>
          </w:tcPr>
          <w:p>
            <w:pPr>
              <w:jc w:val="right"/>
              <w:ind w:right="281"/>
              <w:spacing w:after="0"/>
              <w:rPr>
                <w:sz w:val="20"/>
                <w:szCs w:val="20"/>
                <w:color w:val="auto"/>
              </w:rPr>
            </w:pPr>
            <w:r>
              <w:rPr>
                <w:rFonts w:ascii="Arial" w:cs="Arial" w:eastAsia="Arial" w:hAnsi="Arial"/>
                <w:sz w:val="16"/>
                <w:szCs w:val="16"/>
                <w:color w:val="auto"/>
              </w:rPr>
              <w:t>5,064</w:t>
            </w:r>
          </w:p>
        </w:tc>
        <w:tc>
          <w:tcPr>
            <w:tcW w:w="1940" w:type="dxa"/>
            <w:vAlign w:val="bottom"/>
          </w:tcPr>
          <w:p>
            <w:pPr>
              <w:jc w:val="right"/>
              <w:ind w:right="280"/>
              <w:spacing w:after="0"/>
              <w:rPr>
                <w:sz w:val="20"/>
                <w:szCs w:val="20"/>
                <w:color w:val="auto"/>
              </w:rPr>
            </w:pPr>
            <w:r>
              <w:rPr>
                <w:rFonts w:ascii="Arial" w:cs="Arial" w:eastAsia="Arial" w:hAnsi="Arial"/>
                <w:sz w:val="16"/>
                <w:szCs w:val="16"/>
                <w:color w:val="auto"/>
              </w:rPr>
              <w:t>85</w:t>
            </w:r>
          </w:p>
        </w:tc>
        <w:tc>
          <w:tcPr>
            <w:tcW w:w="1680" w:type="dxa"/>
            <w:vAlign w:val="bottom"/>
          </w:tcPr>
          <w:p>
            <w:pPr>
              <w:jc w:val="right"/>
              <w:ind w:right="200"/>
              <w:spacing w:after="0"/>
              <w:rPr>
                <w:sz w:val="20"/>
                <w:szCs w:val="20"/>
                <w:color w:val="auto"/>
              </w:rPr>
            </w:pPr>
            <w:r>
              <w:rPr>
                <w:rFonts w:ascii="Arial" w:cs="Arial" w:eastAsia="Arial" w:hAnsi="Arial"/>
                <w:sz w:val="16"/>
                <w:szCs w:val="16"/>
                <w:color w:val="auto"/>
              </w:rPr>
              <w:t>8,321</w:t>
            </w:r>
          </w:p>
        </w:tc>
        <w:tc>
          <w:tcPr>
            <w:tcW w:w="1700" w:type="dxa"/>
            <w:vAlign w:val="bottom"/>
          </w:tcPr>
          <w:p>
            <w:pPr>
              <w:jc w:val="center"/>
              <w:ind w:left="160"/>
              <w:spacing w:after="0"/>
              <w:rPr>
                <w:sz w:val="20"/>
                <w:szCs w:val="20"/>
                <w:color w:val="auto"/>
              </w:rPr>
            </w:pPr>
            <w:r>
              <w:rPr>
                <w:rFonts w:ascii="Arial" w:cs="Arial" w:eastAsia="Arial" w:hAnsi="Arial"/>
                <w:sz w:val="16"/>
                <w:szCs w:val="16"/>
                <w:color w:val="auto"/>
              </w:rPr>
              <w:t>December 12, 2020</w:t>
            </w:r>
          </w:p>
        </w:tc>
      </w:tr>
      <w:tr>
        <w:trPr>
          <w:trHeight w:val="189"/>
        </w:trPr>
        <w:tc>
          <w:tcPr>
            <w:tcW w:w="3880" w:type="dxa"/>
            <w:vAlign w:val="bottom"/>
            <w:shd w:val="clear" w:color="auto" w:fill="E6EDF3"/>
          </w:tcPr>
          <w:p>
            <w:pPr>
              <w:ind w:left="80"/>
              <w:spacing w:after="0"/>
              <w:rPr>
                <w:sz w:val="20"/>
                <w:szCs w:val="20"/>
                <w:color w:val="auto"/>
              </w:rPr>
            </w:pPr>
            <w:r>
              <w:rPr>
                <w:rFonts w:ascii="Arial" w:cs="Arial" w:eastAsia="Arial" w:hAnsi="Arial"/>
                <w:sz w:val="16"/>
                <w:szCs w:val="16"/>
                <w:color w:val="auto"/>
              </w:rPr>
              <w:t>Roberto Mendoza</w:t>
            </w:r>
          </w:p>
        </w:tc>
        <w:tc>
          <w:tcPr>
            <w:tcW w:w="2220" w:type="dxa"/>
            <w:vAlign w:val="bottom"/>
            <w:shd w:val="clear" w:color="auto" w:fill="E6EDF3"/>
          </w:tcPr>
          <w:p>
            <w:pPr>
              <w:jc w:val="right"/>
              <w:ind w:right="281"/>
              <w:spacing w:after="0"/>
              <w:rPr>
                <w:sz w:val="20"/>
                <w:szCs w:val="20"/>
                <w:color w:val="auto"/>
              </w:rPr>
            </w:pPr>
            <w:r>
              <w:rPr>
                <w:rFonts w:ascii="Arial" w:cs="Arial" w:eastAsia="Arial" w:hAnsi="Arial"/>
                <w:sz w:val="16"/>
                <w:szCs w:val="16"/>
                <w:color w:val="auto"/>
              </w:rPr>
              <w:t>6,601</w:t>
            </w:r>
          </w:p>
        </w:tc>
        <w:tc>
          <w:tcPr>
            <w:tcW w:w="1940" w:type="dxa"/>
            <w:vAlign w:val="bottom"/>
            <w:shd w:val="clear" w:color="auto" w:fill="E6EDF3"/>
          </w:tcPr>
          <w:p>
            <w:pPr>
              <w:jc w:val="right"/>
              <w:ind w:right="280"/>
              <w:spacing w:after="0"/>
              <w:rPr>
                <w:sz w:val="20"/>
                <w:szCs w:val="20"/>
                <w:color w:val="auto"/>
              </w:rPr>
            </w:pPr>
            <w:r>
              <w:rPr>
                <w:rFonts w:ascii="Arial" w:cs="Arial" w:eastAsia="Arial" w:hAnsi="Arial"/>
                <w:sz w:val="16"/>
                <w:szCs w:val="16"/>
                <w:color w:val="auto"/>
              </w:rPr>
              <w:t>19,425</w:t>
            </w:r>
          </w:p>
        </w:tc>
        <w:tc>
          <w:tcPr>
            <w:tcW w:w="1680" w:type="dxa"/>
            <w:vAlign w:val="bottom"/>
            <w:shd w:val="clear" w:color="auto" w:fill="E6EDF3"/>
          </w:tcPr>
          <w:p>
            <w:pPr>
              <w:jc w:val="right"/>
              <w:ind w:right="200"/>
              <w:spacing w:after="0"/>
              <w:rPr>
                <w:sz w:val="20"/>
                <w:szCs w:val="20"/>
                <w:color w:val="auto"/>
              </w:rPr>
            </w:pPr>
            <w:r>
              <w:rPr>
                <w:rFonts w:ascii="Arial" w:cs="Arial" w:eastAsia="Arial" w:hAnsi="Arial"/>
                <w:sz w:val="16"/>
                <w:szCs w:val="16"/>
                <w:color w:val="auto"/>
              </w:rPr>
              <w:t>1,901,513</w:t>
            </w:r>
          </w:p>
        </w:tc>
        <w:tc>
          <w:tcPr>
            <w:tcW w:w="1700" w:type="dxa"/>
            <w:vAlign w:val="bottom"/>
            <w:shd w:val="clear" w:color="auto" w:fill="E6EDF3"/>
          </w:tcPr>
          <w:p>
            <w:pPr>
              <w:jc w:val="center"/>
              <w:ind w:left="180"/>
              <w:spacing w:after="0"/>
              <w:rPr>
                <w:sz w:val="20"/>
                <w:szCs w:val="20"/>
                <w:color w:val="auto"/>
              </w:rPr>
            </w:pPr>
            <w:r>
              <w:rPr>
                <w:rFonts w:ascii="Arial" w:cs="Arial" w:eastAsia="Arial" w:hAnsi="Arial"/>
                <w:sz w:val="16"/>
                <w:szCs w:val="16"/>
                <w:color w:val="auto"/>
              </w:rPr>
              <w:t>Guidelines Satisfied</w:t>
            </w:r>
          </w:p>
        </w:tc>
      </w:tr>
      <w:tr>
        <w:trPr>
          <w:trHeight w:val="189"/>
        </w:trPr>
        <w:tc>
          <w:tcPr>
            <w:tcW w:w="3880" w:type="dxa"/>
            <w:vAlign w:val="bottom"/>
          </w:tcPr>
          <w:p>
            <w:pPr>
              <w:ind w:left="80"/>
              <w:spacing w:after="0"/>
              <w:rPr>
                <w:sz w:val="20"/>
                <w:szCs w:val="20"/>
                <w:color w:val="auto"/>
              </w:rPr>
            </w:pPr>
            <w:r>
              <w:rPr>
                <w:rFonts w:ascii="Arial" w:cs="Arial" w:eastAsia="Arial" w:hAnsi="Arial"/>
                <w:sz w:val="16"/>
                <w:szCs w:val="16"/>
                <w:color w:val="auto"/>
              </w:rPr>
              <w:t>Ulice Payne, Jr.</w:t>
            </w:r>
          </w:p>
        </w:tc>
        <w:tc>
          <w:tcPr>
            <w:tcW w:w="2220" w:type="dxa"/>
            <w:vAlign w:val="bottom"/>
          </w:tcPr>
          <w:p>
            <w:pPr>
              <w:jc w:val="right"/>
              <w:ind w:right="281"/>
              <w:spacing w:after="0"/>
              <w:rPr>
                <w:sz w:val="20"/>
                <w:szCs w:val="20"/>
                <w:color w:val="auto"/>
              </w:rPr>
            </w:pPr>
            <w:r>
              <w:rPr>
                <w:rFonts w:ascii="Arial" w:cs="Arial" w:eastAsia="Arial" w:hAnsi="Arial"/>
                <w:sz w:val="16"/>
                <w:szCs w:val="16"/>
                <w:color w:val="auto"/>
              </w:rPr>
              <w:t>6,601</w:t>
            </w:r>
          </w:p>
        </w:tc>
        <w:tc>
          <w:tcPr>
            <w:tcW w:w="1940" w:type="dxa"/>
            <w:vAlign w:val="bottom"/>
          </w:tcPr>
          <w:p>
            <w:pPr>
              <w:jc w:val="right"/>
              <w:ind w:right="280"/>
              <w:spacing w:after="0"/>
              <w:rPr>
                <w:sz w:val="20"/>
                <w:szCs w:val="20"/>
                <w:color w:val="auto"/>
              </w:rPr>
            </w:pPr>
            <w:r>
              <w:rPr>
                <w:rFonts w:ascii="Arial" w:cs="Arial" w:eastAsia="Arial" w:hAnsi="Arial"/>
                <w:sz w:val="16"/>
                <w:szCs w:val="16"/>
                <w:color w:val="auto"/>
              </w:rPr>
              <w:t>13,236</w:t>
            </w:r>
          </w:p>
        </w:tc>
        <w:tc>
          <w:tcPr>
            <w:tcW w:w="1680" w:type="dxa"/>
            <w:vAlign w:val="bottom"/>
          </w:tcPr>
          <w:p>
            <w:pPr>
              <w:jc w:val="right"/>
              <w:ind w:right="200"/>
              <w:spacing w:after="0"/>
              <w:rPr>
                <w:sz w:val="20"/>
                <w:szCs w:val="20"/>
                <w:color w:val="auto"/>
              </w:rPr>
            </w:pPr>
            <w:r>
              <w:rPr>
                <w:rFonts w:ascii="Arial" w:cs="Arial" w:eastAsia="Arial" w:hAnsi="Arial"/>
                <w:sz w:val="16"/>
                <w:szCs w:val="16"/>
                <w:color w:val="auto"/>
              </w:rPr>
              <w:t>1,295,672</w:t>
            </w:r>
          </w:p>
        </w:tc>
        <w:tc>
          <w:tcPr>
            <w:tcW w:w="1700" w:type="dxa"/>
            <w:vAlign w:val="bottom"/>
          </w:tcPr>
          <w:p>
            <w:pPr>
              <w:jc w:val="center"/>
              <w:ind w:left="180"/>
              <w:spacing w:after="0"/>
              <w:rPr>
                <w:sz w:val="20"/>
                <w:szCs w:val="20"/>
                <w:color w:val="auto"/>
              </w:rPr>
            </w:pPr>
            <w:r>
              <w:rPr>
                <w:rFonts w:ascii="Arial" w:cs="Arial" w:eastAsia="Arial" w:hAnsi="Arial"/>
                <w:sz w:val="16"/>
                <w:szCs w:val="16"/>
                <w:color w:val="auto"/>
              </w:rPr>
              <w:t>Guidelines Satisfied</w:t>
            </w:r>
          </w:p>
        </w:tc>
      </w:tr>
      <w:tr>
        <w:trPr>
          <w:trHeight w:val="189"/>
        </w:trPr>
        <w:tc>
          <w:tcPr>
            <w:tcW w:w="3880" w:type="dxa"/>
            <w:vAlign w:val="bottom"/>
            <w:shd w:val="clear" w:color="auto" w:fill="E6EDF3"/>
          </w:tcPr>
          <w:p>
            <w:pPr>
              <w:ind w:left="80"/>
              <w:spacing w:after="0"/>
              <w:rPr>
                <w:sz w:val="20"/>
                <w:szCs w:val="20"/>
                <w:color w:val="auto"/>
              </w:rPr>
            </w:pPr>
            <w:r>
              <w:rPr>
                <w:rFonts w:ascii="Arial" w:cs="Arial" w:eastAsia="Arial" w:hAnsi="Arial"/>
                <w:sz w:val="16"/>
                <w:szCs w:val="16"/>
                <w:color w:val="auto"/>
              </w:rPr>
              <w:t>Paul Read</w:t>
            </w:r>
          </w:p>
        </w:tc>
        <w:tc>
          <w:tcPr>
            <w:tcW w:w="2220" w:type="dxa"/>
            <w:vAlign w:val="bottom"/>
            <w:shd w:val="clear" w:color="auto" w:fill="E6EDF3"/>
          </w:tcPr>
          <w:p>
            <w:pPr>
              <w:jc w:val="right"/>
              <w:ind w:right="281"/>
              <w:spacing w:after="0"/>
              <w:rPr>
                <w:sz w:val="20"/>
                <w:szCs w:val="20"/>
                <w:color w:val="auto"/>
              </w:rPr>
            </w:pPr>
            <w:r>
              <w:rPr>
                <w:rFonts w:ascii="Arial" w:cs="Arial" w:eastAsia="Arial" w:hAnsi="Arial"/>
                <w:sz w:val="16"/>
                <w:szCs w:val="16"/>
                <w:color w:val="auto"/>
              </w:rPr>
              <w:t>6,601</w:t>
            </w:r>
          </w:p>
        </w:tc>
        <w:tc>
          <w:tcPr>
            <w:tcW w:w="1940" w:type="dxa"/>
            <w:vAlign w:val="bottom"/>
            <w:shd w:val="clear" w:color="auto" w:fill="E6EDF3"/>
          </w:tcPr>
          <w:p>
            <w:pPr>
              <w:jc w:val="right"/>
              <w:ind w:right="280"/>
              <w:spacing w:after="0"/>
              <w:rPr>
                <w:sz w:val="20"/>
                <w:szCs w:val="20"/>
                <w:color w:val="auto"/>
              </w:rPr>
            </w:pPr>
            <w:r>
              <w:rPr>
                <w:rFonts w:ascii="Arial" w:cs="Arial" w:eastAsia="Arial" w:hAnsi="Arial"/>
                <w:sz w:val="16"/>
                <w:szCs w:val="16"/>
                <w:color w:val="auto"/>
              </w:rPr>
              <w:t>5,352</w:t>
            </w:r>
          </w:p>
        </w:tc>
        <w:tc>
          <w:tcPr>
            <w:tcW w:w="1680" w:type="dxa"/>
            <w:vAlign w:val="bottom"/>
            <w:shd w:val="clear" w:color="auto" w:fill="E6EDF3"/>
          </w:tcPr>
          <w:p>
            <w:pPr>
              <w:jc w:val="right"/>
              <w:ind w:right="200"/>
              <w:spacing w:after="0"/>
              <w:rPr>
                <w:sz w:val="20"/>
                <w:szCs w:val="20"/>
                <w:color w:val="auto"/>
              </w:rPr>
            </w:pPr>
            <w:r>
              <w:rPr>
                <w:rFonts w:ascii="Arial" w:cs="Arial" w:eastAsia="Arial" w:hAnsi="Arial"/>
                <w:sz w:val="16"/>
                <w:szCs w:val="16"/>
                <w:color w:val="auto"/>
              </w:rPr>
              <w:t>523,907</w:t>
            </w:r>
          </w:p>
        </w:tc>
        <w:tc>
          <w:tcPr>
            <w:tcW w:w="1700" w:type="dxa"/>
            <w:vAlign w:val="bottom"/>
            <w:shd w:val="clear" w:color="auto" w:fill="E6EDF3"/>
          </w:tcPr>
          <w:p>
            <w:pPr>
              <w:jc w:val="center"/>
              <w:ind w:left="180"/>
              <w:spacing w:after="0"/>
              <w:rPr>
                <w:sz w:val="20"/>
                <w:szCs w:val="20"/>
                <w:color w:val="auto"/>
              </w:rPr>
            </w:pPr>
            <w:r>
              <w:rPr>
                <w:rFonts w:ascii="Arial" w:cs="Arial" w:eastAsia="Arial" w:hAnsi="Arial"/>
                <w:sz w:val="16"/>
                <w:szCs w:val="16"/>
                <w:color w:val="auto"/>
              </w:rPr>
              <w:t>January 1, 2018</w:t>
            </w:r>
          </w:p>
        </w:tc>
      </w:tr>
      <w:tr>
        <w:trPr>
          <w:trHeight w:val="189"/>
        </w:trPr>
        <w:tc>
          <w:tcPr>
            <w:tcW w:w="3880" w:type="dxa"/>
            <w:vAlign w:val="bottom"/>
          </w:tcPr>
          <w:p>
            <w:pPr>
              <w:ind w:left="80"/>
              <w:spacing w:after="0"/>
              <w:rPr>
                <w:sz w:val="20"/>
                <w:szCs w:val="20"/>
                <w:color w:val="auto"/>
              </w:rPr>
            </w:pPr>
            <w:r>
              <w:rPr>
                <w:rFonts w:ascii="Arial" w:cs="Arial" w:eastAsia="Arial" w:hAnsi="Arial"/>
                <w:sz w:val="16"/>
                <w:szCs w:val="16"/>
                <w:color w:val="auto"/>
              </w:rPr>
              <w:t>Elizabeth P. Sartain</w:t>
            </w:r>
          </w:p>
        </w:tc>
        <w:tc>
          <w:tcPr>
            <w:tcW w:w="2220" w:type="dxa"/>
            <w:vAlign w:val="bottom"/>
          </w:tcPr>
          <w:p>
            <w:pPr>
              <w:jc w:val="right"/>
              <w:ind w:right="281"/>
              <w:spacing w:after="0"/>
              <w:rPr>
                <w:sz w:val="20"/>
                <w:szCs w:val="20"/>
                <w:color w:val="auto"/>
              </w:rPr>
            </w:pPr>
            <w:r>
              <w:rPr>
                <w:rFonts w:ascii="Arial" w:cs="Arial" w:eastAsia="Arial" w:hAnsi="Arial"/>
                <w:sz w:val="16"/>
                <w:szCs w:val="16"/>
                <w:color w:val="auto"/>
              </w:rPr>
              <w:t>6,601</w:t>
            </w:r>
          </w:p>
        </w:tc>
        <w:tc>
          <w:tcPr>
            <w:tcW w:w="1940" w:type="dxa"/>
            <w:vAlign w:val="bottom"/>
          </w:tcPr>
          <w:p>
            <w:pPr>
              <w:jc w:val="right"/>
              <w:ind w:right="280"/>
              <w:spacing w:after="0"/>
              <w:rPr>
                <w:sz w:val="20"/>
                <w:szCs w:val="20"/>
                <w:color w:val="auto"/>
              </w:rPr>
            </w:pPr>
            <w:r>
              <w:rPr>
                <w:rFonts w:ascii="Arial" w:cs="Arial" w:eastAsia="Arial" w:hAnsi="Arial"/>
                <w:sz w:val="16"/>
                <w:szCs w:val="16"/>
                <w:color w:val="auto"/>
              </w:rPr>
              <w:t>16,690</w:t>
            </w:r>
          </w:p>
        </w:tc>
        <w:tc>
          <w:tcPr>
            <w:tcW w:w="1680" w:type="dxa"/>
            <w:vAlign w:val="bottom"/>
          </w:tcPr>
          <w:p>
            <w:pPr>
              <w:jc w:val="right"/>
              <w:ind w:right="200"/>
              <w:spacing w:after="0"/>
              <w:rPr>
                <w:sz w:val="20"/>
                <w:szCs w:val="20"/>
                <w:color w:val="auto"/>
              </w:rPr>
            </w:pPr>
            <w:r>
              <w:rPr>
                <w:rFonts w:ascii="Arial" w:cs="Arial" w:eastAsia="Arial" w:hAnsi="Arial"/>
                <w:sz w:val="16"/>
                <w:szCs w:val="16"/>
                <w:color w:val="auto"/>
              </w:rPr>
              <w:t>1,633,784</w:t>
            </w:r>
          </w:p>
        </w:tc>
        <w:tc>
          <w:tcPr>
            <w:tcW w:w="1700" w:type="dxa"/>
            <w:vAlign w:val="bottom"/>
          </w:tcPr>
          <w:p>
            <w:pPr>
              <w:jc w:val="center"/>
              <w:ind w:left="180"/>
              <w:spacing w:after="0"/>
              <w:rPr>
                <w:sz w:val="20"/>
                <w:szCs w:val="20"/>
                <w:color w:val="auto"/>
              </w:rPr>
            </w:pPr>
            <w:r>
              <w:rPr>
                <w:rFonts w:ascii="Arial" w:cs="Arial" w:eastAsia="Arial" w:hAnsi="Arial"/>
                <w:sz w:val="16"/>
                <w:szCs w:val="16"/>
                <w:color w:val="auto"/>
              </w:rPr>
              <w:t>Guidelines Satisfied</w:t>
            </w:r>
          </w:p>
        </w:tc>
      </w:tr>
      <w:tr>
        <w:trPr>
          <w:trHeight w:val="189"/>
        </w:trPr>
        <w:tc>
          <w:tcPr>
            <w:tcW w:w="3880" w:type="dxa"/>
            <w:vAlign w:val="bottom"/>
            <w:shd w:val="clear" w:color="auto" w:fill="E6EDF3"/>
          </w:tcPr>
          <w:p>
            <w:pPr>
              <w:ind w:left="80"/>
              <w:spacing w:after="0"/>
              <w:rPr>
                <w:sz w:val="20"/>
                <w:szCs w:val="20"/>
                <w:color w:val="auto"/>
              </w:rPr>
            </w:pPr>
            <w:r>
              <w:rPr>
                <w:rFonts w:ascii="Arial" w:cs="Arial" w:eastAsia="Arial" w:hAnsi="Arial"/>
                <w:sz w:val="16"/>
                <w:szCs w:val="16"/>
                <w:color w:val="auto"/>
              </w:rPr>
              <w:t>John R. Walter</w:t>
            </w:r>
          </w:p>
        </w:tc>
        <w:tc>
          <w:tcPr>
            <w:tcW w:w="2220" w:type="dxa"/>
            <w:vAlign w:val="bottom"/>
            <w:shd w:val="clear" w:color="auto" w:fill="E6EDF3"/>
          </w:tcPr>
          <w:p>
            <w:pPr>
              <w:jc w:val="right"/>
              <w:ind w:right="281"/>
              <w:spacing w:after="0"/>
              <w:rPr>
                <w:sz w:val="20"/>
                <w:szCs w:val="20"/>
                <w:color w:val="auto"/>
              </w:rPr>
            </w:pPr>
            <w:r>
              <w:rPr>
                <w:rFonts w:ascii="Arial" w:cs="Arial" w:eastAsia="Arial" w:hAnsi="Arial"/>
                <w:sz w:val="16"/>
                <w:szCs w:val="16"/>
                <w:color w:val="auto"/>
              </w:rPr>
              <w:t>6,601</w:t>
            </w:r>
          </w:p>
        </w:tc>
        <w:tc>
          <w:tcPr>
            <w:tcW w:w="1940" w:type="dxa"/>
            <w:vAlign w:val="bottom"/>
            <w:shd w:val="clear" w:color="auto" w:fill="E6EDF3"/>
          </w:tcPr>
          <w:p>
            <w:pPr>
              <w:jc w:val="right"/>
              <w:ind w:right="280"/>
              <w:spacing w:after="0"/>
              <w:rPr>
                <w:sz w:val="20"/>
                <w:szCs w:val="20"/>
                <w:color w:val="auto"/>
              </w:rPr>
            </w:pPr>
            <w:r>
              <w:rPr>
                <w:rFonts w:ascii="Arial" w:cs="Arial" w:eastAsia="Arial" w:hAnsi="Arial"/>
                <w:sz w:val="16"/>
                <w:szCs w:val="16"/>
                <w:color w:val="auto"/>
              </w:rPr>
              <w:t>23,759</w:t>
            </w:r>
          </w:p>
        </w:tc>
        <w:tc>
          <w:tcPr>
            <w:tcW w:w="1680" w:type="dxa"/>
            <w:vAlign w:val="bottom"/>
            <w:shd w:val="clear" w:color="auto" w:fill="E6EDF3"/>
          </w:tcPr>
          <w:p>
            <w:pPr>
              <w:jc w:val="right"/>
              <w:ind w:right="200"/>
              <w:spacing w:after="0"/>
              <w:rPr>
                <w:sz w:val="20"/>
                <w:szCs w:val="20"/>
                <w:color w:val="auto"/>
              </w:rPr>
            </w:pPr>
            <w:r>
              <w:rPr>
                <w:rFonts w:ascii="Arial" w:cs="Arial" w:eastAsia="Arial" w:hAnsi="Arial"/>
                <w:sz w:val="16"/>
                <w:szCs w:val="16"/>
                <w:color w:val="auto"/>
              </w:rPr>
              <w:t>2,325,769</w:t>
            </w:r>
          </w:p>
        </w:tc>
        <w:tc>
          <w:tcPr>
            <w:tcW w:w="1700" w:type="dxa"/>
            <w:vAlign w:val="bottom"/>
            <w:shd w:val="clear" w:color="auto" w:fill="E6EDF3"/>
          </w:tcPr>
          <w:p>
            <w:pPr>
              <w:jc w:val="center"/>
              <w:ind w:left="180"/>
              <w:spacing w:after="0"/>
              <w:rPr>
                <w:sz w:val="20"/>
                <w:szCs w:val="20"/>
                <w:color w:val="auto"/>
              </w:rPr>
            </w:pPr>
            <w:r>
              <w:rPr>
                <w:rFonts w:ascii="Arial" w:cs="Arial" w:eastAsia="Arial" w:hAnsi="Arial"/>
                <w:sz w:val="16"/>
                <w:szCs w:val="16"/>
                <w:color w:val="auto"/>
              </w:rPr>
              <w:t>Guidelines Satisfied</w:t>
            </w:r>
          </w:p>
        </w:tc>
      </w:tr>
      <w:tr>
        <w:trPr>
          <w:trHeight w:val="189"/>
        </w:trPr>
        <w:tc>
          <w:tcPr>
            <w:tcW w:w="38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Edward J. Zore</w:t>
            </w:r>
          </w:p>
        </w:tc>
        <w:tc>
          <w:tcPr>
            <w:tcW w:w="222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6,601</w:t>
            </w:r>
          </w:p>
        </w:tc>
        <w:tc>
          <w:tcPr>
            <w:tcW w:w="19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40,510</w:t>
            </w:r>
          </w:p>
        </w:tc>
        <w:tc>
          <w:tcPr>
            <w:tcW w:w="16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3,965,524</w:t>
            </w:r>
          </w:p>
        </w:tc>
        <w:tc>
          <w:tcPr>
            <w:tcW w:w="1700" w:type="dxa"/>
            <w:vAlign w:val="bottom"/>
            <w:tcBorders>
              <w:bottom w:val="single" w:sz="8" w:color="auto"/>
            </w:tcBorders>
          </w:tcPr>
          <w:p>
            <w:pPr>
              <w:jc w:val="center"/>
              <w:ind w:left="180"/>
              <w:spacing w:after="0"/>
              <w:rPr>
                <w:sz w:val="20"/>
                <w:szCs w:val="20"/>
                <w:color w:val="auto"/>
              </w:rPr>
            </w:pPr>
            <w:r>
              <w:rPr>
                <w:rFonts w:ascii="Arial" w:cs="Arial" w:eastAsia="Arial" w:hAnsi="Arial"/>
                <w:sz w:val="16"/>
                <w:szCs w:val="16"/>
                <w:color w:val="auto"/>
              </w:rPr>
              <w:t>Guidelines Satisfied</w:t>
            </w:r>
          </w:p>
        </w:tc>
      </w:tr>
    </w:tbl>
    <w:p>
      <w:pPr>
        <w:spacing w:after="0" w:line="72" w:lineRule="exact"/>
        <w:rPr>
          <w:sz w:val="20"/>
          <w:szCs w:val="20"/>
          <w:color w:val="auto"/>
        </w:rPr>
      </w:pPr>
    </w:p>
    <w:p>
      <w:pPr>
        <w:ind w:left="340" w:right="40" w:hanging="332"/>
        <w:spacing w:after="0" w:line="250"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Target shares are based on target value ($450,000) divided by the closing stock price on December 31, 2014 of $68.17 for non-employee directors in office as of January 1, 2015. For non-employee directors appointed after January 1, 2015 target shares are based on target value ($450,000) divided by the closing price of the Company’s common stock on the last business day of the month during which the director was or is first appointed to the Board of Directors.</w:t>
      </w:r>
    </w:p>
    <w:p>
      <w:pPr>
        <w:spacing w:after="0" w:line="50" w:lineRule="exact"/>
        <w:rPr>
          <w:rFonts w:ascii="Arial" w:cs="Arial" w:eastAsia="Arial" w:hAnsi="Arial"/>
          <w:sz w:val="14"/>
          <w:szCs w:val="14"/>
          <w:color w:val="auto"/>
        </w:rPr>
      </w:pPr>
    </w:p>
    <w:p>
      <w:pPr>
        <w:ind w:left="340" w:right="5300" w:hanging="332"/>
        <w:spacing w:after="0" w:line="342"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Represents the number of shares held as of the record date, February 21, 2017 as follows: For Ms. Boswell, 14,326 shares of common stock.</w:t>
      </w:r>
    </w:p>
    <w:p>
      <w:pPr>
        <w:ind w:left="340" w:right="4940"/>
        <w:spacing w:after="0" w:line="359" w:lineRule="auto"/>
        <w:rPr>
          <w:rFonts w:ascii="Arial" w:cs="Arial" w:eastAsia="Arial" w:hAnsi="Arial"/>
          <w:sz w:val="14"/>
          <w:szCs w:val="14"/>
          <w:color w:val="auto"/>
        </w:rPr>
      </w:pPr>
      <w:r>
        <w:rPr>
          <w:rFonts w:ascii="Arial" w:cs="Arial" w:eastAsia="Arial" w:hAnsi="Arial"/>
          <w:sz w:val="14"/>
          <w:szCs w:val="14"/>
          <w:color w:val="auto"/>
        </w:rPr>
        <w:t>For Ms. Dominguez, 17,490 shares of common stock and 2,062 shares of vested deferred stock. For Mr. Downe, 18,261 shares of common stock and 16,523 shares of vested deferred stock.</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78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9600"/>
        <w:spacing w:after="0"/>
        <w:rPr>
          <w:sz w:val="20"/>
          <w:szCs w:val="20"/>
          <w:color w:val="auto"/>
        </w:rPr>
      </w:pPr>
      <w:r>
        <w:rPr>
          <w:rFonts w:ascii="Arial" w:cs="Arial" w:eastAsia="Arial" w:hAnsi="Arial"/>
          <w:sz w:val="18"/>
          <w:szCs w:val="18"/>
          <w:color w:val="FFFFFF"/>
        </w:rPr>
        <w:t>Compensation Tables</w:t>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For Mr. Ferraro 2,936 shares of vested deferred stock.</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For Ms. Hemingway Hall, 7,021 shares of common stock and 3,760 shares of vested deferred stock.</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For Ms. Howard 85 shares of vested deferred stock.</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For Mr. Mendoza, 1,352 shares of common stock and 18,073 shares of vested deferred stock.</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For Mr. Payne, 13,236 shares of common stock.</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For Mr. Read, 5,273 shares of common stock and 79 shares of vested deferred stock.</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For Ms. Sartain, 16,690 shares of common stock.</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For Mr. Walter, 8,599 shares of common stock and 15,160 shares of vested deferred stock.</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For Mr. Zore, 39,876 shares of common stock and 634 shares of vested deferred stock.</w:t>
      </w:r>
    </w:p>
    <w:p>
      <w:pPr>
        <w:spacing w:after="0" w:line="69"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Based on price per share of ManpowerGroup common stock on February 21, 2017 of $97.89.</w:t>
      </w:r>
    </w:p>
    <w:p>
      <w:pPr>
        <w:spacing w:after="0" w:line="68" w:lineRule="exact"/>
        <w:rPr>
          <w:rFonts w:ascii="Arial" w:cs="Arial" w:eastAsia="Arial" w:hAnsi="Arial"/>
          <w:sz w:val="14"/>
          <w:szCs w:val="14"/>
          <w:color w:val="auto"/>
        </w:rPr>
      </w:pPr>
    </w:p>
    <w:p>
      <w:pPr>
        <w:ind w:left="340" w:right="300" w:hanging="332"/>
        <w:spacing w:after="0" w:line="258" w:lineRule="auto"/>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Non-employee directors in office as of January 1, 2015 must meet the ownership guidelines by January 1, 2018. Non-employee directors appointed after January 1, 2015 must meet the ownership guidelines by the fourth anniversary of the date of appointment.</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79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Audit Committee Report</w:t>
      </w:r>
    </w:p>
    <w:p>
      <w:pPr>
        <w:spacing w:after="0" w:line="241" w:lineRule="exact"/>
        <w:rPr>
          <w:sz w:val="20"/>
          <w:szCs w:val="20"/>
          <w:color w:val="auto"/>
        </w:rPr>
      </w:pPr>
    </w:p>
    <w:p>
      <w:pPr>
        <w:spacing w:after="0"/>
        <w:rPr>
          <w:sz w:val="20"/>
          <w:szCs w:val="20"/>
          <w:color w:val="auto"/>
        </w:rPr>
      </w:pPr>
      <w:r>
        <w:rPr>
          <w:rFonts w:ascii="Arial" w:cs="Arial" w:eastAsia="Arial" w:hAnsi="Arial"/>
          <w:sz w:val="41"/>
          <w:szCs w:val="41"/>
          <w:color w:val="5D89B4"/>
        </w:rPr>
        <w:t>Audit Committee Report</w:t>
      </w:r>
    </w:p>
    <w:p>
      <w:pPr>
        <w:spacing w:after="0" w:line="2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We have an audit committee that consists entirely of independent directors, each of whom meet the independence requirements set forth by the New York Stock Exchange and the SEC. The board of directors has adopted a charter for the audit committee, which is available on our web site at </w:t>
      </w:r>
      <w:r>
        <w:rPr>
          <w:rFonts w:ascii="Arial" w:cs="Arial" w:eastAsia="Arial" w:hAnsi="Arial"/>
          <w:sz w:val="18"/>
          <w:szCs w:val="18"/>
          <w:u w:val="single" w:color="auto"/>
          <w:color w:val="auto"/>
        </w:rPr>
        <w:t>http://investor.manpowergroup.com/documents.cfm</w:t>
      </w:r>
      <w:r>
        <w:rPr>
          <w:rFonts w:ascii="Arial" w:cs="Arial" w:eastAsia="Arial" w:hAnsi="Arial"/>
          <w:sz w:val="18"/>
          <w:szCs w:val="18"/>
          <w:color w:val="auto"/>
        </w:rPr>
        <w:t>. The charter sets forth the responsibilities and authority of the audit committee with respect to our independent auditors, quarterly and annual financial statements, non-audit services, internal audit and accounting, risk assessment and risk management, business conduct and ethics, special investigations, use of advisors and other reporting and disclosure obligations, including the audit committee’s obligations in monitoring the company’s compliance with its code of business conduct and ethics as well as its policies and procedures regarding anti-corruption. The committee reviews its charter on a periodic basis and recommends updates as necessary.</w:t>
      </w:r>
    </w:p>
    <w:p>
      <w:pPr>
        <w:spacing w:after="0" w:line="14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In 2016, the audit committee met five times. Over the course of these meetings, the audit committee met with our chief financial officer, senior executive vice president, other senior members of the finance department, senior members of the IT department, the chairperson of our disclosure committee, the head of internal audit, our chief legal officer and our independent auditors. During these meetings, the audit committee reviewed and discussed, among other things:</w:t>
      </w:r>
    </w:p>
    <w:p>
      <w:pPr>
        <w:spacing w:after="0" w:line="134" w:lineRule="exact"/>
        <w:rPr>
          <w:sz w:val="20"/>
          <w:szCs w:val="20"/>
          <w:color w:val="auto"/>
        </w:rPr>
      </w:pPr>
    </w:p>
    <w:p>
      <w:pPr>
        <w:ind w:left="440" w:right="540" w:hanging="324"/>
        <w:spacing w:after="0" w:line="246" w:lineRule="auto"/>
        <w:tabs>
          <w:tab w:leader="none" w:pos="440" w:val="left"/>
        </w:tabs>
        <w:numPr>
          <w:ilvl w:val="0"/>
          <w:numId w:val="82"/>
        </w:numPr>
        <w:rPr>
          <w:rFonts w:ascii="Arial" w:cs="Arial" w:eastAsia="Arial" w:hAnsi="Arial"/>
          <w:sz w:val="18"/>
          <w:szCs w:val="18"/>
          <w:color w:val="5D89B4"/>
        </w:rPr>
      </w:pPr>
      <w:r>
        <w:rPr>
          <w:rFonts w:ascii="Arial" w:cs="Arial" w:eastAsia="Arial" w:hAnsi="Arial"/>
          <w:sz w:val="18"/>
          <w:szCs w:val="18"/>
          <w:color w:val="auto"/>
        </w:rPr>
        <w:t>our financial statements for each of the first three quarters of 2016, including the disclosures under “Management’s Discussion and Analysis of Financial Condition and Results of Operations;”</w:t>
      </w:r>
    </w:p>
    <w:p>
      <w:pPr>
        <w:spacing w:after="0" w:line="61" w:lineRule="exact"/>
        <w:rPr>
          <w:rFonts w:ascii="Arial" w:cs="Arial" w:eastAsia="Arial" w:hAnsi="Arial"/>
          <w:sz w:val="18"/>
          <w:szCs w:val="18"/>
          <w:color w:val="5D89B4"/>
        </w:rPr>
      </w:pPr>
    </w:p>
    <w:p>
      <w:pPr>
        <w:ind w:left="440" w:hanging="324"/>
        <w:spacing w:after="0"/>
        <w:tabs>
          <w:tab w:leader="none" w:pos="440" w:val="left"/>
        </w:tabs>
        <w:numPr>
          <w:ilvl w:val="0"/>
          <w:numId w:val="82"/>
        </w:numPr>
        <w:rPr>
          <w:rFonts w:ascii="Arial" w:cs="Arial" w:eastAsia="Arial" w:hAnsi="Arial"/>
          <w:sz w:val="18"/>
          <w:szCs w:val="18"/>
          <w:color w:val="5D89B4"/>
        </w:rPr>
      </w:pPr>
      <w:r>
        <w:rPr>
          <w:rFonts w:ascii="Arial" w:cs="Arial" w:eastAsia="Arial" w:hAnsi="Arial"/>
          <w:sz w:val="18"/>
          <w:szCs w:val="18"/>
          <w:color w:val="auto"/>
        </w:rPr>
        <w:t>our compliance with and reporting under Section 404 of the Sarbanes-Oxley Act of 2002 and the related auditing standards;</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82"/>
        </w:numPr>
        <w:rPr>
          <w:rFonts w:ascii="Arial" w:cs="Arial" w:eastAsia="Arial" w:hAnsi="Arial"/>
          <w:sz w:val="18"/>
          <w:szCs w:val="18"/>
          <w:color w:val="5D89B4"/>
        </w:rPr>
      </w:pPr>
      <w:r>
        <w:rPr>
          <w:rFonts w:ascii="Arial" w:cs="Arial" w:eastAsia="Arial" w:hAnsi="Arial"/>
          <w:sz w:val="18"/>
          <w:szCs w:val="18"/>
          <w:color w:val="auto"/>
        </w:rPr>
        <w:t>the independent auditors’ material written communications with management;</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82"/>
        </w:numPr>
        <w:rPr>
          <w:rFonts w:ascii="Arial" w:cs="Arial" w:eastAsia="Arial" w:hAnsi="Arial"/>
          <w:sz w:val="18"/>
          <w:szCs w:val="18"/>
          <w:color w:val="5D89B4"/>
        </w:rPr>
      </w:pPr>
      <w:r>
        <w:rPr>
          <w:rFonts w:ascii="Arial" w:cs="Arial" w:eastAsia="Arial" w:hAnsi="Arial"/>
          <w:sz w:val="18"/>
          <w:szCs w:val="18"/>
          <w:color w:val="auto"/>
        </w:rPr>
        <w:t>our annual internal and external audit plans and the internal and external staffing resources available to carry out our audit plans;</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82"/>
        </w:numPr>
        <w:rPr>
          <w:rFonts w:ascii="Arial" w:cs="Arial" w:eastAsia="Arial" w:hAnsi="Arial"/>
          <w:sz w:val="18"/>
          <w:szCs w:val="18"/>
          <w:color w:val="5D89B4"/>
        </w:rPr>
      </w:pPr>
      <w:r>
        <w:rPr>
          <w:rFonts w:ascii="Arial" w:cs="Arial" w:eastAsia="Arial" w:hAnsi="Arial"/>
          <w:sz w:val="18"/>
          <w:szCs w:val="18"/>
          <w:color w:val="auto"/>
        </w:rPr>
        <w:t>internal audit results;</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82"/>
        </w:numPr>
        <w:rPr>
          <w:rFonts w:ascii="Arial" w:cs="Arial" w:eastAsia="Arial" w:hAnsi="Arial"/>
          <w:sz w:val="18"/>
          <w:szCs w:val="18"/>
          <w:color w:val="5D89B4"/>
        </w:rPr>
      </w:pPr>
      <w:r>
        <w:rPr>
          <w:rFonts w:ascii="Arial" w:cs="Arial" w:eastAsia="Arial" w:hAnsi="Arial"/>
          <w:sz w:val="18"/>
          <w:szCs w:val="18"/>
          <w:color w:val="auto"/>
        </w:rPr>
        <w:t>our risk management framework, including financial and operational risks;</w:t>
      </w:r>
    </w:p>
    <w:p>
      <w:pPr>
        <w:spacing w:after="0" w:line="76" w:lineRule="exact"/>
        <w:rPr>
          <w:rFonts w:ascii="Arial" w:cs="Arial" w:eastAsia="Arial" w:hAnsi="Arial"/>
          <w:sz w:val="18"/>
          <w:szCs w:val="18"/>
          <w:color w:val="5D89B4"/>
        </w:rPr>
      </w:pPr>
    </w:p>
    <w:p>
      <w:pPr>
        <w:ind w:left="440" w:right="420" w:hanging="324"/>
        <w:spacing w:after="0" w:line="246" w:lineRule="auto"/>
        <w:tabs>
          <w:tab w:leader="none" w:pos="440" w:val="left"/>
        </w:tabs>
        <w:numPr>
          <w:ilvl w:val="0"/>
          <w:numId w:val="82"/>
        </w:numPr>
        <w:rPr>
          <w:rFonts w:ascii="Arial" w:cs="Arial" w:eastAsia="Arial" w:hAnsi="Arial"/>
          <w:sz w:val="18"/>
          <w:szCs w:val="18"/>
          <w:color w:val="5D89B4"/>
        </w:rPr>
      </w:pPr>
      <w:r>
        <w:rPr>
          <w:rFonts w:ascii="Arial" w:cs="Arial" w:eastAsia="Arial" w:hAnsi="Arial"/>
          <w:sz w:val="18"/>
          <w:szCs w:val="18"/>
          <w:color w:val="auto"/>
        </w:rPr>
        <w:t>certain risk matters including regulatory matters, the Company’s risk profile, client contract risk, treasury matters and technology and security risk;</w:t>
      </w:r>
    </w:p>
    <w:p>
      <w:pPr>
        <w:spacing w:after="0" w:line="61" w:lineRule="exact"/>
        <w:rPr>
          <w:rFonts w:ascii="Arial" w:cs="Arial" w:eastAsia="Arial" w:hAnsi="Arial"/>
          <w:sz w:val="18"/>
          <w:szCs w:val="18"/>
          <w:color w:val="5D89B4"/>
        </w:rPr>
      </w:pPr>
    </w:p>
    <w:p>
      <w:pPr>
        <w:ind w:left="440" w:hanging="324"/>
        <w:spacing w:after="0"/>
        <w:tabs>
          <w:tab w:leader="none" w:pos="440" w:val="left"/>
        </w:tabs>
        <w:numPr>
          <w:ilvl w:val="0"/>
          <w:numId w:val="82"/>
        </w:numPr>
        <w:rPr>
          <w:rFonts w:ascii="Arial" w:cs="Arial" w:eastAsia="Arial" w:hAnsi="Arial"/>
          <w:sz w:val="18"/>
          <w:szCs w:val="18"/>
          <w:color w:val="5D89B4"/>
        </w:rPr>
      </w:pPr>
      <w:r>
        <w:rPr>
          <w:rFonts w:ascii="Arial" w:cs="Arial" w:eastAsia="Arial" w:hAnsi="Arial"/>
          <w:sz w:val="18"/>
          <w:szCs w:val="18"/>
          <w:color w:val="auto"/>
        </w:rPr>
        <w:t>the impact of new accounting pronouncements;</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82"/>
        </w:numPr>
        <w:rPr>
          <w:rFonts w:ascii="Arial" w:cs="Arial" w:eastAsia="Arial" w:hAnsi="Arial"/>
          <w:sz w:val="18"/>
          <w:szCs w:val="18"/>
          <w:color w:val="5D89B4"/>
        </w:rPr>
      </w:pPr>
      <w:r>
        <w:rPr>
          <w:rFonts w:ascii="Arial" w:cs="Arial" w:eastAsia="Arial" w:hAnsi="Arial"/>
          <w:sz w:val="18"/>
          <w:szCs w:val="18"/>
          <w:color w:val="auto"/>
        </w:rPr>
        <w:t>current tax matters affecting us, including reporting compliance, audit activity and tax planning;</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82"/>
        </w:numPr>
        <w:rPr>
          <w:rFonts w:ascii="Arial" w:cs="Arial" w:eastAsia="Arial" w:hAnsi="Arial"/>
          <w:sz w:val="18"/>
          <w:szCs w:val="18"/>
          <w:color w:val="5D89B4"/>
        </w:rPr>
      </w:pPr>
      <w:r>
        <w:rPr>
          <w:rFonts w:ascii="Arial" w:cs="Arial" w:eastAsia="Arial" w:hAnsi="Arial"/>
          <w:sz w:val="18"/>
          <w:szCs w:val="18"/>
          <w:color w:val="auto"/>
        </w:rPr>
        <w:t>litigation and regulatory matters;</w:t>
      </w:r>
    </w:p>
    <w:p>
      <w:pPr>
        <w:spacing w:after="0" w:line="76" w:lineRule="exact"/>
        <w:rPr>
          <w:rFonts w:ascii="Arial" w:cs="Arial" w:eastAsia="Arial" w:hAnsi="Arial"/>
          <w:sz w:val="18"/>
          <w:szCs w:val="18"/>
          <w:color w:val="5D89B4"/>
        </w:rPr>
      </w:pPr>
    </w:p>
    <w:p>
      <w:pPr>
        <w:ind w:left="440" w:right="160" w:hanging="324"/>
        <w:spacing w:after="0" w:line="246" w:lineRule="auto"/>
        <w:tabs>
          <w:tab w:leader="none" w:pos="440" w:val="left"/>
        </w:tabs>
        <w:numPr>
          <w:ilvl w:val="0"/>
          <w:numId w:val="82"/>
        </w:numPr>
        <w:rPr>
          <w:rFonts w:ascii="Arial" w:cs="Arial" w:eastAsia="Arial" w:hAnsi="Arial"/>
          <w:sz w:val="18"/>
          <w:szCs w:val="18"/>
          <w:color w:val="5D89B4"/>
        </w:rPr>
      </w:pPr>
      <w:r>
        <w:rPr>
          <w:rFonts w:ascii="Arial" w:cs="Arial" w:eastAsia="Arial" w:hAnsi="Arial"/>
          <w:sz w:val="18"/>
          <w:szCs w:val="18"/>
          <w:color w:val="auto"/>
        </w:rPr>
        <w:t>our compliance with our code of business conduct and ethics, our anti-corruption policy, including the Foreign Corrupt Practices Act and our policy on gifts, entertainment and sponsorships;</w:t>
      </w:r>
    </w:p>
    <w:p>
      <w:pPr>
        <w:spacing w:after="0" w:line="61" w:lineRule="exact"/>
        <w:rPr>
          <w:rFonts w:ascii="Arial" w:cs="Arial" w:eastAsia="Arial" w:hAnsi="Arial"/>
          <w:sz w:val="18"/>
          <w:szCs w:val="18"/>
          <w:color w:val="5D89B4"/>
        </w:rPr>
      </w:pPr>
    </w:p>
    <w:p>
      <w:pPr>
        <w:ind w:left="440" w:right="140" w:hanging="324"/>
        <w:spacing w:after="0" w:line="246" w:lineRule="auto"/>
        <w:tabs>
          <w:tab w:leader="none" w:pos="440" w:val="left"/>
        </w:tabs>
        <w:numPr>
          <w:ilvl w:val="0"/>
          <w:numId w:val="82"/>
        </w:numPr>
        <w:rPr>
          <w:rFonts w:ascii="Arial" w:cs="Arial" w:eastAsia="Arial" w:hAnsi="Arial"/>
          <w:sz w:val="18"/>
          <w:szCs w:val="18"/>
          <w:color w:val="5D89B4"/>
        </w:rPr>
      </w:pPr>
      <w:r>
        <w:rPr>
          <w:rFonts w:ascii="Arial" w:cs="Arial" w:eastAsia="Arial" w:hAnsi="Arial"/>
          <w:sz w:val="18"/>
          <w:szCs w:val="18"/>
          <w:color w:val="auto"/>
        </w:rPr>
        <w:t>our compliance with our Policy Regarding the Retention of Former Employees of Independent Auditors and Policy on Services Provided by Independent Auditors; and</w:t>
      </w:r>
    </w:p>
    <w:p>
      <w:pPr>
        <w:spacing w:after="0" w:line="61" w:lineRule="exact"/>
        <w:rPr>
          <w:rFonts w:ascii="Arial" w:cs="Arial" w:eastAsia="Arial" w:hAnsi="Arial"/>
          <w:sz w:val="18"/>
          <w:szCs w:val="18"/>
          <w:color w:val="5D89B4"/>
        </w:rPr>
      </w:pPr>
    </w:p>
    <w:p>
      <w:pPr>
        <w:ind w:left="440" w:hanging="324"/>
        <w:spacing w:after="0"/>
        <w:tabs>
          <w:tab w:leader="none" w:pos="440" w:val="left"/>
        </w:tabs>
        <w:numPr>
          <w:ilvl w:val="0"/>
          <w:numId w:val="82"/>
        </w:numPr>
        <w:rPr>
          <w:rFonts w:ascii="Arial" w:cs="Arial" w:eastAsia="Arial" w:hAnsi="Arial"/>
          <w:sz w:val="18"/>
          <w:szCs w:val="18"/>
          <w:color w:val="5D89B4"/>
        </w:rPr>
      </w:pPr>
      <w:r>
        <w:rPr>
          <w:rFonts w:ascii="Arial" w:cs="Arial" w:eastAsia="Arial" w:hAnsi="Arial"/>
          <w:sz w:val="18"/>
          <w:szCs w:val="18"/>
          <w:color w:val="auto"/>
        </w:rPr>
        <w:t>a self-evaluation of the committee.</w:t>
      </w:r>
    </w:p>
    <w:p>
      <w:pPr>
        <w:spacing w:after="0" w:line="14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audit committee met five times in private session with Deloitte &amp; Touche LLP and met five times in private session with the head of internal audit. The purpose of the private sessions is to allow the participants to raise any concerns they may have and to discuss other topics in a confidential setting.</w:t>
      </w:r>
    </w:p>
    <w:p>
      <w:pPr>
        <w:spacing w:after="0" w:line="122"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In addition to the meetings discussed above, the chair of the audit committee, and any other audit committee member who desired or was requested to participate, reviewed with management and our independent auditors our financial results for each quarter of 2016 prior to the quarterly release of earnings.</w:t>
      </w:r>
    </w:p>
    <w:p>
      <w:pPr>
        <w:spacing w:after="0" w:line="13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 February 2017, the independent auditors and members of senior management reviewed and discussed the audited financial statements for the fiscal year ended December 31, 2016 with the audit committee, together with our disclosures under “Management’s Discussion and Analysis of Financial Condition and Results of Operations.” This discussion included, among other things:</w:t>
      </w:r>
    </w:p>
    <w:p>
      <w:pPr>
        <w:spacing w:after="0" w:line="135" w:lineRule="exact"/>
        <w:rPr>
          <w:sz w:val="20"/>
          <w:szCs w:val="20"/>
          <w:color w:val="auto"/>
        </w:rPr>
      </w:pPr>
    </w:p>
    <w:p>
      <w:pPr>
        <w:ind w:left="440" w:hanging="324"/>
        <w:spacing w:after="0"/>
        <w:tabs>
          <w:tab w:leader="none" w:pos="440" w:val="left"/>
        </w:tabs>
        <w:numPr>
          <w:ilvl w:val="0"/>
          <w:numId w:val="83"/>
        </w:numPr>
        <w:rPr>
          <w:rFonts w:ascii="Arial" w:cs="Arial" w:eastAsia="Arial" w:hAnsi="Arial"/>
          <w:sz w:val="18"/>
          <w:szCs w:val="18"/>
          <w:color w:val="5D89B4"/>
        </w:rPr>
      </w:pPr>
      <w:r>
        <w:rPr>
          <w:rFonts w:ascii="Arial" w:cs="Arial" w:eastAsia="Arial" w:hAnsi="Arial"/>
          <w:sz w:val="18"/>
          <w:szCs w:val="18"/>
          <w:color w:val="auto"/>
        </w:rPr>
        <w:t>critical accounting policies and practices used in the preparation of our financial statements;</w:t>
      </w:r>
    </w:p>
    <w:p>
      <w:pPr>
        <w:spacing w:after="0" w:line="76" w:lineRule="exact"/>
        <w:rPr>
          <w:rFonts w:ascii="Arial" w:cs="Arial" w:eastAsia="Arial" w:hAnsi="Arial"/>
          <w:sz w:val="18"/>
          <w:szCs w:val="18"/>
          <w:color w:val="5D89B4"/>
        </w:rPr>
      </w:pPr>
    </w:p>
    <w:p>
      <w:pPr>
        <w:ind w:left="440" w:hanging="324"/>
        <w:spacing w:after="0"/>
        <w:tabs>
          <w:tab w:leader="none" w:pos="440" w:val="left"/>
        </w:tabs>
        <w:numPr>
          <w:ilvl w:val="0"/>
          <w:numId w:val="83"/>
        </w:numPr>
        <w:rPr>
          <w:rFonts w:ascii="Arial" w:cs="Arial" w:eastAsia="Arial" w:hAnsi="Arial"/>
          <w:sz w:val="18"/>
          <w:szCs w:val="18"/>
          <w:color w:val="5D89B4"/>
        </w:rPr>
      </w:pPr>
      <w:r>
        <w:rPr>
          <w:rFonts w:ascii="Arial" w:cs="Arial" w:eastAsia="Arial" w:hAnsi="Arial"/>
          <w:sz w:val="18"/>
          <w:szCs w:val="18"/>
          <w:color w:val="auto"/>
        </w:rPr>
        <w:t>our judgmental reserves;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80</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9400"/>
        <w:spacing w:after="0"/>
        <w:rPr>
          <w:sz w:val="20"/>
          <w:szCs w:val="20"/>
          <w:color w:val="auto"/>
        </w:rPr>
      </w:pPr>
      <w:r>
        <w:rPr>
          <w:rFonts w:ascii="Arial" w:cs="Arial" w:eastAsia="Arial" w:hAnsi="Arial"/>
          <w:sz w:val="18"/>
          <w:szCs w:val="18"/>
          <w:color w:val="FFFFFF"/>
        </w:rPr>
        <w:t>Audit Committee Report</w:t>
      </w:r>
    </w:p>
    <w:p>
      <w:pPr>
        <w:spacing w:after="0" w:line="360" w:lineRule="exact"/>
        <w:rPr>
          <w:sz w:val="20"/>
          <w:szCs w:val="20"/>
          <w:color w:val="auto"/>
        </w:rPr>
      </w:pPr>
    </w:p>
    <w:p>
      <w:pPr>
        <w:ind w:left="440" w:right="1100" w:hanging="324"/>
        <w:spacing w:after="0" w:line="246" w:lineRule="auto"/>
        <w:tabs>
          <w:tab w:leader="none" w:pos="440" w:val="left"/>
        </w:tabs>
        <w:numPr>
          <w:ilvl w:val="0"/>
          <w:numId w:val="84"/>
        </w:numPr>
        <w:rPr>
          <w:rFonts w:ascii="Arial" w:cs="Arial" w:eastAsia="Arial" w:hAnsi="Arial"/>
          <w:sz w:val="18"/>
          <w:szCs w:val="18"/>
          <w:color w:val="5D89B4"/>
        </w:rPr>
      </w:pPr>
      <w:r>
        <w:rPr>
          <w:rFonts w:ascii="Arial" w:cs="Arial" w:eastAsia="Arial" w:hAnsi="Arial"/>
          <w:sz w:val="18"/>
          <w:szCs w:val="18"/>
          <w:color w:val="auto"/>
        </w:rPr>
        <w:t>the effect of regulatory and accounting initiatives on our financial statements, including the adoption of significant accounting pronouncements;</w:t>
      </w:r>
    </w:p>
    <w:p>
      <w:pPr>
        <w:spacing w:after="0" w:line="61" w:lineRule="exact"/>
        <w:rPr>
          <w:rFonts w:ascii="Arial" w:cs="Arial" w:eastAsia="Arial" w:hAnsi="Arial"/>
          <w:sz w:val="18"/>
          <w:szCs w:val="18"/>
          <w:color w:val="5D89B4"/>
        </w:rPr>
      </w:pPr>
    </w:p>
    <w:p>
      <w:pPr>
        <w:ind w:left="440" w:hanging="324"/>
        <w:spacing w:after="0"/>
        <w:tabs>
          <w:tab w:leader="none" w:pos="440" w:val="left"/>
        </w:tabs>
        <w:numPr>
          <w:ilvl w:val="0"/>
          <w:numId w:val="84"/>
        </w:numPr>
        <w:rPr>
          <w:rFonts w:ascii="Arial" w:cs="Arial" w:eastAsia="Arial" w:hAnsi="Arial"/>
          <w:sz w:val="18"/>
          <w:szCs w:val="18"/>
          <w:color w:val="5D89B4"/>
        </w:rPr>
      </w:pPr>
      <w:r>
        <w:rPr>
          <w:rFonts w:ascii="Arial" w:cs="Arial" w:eastAsia="Arial" w:hAnsi="Arial"/>
          <w:sz w:val="18"/>
          <w:szCs w:val="18"/>
          <w:color w:val="auto"/>
        </w:rPr>
        <w:t>confirmation that there were no unrecorded material audit adjustments proposed by the independent auditors;</w:t>
      </w:r>
    </w:p>
    <w:p>
      <w:pPr>
        <w:spacing w:after="0" w:line="76" w:lineRule="exact"/>
        <w:rPr>
          <w:rFonts w:ascii="Arial" w:cs="Arial" w:eastAsia="Arial" w:hAnsi="Arial"/>
          <w:sz w:val="18"/>
          <w:szCs w:val="18"/>
          <w:color w:val="5D89B4"/>
        </w:rPr>
      </w:pPr>
    </w:p>
    <w:p>
      <w:pPr>
        <w:ind w:left="440" w:right="20" w:hanging="324"/>
        <w:spacing w:after="0" w:line="246" w:lineRule="auto"/>
        <w:tabs>
          <w:tab w:leader="none" w:pos="440" w:val="left"/>
        </w:tabs>
        <w:numPr>
          <w:ilvl w:val="0"/>
          <w:numId w:val="84"/>
        </w:numPr>
        <w:rPr>
          <w:rFonts w:ascii="Arial" w:cs="Arial" w:eastAsia="Arial" w:hAnsi="Arial"/>
          <w:sz w:val="18"/>
          <w:szCs w:val="18"/>
          <w:color w:val="5D89B4"/>
        </w:rPr>
      </w:pPr>
      <w:r>
        <w:rPr>
          <w:rFonts w:ascii="Arial" w:cs="Arial" w:eastAsia="Arial" w:hAnsi="Arial"/>
          <w:sz w:val="18"/>
          <w:szCs w:val="18"/>
          <w:color w:val="auto"/>
        </w:rPr>
        <w:t>confirmation that there were no matters of significant disagreement between management and the independent auditors arising during the audit;</w:t>
      </w:r>
    </w:p>
    <w:p>
      <w:pPr>
        <w:spacing w:after="0" w:line="61" w:lineRule="exact"/>
        <w:rPr>
          <w:rFonts w:ascii="Arial" w:cs="Arial" w:eastAsia="Arial" w:hAnsi="Arial"/>
          <w:sz w:val="18"/>
          <w:szCs w:val="18"/>
          <w:color w:val="5D89B4"/>
        </w:rPr>
      </w:pPr>
    </w:p>
    <w:p>
      <w:pPr>
        <w:ind w:left="440" w:right="840" w:hanging="324"/>
        <w:spacing w:after="0" w:line="246" w:lineRule="auto"/>
        <w:tabs>
          <w:tab w:leader="none" w:pos="440" w:val="left"/>
        </w:tabs>
        <w:numPr>
          <w:ilvl w:val="0"/>
          <w:numId w:val="84"/>
        </w:numPr>
        <w:rPr>
          <w:rFonts w:ascii="Arial" w:cs="Arial" w:eastAsia="Arial" w:hAnsi="Arial"/>
          <w:sz w:val="18"/>
          <w:szCs w:val="18"/>
          <w:color w:val="5D89B4"/>
        </w:rPr>
      </w:pPr>
      <w:r>
        <w:rPr>
          <w:rFonts w:ascii="Arial" w:cs="Arial" w:eastAsia="Arial" w:hAnsi="Arial"/>
          <w:sz w:val="18"/>
          <w:szCs w:val="18"/>
          <w:color w:val="auto"/>
        </w:rPr>
        <w:t>other matters required to be discussed by Public Company Accounting Oversight Board (“PCAOB”) Auditing Standard No. 1301 “Communications with Audit Committees;”</w:t>
      </w:r>
    </w:p>
    <w:p>
      <w:pPr>
        <w:spacing w:after="0" w:line="43" w:lineRule="exact"/>
        <w:rPr>
          <w:rFonts w:ascii="Arial" w:cs="Arial" w:eastAsia="Arial" w:hAnsi="Arial"/>
          <w:sz w:val="18"/>
          <w:szCs w:val="18"/>
          <w:color w:val="5D89B4"/>
        </w:rPr>
      </w:pPr>
    </w:p>
    <w:p>
      <w:pPr>
        <w:ind w:left="440" w:right="840" w:hanging="324"/>
        <w:spacing w:after="0" w:line="267" w:lineRule="auto"/>
        <w:tabs>
          <w:tab w:leader="none" w:pos="440" w:val="left"/>
        </w:tabs>
        <w:numPr>
          <w:ilvl w:val="0"/>
          <w:numId w:val="84"/>
        </w:numPr>
        <w:rPr>
          <w:rFonts w:ascii="Arial" w:cs="Arial" w:eastAsia="Arial" w:hAnsi="Arial"/>
          <w:sz w:val="18"/>
          <w:szCs w:val="18"/>
          <w:color w:val="5D89B4"/>
        </w:rPr>
      </w:pPr>
      <w:r>
        <w:rPr>
          <w:rFonts w:ascii="Arial" w:cs="Arial" w:eastAsia="Arial" w:hAnsi="Arial"/>
          <w:sz w:val="18"/>
          <w:szCs w:val="18"/>
          <w:color w:val="auto"/>
        </w:rPr>
        <w:t xml:space="preserve">other matters required to be discussed by PCAOB Ethics and Independence Rule 3526,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Concerning Independence; </w:t>
      </w:r>
      <w:r>
        <w:rPr>
          <w:rFonts w:ascii="Arial" w:cs="Arial" w:eastAsia="Arial" w:hAnsi="Arial"/>
          <w:sz w:val="18"/>
          <w:szCs w:val="18"/>
          <w:color w:val="auto"/>
        </w:rPr>
        <w:t>and</w:t>
      </w:r>
    </w:p>
    <w:p>
      <w:pPr>
        <w:spacing w:after="0" w:line="43" w:lineRule="exact"/>
        <w:rPr>
          <w:rFonts w:ascii="Arial" w:cs="Arial" w:eastAsia="Arial" w:hAnsi="Arial"/>
          <w:sz w:val="18"/>
          <w:szCs w:val="18"/>
          <w:color w:val="5D89B4"/>
        </w:rPr>
      </w:pPr>
    </w:p>
    <w:p>
      <w:pPr>
        <w:ind w:left="440" w:right="40" w:hanging="324"/>
        <w:spacing w:after="0"/>
        <w:tabs>
          <w:tab w:leader="none" w:pos="440" w:val="left"/>
        </w:tabs>
        <w:numPr>
          <w:ilvl w:val="0"/>
          <w:numId w:val="84"/>
        </w:numPr>
        <w:rPr>
          <w:rFonts w:ascii="Arial" w:cs="Arial" w:eastAsia="Arial" w:hAnsi="Arial"/>
          <w:sz w:val="18"/>
          <w:szCs w:val="18"/>
          <w:color w:val="5D89B4"/>
        </w:rPr>
      </w:pPr>
      <w:r>
        <w:rPr>
          <w:rFonts w:ascii="Arial" w:cs="Arial" w:eastAsia="Arial" w:hAnsi="Arial"/>
          <w:sz w:val="18"/>
          <w:szCs w:val="18"/>
          <w:color w:val="auto"/>
        </w:rPr>
        <w:t>matters relating to Section 404 of the Sarbanes-Oxley Act, including the management report on internal control over financial reporting for 2016 and the independent auditors’ report with respect to the effectiveness of our internal control over financial reporting and management’s assessment of the effectiveness of our internal control over financial reporting.</w:t>
      </w:r>
    </w:p>
    <w:p>
      <w:pPr>
        <w:spacing w:after="0" w:line="135" w:lineRule="exact"/>
        <w:rPr>
          <w:sz w:val="20"/>
          <w:szCs w:val="20"/>
          <w:color w:val="auto"/>
        </w:rPr>
      </w:pPr>
    </w:p>
    <w:p>
      <w:pPr>
        <w:ind w:right="800"/>
        <w:spacing w:after="0" w:line="246" w:lineRule="auto"/>
        <w:rPr>
          <w:sz w:val="20"/>
          <w:szCs w:val="20"/>
          <w:color w:val="auto"/>
        </w:rPr>
      </w:pPr>
      <w:r>
        <w:rPr>
          <w:rFonts w:ascii="Arial" w:cs="Arial" w:eastAsia="Arial" w:hAnsi="Arial"/>
          <w:sz w:val="18"/>
          <w:szCs w:val="18"/>
          <w:color w:val="auto"/>
        </w:rPr>
        <w:t>At this meeting, the audit committee met in separate private sessions with the independent auditors, the chairperson of our disclosure committee, the head of internal audit and management.</w:t>
      </w:r>
    </w:p>
    <w:p>
      <w:pPr>
        <w:spacing w:after="0" w:line="12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audit committee has reviewed the fees billed by Deloitte &amp; Touche LLP and related entities (“Deloitte”) to us with respect to 2016 and 2015, which consist of the following:</w:t>
      </w:r>
    </w:p>
    <w:p>
      <w:pPr>
        <w:spacing w:after="0" w:line="98" w:lineRule="exact"/>
        <w:rPr>
          <w:sz w:val="20"/>
          <w:szCs w:val="20"/>
          <w:color w:val="auto"/>
        </w:rPr>
      </w:pPr>
    </w:p>
    <w:p>
      <w:pPr>
        <w:jc w:val="both"/>
        <w:ind w:right="180"/>
        <w:spacing w:after="0" w:line="251"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 aggregate fees billed for professional services rendered by Deloitte for the audit of our financial statements and attestation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certification of our internal control over financial reporting as of and for the year ended December 31, 2015 and the review of the financial statements included in our Quarterly Reports on Form 10-Q for 2015 approved by the audit committee were $5,492,000.</w:t>
      </w:r>
    </w:p>
    <w:p>
      <w:pPr>
        <w:spacing w:after="0" w:line="125" w:lineRule="exact"/>
        <w:rPr>
          <w:sz w:val="20"/>
          <w:szCs w:val="20"/>
          <w:color w:val="auto"/>
        </w:rPr>
      </w:pPr>
    </w:p>
    <w:p>
      <w:pPr>
        <w:ind w:right="520"/>
        <w:spacing w:after="0"/>
        <w:rPr>
          <w:sz w:val="20"/>
          <w:szCs w:val="20"/>
          <w:color w:val="auto"/>
        </w:rPr>
      </w:pPr>
      <w:r>
        <w:rPr>
          <w:rFonts w:ascii="Arial" w:cs="Arial" w:eastAsia="Arial" w:hAnsi="Arial"/>
          <w:sz w:val="18"/>
          <w:szCs w:val="18"/>
          <w:color w:val="auto"/>
        </w:rPr>
        <w:t>The aggregate fees billed for professional services rendered by Deloitte for the audit of our financial statements and attestation of our certification of our internal control over financial reporting as of and for the year ended December 31, 2016 and the review of the financial statements included in our Quarterly Reports on Form 10-Q for 2016 approved by the audit committee were $5,910,000.</w:t>
      </w:r>
    </w:p>
    <w:p>
      <w:pPr>
        <w:spacing w:after="0" w:line="117"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 aggregate fees billed by Deloitte for audit-related services were $158,000 in 2015. These services consisted of</w:t>
      </w:r>
      <w:r>
        <w:rPr>
          <w:rFonts w:ascii="Arial" w:cs="Arial" w:eastAsia="Arial" w:hAnsi="Arial"/>
          <w:sz w:val="18"/>
          <w:szCs w:val="18"/>
          <w:i w:val="1"/>
          <w:iCs w:val="1"/>
          <w:color w:val="auto"/>
        </w:rPr>
        <w:t xml:space="preserve"> </w:t>
      </w:r>
      <w:r>
        <w:rPr>
          <w:rFonts w:ascii="Arial" w:cs="Arial" w:eastAsia="Arial" w:hAnsi="Arial"/>
          <w:sz w:val="18"/>
          <w:szCs w:val="18"/>
          <w:color w:val="auto"/>
        </w:rPr>
        <w:t>auditing billing procedures for one of our foreign subsidiary’s lines of business, issuing an audit report related to the statement of educational expenses for flex workers for one our subsidiaries, auditing an opening balance sheet for an acquisition and providing a comfort letter in connection with a debt offering.</w:t>
      </w:r>
    </w:p>
    <w:p>
      <w:pPr>
        <w:spacing w:after="0" w:line="118"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The aggregate fees billed by Deloitte for audit-related services were $64,150 in 2016. These services consisted of auditing billing procedures for one of our foreign subsidiaries’ lines of business, performing certain agreed upon procedures and certification fees.</w:t>
      </w:r>
    </w:p>
    <w:p>
      <w:pPr>
        <w:spacing w:after="0" w:line="111" w:lineRule="exact"/>
        <w:rPr>
          <w:sz w:val="20"/>
          <w:szCs w:val="20"/>
          <w:color w:val="auto"/>
        </w:rPr>
      </w:pPr>
    </w:p>
    <w:p>
      <w:pPr>
        <w:ind w:right="280"/>
        <w:spacing w:after="0" w:line="245"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The aggregate fees billed by Deloitte for tax services were $ 326,000 in 2015. These services consisted of assistance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preparation and review of certain international tax returns, consultation regarding appropriate handling of items on the U.S. and international tax returns, assistance with tax audits and examinations, advice related to VAT and wage tax matters, advice regarding tax issues relating to our reorganizations and a transfer pricing study.</w:t>
      </w:r>
    </w:p>
    <w:p>
      <w:pPr>
        <w:spacing w:after="0" w:line="132"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The aggregate fees billed by Deloitte for tax services were $338,800 in 2016. These services consisted of assistance in the preparation and review of certain international tax returns, consultation regarding appropriate handling of items on the U.S. and international tax returns, assistance with tax audits and examinations, advice related to VAT and wage tax matters, advice regarding tax issues relating to our reorganizations and transfer pricing studies.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There were no other fees and expenses billed by Deloitte to us in 2015 and 2016.</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81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Audit Committee Report</w:t>
      </w:r>
    </w:p>
    <w:p>
      <w:pPr>
        <w:spacing w:after="0" w:line="221"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i w:val="1"/>
          <w:iCs w:val="1"/>
          <w:color w:val="auto"/>
        </w:rPr>
        <w:t xml:space="preserve">Approval Procedures. </w:t>
      </w:r>
      <w:r>
        <w:rPr>
          <w:rFonts w:ascii="Arial" w:cs="Arial" w:eastAsia="Arial" w:hAnsi="Arial"/>
          <w:sz w:val="18"/>
          <w:szCs w:val="18"/>
          <w:color w:val="auto"/>
        </w:rPr>
        <w:t>We have a policy on services provided by the independent auditors that we review on an annual basis. The policy sets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forth the types of services that we may and may not engage our auditors to provide, the approval requirements for permitted services and related disclosure and reporting standards. A copy of the policy is available on our web site at </w:t>
      </w:r>
      <w:r>
        <w:rPr>
          <w:rFonts w:ascii="Arial" w:cs="Arial" w:eastAsia="Arial" w:hAnsi="Arial"/>
          <w:sz w:val="18"/>
          <w:szCs w:val="18"/>
          <w:u w:val="single" w:color="auto"/>
          <w:color w:val="auto"/>
        </w:rPr>
        <w:t>http://investor.manpowergroup.com/documents.cfm</w:t>
      </w:r>
      <w:r>
        <w:rPr>
          <w:rFonts w:ascii="Arial" w:cs="Arial" w:eastAsia="Arial" w:hAnsi="Arial"/>
          <w:sz w:val="18"/>
          <w:szCs w:val="18"/>
          <w:color w:val="auto"/>
        </w:rPr>
        <w:t>. Each of the services described under the headings “Audit-Related Fees” and “Tax Fees” was approved during 2015 and 2016 in accordance with the policy.</w:t>
      </w:r>
    </w:p>
    <w:p>
      <w:pPr>
        <w:spacing w:after="0" w:line="13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audit committee has also received the written disclosures and confirmation from Deloitte required by PCAOB Ethics and Independence Rule 3526 and discussed with Deloitte their independence. In particular, at each regular meeting during 2016 and at the meeting in February 2017 the audit committee reviewed and discussed the non-audit services provided by Deloitte to us that are described above. The audit committee has considered whether the provision of the non-audit services described above is compatible with the independence of Deloitte and satisfied itself as to the auditor’s independence. The audit committee believes that Deloitte has been objective and impartial in conducting the 2016 audit, and believes that the provision of these services has not adversely affected the integrity of our audit and financial reporting processes.</w:t>
      </w:r>
    </w:p>
    <w:p>
      <w:pPr>
        <w:spacing w:after="0" w:line="13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performing all of the functions described above, the audit committee acts only in an oversight capacity. The audit committee does not complete its reviews of the matters described above prior to our public announcements of financial results and, necessarily, in its oversight role, the audit committee relies on the work and assurances of our management, which has the primary responsibility for our financial statements and related reports and internal control over financial reporting, and of the independent auditors, who, in their report, express an opinion on the conformity of our annual financial statements to accounting principles generally accepted in the United States and on the effectiveness of our internal control over financial reporting.</w:t>
      </w:r>
    </w:p>
    <w:p>
      <w:pPr>
        <w:spacing w:after="0" w:line="124"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In reliance on these reviews and discussions, and the report of the independent auditors, the audit committee has recommended to the board of directors that the audited financial statements be included in our Annual Report on Form 10-K for the year ended December 31, 2016.</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D89B4"/>
        </w:rPr>
        <w:t>The Audit Committee</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Gina R. Boswell, Chair</w:t>
      </w:r>
    </w:p>
    <w:p>
      <w:pPr>
        <w:jc w:val="center"/>
        <w:ind w:right="-19"/>
        <w:spacing w:after="0" w:line="234" w:lineRule="auto"/>
        <w:rPr>
          <w:sz w:val="20"/>
          <w:szCs w:val="20"/>
          <w:color w:val="auto"/>
        </w:rPr>
      </w:pPr>
      <w:r>
        <w:rPr>
          <w:rFonts w:ascii="Arial" w:cs="Arial" w:eastAsia="Arial" w:hAnsi="Arial"/>
          <w:sz w:val="18"/>
          <w:szCs w:val="18"/>
          <w:color w:val="auto"/>
        </w:rPr>
        <w:t>John F. Ferraro</w:t>
      </w:r>
    </w:p>
    <w:p>
      <w:pPr>
        <w:jc w:val="center"/>
        <w:ind w:right="-19"/>
        <w:spacing w:after="0" w:line="235" w:lineRule="auto"/>
        <w:rPr>
          <w:sz w:val="20"/>
          <w:szCs w:val="20"/>
          <w:color w:val="auto"/>
        </w:rPr>
      </w:pPr>
      <w:r>
        <w:rPr>
          <w:rFonts w:ascii="Arial" w:cs="Arial" w:eastAsia="Arial" w:hAnsi="Arial"/>
          <w:sz w:val="18"/>
          <w:szCs w:val="18"/>
          <w:color w:val="auto"/>
        </w:rPr>
        <w:t>Patricia Hemingway Hall</w:t>
      </w:r>
    </w:p>
    <w:p>
      <w:pPr>
        <w:jc w:val="center"/>
        <w:ind w:right="-19"/>
        <w:spacing w:after="0" w:line="235" w:lineRule="auto"/>
        <w:rPr>
          <w:sz w:val="20"/>
          <w:szCs w:val="20"/>
          <w:color w:val="auto"/>
        </w:rPr>
      </w:pPr>
      <w:r>
        <w:rPr>
          <w:rFonts w:ascii="Arial" w:cs="Arial" w:eastAsia="Arial" w:hAnsi="Arial"/>
          <w:sz w:val="18"/>
          <w:szCs w:val="18"/>
          <w:color w:val="auto"/>
        </w:rPr>
        <w:t>Roberto Mendoza</w:t>
      </w:r>
    </w:p>
    <w:p>
      <w:pPr>
        <w:jc w:val="center"/>
        <w:ind w:right="-19"/>
        <w:spacing w:after="0" w:line="235" w:lineRule="auto"/>
        <w:rPr>
          <w:sz w:val="20"/>
          <w:szCs w:val="20"/>
          <w:color w:val="auto"/>
        </w:rPr>
      </w:pPr>
      <w:r>
        <w:rPr>
          <w:rFonts w:ascii="Arial" w:cs="Arial" w:eastAsia="Arial" w:hAnsi="Arial"/>
          <w:sz w:val="18"/>
          <w:szCs w:val="18"/>
          <w:color w:val="auto"/>
        </w:rPr>
        <w:t>Ulice Payne, Jr.</w:t>
      </w:r>
    </w:p>
    <w:p>
      <w:pPr>
        <w:jc w:val="center"/>
        <w:ind w:right="-19"/>
        <w:spacing w:after="0"/>
        <w:rPr>
          <w:sz w:val="20"/>
          <w:szCs w:val="20"/>
          <w:color w:val="auto"/>
        </w:rPr>
      </w:pPr>
      <w:r>
        <w:rPr>
          <w:rFonts w:ascii="Arial" w:cs="Arial" w:eastAsia="Arial" w:hAnsi="Arial"/>
          <w:sz w:val="18"/>
          <w:szCs w:val="18"/>
          <w:color w:val="auto"/>
        </w:rPr>
        <w:t>Paul Read</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82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8260"/>
        <w:spacing w:after="0"/>
        <w:rPr>
          <w:sz w:val="20"/>
          <w:szCs w:val="20"/>
          <w:color w:val="auto"/>
        </w:rPr>
      </w:pPr>
      <w:r>
        <w:rPr>
          <w:rFonts w:ascii="Arial" w:cs="Arial" w:eastAsia="Arial" w:hAnsi="Arial"/>
          <w:sz w:val="18"/>
          <w:szCs w:val="18"/>
          <w:color w:val="FFFFFF"/>
        </w:rPr>
        <w:t>2. Ratification of Independent Auditors</w:t>
      </w:r>
    </w:p>
    <w:p>
      <w:pPr>
        <w:spacing w:after="0" w:line="241" w:lineRule="exact"/>
        <w:rPr>
          <w:sz w:val="20"/>
          <w:szCs w:val="20"/>
          <w:color w:val="auto"/>
        </w:rPr>
      </w:pPr>
    </w:p>
    <w:p>
      <w:pPr>
        <w:spacing w:after="0"/>
        <w:rPr>
          <w:sz w:val="20"/>
          <w:szCs w:val="20"/>
          <w:color w:val="auto"/>
        </w:rPr>
      </w:pPr>
      <w:r>
        <w:rPr>
          <w:rFonts w:ascii="Arial" w:cs="Arial" w:eastAsia="Arial" w:hAnsi="Arial"/>
          <w:sz w:val="41"/>
          <w:szCs w:val="41"/>
          <w:color w:val="5D89B4"/>
        </w:rPr>
        <w:t>2. Ratification of Independent Auditors</w:t>
      </w:r>
    </w:p>
    <w:p>
      <w:pPr>
        <w:spacing w:after="0" w:line="10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audit committee of the board of directors has appointed Deloitte &amp; Touche LLP to audit our consolidated financial statements for the fiscal year ending December 31, 2017 and directed that such appointment be submitted to the shareholders for ratification. Deloitte &amp; Touche LLP has audited our consolidated financial statements since the fiscal year ended December 31, 2005. Representatives of Deloitte &amp; Touche LLP will be present at the annual meeting and have the opportunity to make a statement if they so desire, and will also be available to respond to appropriate questions.</w:t>
      </w:r>
    </w:p>
    <w:p>
      <w:pPr>
        <w:spacing w:after="0" w:line="135" w:lineRule="exact"/>
        <w:rPr>
          <w:sz w:val="20"/>
          <w:szCs w:val="20"/>
          <w:color w:val="auto"/>
        </w:rPr>
      </w:pPr>
    </w:p>
    <w:p>
      <w:pPr>
        <w:ind w:right="1040"/>
        <w:spacing w:after="0" w:line="246" w:lineRule="auto"/>
        <w:rPr>
          <w:sz w:val="20"/>
          <w:szCs w:val="20"/>
          <w:color w:val="auto"/>
        </w:rPr>
      </w:pPr>
      <w:r>
        <w:rPr>
          <w:rFonts w:ascii="Arial" w:cs="Arial" w:eastAsia="Arial" w:hAnsi="Arial"/>
          <w:sz w:val="18"/>
          <w:szCs w:val="18"/>
          <w:color w:val="auto"/>
        </w:rPr>
        <w:t>If the shareholders do not ratify the appointment of Deloitte &amp; Touche LLP, the audit committee will take such action into account in reconsidering the appointment of our independent auditors for the fiscal year ending December 31, 2017.</w:t>
      </w:r>
    </w:p>
    <w:p>
      <w:pPr>
        <w:spacing w:after="0" w:line="129"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affirmative vote of a majority of the votes cast on this proposal shall constitute ratification of Deloitte &amp; Touche LLP as our independent auditors for the fiscal year ending December 31, 2017. Abstentions and broker non-votes will not be counted as votes cast and, therefore, will have no impact on the approval of the proposal.</w:t>
      </w:r>
    </w:p>
    <w:p>
      <w:pPr>
        <w:spacing w:after="0" w:line="181" w:lineRule="exact"/>
        <w:rPr>
          <w:sz w:val="20"/>
          <w:szCs w:val="20"/>
          <w:color w:val="auto"/>
        </w:rPr>
      </w:pPr>
    </w:p>
    <w:p>
      <w:pPr>
        <w:ind w:left="1160" w:right="840"/>
        <w:spacing w:after="0" w:line="253" w:lineRule="auto"/>
        <w:rPr>
          <w:sz w:val="20"/>
          <w:szCs w:val="20"/>
          <w:color w:val="auto"/>
        </w:rPr>
      </w:pPr>
      <w:r>
        <w:rPr>
          <w:rFonts w:ascii="Arial" w:cs="Arial" w:eastAsia="Arial" w:hAnsi="Arial"/>
          <w:sz w:val="18"/>
          <w:szCs w:val="18"/>
          <w:color w:val="auto"/>
        </w:rPr>
        <w:t xml:space="preserve">The board of directors recommends you vote </w:t>
      </w:r>
      <w:r>
        <w:rPr>
          <w:rFonts w:ascii="Arial" w:cs="Arial" w:eastAsia="Arial" w:hAnsi="Arial"/>
          <w:sz w:val="18"/>
          <w:szCs w:val="18"/>
          <w:b w:val="1"/>
          <w:bCs w:val="1"/>
          <w:color w:val="5D89B4"/>
        </w:rPr>
        <w:t>FOR</w:t>
      </w:r>
      <w:r>
        <w:rPr>
          <w:rFonts w:ascii="Arial" w:cs="Arial" w:eastAsia="Arial" w:hAnsi="Arial"/>
          <w:sz w:val="18"/>
          <w:szCs w:val="18"/>
          <w:color w:val="auto"/>
        </w:rPr>
        <w:t xml:space="preserve"> the ratification of the appointment of Deloitte &amp; Touche LLP as our independent auditors for the fiscal year ending December 31, 2017, and your proxy will be so voted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-400685</wp:posOffset>
            </wp:positionV>
            <wp:extent cx="300355" cy="2832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00355" cy="283210"/>
                    </a:xfrm>
                    <a:prstGeom prst="rect">
                      <a:avLst/>
                    </a:prstGeom>
                    <a:noFill/>
                  </pic:spPr>
                </pic:pic>
              </a:graphicData>
            </a:graphic>
          </wp:anchor>
        </w:drawing>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83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3. Advisory Vote on Approval of the Compensation of Named Executive Officers</w:t>
      </w:r>
    </w:p>
    <w:p>
      <w:pPr>
        <w:spacing w:after="0" w:line="241" w:lineRule="exact"/>
        <w:rPr>
          <w:sz w:val="20"/>
          <w:szCs w:val="20"/>
          <w:color w:val="auto"/>
        </w:rPr>
      </w:pPr>
    </w:p>
    <w:p>
      <w:pPr>
        <w:ind w:right="280" w:firstLine="8"/>
        <w:spacing w:after="0" w:line="255" w:lineRule="auto"/>
        <w:tabs>
          <w:tab w:leader="none" w:pos="438" w:val="left"/>
        </w:tabs>
        <w:numPr>
          <w:ilvl w:val="0"/>
          <w:numId w:val="85"/>
        </w:numPr>
        <w:rPr>
          <w:rFonts w:ascii="Arial" w:cs="Arial" w:eastAsia="Arial" w:hAnsi="Arial"/>
          <w:sz w:val="41"/>
          <w:szCs w:val="41"/>
          <w:color w:val="5D89B4"/>
        </w:rPr>
      </w:pPr>
      <w:r>
        <w:rPr>
          <w:rFonts w:ascii="Arial" w:cs="Arial" w:eastAsia="Arial" w:hAnsi="Arial"/>
          <w:sz w:val="41"/>
          <w:szCs w:val="41"/>
          <w:color w:val="5D89B4"/>
        </w:rPr>
        <w:t>Advisory Vote on Approval of the Compensation of Named Executive Officers</w:t>
      </w:r>
    </w:p>
    <w:p>
      <w:pPr>
        <w:spacing w:after="0" w:line="15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Company seeks your advisory vote on our executive compensation program and asks that you support the compensation of our named executive officers as disclosed in the Compensation Discussion and Analysis section and the accompanying tables contained in this Proxy Statement. We are providing this vote as required pursuant to Section 14A of the Securities Exchange Act of 1934. We are asking shareholders to approve the following resolution regarding our executive compensation program:</w:t>
      </w:r>
    </w:p>
    <w:p>
      <w:pPr>
        <w:spacing w:after="0" w:line="112" w:lineRule="exact"/>
        <w:rPr>
          <w:sz w:val="20"/>
          <w:szCs w:val="20"/>
          <w:color w:val="auto"/>
        </w:rPr>
      </w:pPr>
    </w:p>
    <w:p>
      <w:pPr>
        <w:ind w:right="40"/>
        <w:spacing w:after="0" w:line="302" w:lineRule="auto"/>
        <w:rPr>
          <w:sz w:val="20"/>
          <w:szCs w:val="20"/>
          <w:color w:val="auto"/>
        </w:rPr>
      </w:pPr>
      <w:r>
        <w:rPr>
          <w:rFonts w:ascii="Arial" w:cs="Arial" w:eastAsia="Arial" w:hAnsi="Arial"/>
          <w:sz w:val="17"/>
          <w:szCs w:val="17"/>
          <w:b w:val="1"/>
          <w:bCs w:val="1"/>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84"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ManpowerGroup derives over 85% of its revenues from outside the United States, with the largest portions coming from the company’s operating segments in Southern Europe (38%), Northern Europe (26%) and Asia Pacific Middle East (13%). Our business is truly global in nature and complexity, with over 28,000 employees and over 600,000 associates connected with clients worldwide on any given day. Our worldwide network serves global, multinational and local companies in 80 countries and territories. We placed over 3 million people in jobs in 2016, and provided a broad range of workforce solutions including recruitment and assessment, training and development, career management, outsourcing and workforce consulting.</w:t>
      </w:r>
    </w:p>
    <w:p>
      <w:pPr>
        <w:spacing w:after="0" w:line="12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To be successful, ManpowerGroup needs senior executives who have the capability and experience to operate effectively in this environment. A guiding principle of the company’s compensation program is to provide pay opportunities to the executive officers that are competitive in attracting and retaining executives of this caliber. Other key objectives of the program are to align compensation to shareholder interests and, as an element of that objective, to pay for results and not pay for failure.</w:t>
      </w:r>
    </w:p>
    <w:p>
      <w:pPr>
        <w:spacing w:after="0" w:line="13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Compensation packages for the executive officers generally include, as short-term arrangements, a base salary and an annual incentive bonus, and for long-term focus and value accumulation, performance share units (PSUs), stock options and restricted stock units. The annual incentive is earned based on achievement of goals established at the beginning of each year. Likewise, PSUs represent a right to receive shares of company common stock based on achievement of goals established at the time the PSUs are granted. For both, award opportunities are established for achievement at threshold, target and outstanding levels.</w:t>
      </w:r>
    </w:p>
    <w:p>
      <w:pPr>
        <w:spacing w:after="0" w:line="135"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Company structures the compensation packages of the executive officers so that the overall outcomes at target fall generally within the median range of the competitive market. For the annual incentive and the PSU components of the package, award levels for achievement of the applicable goals generally are set at the median of the competitive market for target results and the 75th percentile for outstanding results. However, actual outcomes may vary among the executive officers due to experience and other individual factors. In addition, because of the cyclical nature of the Company’s business, actual outcomes may significantly exceed or fall short of this range after taking into account performance factors.</w:t>
      </w:r>
    </w:p>
    <w:p>
      <w:pPr>
        <w:spacing w:after="0" w:line="12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 noted above, a key objective of the compensation program is to align compensation to shareholder interests. The company’s compensation program addresses this objective on both a short-term basis and a long-term basis. Annual incentive awards are based on achievement of goals that are drivers of shareholder value and PSUs are earned based on operating profit margin percentage goals, an incentive that measures how efficiently our executive officers have deployed our operating resources to generate a profit. We believe using this metric drives a long-term focus on achieving sustainable profits. In addition, a substantial portion of the annual incentive award paid to the executive officers is based on achievement of earnings per share and return on invested capital for the year. Earnings per share focuses our executive officers on producing financial results that align with the interests of our shareholders, while return on invested capital incentivizes our executive officers to manage our accounts receivable and other capital investments carefully in order to maximize capital deployed</w:t>
      </w:r>
      <w:r>
        <w:rPr>
          <w:rFonts w:ascii="Arial" w:cs="Arial" w:eastAsia="Arial" w:hAnsi="Arial"/>
          <w:sz w:val="18"/>
          <w:szCs w:val="18"/>
          <w:b w:val="1"/>
          <w:bCs w:val="1"/>
          <w:color w:val="auto"/>
        </w:rPr>
        <w:t>.</w:t>
      </w:r>
    </w:p>
    <w:p>
      <w:pPr>
        <w:spacing w:after="0" w:line="141"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Both the short-term and long-term components of the compensation program reflect the objective that senior executives should be paid for results and not paid for failure. The executive officers’ base salaries generally are at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84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5000"/>
        <w:spacing w:after="0"/>
        <w:rPr>
          <w:sz w:val="20"/>
          <w:szCs w:val="20"/>
          <w:color w:val="auto"/>
        </w:rPr>
      </w:pPr>
      <w:r>
        <w:rPr>
          <w:rFonts w:ascii="Arial" w:cs="Arial" w:eastAsia="Arial" w:hAnsi="Arial"/>
          <w:sz w:val="18"/>
          <w:szCs w:val="18"/>
          <w:color w:val="FFFFFF"/>
        </w:rPr>
        <w:t>3. Advisory Vote on Approval of the Compensation of Named Executive Officers</w:t>
      </w:r>
    </w:p>
    <w:p>
      <w:pPr>
        <w:spacing w:after="0" w:line="23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or below market median with a significant component of the annual cash opportunity based on the level of attainment of performance goals for the year. If the actual results fall short of the goals, the award level is correspondingly reduced or eliminated. As for the long-term components of the compensation program, the ultimate value received by an executive, through stock appreciation, will of course depend directly on the performance of the company. In addition, a significant component of the long-term compensation package consists of performance share units which are earned only to the extent the company achieves a pre-established level of performance tied to a designated performance metric, in this instance operating profit margin percent.</w:t>
      </w:r>
    </w:p>
    <w:p>
      <w:pPr>
        <w:spacing w:after="0" w:line="138"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Approval of the company’s executive compensation policies and procedures requires that the number of votes cast in favor of the proposal exceeds the number of votes cast against it. Abstentions and broker non-votes will not be counted as votes cast. Because this shareholder vote is advisory, it will not be binding upon the Board of Directors. However, the executive compensation and human resources committee will take into account the outcome of the vote when considering future executive compensation arrangements.</w:t>
      </w:r>
    </w:p>
    <w:p>
      <w:pPr>
        <w:spacing w:after="0" w:line="193" w:lineRule="exact"/>
        <w:rPr>
          <w:sz w:val="20"/>
          <w:szCs w:val="20"/>
          <w:color w:val="auto"/>
        </w:rPr>
      </w:pPr>
    </w:p>
    <w:p>
      <w:pPr>
        <w:ind w:left="1160" w:right="560"/>
        <w:spacing w:after="0" w:line="271" w:lineRule="auto"/>
        <w:rPr>
          <w:sz w:val="20"/>
          <w:szCs w:val="20"/>
          <w:color w:val="auto"/>
        </w:rPr>
      </w:pPr>
      <w:r>
        <w:rPr>
          <w:rFonts w:ascii="Arial" w:cs="Arial" w:eastAsia="Arial" w:hAnsi="Arial"/>
          <w:sz w:val="18"/>
          <w:szCs w:val="18"/>
          <w:color w:val="auto"/>
        </w:rPr>
        <w:t xml:space="preserve">The board of directors recommends that you vote </w:t>
      </w:r>
      <w:r>
        <w:rPr>
          <w:rFonts w:ascii="Arial" w:cs="Arial" w:eastAsia="Arial" w:hAnsi="Arial"/>
          <w:sz w:val="18"/>
          <w:szCs w:val="18"/>
          <w:b w:val="1"/>
          <w:bCs w:val="1"/>
          <w:color w:val="5D89B4"/>
        </w:rPr>
        <w:t>FOR</w:t>
      </w:r>
      <w:r>
        <w:rPr>
          <w:rFonts w:ascii="Arial" w:cs="Arial" w:eastAsia="Arial" w:hAnsi="Arial"/>
          <w:sz w:val="18"/>
          <w:szCs w:val="18"/>
          <w:color w:val="auto"/>
        </w:rPr>
        <w:t xml:space="preserve"> the proposal to approve the compensation of our named executive officers, and your proxy will be so voted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-290195</wp:posOffset>
            </wp:positionV>
            <wp:extent cx="300355" cy="2832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00355" cy="283210"/>
                    </a:xfrm>
                    <a:prstGeom prst="rect">
                      <a:avLst/>
                    </a:prstGeom>
                    <a:noFill/>
                  </pic:spPr>
                </pic:pic>
              </a:graphicData>
            </a:graphic>
          </wp:anchor>
        </w:drawing>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85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4. Advisory Vote on the Frequency of the Advisory Vote on the Compensation of Our Named Executive Officers</w:t>
      </w:r>
    </w:p>
    <w:p>
      <w:pPr>
        <w:spacing w:after="0" w:line="241" w:lineRule="exact"/>
        <w:rPr>
          <w:sz w:val="20"/>
          <w:szCs w:val="20"/>
          <w:color w:val="auto"/>
        </w:rPr>
      </w:pPr>
    </w:p>
    <w:p>
      <w:pPr>
        <w:ind w:firstLine="8"/>
        <w:spacing w:after="0" w:line="255" w:lineRule="auto"/>
        <w:tabs>
          <w:tab w:leader="none" w:pos="438" w:val="left"/>
        </w:tabs>
        <w:numPr>
          <w:ilvl w:val="0"/>
          <w:numId w:val="86"/>
        </w:numPr>
        <w:rPr>
          <w:rFonts w:ascii="Arial" w:cs="Arial" w:eastAsia="Arial" w:hAnsi="Arial"/>
          <w:sz w:val="41"/>
          <w:szCs w:val="41"/>
          <w:color w:val="5D89B4"/>
        </w:rPr>
      </w:pPr>
      <w:r>
        <w:rPr>
          <w:rFonts w:ascii="Arial" w:cs="Arial" w:eastAsia="Arial" w:hAnsi="Arial"/>
          <w:sz w:val="41"/>
          <w:szCs w:val="41"/>
          <w:color w:val="5D89B4"/>
        </w:rPr>
        <w:t>Advisory Vote on the Frequency of the Advisory Vote on the Compensation of Our Named Executive Officers</w:t>
      </w:r>
    </w:p>
    <w:p>
      <w:pPr>
        <w:spacing w:after="0" w:line="15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Section 14A of the Securities Exchange Act of 1934 requires that we submit for an advisory shareholder vote the compensation paid to our named executive officers, as disclosed pursuant to Item 402 of Regulation S-K, including the Compensation Discussion and Analysis, compensation tables and narrative discussion (the “Advisory Compensation Proposal”). Section 14A of the Securities Exchange Act also requires that at least once every six years we submit for an advisory shareholder vote a proposal on the frequency of the Advisory Compensation Proposal (the “Frequency Proposal”). Accordingly, this Frequency Proposal provides shareholders with the opportunity to cast an advisory vote as to whether the vote on the Advisory Compensation Proposal should occur every one, two or three years, or to abstain from voting.</w:t>
      </w:r>
    </w:p>
    <w:p>
      <w:pPr>
        <w:spacing w:after="0" w:line="13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first Frequency Proposal was submitted at our 2011 annual meeting of shareholders. At that meeting, the largest number of shares cast were cast in favor of the vote on the Advisory Compensation Proposal occurring every year. We subsequently determined to hold the Advisory Compensation Proposal every year until we held the next vote on a Frequency Proposal.</w:t>
      </w:r>
    </w:p>
    <w:p>
      <w:pPr>
        <w:spacing w:after="0" w:line="13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Given our understanding of the positions of a significant number of our shareholders on this matter, the Board of Directors recommends a vote for the holding of votes on Advisory Compensation Proposals every year.</w:t>
      </w:r>
    </w:p>
    <w:p>
      <w:pPr>
        <w:spacing w:after="0" w:line="11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vote on this Frequency Proposal is a plurality vote. The company will consider shareholders to have expressed a non-binding preference for the frequency option that receives the largest number of favorable votes. Because this shareholder vote is advisory, it will not be binding upon the Board of Directors. However, the Board of Directors values the opinions expressed by our shareholders and will take into account the outcome of the vote when determining how often the vote on the Advisory Compensation Proposal will occur.</w:t>
      </w:r>
    </w:p>
    <w:p>
      <w:pPr>
        <w:spacing w:after="0" w:line="13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proxy card provides shareholders with four choices (every one, two or three years, or abstain). Shareholders are not voting to approve or disapprove the Board’s recommendation.</w:t>
      </w:r>
    </w:p>
    <w:p>
      <w:pPr>
        <w:spacing w:after="0" w:line="18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The board of directors recommends that you vote </w:t>
      </w:r>
      <w:r>
        <w:rPr>
          <w:rFonts w:ascii="Arial" w:cs="Arial" w:eastAsia="Arial" w:hAnsi="Arial"/>
          <w:sz w:val="18"/>
          <w:szCs w:val="18"/>
          <w:b w:val="1"/>
          <w:bCs w:val="1"/>
          <w:color w:val="5D89B4"/>
        </w:rPr>
        <w:t>FOR</w:t>
      </w:r>
      <w:r>
        <w:rPr>
          <w:rFonts w:ascii="Arial" w:cs="Arial" w:eastAsia="Arial" w:hAnsi="Arial"/>
          <w:sz w:val="18"/>
          <w:szCs w:val="18"/>
          <w:color w:val="auto"/>
        </w:rPr>
        <w:t xml:space="preserve"> the advisory shareholder vote on executive compensation to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-125095</wp:posOffset>
            </wp:positionV>
            <wp:extent cx="300355" cy="2832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00355" cy="28321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8"/>
          <w:szCs w:val="18"/>
          <w:b w:val="1"/>
          <w:bCs w:val="1"/>
          <w:u w:val="single" w:color="auto"/>
          <w:color w:val="5D89B4"/>
        </w:rPr>
        <w:t>EVERY YEAR</w:t>
      </w:r>
      <w:r>
        <w:rPr>
          <w:rFonts w:ascii="Arial" w:cs="Arial" w:eastAsia="Arial" w:hAnsi="Arial"/>
          <w:sz w:val="18"/>
          <w:szCs w:val="18"/>
          <w:color w:val="000000"/>
        </w:rPr>
        <w: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5D89B4"/>
        </w:rPr>
        <w:t xml:space="preserve">2017 Proxy Statement </w:t>
      </w:r>
      <w:r>
        <w:rPr>
          <w:rFonts w:ascii="Arial" w:cs="Arial" w:eastAsia="Arial" w:hAnsi="Arial"/>
          <w:sz w:val="21"/>
          <w:szCs w:val="21"/>
          <w:color w:val="5D89B4"/>
        </w:rPr>
        <w:t>|</w:t>
      </w:r>
      <w:r>
        <w:rPr>
          <w:rFonts w:ascii="Arial" w:cs="Arial" w:eastAsia="Arial" w:hAnsi="Arial"/>
          <w:sz w:val="16"/>
          <w:szCs w:val="16"/>
          <w:i w:val="1"/>
          <w:iCs w:val="1"/>
          <w:color w:val="5D89B4"/>
        </w:rPr>
        <w:t xml:space="preserve"> </w:t>
      </w:r>
      <w:r>
        <w:rPr>
          <w:rFonts w:ascii="Arial" w:cs="Arial" w:eastAsia="Arial" w:hAnsi="Arial"/>
          <w:sz w:val="16"/>
          <w:szCs w:val="16"/>
          <w:b w:val="1"/>
          <w:bCs w:val="1"/>
          <w:color w:val="5D89B4"/>
        </w:rPr>
        <w:t>86</w:t>
      </w:r>
    </w:p>
    <w:p>
      <w:pPr>
        <w:sectPr>
          <w:pgSz w:w="11900" w:h="16838" w:orient="portrait"/>
          <w:cols w:equalWidth="0" w:num="1">
            <w:col w:w="11360"/>
          </w:cols>
          <w:pgMar w:left="240" w:top="459" w:right="2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8300"/>
        <w:spacing w:after="0"/>
        <w:rPr>
          <w:sz w:val="20"/>
          <w:szCs w:val="20"/>
          <w:color w:val="auto"/>
        </w:rPr>
      </w:pPr>
      <w:r>
        <w:rPr>
          <w:rFonts w:ascii="Arial" w:cs="Arial" w:eastAsia="Arial" w:hAnsi="Arial"/>
          <w:sz w:val="18"/>
          <w:szCs w:val="18"/>
          <w:color w:val="FFFFFF"/>
        </w:rPr>
        <w:t>Submission of Shareholder Proposals</w:t>
      </w:r>
    </w:p>
    <w:p>
      <w:pPr>
        <w:spacing w:after="0" w:line="241" w:lineRule="exact"/>
        <w:rPr>
          <w:sz w:val="20"/>
          <w:szCs w:val="20"/>
          <w:color w:val="auto"/>
        </w:rPr>
      </w:pPr>
    </w:p>
    <w:p>
      <w:pPr>
        <w:spacing w:after="0"/>
        <w:rPr>
          <w:sz w:val="20"/>
          <w:szCs w:val="20"/>
          <w:color w:val="auto"/>
        </w:rPr>
      </w:pPr>
      <w:r>
        <w:rPr>
          <w:rFonts w:ascii="Arial" w:cs="Arial" w:eastAsia="Arial" w:hAnsi="Arial"/>
          <w:sz w:val="41"/>
          <w:szCs w:val="41"/>
          <w:color w:val="5D89B4"/>
        </w:rPr>
        <w:t>Submission of Shareholder Proposals</w:t>
      </w:r>
    </w:p>
    <w:p>
      <w:pPr>
        <w:spacing w:after="0" w:line="21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accordance with our bylaws, nominations, other than by or at the direction of the board of directors, of candidates for election as directors at the 2018 Annual Meeting of Shareholders must be received by us no earlier than December 4, 2017 and no later than February 1, 2018, and any other shareholder proposed business to be brought before the 2018 annual meeting of shareholders must be received by us no later than February 1, 2018. Unlike shareholder proposals properly made under Rule 14a-8 of the Securities Exchange Act of 1934, we are not required to include such nominations and other shareholder proposed business in the proxy statement solicited by the board of directors. To be considered for inclusion in the proxy statement solicited by the board of directors, shareholder proposals under Rule 14a-8 for consideration at the 2018 annual meeting of shareholders must be received by us at our principal executive offices by November 4, 2017. Such nominations or proposals must be submitted to Richard Buchband, Secretary, ManpowerGroup Inc., 100 Manpower Place, Milwaukee, Wisconsin 53212. To avoid disputes as to the date of receipt, it is suggested that any shareholder proposal be submitted by certified mail, return receipt requested.</w:t>
      </w:r>
    </w:p>
    <w:p>
      <w:pPr>
        <w:spacing w:after="0" w:line="318" w:lineRule="exact"/>
        <w:rPr>
          <w:sz w:val="20"/>
          <w:szCs w:val="20"/>
          <w:color w:val="auto"/>
        </w:rPr>
      </w:pPr>
    </w:p>
    <w:p>
      <w:pPr>
        <w:spacing w:after="0"/>
        <w:rPr>
          <w:sz w:val="20"/>
          <w:szCs w:val="20"/>
          <w:color w:val="auto"/>
        </w:rPr>
      </w:pPr>
      <w:r>
        <w:rPr>
          <w:rFonts w:ascii="Arial" w:cs="Arial" w:eastAsia="Arial" w:hAnsi="Arial"/>
          <w:sz w:val="41"/>
          <w:szCs w:val="41"/>
          <w:color w:val="5D89B4"/>
        </w:rPr>
        <w:t>Section 16(a) Beneficial Ownership Reporting Compliance</w:t>
      </w:r>
    </w:p>
    <w:p>
      <w:pPr>
        <w:spacing w:after="0" w:line="21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Section 16(a) of the Securities Exchange Act of 1934 requires our directors and officers to file reports with the Securities and Exchange Commission disclosing their ownership, and changes in their ownership, of our common stock. Copies of these reports must also be furnished to us. Based solely on a review of these copies, we believe that during 2016 all filing requirements were met.</w:t>
      </w:r>
    </w:p>
    <w:p>
      <w:pPr>
        <w:spacing w:after="0" w:line="313" w:lineRule="exact"/>
        <w:rPr>
          <w:sz w:val="20"/>
          <w:szCs w:val="20"/>
          <w:color w:val="auto"/>
        </w:rPr>
      </w:pPr>
    </w:p>
    <w:p>
      <w:pPr>
        <w:spacing w:after="0"/>
        <w:rPr>
          <w:sz w:val="20"/>
          <w:szCs w:val="20"/>
          <w:color w:val="auto"/>
        </w:rPr>
      </w:pPr>
      <w:r>
        <w:rPr>
          <w:rFonts w:ascii="Arial" w:cs="Arial" w:eastAsia="Arial" w:hAnsi="Arial"/>
          <w:sz w:val="41"/>
          <w:szCs w:val="41"/>
          <w:color w:val="5D89B4"/>
        </w:rPr>
        <w:t>Other Voting Information</w:t>
      </w:r>
    </w:p>
    <w:p>
      <w:pPr>
        <w:spacing w:after="0" w:line="21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Shareholders may vote over the Internet, by telephone or by completing a traditional proxy card. Votes submitted electronically over the Internet or by telephone must be received by 11:59 p.m., Eastern Time, on May 1, 2017. To vote over the Internet or by telephone, please refer to the instructions on the accompanying proxy card.</w:t>
      </w:r>
    </w:p>
    <w:p>
      <w:pPr>
        <w:spacing w:after="0" w:line="9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Internet and telephone voting procedures are designed to authenticate shareholder identities, to allow shareholders to give their voting instructions and to confirm that shareholders’ instructions have been recorded properly. Shareholders voting via the Internet should understand that there may be costs associated with electronic access, such as usage charges from Internet access providers and telephone companies that must be borne by the shareholder.</w:t>
      </w:r>
    </w:p>
    <w:p>
      <w:pPr>
        <w:spacing w:after="0" w:line="312" w:lineRule="exact"/>
        <w:rPr>
          <w:sz w:val="20"/>
          <w:szCs w:val="20"/>
          <w:color w:val="auto"/>
        </w:rPr>
      </w:pPr>
    </w:p>
    <w:p>
      <w:pPr>
        <w:spacing w:after="0"/>
        <w:rPr>
          <w:sz w:val="20"/>
          <w:szCs w:val="20"/>
          <w:color w:val="auto"/>
        </w:rPr>
      </w:pPr>
      <w:r>
        <w:rPr>
          <w:rFonts w:ascii="Arial" w:cs="Arial" w:eastAsia="Arial" w:hAnsi="Arial"/>
          <w:sz w:val="41"/>
          <w:szCs w:val="41"/>
          <w:color w:val="5D89B4"/>
        </w:rPr>
        <w:t>Other Matters</w:t>
      </w:r>
    </w:p>
    <w:p>
      <w:pPr>
        <w:spacing w:after="0" w:line="215"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Although management is not aware of any other matters that may come before the annual meeting, if any such matters should be presented, the persons named in the accompanying proxy intend to vote such proxy as recommended by the board of directors or, if no such recommendation is given, in their discretion.</w:t>
      </w:r>
    </w:p>
    <w:p>
      <w:pPr>
        <w:spacing w:after="0" w:line="135"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 xml:space="preserve">Shareholders may obtain a copy of our annual report on Form 10-K at no cost by requesting a copy on our Internet web site at </w:t>
      </w:r>
      <w:r>
        <w:rPr>
          <w:rFonts w:ascii="Arial" w:cs="Arial" w:eastAsia="Arial" w:hAnsi="Arial"/>
          <w:sz w:val="18"/>
          <w:szCs w:val="18"/>
          <w:u w:val="single" w:color="auto"/>
          <w:color w:val="auto"/>
        </w:rPr>
        <w:t>http://investor.manpowergroup.com/investorkit.cfm</w:t>
      </w:r>
      <w:r>
        <w:rPr>
          <w:rFonts w:ascii="Arial" w:cs="Arial" w:eastAsia="Arial" w:hAnsi="Arial"/>
          <w:sz w:val="18"/>
          <w:szCs w:val="18"/>
          <w:color w:val="auto"/>
        </w:rPr>
        <w:t xml:space="preserve"> or by writing to Richard Buchband, Secretary, ManpowerGroup Inc., 100 Manpower Place, Milwaukee, Wisconsin 53212.</w:t>
      </w:r>
    </w:p>
    <w:p>
      <w:pPr>
        <w:spacing w:after="0" w:line="13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194"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Richard Buchband, Secretary</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 xml:space="preserve">87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180"/>
        <w:spacing w:after="0"/>
        <w:rPr>
          <w:sz w:val="20"/>
          <w:szCs w:val="20"/>
          <w:color w:val="auto"/>
        </w:rPr>
      </w:pPr>
      <w:r>
        <w:rPr>
          <w:rFonts w:ascii="Arial" w:cs="Arial" w:eastAsia="Arial" w:hAnsi="Arial"/>
          <w:sz w:val="18"/>
          <w:szCs w:val="18"/>
          <w:color w:val="FFFFFF"/>
        </w:rPr>
        <w:t>Appendix A-1</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A-1</w:t>
      </w:r>
    </w:p>
    <w:p>
      <w:pPr>
        <w:spacing w:after="0" w:line="186" w:lineRule="exact"/>
        <w:rPr>
          <w:sz w:val="20"/>
          <w:szCs w:val="20"/>
          <w:color w:val="auto"/>
        </w:rPr>
      </w:pPr>
    </w:p>
    <w:p>
      <w:pPr>
        <w:spacing w:after="0"/>
        <w:rPr>
          <w:sz w:val="20"/>
          <w:szCs w:val="20"/>
          <w:color w:val="auto"/>
        </w:rPr>
      </w:pPr>
      <w:r>
        <w:rPr>
          <w:rFonts w:ascii="Arial" w:cs="Arial" w:eastAsia="Arial" w:hAnsi="Arial"/>
          <w:sz w:val="41"/>
          <w:szCs w:val="41"/>
          <w:b w:val="1"/>
          <w:bCs w:val="1"/>
          <w:color w:val="5D89B4"/>
        </w:rPr>
        <w:t>Core Research Peer Group Companies</w:t>
      </w:r>
    </w:p>
    <w:p>
      <w:pPr>
        <w:sectPr>
          <w:pgSz w:w="11900" w:h="16838" w:orient="portrait"/>
          <w:cols w:equalWidth="0" w:num="1">
            <w:col w:w="11420"/>
          </w:cols>
          <w:pgMar w:left="240" w:top="459" w:right="239" w:bottom="1440" w:gutter="0" w:footer="0" w:header="0"/>
        </w:sect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3M</w:t>
      </w:r>
    </w:p>
    <w:p>
      <w:pPr>
        <w:spacing w:after="0" w:line="234" w:lineRule="auto"/>
        <w:rPr>
          <w:sz w:val="20"/>
          <w:szCs w:val="20"/>
          <w:color w:val="auto"/>
        </w:rPr>
      </w:pPr>
      <w:r>
        <w:rPr>
          <w:rFonts w:ascii="Arial" w:cs="Arial" w:eastAsia="Arial" w:hAnsi="Arial"/>
          <w:sz w:val="18"/>
          <w:szCs w:val="18"/>
          <w:color w:val="auto"/>
        </w:rPr>
        <w:t>Abbott Laboratories</w:t>
      </w:r>
    </w:p>
    <w:p>
      <w:pPr>
        <w:spacing w:after="0" w:line="235" w:lineRule="auto"/>
        <w:rPr>
          <w:sz w:val="20"/>
          <w:szCs w:val="20"/>
          <w:color w:val="auto"/>
        </w:rPr>
      </w:pPr>
      <w:r>
        <w:rPr>
          <w:rFonts w:ascii="Arial" w:cs="Arial" w:eastAsia="Arial" w:hAnsi="Arial"/>
          <w:sz w:val="18"/>
          <w:szCs w:val="18"/>
          <w:color w:val="auto"/>
        </w:rPr>
        <w:t>AbbVie</w:t>
      </w:r>
    </w:p>
    <w:p>
      <w:pPr>
        <w:spacing w:after="0" w:line="235" w:lineRule="auto"/>
        <w:rPr>
          <w:sz w:val="20"/>
          <w:szCs w:val="20"/>
          <w:color w:val="auto"/>
        </w:rPr>
      </w:pPr>
      <w:r>
        <w:rPr>
          <w:rFonts w:ascii="Arial" w:cs="Arial" w:eastAsia="Arial" w:hAnsi="Arial"/>
          <w:sz w:val="18"/>
          <w:szCs w:val="18"/>
          <w:color w:val="auto"/>
        </w:rPr>
        <w:t>Accenture plc</w:t>
      </w:r>
    </w:p>
    <w:p>
      <w:pPr>
        <w:spacing w:after="0" w:line="235" w:lineRule="auto"/>
        <w:rPr>
          <w:sz w:val="20"/>
          <w:szCs w:val="20"/>
          <w:color w:val="auto"/>
        </w:rPr>
      </w:pPr>
      <w:r>
        <w:rPr>
          <w:rFonts w:ascii="Arial" w:cs="Arial" w:eastAsia="Arial" w:hAnsi="Arial"/>
          <w:sz w:val="18"/>
          <w:szCs w:val="18"/>
          <w:color w:val="auto"/>
        </w:rPr>
        <w:t>Alcoa Inc.</w:t>
      </w:r>
    </w:p>
    <w:p>
      <w:pPr>
        <w:spacing w:after="0" w:line="235" w:lineRule="auto"/>
        <w:rPr>
          <w:sz w:val="20"/>
          <w:szCs w:val="20"/>
          <w:color w:val="auto"/>
        </w:rPr>
      </w:pPr>
      <w:r>
        <w:rPr>
          <w:rFonts w:ascii="Arial" w:cs="Arial" w:eastAsia="Arial" w:hAnsi="Arial"/>
          <w:sz w:val="18"/>
          <w:szCs w:val="18"/>
          <w:color w:val="auto"/>
        </w:rPr>
        <w:t>Altria Group Inc.</w:t>
      </w:r>
    </w:p>
    <w:p>
      <w:pPr>
        <w:spacing w:after="0" w:line="235" w:lineRule="auto"/>
        <w:rPr>
          <w:sz w:val="20"/>
          <w:szCs w:val="20"/>
          <w:color w:val="auto"/>
        </w:rPr>
      </w:pPr>
      <w:r>
        <w:rPr>
          <w:rFonts w:ascii="Arial" w:cs="Arial" w:eastAsia="Arial" w:hAnsi="Arial"/>
          <w:sz w:val="18"/>
          <w:szCs w:val="18"/>
          <w:color w:val="auto"/>
        </w:rPr>
        <w:t>American Airlines Group</w:t>
      </w:r>
    </w:p>
    <w:p>
      <w:pPr>
        <w:spacing w:after="0" w:line="235" w:lineRule="auto"/>
        <w:rPr>
          <w:sz w:val="20"/>
          <w:szCs w:val="20"/>
          <w:color w:val="auto"/>
        </w:rPr>
      </w:pPr>
      <w:r>
        <w:rPr>
          <w:rFonts w:ascii="Arial" w:cs="Arial" w:eastAsia="Arial" w:hAnsi="Arial"/>
          <w:sz w:val="18"/>
          <w:szCs w:val="18"/>
          <w:color w:val="auto"/>
        </w:rPr>
        <w:t>Amgen Inc.</w:t>
      </w:r>
    </w:p>
    <w:p>
      <w:pPr>
        <w:spacing w:after="0" w:line="235" w:lineRule="auto"/>
        <w:rPr>
          <w:sz w:val="20"/>
          <w:szCs w:val="20"/>
          <w:color w:val="auto"/>
        </w:rPr>
      </w:pPr>
      <w:r>
        <w:rPr>
          <w:rFonts w:ascii="Arial" w:cs="Arial" w:eastAsia="Arial" w:hAnsi="Arial"/>
          <w:sz w:val="18"/>
          <w:szCs w:val="18"/>
          <w:color w:val="auto"/>
        </w:rPr>
        <w:t>Anadarko Petroleum Corp</w:t>
      </w:r>
    </w:p>
    <w:p>
      <w:pPr>
        <w:spacing w:after="0" w:line="235" w:lineRule="auto"/>
        <w:rPr>
          <w:sz w:val="20"/>
          <w:szCs w:val="20"/>
          <w:color w:val="auto"/>
        </w:rPr>
      </w:pPr>
      <w:r>
        <w:rPr>
          <w:rFonts w:ascii="Arial" w:cs="Arial" w:eastAsia="Arial" w:hAnsi="Arial"/>
          <w:sz w:val="18"/>
          <w:szCs w:val="18"/>
          <w:color w:val="auto"/>
        </w:rPr>
        <w:t>Apache Corporation</w:t>
      </w:r>
    </w:p>
    <w:p>
      <w:pPr>
        <w:spacing w:after="0" w:line="234" w:lineRule="auto"/>
        <w:rPr>
          <w:sz w:val="20"/>
          <w:szCs w:val="20"/>
          <w:color w:val="auto"/>
        </w:rPr>
      </w:pPr>
      <w:r>
        <w:rPr>
          <w:rFonts w:ascii="Arial" w:cs="Arial" w:eastAsia="Arial" w:hAnsi="Arial"/>
          <w:sz w:val="18"/>
          <w:szCs w:val="18"/>
          <w:color w:val="auto"/>
        </w:rPr>
        <w:t>AutoNation Inc.</w:t>
      </w:r>
    </w:p>
    <w:p>
      <w:pPr>
        <w:spacing w:after="0" w:line="235" w:lineRule="auto"/>
        <w:rPr>
          <w:sz w:val="20"/>
          <w:szCs w:val="20"/>
          <w:color w:val="auto"/>
        </w:rPr>
      </w:pPr>
      <w:r>
        <w:rPr>
          <w:rFonts w:ascii="Arial" w:cs="Arial" w:eastAsia="Arial" w:hAnsi="Arial"/>
          <w:sz w:val="18"/>
          <w:szCs w:val="18"/>
          <w:color w:val="auto"/>
        </w:rPr>
        <w:t>Baker Hughes Inc.</w:t>
      </w:r>
    </w:p>
    <w:p>
      <w:pPr>
        <w:spacing w:after="0" w:line="235" w:lineRule="auto"/>
        <w:rPr>
          <w:sz w:val="20"/>
          <w:szCs w:val="20"/>
          <w:color w:val="auto"/>
        </w:rPr>
      </w:pPr>
      <w:r>
        <w:rPr>
          <w:rFonts w:ascii="Arial" w:cs="Arial" w:eastAsia="Arial" w:hAnsi="Arial"/>
          <w:sz w:val="18"/>
          <w:szCs w:val="18"/>
          <w:color w:val="auto"/>
        </w:rPr>
        <w:t>Bristol-Myers Squibb</w:t>
      </w:r>
    </w:p>
    <w:p>
      <w:pPr>
        <w:spacing w:after="0" w:line="235" w:lineRule="auto"/>
        <w:rPr>
          <w:sz w:val="20"/>
          <w:szCs w:val="20"/>
          <w:color w:val="auto"/>
        </w:rPr>
      </w:pPr>
      <w:r>
        <w:rPr>
          <w:rFonts w:ascii="Arial" w:cs="Arial" w:eastAsia="Arial" w:hAnsi="Arial"/>
          <w:sz w:val="18"/>
          <w:szCs w:val="18"/>
          <w:color w:val="auto"/>
        </w:rPr>
        <w:t>Carnival Corp</w:t>
      </w:r>
    </w:p>
    <w:p>
      <w:pPr>
        <w:spacing w:after="0" w:line="235" w:lineRule="auto"/>
        <w:rPr>
          <w:sz w:val="20"/>
          <w:szCs w:val="20"/>
          <w:color w:val="auto"/>
        </w:rPr>
      </w:pPr>
      <w:r>
        <w:rPr>
          <w:rFonts w:ascii="Arial" w:cs="Arial" w:eastAsia="Arial" w:hAnsi="Arial"/>
          <w:sz w:val="18"/>
          <w:szCs w:val="18"/>
          <w:color w:val="auto"/>
        </w:rPr>
        <w:t>CenturyLink Inc.</w:t>
      </w:r>
    </w:p>
    <w:p>
      <w:pPr>
        <w:spacing w:after="0" w:line="235" w:lineRule="auto"/>
        <w:rPr>
          <w:sz w:val="20"/>
          <w:szCs w:val="20"/>
          <w:color w:val="auto"/>
        </w:rPr>
      </w:pPr>
      <w:r>
        <w:rPr>
          <w:rFonts w:ascii="Arial" w:cs="Arial" w:eastAsia="Arial" w:hAnsi="Arial"/>
          <w:sz w:val="18"/>
          <w:szCs w:val="18"/>
          <w:color w:val="auto"/>
        </w:rPr>
        <w:t>Chesapeake Energy</w:t>
      </w:r>
    </w:p>
    <w:p>
      <w:pPr>
        <w:spacing w:after="0" w:line="235" w:lineRule="auto"/>
        <w:rPr>
          <w:sz w:val="20"/>
          <w:szCs w:val="20"/>
          <w:color w:val="auto"/>
        </w:rPr>
      </w:pPr>
      <w:r>
        <w:rPr>
          <w:rFonts w:ascii="Arial" w:cs="Arial" w:eastAsia="Arial" w:hAnsi="Arial"/>
          <w:sz w:val="18"/>
          <w:szCs w:val="18"/>
          <w:color w:val="auto"/>
        </w:rPr>
        <w:t>CIGNA Corp.</w:t>
      </w:r>
    </w:p>
    <w:p>
      <w:pPr>
        <w:spacing w:after="0" w:line="235" w:lineRule="auto"/>
        <w:rPr>
          <w:sz w:val="20"/>
          <w:szCs w:val="20"/>
          <w:color w:val="auto"/>
        </w:rPr>
      </w:pPr>
      <w:r>
        <w:rPr>
          <w:rFonts w:ascii="Arial" w:cs="Arial" w:eastAsia="Arial" w:hAnsi="Arial"/>
          <w:sz w:val="18"/>
          <w:szCs w:val="18"/>
          <w:color w:val="auto"/>
        </w:rPr>
        <w:t>Colgate-Palmolive Co.</w:t>
      </w:r>
    </w:p>
    <w:p>
      <w:pPr>
        <w:spacing w:after="0" w:line="235" w:lineRule="auto"/>
        <w:rPr>
          <w:sz w:val="20"/>
          <w:szCs w:val="20"/>
          <w:color w:val="auto"/>
        </w:rPr>
      </w:pPr>
      <w:r>
        <w:rPr>
          <w:rFonts w:ascii="Arial" w:cs="Arial" w:eastAsia="Arial" w:hAnsi="Arial"/>
          <w:sz w:val="18"/>
          <w:szCs w:val="18"/>
          <w:color w:val="auto"/>
        </w:rPr>
        <w:t>ConAgra Foods Inc.</w:t>
      </w:r>
    </w:p>
    <w:p>
      <w:pPr>
        <w:spacing w:after="0" w:line="234" w:lineRule="auto"/>
        <w:rPr>
          <w:sz w:val="20"/>
          <w:szCs w:val="20"/>
          <w:color w:val="auto"/>
        </w:rPr>
      </w:pPr>
      <w:r>
        <w:rPr>
          <w:rFonts w:ascii="Arial" w:cs="Arial" w:eastAsia="Arial" w:hAnsi="Arial"/>
          <w:sz w:val="18"/>
          <w:szCs w:val="18"/>
          <w:color w:val="auto"/>
        </w:rPr>
        <w:t>Cummins Inc.</w:t>
      </w:r>
    </w:p>
    <w:p>
      <w:pPr>
        <w:spacing w:after="0" w:line="235" w:lineRule="auto"/>
        <w:rPr>
          <w:sz w:val="20"/>
          <w:szCs w:val="20"/>
          <w:color w:val="auto"/>
        </w:rPr>
      </w:pPr>
      <w:r>
        <w:rPr>
          <w:rFonts w:ascii="Arial" w:cs="Arial" w:eastAsia="Arial" w:hAnsi="Arial"/>
          <w:sz w:val="18"/>
          <w:szCs w:val="18"/>
          <w:color w:val="auto"/>
        </w:rPr>
        <w:t>Danaher Corp.</w:t>
      </w:r>
    </w:p>
    <w:p>
      <w:pPr>
        <w:spacing w:after="0" w:line="235" w:lineRule="auto"/>
        <w:rPr>
          <w:sz w:val="20"/>
          <w:szCs w:val="20"/>
          <w:color w:val="auto"/>
        </w:rPr>
      </w:pPr>
      <w:r>
        <w:rPr>
          <w:rFonts w:ascii="Arial" w:cs="Arial" w:eastAsia="Arial" w:hAnsi="Arial"/>
          <w:sz w:val="18"/>
          <w:szCs w:val="18"/>
          <w:color w:val="auto"/>
        </w:rPr>
        <w:t>Deere &amp; Co.</w:t>
      </w:r>
    </w:p>
    <w:p>
      <w:pPr>
        <w:spacing w:after="0" w:line="235" w:lineRule="auto"/>
        <w:rPr>
          <w:sz w:val="20"/>
          <w:szCs w:val="20"/>
          <w:color w:val="auto"/>
        </w:rPr>
      </w:pPr>
      <w:r>
        <w:rPr>
          <w:rFonts w:ascii="Arial" w:cs="Arial" w:eastAsia="Arial" w:hAnsi="Arial"/>
          <w:sz w:val="18"/>
          <w:szCs w:val="18"/>
          <w:color w:val="auto"/>
        </w:rPr>
        <w:t>Delphi Automotive</w:t>
      </w:r>
    </w:p>
    <w:p>
      <w:pPr>
        <w:spacing w:after="0" w:line="235" w:lineRule="auto"/>
        <w:rPr>
          <w:sz w:val="20"/>
          <w:szCs w:val="20"/>
          <w:color w:val="auto"/>
        </w:rPr>
      </w:pPr>
      <w:r>
        <w:rPr>
          <w:rFonts w:ascii="Arial" w:cs="Arial" w:eastAsia="Arial" w:hAnsi="Arial"/>
          <w:sz w:val="18"/>
          <w:szCs w:val="18"/>
          <w:color w:val="auto"/>
        </w:rPr>
        <w:t>Delta Air Lines</w:t>
      </w:r>
    </w:p>
    <w:p>
      <w:pPr>
        <w:spacing w:after="0" w:line="235" w:lineRule="auto"/>
        <w:rPr>
          <w:sz w:val="20"/>
          <w:szCs w:val="20"/>
          <w:color w:val="auto"/>
        </w:rPr>
      </w:pPr>
      <w:r>
        <w:rPr>
          <w:rFonts w:ascii="Arial" w:cs="Arial" w:eastAsia="Arial" w:hAnsi="Arial"/>
          <w:sz w:val="18"/>
          <w:szCs w:val="18"/>
          <w:color w:val="auto"/>
        </w:rPr>
        <w:t>Devon Energy Corp.</w:t>
      </w:r>
    </w:p>
    <w:p>
      <w:pPr>
        <w:spacing w:after="0" w:line="235" w:lineRule="auto"/>
        <w:rPr>
          <w:sz w:val="20"/>
          <w:szCs w:val="20"/>
          <w:color w:val="auto"/>
        </w:rPr>
      </w:pPr>
      <w:r>
        <w:rPr>
          <w:rFonts w:ascii="Arial" w:cs="Arial" w:eastAsia="Arial" w:hAnsi="Arial"/>
          <w:sz w:val="18"/>
          <w:szCs w:val="18"/>
          <w:color w:val="auto"/>
        </w:rPr>
        <w:t>DirecTV</w:t>
      </w:r>
    </w:p>
    <w:p>
      <w:pPr>
        <w:spacing w:after="0" w:line="235" w:lineRule="auto"/>
        <w:rPr>
          <w:sz w:val="20"/>
          <w:szCs w:val="20"/>
          <w:color w:val="auto"/>
        </w:rPr>
      </w:pPr>
      <w:r>
        <w:rPr>
          <w:rFonts w:ascii="Arial" w:cs="Arial" w:eastAsia="Arial" w:hAnsi="Arial"/>
          <w:sz w:val="18"/>
          <w:szCs w:val="18"/>
          <w:color w:val="auto"/>
        </w:rPr>
        <w:t>Dollar General</w:t>
      </w:r>
    </w:p>
    <w:p>
      <w:pPr>
        <w:spacing w:after="0" w:line="235" w:lineRule="auto"/>
        <w:rPr>
          <w:sz w:val="20"/>
          <w:szCs w:val="20"/>
          <w:color w:val="auto"/>
        </w:rPr>
      </w:pPr>
      <w:r>
        <w:rPr>
          <w:rFonts w:ascii="Arial" w:cs="Arial" w:eastAsia="Arial" w:hAnsi="Arial"/>
          <w:sz w:val="18"/>
          <w:szCs w:val="18"/>
          <w:color w:val="auto"/>
        </w:rPr>
        <w:t>Du Pont (E.I.)</w:t>
      </w:r>
    </w:p>
    <w:p>
      <w:pPr>
        <w:spacing w:after="0" w:line="234" w:lineRule="auto"/>
        <w:rPr>
          <w:sz w:val="20"/>
          <w:szCs w:val="20"/>
          <w:color w:val="auto"/>
        </w:rPr>
      </w:pPr>
      <w:r>
        <w:rPr>
          <w:rFonts w:ascii="Arial" w:cs="Arial" w:eastAsia="Arial" w:hAnsi="Arial"/>
          <w:sz w:val="18"/>
          <w:szCs w:val="18"/>
          <w:color w:val="auto"/>
        </w:rPr>
        <w:t>Eaton Corporation</w:t>
      </w:r>
    </w:p>
    <w:p>
      <w:pPr>
        <w:spacing w:after="0" w:line="235" w:lineRule="auto"/>
        <w:rPr>
          <w:sz w:val="20"/>
          <w:szCs w:val="20"/>
          <w:color w:val="auto"/>
        </w:rPr>
      </w:pPr>
      <w:r>
        <w:rPr>
          <w:rFonts w:ascii="Arial" w:cs="Arial" w:eastAsia="Arial" w:hAnsi="Arial"/>
          <w:sz w:val="18"/>
          <w:szCs w:val="18"/>
          <w:color w:val="auto"/>
        </w:rPr>
        <w:t>eBay Inc.</w:t>
      </w:r>
    </w:p>
    <w:p>
      <w:pPr>
        <w:spacing w:after="0" w:line="235" w:lineRule="auto"/>
        <w:rPr>
          <w:sz w:val="20"/>
          <w:szCs w:val="20"/>
          <w:color w:val="auto"/>
        </w:rPr>
      </w:pPr>
      <w:r>
        <w:rPr>
          <w:rFonts w:ascii="Arial" w:cs="Arial" w:eastAsia="Arial" w:hAnsi="Arial"/>
          <w:sz w:val="18"/>
          <w:szCs w:val="18"/>
          <w:color w:val="auto"/>
        </w:rPr>
        <w:t>EMC Corp.</w:t>
      </w:r>
    </w:p>
    <w:p>
      <w:pPr>
        <w:spacing w:after="0" w:line="235" w:lineRule="auto"/>
        <w:rPr>
          <w:sz w:val="20"/>
          <w:szCs w:val="20"/>
          <w:color w:val="auto"/>
        </w:rPr>
      </w:pPr>
      <w:r>
        <w:rPr>
          <w:rFonts w:ascii="Arial" w:cs="Arial" w:eastAsia="Arial" w:hAnsi="Arial"/>
          <w:sz w:val="18"/>
          <w:szCs w:val="18"/>
          <w:color w:val="auto"/>
        </w:rPr>
        <w:t>Emerson Electric Company</w:t>
      </w:r>
    </w:p>
    <w:p>
      <w:pPr>
        <w:spacing w:after="0" w:line="235" w:lineRule="auto"/>
        <w:rPr>
          <w:sz w:val="20"/>
          <w:szCs w:val="20"/>
          <w:color w:val="auto"/>
        </w:rPr>
      </w:pPr>
      <w:r>
        <w:rPr>
          <w:rFonts w:ascii="Arial" w:cs="Arial" w:eastAsia="Arial" w:hAnsi="Arial"/>
          <w:sz w:val="18"/>
          <w:szCs w:val="18"/>
          <w:color w:val="auto"/>
        </w:rPr>
        <w:t>EOG Resources</w:t>
      </w:r>
    </w:p>
    <w:p>
      <w:pPr>
        <w:spacing w:after="0" w:line="235" w:lineRule="auto"/>
        <w:rPr>
          <w:sz w:val="20"/>
          <w:szCs w:val="20"/>
          <w:color w:val="auto"/>
        </w:rPr>
      </w:pPr>
      <w:r>
        <w:rPr>
          <w:rFonts w:ascii="Arial" w:cs="Arial" w:eastAsia="Arial" w:hAnsi="Arial"/>
          <w:sz w:val="18"/>
          <w:szCs w:val="18"/>
          <w:color w:val="auto"/>
        </w:rPr>
        <w:t>Fluor Corp.</w:t>
      </w:r>
    </w:p>
    <w:p>
      <w:pPr>
        <w:spacing w:after="0" w:line="235" w:lineRule="auto"/>
        <w:rPr>
          <w:sz w:val="20"/>
          <w:szCs w:val="20"/>
          <w:color w:val="auto"/>
        </w:rPr>
      </w:pPr>
      <w:r>
        <w:rPr>
          <w:rFonts w:ascii="Arial" w:cs="Arial" w:eastAsia="Arial" w:hAnsi="Arial"/>
          <w:sz w:val="18"/>
          <w:szCs w:val="18"/>
          <w:color w:val="auto"/>
        </w:rPr>
        <w:t>Freeport-McMoran Cp &amp; Gld</w:t>
      </w:r>
    </w:p>
    <w:p>
      <w:pPr>
        <w:spacing w:after="0" w:line="235" w:lineRule="auto"/>
        <w:rPr>
          <w:sz w:val="20"/>
          <w:szCs w:val="20"/>
          <w:color w:val="auto"/>
        </w:rPr>
      </w:pPr>
      <w:r>
        <w:rPr>
          <w:rFonts w:ascii="Arial" w:cs="Arial" w:eastAsia="Arial" w:hAnsi="Arial"/>
          <w:sz w:val="18"/>
          <w:szCs w:val="18"/>
          <w:color w:val="auto"/>
        </w:rPr>
        <w:t>Gap (The)</w:t>
      </w:r>
    </w:p>
    <w:p>
      <w:pPr>
        <w:spacing w:after="0" w:line="235" w:lineRule="auto"/>
        <w:rPr>
          <w:sz w:val="20"/>
          <w:szCs w:val="20"/>
          <w:color w:val="auto"/>
        </w:rPr>
      </w:pPr>
      <w:r>
        <w:rPr>
          <w:rFonts w:ascii="Arial" w:cs="Arial" w:eastAsia="Arial" w:hAnsi="Arial"/>
          <w:sz w:val="18"/>
          <w:szCs w:val="18"/>
          <w:color w:val="auto"/>
        </w:rPr>
        <w:t>General Dynamics</w:t>
      </w:r>
    </w:p>
    <w:p>
      <w:pPr>
        <w:spacing w:after="0" w:line="234" w:lineRule="auto"/>
        <w:rPr>
          <w:sz w:val="20"/>
          <w:szCs w:val="20"/>
          <w:color w:val="auto"/>
        </w:rPr>
      </w:pPr>
      <w:r>
        <w:rPr>
          <w:rFonts w:ascii="Arial" w:cs="Arial" w:eastAsia="Arial" w:hAnsi="Arial"/>
          <w:sz w:val="18"/>
          <w:szCs w:val="18"/>
          <w:color w:val="auto"/>
        </w:rPr>
        <w:t>General Mills</w:t>
      </w:r>
    </w:p>
    <w:p>
      <w:pPr>
        <w:spacing w:after="0" w:line="235" w:lineRule="auto"/>
        <w:rPr>
          <w:sz w:val="20"/>
          <w:szCs w:val="20"/>
          <w:color w:val="auto"/>
        </w:rPr>
      </w:pPr>
      <w:r>
        <w:rPr>
          <w:rFonts w:ascii="Arial" w:cs="Arial" w:eastAsia="Arial" w:hAnsi="Arial"/>
          <w:sz w:val="18"/>
          <w:szCs w:val="18"/>
          <w:color w:val="auto"/>
        </w:rPr>
        <w:t>Genuine Parts</w:t>
      </w:r>
    </w:p>
    <w:p>
      <w:pPr>
        <w:spacing w:after="0" w:line="235" w:lineRule="auto"/>
        <w:rPr>
          <w:sz w:val="20"/>
          <w:szCs w:val="20"/>
          <w:color w:val="auto"/>
        </w:rPr>
      </w:pPr>
      <w:r>
        <w:rPr>
          <w:rFonts w:ascii="Arial" w:cs="Arial" w:eastAsia="Arial" w:hAnsi="Arial"/>
          <w:sz w:val="18"/>
          <w:szCs w:val="18"/>
          <w:color w:val="auto"/>
        </w:rPr>
        <w:t>Goodyear Tire &amp; Rubber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Halliburton Co.</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HCA Holdings</w:t>
      </w:r>
    </w:p>
    <w:p>
      <w:pPr>
        <w:spacing w:after="0" w:line="234" w:lineRule="auto"/>
        <w:rPr>
          <w:sz w:val="20"/>
          <w:szCs w:val="20"/>
          <w:color w:val="auto"/>
        </w:rPr>
      </w:pPr>
      <w:r>
        <w:rPr>
          <w:rFonts w:ascii="Arial" w:cs="Arial" w:eastAsia="Arial" w:hAnsi="Arial"/>
          <w:sz w:val="18"/>
          <w:szCs w:val="18"/>
          <w:color w:val="auto"/>
        </w:rPr>
        <w:t>Hess Corporation</w:t>
      </w:r>
    </w:p>
    <w:p>
      <w:pPr>
        <w:spacing w:after="0" w:line="235" w:lineRule="auto"/>
        <w:rPr>
          <w:sz w:val="20"/>
          <w:szCs w:val="20"/>
          <w:color w:val="auto"/>
        </w:rPr>
      </w:pPr>
      <w:r>
        <w:rPr>
          <w:rFonts w:ascii="Arial" w:cs="Arial" w:eastAsia="Arial" w:hAnsi="Arial"/>
          <w:sz w:val="18"/>
          <w:szCs w:val="18"/>
          <w:color w:val="auto"/>
        </w:rPr>
        <w:t>Honeywell Int’l Inc.</w:t>
      </w:r>
    </w:p>
    <w:p>
      <w:pPr>
        <w:spacing w:after="0" w:line="235" w:lineRule="auto"/>
        <w:rPr>
          <w:sz w:val="20"/>
          <w:szCs w:val="20"/>
          <w:color w:val="auto"/>
        </w:rPr>
      </w:pPr>
      <w:r>
        <w:rPr>
          <w:rFonts w:ascii="Arial" w:cs="Arial" w:eastAsia="Arial" w:hAnsi="Arial"/>
          <w:sz w:val="18"/>
          <w:szCs w:val="18"/>
          <w:color w:val="auto"/>
        </w:rPr>
        <w:t>International Paper</w:t>
      </w:r>
    </w:p>
    <w:p>
      <w:pPr>
        <w:spacing w:after="0" w:line="235" w:lineRule="auto"/>
        <w:rPr>
          <w:sz w:val="20"/>
          <w:szCs w:val="20"/>
          <w:color w:val="auto"/>
        </w:rPr>
      </w:pPr>
      <w:r>
        <w:rPr>
          <w:rFonts w:ascii="Arial" w:cs="Arial" w:eastAsia="Arial" w:hAnsi="Arial"/>
          <w:sz w:val="18"/>
          <w:szCs w:val="18"/>
          <w:color w:val="auto"/>
        </w:rPr>
        <w:t>Kimberly-Clark</w:t>
      </w:r>
    </w:p>
    <w:p>
      <w:pPr>
        <w:spacing w:after="0" w:line="235" w:lineRule="auto"/>
        <w:rPr>
          <w:sz w:val="20"/>
          <w:szCs w:val="20"/>
          <w:color w:val="auto"/>
        </w:rPr>
      </w:pPr>
      <w:r>
        <w:rPr>
          <w:rFonts w:ascii="Arial" w:cs="Arial" w:eastAsia="Arial" w:hAnsi="Arial"/>
          <w:sz w:val="18"/>
          <w:szCs w:val="18"/>
          <w:color w:val="auto"/>
        </w:rPr>
        <w:t>Kinder Morgan</w:t>
      </w:r>
    </w:p>
    <w:p>
      <w:pPr>
        <w:spacing w:after="0" w:line="235" w:lineRule="auto"/>
        <w:rPr>
          <w:sz w:val="20"/>
          <w:szCs w:val="20"/>
          <w:color w:val="auto"/>
        </w:rPr>
      </w:pPr>
      <w:r>
        <w:rPr>
          <w:rFonts w:ascii="Arial" w:cs="Arial" w:eastAsia="Arial" w:hAnsi="Arial"/>
          <w:sz w:val="18"/>
          <w:szCs w:val="18"/>
          <w:color w:val="auto"/>
        </w:rPr>
        <w:t>Kohl’s Corp.</w:t>
      </w:r>
    </w:p>
    <w:p>
      <w:pPr>
        <w:spacing w:after="0" w:line="235" w:lineRule="auto"/>
        <w:rPr>
          <w:sz w:val="20"/>
          <w:szCs w:val="20"/>
          <w:color w:val="auto"/>
        </w:rPr>
      </w:pPr>
      <w:r>
        <w:rPr>
          <w:rFonts w:ascii="Arial" w:cs="Arial" w:eastAsia="Arial" w:hAnsi="Arial"/>
          <w:sz w:val="18"/>
          <w:szCs w:val="18"/>
          <w:color w:val="auto"/>
        </w:rPr>
        <w:t>Kraft Foods Group</w:t>
      </w:r>
    </w:p>
    <w:p>
      <w:pPr>
        <w:spacing w:after="0" w:line="235" w:lineRule="auto"/>
        <w:rPr>
          <w:sz w:val="20"/>
          <w:szCs w:val="20"/>
          <w:color w:val="auto"/>
        </w:rPr>
      </w:pPr>
      <w:r>
        <w:rPr>
          <w:rFonts w:ascii="Arial" w:cs="Arial" w:eastAsia="Arial" w:hAnsi="Arial"/>
          <w:sz w:val="18"/>
          <w:szCs w:val="18"/>
          <w:color w:val="auto"/>
        </w:rPr>
        <w:t>Lilly (Eli) &amp; Co.</w:t>
      </w:r>
    </w:p>
    <w:p>
      <w:pPr>
        <w:spacing w:after="0" w:line="235" w:lineRule="auto"/>
        <w:rPr>
          <w:sz w:val="20"/>
          <w:szCs w:val="20"/>
          <w:color w:val="auto"/>
        </w:rPr>
      </w:pPr>
      <w:r>
        <w:rPr>
          <w:rFonts w:ascii="Arial" w:cs="Arial" w:eastAsia="Arial" w:hAnsi="Arial"/>
          <w:sz w:val="18"/>
          <w:szCs w:val="18"/>
          <w:color w:val="auto"/>
        </w:rPr>
        <w:t>Macy’s Inc.</w:t>
      </w:r>
    </w:p>
    <w:p>
      <w:pPr>
        <w:spacing w:after="0" w:line="234" w:lineRule="auto"/>
        <w:rPr>
          <w:sz w:val="20"/>
          <w:szCs w:val="20"/>
          <w:color w:val="auto"/>
        </w:rPr>
      </w:pPr>
      <w:r>
        <w:rPr>
          <w:rFonts w:ascii="Arial" w:cs="Arial" w:eastAsia="Arial" w:hAnsi="Arial"/>
          <w:sz w:val="18"/>
          <w:szCs w:val="18"/>
          <w:color w:val="auto"/>
        </w:rPr>
        <w:t>McDonald’s Corp.</w:t>
      </w:r>
    </w:p>
    <w:p>
      <w:pPr>
        <w:spacing w:after="0" w:line="235" w:lineRule="auto"/>
        <w:rPr>
          <w:sz w:val="20"/>
          <w:szCs w:val="20"/>
          <w:color w:val="auto"/>
        </w:rPr>
      </w:pPr>
      <w:r>
        <w:rPr>
          <w:rFonts w:ascii="Arial" w:cs="Arial" w:eastAsia="Arial" w:hAnsi="Arial"/>
          <w:sz w:val="18"/>
          <w:szCs w:val="18"/>
          <w:color w:val="auto"/>
        </w:rPr>
        <w:t>Medtronic Inc.</w:t>
      </w:r>
    </w:p>
    <w:p>
      <w:pPr>
        <w:spacing w:after="0" w:line="235" w:lineRule="auto"/>
        <w:rPr>
          <w:sz w:val="20"/>
          <w:szCs w:val="20"/>
          <w:color w:val="auto"/>
        </w:rPr>
      </w:pPr>
      <w:r>
        <w:rPr>
          <w:rFonts w:ascii="Arial" w:cs="Arial" w:eastAsia="Arial" w:hAnsi="Arial"/>
          <w:sz w:val="18"/>
          <w:szCs w:val="18"/>
          <w:color w:val="auto"/>
        </w:rPr>
        <w:t>Micron Technology</w:t>
      </w:r>
    </w:p>
    <w:p>
      <w:pPr>
        <w:spacing w:after="0" w:line="235" w:lineRule="auto"/>
        <w:rPr>
          <w:sz w:val="20"/>
          <w:szCs w:val="20"/>
          <w:color w:val="auto"/>
        </w:rPr>
      </w:pPr>
      <w:r>
        <w:rPr>
          <w:rFonts w:ascii="Arial" w:cs="Arial" w:eastAsia="Arial" w:hAnsi="Arial"/>
          <w:sz w:val="18"/>
          <w:szCs w:val="18"/>
          <w:color w:val="auto"/>
        </w:rPr>
        <w:t>Mondelez International</w:t>
      </w:r>
    </w:p>
    <w:p>
      <w:pPr>
        <w:spacing w:after="0" w:line="235" w:lineRule="auto"/>
        <w:rPr>
          <w:sz w:val="20"/>
          <w:szCs w:val="20"/>
          <w:color w:val="auto"/>
        </w:rPr>
      </w:pPr>
      <w:r>
        <w:rPr>
          <w:rFonts w:ascii="Arial" w:cs="Arial" w:eastAsia="Arial" w:hAnsi="Arial"/>
          <w:sz w:val="18"/>
          <w:szCs w:val="18"/>
          <w:color w:val="auto"/>
        </w:rPr>
        <w:t>Monsanto Co.</w:t>
      </w:r>
    </w:p>
    <w:p>
      <w:pPr>
        <w:spacing w:after="0"/>
        <w:rPr>
          <w:sz w:val="20"/>
          <w:szCs w:val="20"/>
          <w:color w:val="auto"/>
        </w:rPr>
      </w:pPr>
      <w:r>
        <w:rPr>
          <w:rFonts w:ascii="Arial" w:cs="Arial" w:eastAsia="Arial" w:hAnsi="Arial"/>
          <w:sz w:val="17"/>
          <w:szCs w:val="17"/>
          <w:color w:val="auto"/>
        </w:rPr>
        <w:t>National Oilwell Varco Inc.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Nike</w:t>
      </w:r>
    </w:p>
    <w:p>
      <w:pPr>
        <w:spacing w:after="0" w:line="234" w:lineRule="auto"/>
        <w:rPr>
          <w:sz w:val="20"/>
          <w:szCs w:val="20"/>
          <w:color w:val="auto"/>
        </w:rPr>
      </w:pPr>
      <w:r>
        <w:rPr>
          <w:rFonts w:ascii="Arial" w:cs="Arial" w:eastAsia="Arial" w:hAnsi="Arial"/>
          <w:sz w:val="18"/>
          <w:szCs w:val="18"/>
          <w:color w:val="auto"/>
        </w:rPr>
        <w:t>Northrop Grumman Corp</w:t>
      </w:r>
    </w:p>
    <w:p>
      <w:pPr>
        <w:spacing w:after="0" w:line="235" w:lineRule="auto"/>
        <w:rPr>
          <w:sz w:val="20"/>
          <w:szCs w:val="20"/>
          <w:color w:val="auto"/>
        </w:rPr>
      </w:pPr>
      <w:r>
        <w:rPr>
          <w:rFonts w:ascii="Arial" w:cs="Arial" w:eastAsia="Arial" w:hAnsi="Arial"/>
          <w:sz w:val="18"/>
          <w:szCs w:val="18"/>
          <w:color w:val="auto"/>
        </w:rPr>
        <w:t>Nucor Corp.</w:t>
      </w:r>
    </w:p>
    <w:p>
      <w:pPr>
        <w:spacing w:after="0" w:line="235" w:lineRule="auto"/>
        <w:rPr>
          <w:sz w:val="20"/>
          <w:szCs w:val="20"/>
          <w:color w:val="auto"/>
        </w:rPr>
      </w:pPr>
      <w:r>
        <w:rPr>
          <w:rFonts w:ascii="Arial" w:cs="Arial" w:eastAsia="Arial" w:hAnsi="Arial"/>
          <w:sz w:val="18"/>
          <w:szCs w:val="18"/>
          <w:color w:val="auto"/>
        </w:rPr>
        <w:t>Occidental Petroleum</w:t>
      </w:r>
    </w:p>
    <w:p>
      <w:pPr>
        <w:spacing w:after="0" w:line="235" w:lineRule="auto"/>
        <w:rPr>
          <w:sz w:val="20"/>
          <w:szCs w:val="20"/>
          <w:color w:val="auto"/>
        </w:rPr>
      </w:pPr>
      <w:r>
        <w:rPr>
          <w:rFonts w:ascii="Arial" w:cs="Arial" w:eastAsia="Arial" w:hAnsi="Arial"/>
          <w:sz w:val="18"/>
          <w:szCs w:val="18"/>
          <w:color w:val="auto"/>
        </w:rPr>
        <w:t>Omnicom Group</w:t>
      </w:r>
    </w:p>
    <w:p>
      <w:pPr>
        <w:spacing w:after="0" w:line="235" w:lineRule="auto"/>
        <w:rPr>
          <w:sz w:val="20"/>
          <w:szCs w:val="20"/>
          <w:color w:val="auto"/>
        </w:rPr>
      </w:pPr>
      <w:r>
        <w:rPr>
          <w:rFonts w:ascii="Arial" w:cs="Arial" w:eastAsia="Arial" w:hAnsi="Arial"/>
          <w:sz w:val="18"/>
          <w:szCs w:val="18"/>
          <w:color w:val="auto"/>
        </w:rPr>
        <w:t>Oracle Corp.</w:t>
      </w:r>
    </w:p>
    <w:p>
      <w:pPr>
        <w:spacing w:after="0" w:line="235" w:lineRule="auto"/>
        <w:rPr>
          <w:sz w:val="20"/>
          <w:szCs w:val="20"/>
          <w:color w:val="auto"/>
        </w:rPr>
      </w:pPr>
      <w:r>
        <w:rPr>
          <w:rFonts w:ascii="Arial" w:cs="Arial" w:eastAsia="Arial" w:hAnsi="Arial"/>
          <w:sz w:val="18"/>
          <w:szCs w:val="18"/>
          <w:color w:val="auto"/>
        </w:rPr>
        <w:t>PACCAR Inc.</w:t>
      </w:r>
    </w:p>
    <w:p>
      <w:pPr>
        <w:spacing w:after="0" w:line="235" w:lineRule="auto"/>
        <w:rPr>
          <w:sz w:val="20"/>
          <w:szCs w:val="20"/>
          <w:color w:val="auto"/>
        </w:rPr>
      </w:pPr>
      <w:r>
        <w:rPr>
          <w:rFonts w:ascii="Arial" w:cs="Arial" w:eastAsia="Arial" w:hAnsi="Arial"/>
          <w:sz w:val="18"/>
          <w:szCs w:val="18"/>
          <w:color w:val="auto"/>
        </w:rPr>
        <w:t>Phillip Morris International</w:t>
      </w:r>
    </w:p>
    <w:p>
      <w:pPr>
        <w:spacing w:after="0" w:line="235" w:lineRule="auto"/>
        <w:rPr>
          <w:sz w:val="20"/>
          <w:szCs w:val="20"/>
          <w:color w:val="auto"/>
        </w:rPr>
      </w:pPr>
      <w:r>
        <w:rPr>
          <w:rFonts w:ascii="Arial" w:cs="Arial" w:eastAsia="Arial" w:hAnsi="Arial"/>
          <w:sz w:val="18"/>
          <w:szCs w:val="18"/>
          <w:color w:val="auto"/>
        </w:rPr>
        <w:t>PPG Industries</w:t>
      </w:r>
    </w:p>
    <w:p>
      <w:pPr>
        <w:spacing w:after="0" w:line="235" w:lineRule="auto"/>
        <w:rPr>
          <w:sz w:val="20"/>
          <w:szCs w:val="20"/>
          <w:color w:val="auto"/>
        </w:rPr>
      </w:pPr>
      <w:r>
        <w:rPr>
          <w:rFonts w:ascii="Arial" w:cs="Arial" w:eastAsia="Arial" w:hAnsi="Arial"/>
          <w:sz w:val="18"/>
          <w:szCs w:val="18"/>
          <w:color w:val="auto"/>
        </w:rPr>
        <w:t>QUALCOMM Inc.</w:t>
      </w:r>
    </w:p>
    <w:p>
      <w:pPr>
        <w:spacing w:after="0" w:line="234" w:lineRule="auto"/>
        <w:rPr>
          <w:sz w:val="20"/>
          <w:szCs w:val="20"/>
          <w:color w:val="auto"/>
        </w:rPr>
      </w:pPr>
      <w:r>
        <w:rPr>
          <w:rFonts w:ascii="Arial" w:cs="Arial" w:eastAsia="Arial" w:hAnsi="Arial"/>
          <w:sz w:val="18"/>
          <w:szCs w:val="18"/>
          <w:color w:val="auto"/>
        </w:rPr>
        <w:t>Raytheon Co</w:t>
      </w:r>
    </w:p>
    <w:p>
      <w:pPr>
        <w:spacing w:after="0" w:line="235" w:lineRule="auto"/>
        <w:rPr>
          <w:sz w:val="20"/>
          <w:szCs w:val="20"/>
          <w:color w:val="auto"/>
        </w:rPr>
      </w:pPr>
      <w:r>
        <w:rPr>
          <w:rFonts w:ascii="Arial" w:cs="Arial" w:eastAsia="Arial" w:hAnsi="Arial"/>
          <w:sz w:val="18"/>
          <w:szCs w:val="18"/>
          <w:color w:val="auto"/>
        </w:rPr>
        <w:t>Southwest Airlines</w:t>
      </w:r>
    </w:p>
    <w:p>
      <w:pPr>
        <w:spacing w:after="0" w:line="235" w:lineRule="auto"/>
        <w:rPr>
          <w:sz w:val="20"/>
          <w:szCs w:val="20"/>
          <w:color w:val="auto"/>
        </w:rPr>
      </w:pPr>
      <w:r>
        <w:rPr>
          <w:rFonts w:ascii="Arial" w:cs="Arial" w:eastAsia="Arial" w:hAnsi="Arial"/>
          <w:sz w:val="18"/>
          <w:szCs w:val="18"/>
          <w:color w:val="auto"/>
        </w:rPr>
        <w:t>Staples Inc.</w:t>
      </w:r>
    </w:p>
    <w:p>
      <w:pPr>
        <w:spacing w:after="0" w:line="235" w:lineRule="auto"/>
        <w:rPr>
          <w:sz w:val="20"/>
          <w:szCs w:val="20"/>
          <w:color w:val="auto"/>
        </w:rPr>
      </w:pPr>
      <w:r>
        <w:rPr>
          <w:rFonts w:ascii="Arial" w:cs="Arial" w:eastAsia="Arial" w:hAnsi="Arial"/>
          <w:sz w:val="18"/>
          <w:szCs w:val="18"/>
          <w:color w:val="auto"/>
        </w:rPr>
        <w:t>Starbucks Corp.</w:t>
      </w:r>
    </w:p>
    <w:p>
      <w:pPr>
        <w:spacing w:after="0" w:line="235" w:lineRule="auto"/>
        <w:rPr>
          <w:sz w:val="20"/>
          <w:szCs w:val="20"/>
          <w:color w:val="auto"/>
        </w:rPr>
      </w:pPr>
      <w:r>
        <w:rPr>
          <w:rFonts w:ascii="Arial" w:cs="Arial" w:eastAsia="Arial" w:hAnsi="Arial"/>
          <w:sz w:val="18"/>
          <w:szCs w:val="18"/>
          <w:color w:val="auto"/>
        </w:rPr>
        <w:t>Tenet Healthcare Corp.</w:t>
      </w:r>
    </w:p>
    <w:p>
      <w:pPr>
        <w:spacing w:after="0" w:line="235" w:lineRule="auto"/>
        <w:rPr>
          <w:sz w:val="20"/>
          <w:szCs w:val="20"/>
          <w:color w:val="auto"/>
        </w:rPr>
      </w:pPr>
      <w:r>
        <w:rPr>
          <w:rFonts w:ascii="Arial" w:cs="Arial" w:eastAsia="Arial" w:hAnsi="Arial"/>
          <w:sz w:val="18"/>
          <w:szCs w:val="18"/>
          <w:color w:val="auto"/>
        </w:rPr>
        <w:t>Tesoro Petroleum Co.</w:t>
      </w:r>
    </w:p>
    <w:p>
      <w:pPr>
        <w:spacing w:after="0" w:line="235" w:lineRule="auto"/>
        <w:rPr>
          <w:sz w:val="20"/>
          <w:szCs w:val="20"/>
          <w:color w:val="auto"/>
        </w:rPr>
      </w:pPr>
      <w:r>
        <w:rPr>
          <w:rFonts w:ascii="Arial" w:cs="Arial" w:eastAsia="Arial" w:hAnsi="Arial"/>
          <w:sz w:val="18"/>
          <w:szCs w:val="18"/>
          <w:color w:val="auto"/>
        </w:rPr>
        <w:t>Thermo Fisher Scientific</w:t>
      </w:r>
    </w:p>
    <w:p>
      <w:pPr>
        <w:spacing w:after="0" w:line="235" w:lineRule="auto"/>
        <w:rPr>
          <w:sz w:val="20"/>
          <w:szCs w:val="20"/>
          <w:color w:val="auto"/>
        </w:rPr>
      </w:pPr>
      <w:r>
        <w:rPr>
          <w:rFonts w:ascii="Arial" w:cs="Arial" w:eastAsia="Arial" w:hAnsi="Arial"/>
          <w:sz w:val="18"/>
          <w:szCs w:val="18"/>
          <w:color w:val="auto"/>
        </w:rPr>
        <w:t>Time Warner Cable Inc.</w:t>
      </w:r>
    </w:p>
    <w:p>
      <w:pPr>
        <w:spacing w:after="0" w:line="235" w:lineRule="auto"/>
        <w:rPr>
          <w:sz w:val="20"/>
          <w:szCs w:val="20"/>
          <w:color w:val="auto"/>
        </w:rPr>
      </w:pPr>
      <w:r>
        <w:rPr>
          <w:rFonts w:ascii="Arial" w:cs="Arial" w:eastAsia="Arial" w:hAnsi="Arial"/>
          <w:sz w:val="18"/>
          <w:szCs w:val="18"/>
          <w:color w:val="auto"/>
        </w:rPr>
        <w:t>Time Warner Inc.</w:t>
      </w:r>
    </w:p>
    <w:p>
      <w:pPr>
        <w:spacing w:after="0" w:line="234" w:lineRule="auto"/>
        <w:rPr>
          <w:sz w:val="20"/>
          <w:szCs w:val="20"/>
          <w:color w:val="auto"/>
        </w:rPr>
      </w:pPr>
      <w:r>
        <w:rPr>
          <w:rFonts w:ascii="Arial" w:cs="Arial" w:eastAsia="Arial" w:hAnsi="Arial"/>
          <w:sz w:val="18"/>
          <w:szCs w:val="18"/>
          <w:color w:val="auto"/>
        </w:rPr>
        <w:t>TJX Companies Inc.</w:t>
      </w:r>
    </w:p>
    <w:p>
      <w:pPr>
        <w:spacing w:after="0" w:line="235" w:lineRule="auto"/>
        <w:rPr>
          <w:sz w:val="20"/>
          <w:szCs w:val="20"/>
          <w:color w:val="auto"/>
        </w:rPr>
      </w:pPr>
      <w:r>
        <w:rPr>
          <w:rFonts w:ascii="Arial" w:cs="Arial" w:eastAsia="Arial" w:hAnsi="Arial"/>
          <w:sz w:val="18"/>
          <w:szCs w:val="18"/>
          <w:color w:val="auto"/>
        </w:rPr>
        <w:t>Twenty-First Century Fox</w:t>
      </w:r>
    </w:p>
    <w:p>
      <w:pPr>
        <w:spacing w:after="0" w:line="235" w:lineRule="auto"/>
        <w:rPr>
          <w:sz w:val="20"/>
          <w:szCs w:val="20"/>
          <w:color w:val="auto"/>
        </w:rPr>
      </w:pPr>
      <w:r>
        <w:rPr>
          <w:rFonts w:ascii="Arial" w:cs="Arial" w:eastAsia="Arial" w:hAnsi="Arial"/>
          <w:sz w:val="18"/>
          <w:szCs w:val="18"/>
          <w:color w:val="auto"/>
        </w:rPr>
        <w:t>Tyson Foods</w:t>
      </w:r>
    </w:p>
    <w:p>
      <w:pPr>
        <w:spacing w:after="0" w:line="235" w:lineRule="auto"/>
        <w:rPr>
          <w:sz w:val="20"/>
          <w:szCs w:val="20"/>
          <w:color w:val="auto"/>
        </w:rPr>
      </w:pPr>
      <w:r>
        <w:rPr>
          <w:rFonts w:ascii="Arial" w:cs="Arial" w:eastAsia="Arial" w:hAnsi="Arial"/>
          <w:sz w:val="18"/>
          <w:szCs w:val="18"/>
          <w:color w:val="auto"/>
        </w:rPr>
        <w:t>Union Pacific</w:t>
      </w:r>
    </w:p>
    <w:p>
      <w:pPr>
        <w:spacing w:after="0" w:line="235" w:lineRule="auto"/>
        <w:rPr>
          <w:sz w:val="20"/>
          <w:szCs w:val="20"/>
          <w:color w:val="auto"/>
        </w:rPr>
      </w:pPr>
      <w:r>
        <w:rPr>
          <w:rFonts w:ascii="Arial" w:cs="Arial" w:eastAsia="Arial" w:hAnsi="Arial"/>
          <w:sz w:val="18"/>
          <w:szCs w:val="18"/>
          <w:color w:val="auto"/>
        </w:rPr>
        <w:t>Whirlpool Corp.</w:t>
      </w:r>
    </w:p>
    <w:p>
      <w:pPr>
        <w:spacing w:after="0"/>
        <w:rPr>
          <w:sz w:val="20"/>
          <w:szCs w:val="20"/>
          <w:color w:val="auto"/>
        </w:rPr>
      </w:pPr>
      <w:r>
        <w:rPr>
          <w:rFonts w:ascii="Arial" w:cs="Arial" w:eastAsia="Arial" w:hAnsi="Arial"/>
          <w:sz w:val="18"/>
          <w:szCs w:val="18"/>
          <w:color w:val="auto"/>
        </w:rPr>
        <w:t>Xerox Corp.</w:t>
      </w:r>
    </w:p>
    <w:p>
      <w:pPr>
        <w:spacing w:after="0" w:line="200" w:lineRule="exact"/>
        <w:rPr>
          <w:sz w:val="20"/>
          <w:szCs w:val="20"/>
          <w:color w:val="auto"/>
        </w:rPr>
      </w:pPr>
    </w:p>
    <w:p>
      <w:pPr>
        <w:sectPr>
          <w:pgSz w:w="11900" w:h="16838" w:orient="portrait"/>
          <w:cols w:equalWidth="0" w:num="2">
            <w:col w:w="5100" w:space="720"/>
            <w:col w:w="5600"/>
          </w:cols>
          <w:pgMar w:left="240" w:top="459" w:right="239" w:bottom="1440" w:gutter="0" w:footer="0" w:header="0"/>
          <w:type w:val="continuous"/>
        </w:sectPr>
      </w:pPr>
    </w:p>
    <w:p>
      <w:pPr>
        <w:spacing w:after="0" w:line="87" w:lineRule="exact"/>
        <w:rPr>
          <w:sz w:val="20"/>
          <w:szCs w:val="20"/>
          <w:color w:val="auto"/>
        </w:rPr>
      </w:pPr>
    </w:p>
    <w:p>
      <w:pPr>
        <w:ind w:left="9800"/>
        <w:spacing w:after="0"/>
        <w:rPr>
          <w:sz w:val="20"/>
          <w:szCs w:val="20"/>
          <w:color w:val="auto"/>
        </w:rPr>
      </w:pPr>
      <w:r>
        <w:rPr>
          <w:rFonts w:ascii="Arial" w:cs="Arial" w:eastAsia="Arial" w:hAnsi="Arial"/>
          <w:sz w:val="16"/>
          <w:szCs w:val="16"/>
          <w:b w:val="1"/>
          <w:bCs w:val="1"/>
          <w:color w:val="5D89B4"/>
        </w:rPr>
        <w:t xml:space="preserve">A-1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00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84" w:lineRule="exact"/>
        <w:rPr>
          <w:sz w:val="20"/>
          <w:szCs w:val="20"/>
          <w:color w:val="auto"/>
        </w:rPr>
      </w:pPr>
    </w:p>
    <w:p>
      <w:pPr>
        <w:ind w:left="10180"/>
        <w:spacing w:after="0"/>
        <w:rPr>
          <w:sz w:val="20"/>
          <w:szCs w:val="20"/>
          <w:color w:val="auto"/>
        </w:rPr>
      </w:pPr>
      <w:r>
        <w:rPr>
          <w:rFonts w:ascii="Arial" w:cs="Arial" w:eastAsia="Arial" w:hAnsi="Arial"/>
          <w:sz w:val="18"/>
          <w:szCs w:val="18"/>
          <w:color w:val="FFFFFF"/>
        </w:rPr>
        <w:t>Appendix B-1</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B-1</w:t>
      </w:r>
    </w:p>
    <w:p>
      <w:pPr>
        <w:spacing w:after="0" w:line="236" w:lineRule="exact"/>
        <w:rPr>
          <w:sz w:val="20"/>
          <w:szCs w:val="20"/>
          <w:color w:val="auto"/>
        </w:rPr>
      </w:pPr>
    </w:p>
    <w:p>
      <w:pPr>
        <w:spacing w:after="0"/>
        <w:rPr>
          <w:sz w:val="20"/>
          <w:szCs w:val="20"/>
          <w:color w:val="auto"/>
        </w:rPr>
      </w:pPr>
      <w:r>
        <w:rPr>
          <w:rFonts w:ascii="Arial" w:cs="Arial" w:eastAsia="Arial" w:hAnsi="Arial"/>
          <w:sz w:val="41"/>
          <w:szCs w:val="41"/>
          <w:color w:val="5D89B4"/>
        </w:rPr>
        <w:t>Industry-Specific Comparator Group</w:t>
      </w:r>
    </w:p>
    <w:p>
      <w:pPr>
        <w:sectPr>
          <w:pgSz w:w="11900" w:h="16838" w:orient="portrait"/>
          <w:cols w:equalWidth="0" w:num="1">
            <w:col w:w="11420"/>
          </w:cols>
          <w:pgMar w:left="240" w:top="459" w:right="239" w:bottom="1440" w:gutter="0" w:footer="0" w:header="0"/>
        </w:sect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Insperity</w:t>
      </w:r>
    </w:p>
    <w:p>
      <w:pPr>
        <w:spacing w:after="0" w:line="234" w:lineRule="auto"/>
        <w:rPr>
          <w:sz w:val="20"/>
          <w:szCs w:val="20"/>
          <w:color w:val="auto"/>
        </w:rPr>
      </w:pPr>
      <w:r>
        <w:rPr>
          <w:rFonts w:ascii="Arial" w:cs="Arial" w:eastAsia="Arial" w:hAnsi="Arial"/>
          <w:sz w:val="18"/>
          <w:szCs w:val="18"/>
          <w:color w:val="auto"/>
        </w:rPr>
        <w:t>CDI Corp</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Kelly Services, Inc.</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Kforce</w:t>
      </w:r>
    </w:p>
    <w:p>
      <w:pPr>
        <w:spacing w:after="0"/>
        <w:rPr>
          <w:sz w:val="20"/>
          <w:szCs w:val="20"/>
          <w:color w:val="auto"/>
        </w:rPr>
      </w:pPr>
      <w:r>
        <w:rPr>
          <w:rFonts w:ascii="Arial" w:cs="Arial" w:eastAsia="Arial" w:hAnsi="Arial"/>
          <w:sz w:val="17"/>
          <w:szCs w:val="17"/>
          <w:color w:val="auto"/>
        </w:rPr>
        <w:t>Robert Half International,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TrueBlue, Inc.</w:t>
      </w:r>
    </w:p>
    <w:p>
      <w:pPr>
        <w:spacing w:after="0" w:line="200" w:lineRule="exact"/>
        <w:rPr>
          <w:sz w:val="20"/>
          <w:szCs w:val="20"/>
          <w:color w:val="auto"/>
        </w:rPr>
      </w:pPr>
    </w:p>
    <w:p>
      <w:pPr>
        <w:sectPr>
          <w:pgSz w:w="11900" w:h="16838" w:orient="portrait"/>
          <w:cols w:equalWidth="0" w:num="2">
            <w:col w:w="5100" w:space="720"/>
            <w:col w:w="5600"/>
          </w:cols>
          <w:pgMar w:left="240" w:top="459" w:right="239" w:bottom="1440" w:gutter="0" w:footer="0" w:header="0"/>
          <w:type w:val="continuous"/>
        </w:sectPr>
      </w:pPr>
    </w:p>
    <w:p>
      <w:pPr>
        <w:spacing w:after="0" w:line="87" w:lineRule="exact"/>
        <w:rPr>
          <w:sz w:val="20"/>
          <w:szCs w:val="20"/>
          <w:color w:val="auto"/>
        </w:rPr>
      </w:pPr>
    </w:p>
    <w:p>
      <w:pPr>
        <w:ind w:left="9800"/>
        <w:spacing w:after="0"/>
        <w:rPr>
          <w:sz w:val="20"/>
          <w:szCs w:val="20"/>
          <w:color w:val="auto"/>
        </w:rPr>
      </w:pPr>
      <w:r>
        <w:rPr>
          <w:rFonts w:ascii="Arial" w:cs="Arial" w:eastAsia="Arial" w:hAnsi="Arial"/>
          <w:sz w:val="16"/>
          <w:szCs w:val="16"/>
          <w:b w:val="1"/>
          <w:bCs w:val="1"/>
          <w:color w:val="5D89B4"/>
        </w:rPr>
        <w:t xml:space="preserve">B-1 </w:t>
      </w:r>
      <w:r>
        <w:rPr>
          <w:rFonts w:ascii="Arial" w:cs="Arial" w:eastAsia="Arial" w:hAnsi="Arial"/>
          <w:sz w:val="21"/>
          <w:szCs w:val="21"/>
          <w:color w:val="5D89B4"/>
        </w:rPr>
        <w:t>|</w:t>
      </w:r>
      <w:r>
        <w:rPr>
          <w:rFonts w:ascii="Arial" w:cs="Arial" w:eastAsia="Arial" w:hAnsi="Arial"/>
          <w:sz w:val="16"/>
          <w:szCs w:val="16"/>
          <w:b w:val="1"/>
          <w:bCs w:val="1"/>
          <w:color w:val="5D89B4"/>
        </w:rPr>
        <w:t xml:space="preserve"> </w:t>
      </w:r>
      <w:r>
        <w:rPr>
          <w:rFonts w:ascii="Arial" w:cs="Arial" w:eastAsia="Arial" w:hAnsi="Arial"/>
          <w:sz w:val="16"/>
          <w:szCs w:val="16"/>
          <w:color w:val="5D89B4"/>
        </w:rPr>
        <w:t>ManpowerGroup</w:t>
      </w:r>
    </w:p>
    <w:p>
      <w:pPr>
        <w:sectPr>
          <w:pgSz w:w="11900" w:h="16838" w:orient="portrait"/>
          <w:cols w:equalWidth="0" w:num="1">
            <w:col w:w="11420"/>
          </w:cols>
          <w:pgMar w:left="240" w:top="459" w:right="23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205740</wp:posOffset>
            </wp:positionV>
            <wp:extent cx="6483350" cy="21266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483350"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400"/>
        <w:spacing w:after="0"/>
        <w:rPr>
          <w:sz w:val="20"/>
          <w:szCs w:val="20"/>
          <w:color w:val="auto"/>
        </w:rPr>
      </w:pPr>
      <w:r>
        <w:rPr>
          <w:rFonts w:ascii="Arial" w:cs="Arial" w:eastAsia="Arial" w:hAnsi="Arial"/>
          <w:sz w:val="22"/>
          <w:szCs w:val="22"/>
          <w:b w:val="1"/>
          <w:bCs w:val="1"/>
          <w:color w:val="auto"/>
        </w:rPr>
        <w:t>Electronic Voting Instructions</w:t>
      </w:r>
    </w:p>
    <w:p>
      <w:pPr>
        <w:spacing w:after="0" w:line="9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Available 24 hours a day, 7 days a week!</w:t>
      </w:r>
    </w:p>
    <w:p>
      <w:pPr>
        <w:spacing w:after="0" w:line="118" w:lineRule="exact"/>
        <w:rPr>
          <w:sz w:val="20"/>
          <w:szCs w:val="20"/>
          <w:color w:val="auto"/>
        </w:rPr>
      </w:pPr>
    </w:p>
    <w:p>
      <w:pPr>
        <w:ind w:left="6400" w:right="380"/>
        <w:spacing w:after="0" w:line="258" w:lineRule="auto"/>
        <w:rPr>
          <w:sz w:val="20"/>
          <w:szCs w:val="20"/>
          <w:color w:val="auto"/>
        </w:rPr>
      </w:pPr>
      <w:r>
        <w:rPr>
          <w:rFonts w:ascii="Arial" w:cs="Arial" w:eastAsia="Arial" w:hAnsi="Arial"/>
          <w:sz w:val="14"/>
          <w:szCs w:val="14"/>
          <w:color w:val="auto"/>
        </w:rPr>
        <w:t>Instead of mailing your proxy, you may choose one of the voting methods outlined below to vote your proxy.</w:t>
      </w:r>
    </w:p>
    <w:p>
      <w:pPr>
        <w:spacing w:after="0" w:line="73" w:lineRule="exact"/>
        <w:rPr>
          <w:sz w:val="20"/>
          <w:szCs w:val="20"/>
          <w:color w:val="auto"/>
        </w:rPr>
      </w:pPr>
    </w:p>
    <w:p>
      <w:pPr>
        <w:ind w:left="6400"/>
        <w:spacing w:after="0"/>
        <w:rPr>
          <w:sz w:val="20"/>
          <w:szCs w:val="20"/>
          <w:color w:val="auto"/>
        </w:rPr>
      </w:pPr>
      <w:r>
        <w:rPr>
          <w:rFonts w:ascii="Arial" w:cs="Arial" w:eastAsia="Arial" w:hAnsi="Arial"/>
          <w:sz w:val="14"/>
          <w:szCs w:val="14"/>
          <w:color w:val="auto"/>
        </w:rPr>
        <w:t>VALIDATION DETAILS ARE LOCATED BELOW IN THE TITLE BAR.</w:t>
      </w:r>
    </w:p>
    <w:p>
      <w:pPr>
        <w:spacing w:after="0" w:line="78" w:lineRule="exact"/>
        <w:rPr>
          <w:sz w:val="20"/>
          <w:szCs w:val="20"/>
          <w:color w:val="auto"/>
        </w:rPr>
      </w:pPr>
    </w:p>
    <w:p>
      <w:pPr>
        <w:ind w:left="6400"/>
        <w:spacing w:after="0"/>
        <w:rPr>
          <w:sz w:val="20"/>
          <w:szCs w:val="20"/>
          <w:color w:val="auto"/>
        </w:rPr>
      </w:pPr>
      <w:r>
        <w:rPr>
          <w:rFonts w:ascii="Arial" w:cs="Arial" w:eastAsia="Arial" w:hAnsi="Arial"/>
          <w:sz w:val="14"/>
          <w:szCs w:val="14"/>
          <w:b w:val="1"/>
          <w:bCs w:val="1"/>
          <w:color w:val="auto"/>
        </w:rPr>
        <w:t>Proxies submitted by the Internet or telephone must be received by 11:59</w:t>
      </w:r>
    </w:p>
    <w:p>
      <w:pPr>
        <w:spacing w:after="0" w:line="19" w:lineRule="exact"/>
        <w:rPr>
          <w:sz w:val="20"/>
          <w:szCs w:val="20"/>
          <w:color w:val="auto"/>
        </w:rPr>
      </w:pPr>
    </w:p>
    <w:p>
      <w:pPr>
        <w:ind w:left="6400"/>
        <w:spacing w:after="0"/>
        <w:rPr>
          <w:sz w:val="20"/>
          <w:szCs w:val="20"/>
          <w:color w:val="auto"/>
        </w:rPr>
      </w:pPr>
      <w:r>
        <w:rPr>
          <w:rFonts w:ascii="Arial" w:cs="Arial" w:eastAsia="Arial" w:hAnsi="Arial"/>
          <w:sz w:val="14"/>
          <w:szCs w:val="14"/>
          <w:b w:val="1"/>
          <w:bCs w:val="1"/>
          <w:color w:val="auto"/>
        </w:rPr>
        <w:t>p.m., Eastern Time, on May 1, 2017.</w:t>
      </w:r>
    </w:p>
    <w:p>
      <w:pPr>
        <w:spacing w:after="0" w:line="108"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-116205</wp:posOffset>
            </wp:positionV>
            <wp:extent cx="531495" cy="5403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31495" cy="540385"/>
                    </a:xfrm>
                    <a:prstGeom prst="rect">
                      <a:avLst/>
                    </a:prstGeom>
                    <a:noFill/>
                  </pic:spPr>
                </pic:pic>
              </a:graphicData>
            </a:graphic>
          </wp:anchor>
        </w:drawing>
      </w:r>
    </w:p>
    <w:p>
      <w:pPr>
        <w:spacing w:after="0" w:line="120" w:lineRule="exact"/>
        <w:rPr>
          <w:sz w:val="20"/>
          <w:szCs w:val="20"/>
          <w:color w:val="auto"/>
        </w:rPr>
      </w:pPr>
    </w:p>
    <w:p>
      <w:pPr>
        <w:ind w:left="820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Go to</w:t>
      </w:r>
      <w:r>
        <w:rPr>
          <w:rFonts w:ascii="Arial" w:cs="Arial" w:eastAsia="Arial" w:hAnsi="Arial"/>
          <w:sz w:val="14"/>
          <w:szCs w:val="14"/>
          <w:color w:val="5D89B4"/>
        </w:rPr>
        <w:t xml:space="preserve"> </w:t>
      </w:r>
      <w:r>
        <w:rPr>
          <w:rFonts w:ascii="Arial" w:cs="Arial" w:eastAsia="Arial" w:hAnsi="Arial"/>
          <w:sz w:val="14"/>
          <w:szCs w:val="14"/>
          <w:b w:val="1"/>
          <w:bCs w:val="1"/>
          <w:color w:val="000000"/>
        </w:rPr>
        <w:t>www.envisionreports.com/MAN</w:t>
      </w:r>
    </w:p>
    <w:p>
      <w:pPr>
        <w:spacing w:after="0" w:line="154" w:lineRule="exact"/>
        <w:rPr>
          <w:sz w:val="20"/>
          <w:szCs w:val="20"/>
          <w:color w:val="auto"/>
        </w:rPr>
      </w:pPr>
    </w:p>
    <w:p>
      <w:pPr>
        <w:ind w:left="820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Or scan the QR code with your smartphone</w:t>
      </w:r>
    </w:p>
    <w:p>
      <w:pPr>
        <w:spacing w:after="0" w:line="136" w:lineRule="exact"/>
        <w:rPr>
          <w:sz w:val="20"/>
          <w:szCs w:val="20"/>
          <w:color w:val="auto"/>
        </w:rPr>
      </w:pPr>
    </w:p>
    <w:p>
      <w:pPr>
        <w:ind w:left="820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Follow the steps outlined on the secure website</w:t>
      </w:r>
    </w:p>
    <w:p>
      <w:pPr>
        <w:spacing w:after="0" w:line="10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Vote by telephone</w:t>
      </w:r>
    </w:p>
    <w:p>
      <w:pPr>
        <w:spacing w:after="0" w:line="158" w:lineRule="exact"/>
        <w:rPr>
          <w:sz w:val="20"/>
          <w:szCs w:val="20"/>
          <w:color w:val="auto"/>
        </w:rPr>
      </w:pPr>
    </w:p>
    <w:p>
      <w:pPr>
        <w:ind w:left="646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Call toll free 1-800-652-VOTE (8683) within the USA, US territories &amp;</w:t>
      </w:r>
    </w:p>
    <w:p>
      <w:pPr>
        <w:spacing w:after="0" w:line="1" w:lineRule="exact"/>
        <w:rPr>
          <w:sz w:val="20"/>
          <w:szCs w:val="20"/>
          <w:color w:val="auto"/>
        </w:rPr>
      </w:pPr>
    </w:p>
    <w:p>
      <w:pPr>
        <w:ind w:left="6620"/>
        <w:spacing w:after="0"/>
        <w:rPr>
          <w:sz w:val="20"/>
          <w:szCs w:val="20"/>
          <w:color w:val="auto"/>
        </w:rPr>
      </w:pPr>
      <w:r>
        <w:rPr>
          <w:rFonts w:ascii="Arial" w:cs="Arial" w:eastAsia="Arial" w:hAnsi="Arial"/>
          <w:sz w:val="14"/>
          <w:szCs w:val="14"/>
          <w:color w:val="auto"/>
        </w:rPr>
        <w:t>Canada on a touch tone telephone</w:t>
      </w:r>
    </w:p>
    <w:tbl>
      <w:tblPr>
        <w:tblLayout w:type="fixed"/>
        <w:tblInd w:w="100" w:type="dxa"/>
        <w:tblCellMar>
          <w:top w:w="0" w:type="dxa"/>
          <w:left w:w="0" w:type="dxa"/>
          <w:bottom w:w="0" w:type="dxa"/>
          <w:right w:w="0" w:type="dxa"/>
        </w:tblCellMar>
      </w:tblPr>
      <w:tr>
        <w:trPr>
          <w:trHeight w:val="266"/>
        </w:trPr>
        <w:tc>
          <w:tcPr>
            <w:tcW w:w="4620" w:type="dxa"/>
            <w:vAlign w:val="bottom"/>
            <w:gridSpan w:val="3"/>
            <w:vMerge w:val="restart"/>
          </w:tcPr>
          <w:p>
            <w:pPr>
              <w:spacing w:after="0"/>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 in</w:t>
            </w:r>
          </w:p>
        </w:tc>
        <w:tc>
          <w:tcPr>
            <w:tcW w:w="1360" w:type="dxa"/>
            <w:vAlign w:val="bottom"/>
          </w:tcPr>
          <w:p>
            <w:pPr>
              <w:ind w:left="560"/>
              <w:spacing w:after="0" w:line="266" w:lineRule="exact"/>
              <w:rPr>
                <w:sz w:val="20"/>
                <w:szCs w:val="20"/>
                <w:color w:val="auto"/>
              </w:rPr>
            </w:pPr>
            <w:r>
              <w:rPr>
                <w:rFonts w:ascii="MS PGothic" w:cs="MS PGothic" w:eastAsia="MS PGothic" w:hAnsi="MS PGothic"/>
                <w:sz w:val="35"/>
                <w:szCs w:val="35"/>
                <w:color w:val="auto"/>
              </w:rPr>
              <w:t>☒</w:t>
            </w:r>
          </w:p>
        </w:tc>
        <w:tc>
          <w:tcPr>
            <w:tcW w:w="4200" w:type="dxa"/>
            <w:vAlign w:val="bottom"/>
            <w:vMerge w:val="restart"/>
          </w:tcPr>
          <w:p>
            <w:pPr>
              <w:ind w:left="380"/>
              <w:spacing w:after="0"/>
              <w:rPr>
                <w:sz w:val="20"/>
                <w:szCs w:val="20"/>
                <w:color w:val="auto"/>
              </w:rPr>
            </w:pPr>
            <w:r>
              <w:rPr>
                <w:rFonts w:ascii="Arial" w:cs="Arial" w:eastAsia="Arial" w:hAnsi="Arial"/>
                <w:sz w:val="14"/>
                <w:szCs w:val="14"/>
                <w:color w:val="5D89B4"/>
              </w:rPr>
              <w:t xml:space="preserve">• </w:t>
            </w:r>
            <w:r>
              <w:rPr>
                <w:rFonts w:ascii="Arial" w:cs="Arial" w:eastAsia="Arial" w:hAnsi="Arial"/>
                <w:sz w:val="14"/>
                <w:szCs w:val="14"/>
                <w:color w:val="000000"/>
              </w:rPr>
              <w:t>Follow the instructions provided by the recorded message</w:t>
            </w:r>
          </w:p>
        </w:tc>
        <w:tc>
          <w:tcPr>
            <w:tcW w:w="0" w:type="dxa"/>
            <w:vAlign w:val="bottom"/>
          </w:tcPr>
          <w:p>
            <w:pPr>
              <w:spacing w:after="0"/>
              <w:rPr>
                <w:sz w:val="1"/>
                <w:szCs w:val="1"/>
                <w:color w:val="auto"/>
              </w:rPr>
            </w:pPr>
          </w:p>
        </w:tc>
      </w:tr>
      <w:tr>
        <w:trPr>
          <w:trHeight w:val="42"/>
        </w:trPr>
        <w:tc>
          <w:tcPr>
            <w:tcW w:w="4620" w:type="dxa"/>
            <w:vAlign w:val="bottom"/>
            <w:gridSpan w:val="3"/>
            <w:vMerge w:val="continue"/>
          </w:tcPr>
          <w:p>
            <w:pPr>
              <w:spacing w:after="0"/>
              <w:rPr>
                <w:sz w:val="3"/>
                <w:szCs w:val="3"/>
                <w:color w:val="auto"/>
              </w:rPr>
            </w:pPr>
          </w:p>
        </w:tc>
        <w:tc>
          <w:tcPr>
            <w:tcW w:w="1360" w:type="dxa"/>
            <w:vAlign w:val="bottom"/>
          </w:tcPr>
          <w:p>
            <w:pPr>
              <w:spacing w:after="0"/>
              <w:rPr>
                <w:sz w:val="3"/>
                <w:szCs w:val="3"/>
                <w:color w:val="auto"/>
              </w:rPr>
            </w:pPr>
          </w:p>
        </w:tc>
        <w:tc>
          <w:tcPr>
            <w:tcW w:w="4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6"/>
        </w:trPr>
        <w:tc>
          <w:tcPr>
            <w:tcW w:w="462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4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620" w:type="dxa"/>
            <w:vAlign w:val="bottom"/>
            <w:gridSpan w:val="3"/>
          </w:tcPr>
          <w:p>
            <w:pPr>
              <w:spacing w:after="0"/>
              <w:rPr>
                <w:sz w:val="20"/>
                <w:szCs w:val="20"/>
                <w:color w:val="auto"/>
              </w:rPr>
            </w:pPr>
            <w:r>
              <w:rPr>
                <w:rFonts w:ascii="Arial" w:cs="Arial" w:eastAsia="Arial" w:hAnsi="Arial"/>
                <w:sz w:val="14"/>
                <w:szCs w:val="14"/>
                <w:color w:val="auto"/>
              </w:rPr>
              <w:t>this example. Please do not write outside the designated areas.</w:t>
            </w:r>
          </w:p>
        </w:tc>
        <w:tc>
          <w:tcPr>
            <w:tcW w:w="13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136525</wp:posOffset>
            </wp:positionV>
            <wp:extent cx="6346190" cy="3689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34619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80" w:hanging="154"/>
        <w:spacing w:after="0"/>
        <w:tabs>
          <w:tab w:leader="none" w:pos="480" w:val="left"/>
        </w:tabs>
        <w:numPr>
          <w:ilvl w:val="0"/>
          <w:numId w:val="87"/>
        </w:numPr>
        <w:rPr>
          <w:rFonts w:ascii="Arial" w:cs="Arial" w:eastAsia="Arial" w:hAnsi="Arial"/>
          <w:sz w:val="14"/>
          <w:szCs w:val="14"/>
          <w:color w:val="auto"/>
        </w:rPr>
      </w:pPr>
      <w:r>
        <w:rPr>
          <w:rFonts w:ascii="Arial" w:cs="Arial" w:eastAsia="Arial" w:hAnsi="Arial"/>
          <w:sz w:val="14"/>
          <w:szCs w:val="14"/>
          <w:b w:val="1"/>
          <w:bCs w:val="1"/>
          <w:color w:val="auto"/>
        </w:rPr>
        <w:t xml:space="preserve">IF YOU HAVE NOT VOTED VIA THE INTERNET </w:t>
      </w:r>
      <w:r>
        <w:rPr>
          <w:rFonts w:ascii="Arial" w:cs="Arial" w:eastAsia="Arial" w:hAnsi="Arial"/>
          <w:sz w:val="14"/>
          <w:szCs w:val="14"/>
          <w:b w:val="1"/>
          <w:bCs w:val="1"/>
          <w:u w:val="single" w:color="auto"/>
          <w:color w:val="auto"/>
        </w:rPr>
        <w:t>OR</w:t>
      </w:r>
      <w:r>
        <w:rPr>
          <w:rFonts w:ascii="Arial" w:cs="Arial" w:eastAsia="Arial" w:hAnsi="Arial"/>
          <w:sz w:val="14"/>
          <w:szCs w:val="14"/>
          <w:b w:val="1"/>
          <w:bCs w:val="1"/>
          <w:color w:val="auto"/>
        </w:rPr>
        <w:t xml:space="preserve"> TELEPHONE, FOLD ALONG THE PERFORATION, DETACH AND RETURN THE BOTTOM PORTION IN THE</w:t>
      </w:r>
    </w:p>
    <w:p>
      <w:pPr>
        <w:spacing w:after="0" w:line="19" w:lineRule="exact"/>
        <w:rPr>
          <w:rFonts w:ascii="Arial" w:cs="Arial" w:eastAsia="Arial" w:hAnsi="Arial"/>
          <w:sz w:val="14"/>
          <w:szCs w:val="14"/>
          <w:color w:val="auto"/>
        </w:rPr>
      </w:pPr>
    </w:p>
    <w:p>
      <w:pPr>
        <w:ind w:left="4800"/>
        <w:spacing w:after="0"/>
        <w:rPr>
          <w:rFonts w:ascii="Arial" w:cs="Arial" w:eastAsia="Arial" w:hAnsi="Arial"/>
          <w:sz w:val="14"/>
          <w:szCs w:val="14"/>
          <w:color w:val="auto"/>
        </w:rPr>
      </w:pPr>
      <w:r>
        <w:rPr>
          <w:rFonts w:ascii="Arial" w:cs="Arial" w:eastAsia="Arial" w:hAnsi="Arial"/>
          <w:sz w:val="14"/>
          <w:szCs w:val="14"/>
          <w:b w:val="1"/>
          <w:bCs w:val="1"/>
          <w:color w:val="auto"/>
        </w:rPr>
        <w:t xml:space="preserve">ENCLOSED ENVELOPE. </w:t>
      </w:r>
      <w:r>
        <w:rPr>
          <w:rFonts w:ascii="Arial" w:cs="Arial" w:eastAsia="Arial" w:hAnsi="Arial"/>
          <w:sz w:val="14"/>
          <w:szCs w:val="14"/>
          <w:color w:val="auto"/>
        </w:rPr>
        <w:t>q</w:t>
      </w:r>
    </w:p>
    <w:p>
      <w:pPr>
        <w:ind w:left="340" w:hanging="289"/>
        <w:spacing w:after="0" w:line="183" w:lineRule="auto"/>
        <w:tabs>
          <w:tab w:leader="none" w:pos="340" w:val="left"/>
        </w:tabs>
        <w:numPr>
          <w:ilvl w:val="1"/>
          <w:numId w:val="88"/>
        </w:numPr>
        <w:rPr>
          <w:rFonts w:ascii="Arial" w:cs="Arial" w:eastAsia="Arial" w:hAnsi="Arial"/>
          <w:sz w:val="25"/>
          <w:szCs w:val="25"/>
          <w:b w:val="1"/>
          <w:bCs w:val="1"/>
          <w:color w:val="FFFFFF"/>
          <w:vertAlign w:val="subscript"/>
        </w:rPr>
      </w:pPr>
      <w:r>
        <w:rPr>
          <w:rFonts w:ascii="Arial" w:cs="Arial" w:eastAsia="Arial" w:hAnsi="Arial"/>
          <w:sz w:val="13"/>
          <w:szCs w:val="13"/>
          <w:b w:val="1"/>
          <w:bCs w:val="1"/>
          <w:color w:val="auto"/>
        </w:rPr>
        <w:t xml:space="preserve">Proposals —  THIS PROXY, WHEN PROPERLY EXECUTED, WILL BE VOTED IN THE MATTER DIRECTED HEREIN BY THE UNDERSIGNED SHAREHOLDER.   </w:t>
      </w:r>
      <w:r>
        <w:rPr>
          <w:rFonts w:ascii="Arial" w:cs="Arial" w:eastAsia="Arial" w:hAnsi="Arial"/>
          <w:sz w:val="54"/>
          <w:szCs w:val="54"/>
          <w:b w:val="1"/>
          <w:bCs w:val="1"/>
          <w:color w:val="auto"/>
          <w:vertAlign w:val="subscript"/>
        </w:rPr>
        <w:t>+</w:t>
      </w:r>
    </w:p>
    <w:p>
      <w:pPr>
        <w:ind w:left="1340" w:right="1280"/>
        <w:spacing w:after="0" w:line="258" w:lineRule="auto"/>
        <w:rPr>
          <w:rFonts w:ascii="Arial" w:cs="Arial" w:eastAsia="Arial" w:hAnsi="Arial"/>
          <w:sz w:val="25"/>
          <w:szCs w:val="25"/>
          <w:b w:val="1"/>
          <w:bCs w:val="1"/>
          <w:color w:val="FFFFFF"/>
          <w:vertAlign w:val="subscript"/>
        </w:rPr>
      </w:pPr>
      <w:r>
        <w:rPr>
          <w:rFonts w:ascii="Arial" w:cs="Arial" w:eastAsia="Arial" w:hAnsi="Arial"/>
          <w:sz w:val="14"/>
          <w:szCs w:val="14"/>
          <w:b w:val="1"/>
          <w:bCs w:val="1"/>
          <w:color w:val="auto"/>
        </w:rPr>
        <w:t xml:space="preserve">IF NO DIRECTION IS MADE, THIS PROXY WILL BE VOTED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PROPOSALS 1, 2 AND 3, AND FOR </w:t>
      </w:r>
      <w:r>
        <w:rPr>
          <w:rFonts w:ascii="Arial" w:cs="Arial" w:eastAsia="Arial" w:hAnsi="Arial"/>
          <w:sz w:val="14"/>
          <w:szCs w:val="14"/>
          <w:b w:val="1"/>
          <w:bCs w:val="1"/>
          <w:u w:val="single" w:color="auto"/>
          <w:color w:val="auto"/>
        </w:rPr>
        <w:t>ONE YEAR</w:t>
      </w:r>
      <w:r>
        <w:rPr>
          <w:rFonts w:ascii="Arial" w:cs="Arial" w:eastAsia="Arial" w:hAnsi="Arial"/>
          <w:sz w:val="14"/>
          <w:szCs w:val="14"/>
          <w:b w:val="1"/>
          <w:bCs w:val="1"/>
          <w:color w:val="auto"/>
        </w:rPr>
        <w:t xml:space="preserve"> ON PROPOSAL 4. PROPOSALS 1, 2, 3 AND 4 ARE BEING PROPOSED BY MANPOWERGROUP INC.</w:t>
      </w:r>
    </w:p>
    <w:p>
      <w:pPr>
        <w:spacing w:after="0" w:line="140" w:lineRule="exact"/>
        <w:rPr>
          <w:rFonts w:ascii="Arial" w:cs="Arial" w:eastAsia="Arial" w:hAnsi="Arial"/>
          <w:sz w:val="25"/>
          <w:szCs w:val="25"/>
          <w:b w:val="1"/>
          <w:bCs w:val="1"/>
          <w:color w:val="FFFFFF"/>
          <w:vertAlign w:val="subscript"/>
        </w:rPr>
      </w:pPr>
    </w:p>
    <w:p>
      <w:pPr>
        <w:ind w:left="160" w:hanging="152"/>
        <w:spacing w:after="0"/>
        <w:tabs>
          <w:tab w:leader="none" w:pos="1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-628015</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-628015</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-628015</wp:posOffset>
            </wp:positionV>
            <wp:extent cx="88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-628015</wp:posOffset>
            </wp:positionV>
            <wp:extent cx="88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-628015</wp:posOffset>
            </wp:positionV>
            <wp:extent cx="88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-628015</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-628015</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-628015</wp:posOffset>
            </wp:positionV>
            <wp:extent cx="88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-628015</wp:posOffset>
            </wp:positionV>
            <wp:extent cx="8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-628015</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-628015</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-628015</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-628015</wp:posOffset>
            </wp:positionV>
            <wp:extent cx="88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-628015</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-628015</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-628015</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-628015</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-628015</wp:posOffset>
            </wp:positionV>
            <wp:extent cx="88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-628015</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-628015</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-628015</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-628015</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-628015</wp:posOffset>
            </wp:positionV>
            <wp:extent cx="88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-628015</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-628015</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-628015</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-628015</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-628015</wp:posOffset>
            </wp:positionV>
            <wp:extent cx="88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-628015</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-628015</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-628015</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-628015</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-628015</wp:posOffset>
            </wp:positionV>
            <wp:extent cx="8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-628015</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-628015</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-628015</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-628015</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-628015</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-628015</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-628015</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-628015</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-628015</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-628015</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-628015</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-628015</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-628015</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-628015</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-628015</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-628015</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-628015</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-628015</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-628015</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-628015</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-628015</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-628015</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-628015</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-628015</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-628015</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-628015</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-628015</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-628015</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-628015</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-628015</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-628015</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-628015</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-628015</wp:posOffset>
            </wp:positionV>
            <wp:extent cx="8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-628015</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-628015</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-628015</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-628015</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-628015</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-628015</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-628015</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-628015</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-628015</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-628015</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-628015</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-628015</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-628015</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-628015</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-628015</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-628015</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-628015</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-628015</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-628015</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-628015</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-628015</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-628015</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-628015</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-628015</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-628015</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-628015</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-628015</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-628015</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-628015</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-628015</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-628015</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-628015</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-628015</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-628015</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-628015</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-628015</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-628015</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-628015</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-628015</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-628015</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-628015</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-628015</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-628015</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-628015</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-628015</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-628015</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-628015</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-628015</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-628015</wp:posOffset>
            </wp:positionV>
            <wp:extent cx="88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-628015</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-628015</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-628015</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-628015</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-628015</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-628015</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-628015</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-628015</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-628015</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-628015</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-628015</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-628015</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-628015</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-628015</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-628015</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-628015</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-628015</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-628015</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-628015</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-628015</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-628015</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-628015</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-628015</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-628015</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-628015</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-628015</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-628015</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-628015</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-628015</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-628015</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-628015</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-628015</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-628015</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-628015</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-628015</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-628015</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-628015</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-628015</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-628015</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-628015</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-628015</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-628015</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-628015</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-628015</wp:posOffset>
            </wp:positionV>
            <wp:extent cx="88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-628015</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-628015</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-628015</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-628015</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-628015</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-628015</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-628015</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-628015</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-628015</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-628015</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-628015</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-628015</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-628015</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-628015</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-628015</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-628015</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-628015</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-628015</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-628015</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-628015</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-628015</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-628015</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-628015</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-628015</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-628015</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-628015</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-628015</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-628015</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-628015</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-628015</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-628015</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-628015</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-628015</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-628015</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-628015</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-628015</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-628015</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-628015</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-628015</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-628015</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-628015</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-628015</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-628015</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-628015</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-628015</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-628015</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-628015</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-628015</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-628015</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-628015</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-628015</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-628015</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-628015</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-628015</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-628015</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-628015</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-628015</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-628015</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-628015</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-628015</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-628015</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-628015</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-628015</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-628015</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-628015</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-628015</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-628015</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-628015</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-628015</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-628015</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-628015</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-628015</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-628015</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-628015</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-628015</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-628015</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-628015</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-628015</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-628015</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-628015</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-628015</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-628015</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-628015</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-628015</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-628015</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-628015</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-628015</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-628015</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-628015</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-628015</wp:posOffset>
            </wp:positionV>
            <wp:extent cx="88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-628015</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-628015</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-628015</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-628015</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-628015</wp:posOffset>
            </wp:positionV>
            <wp:extent cx="88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-628015</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-628015</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-628015</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-628015</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-628015</wp:posOffset>
            </wp:positionV>
            <wp:extent cx="88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-628015</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-628015</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-628015</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-628015</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-628015</wp:posOffset>
            </wp:positionV>
            <wp:extent cx="88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-628015</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-628015</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-628015</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-628015</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-628015</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-628015</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-628015</wp:posOffset>
            </wp:positionV>
            <wp:extent cx="88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-628015</wp:posOffset>
            </wp:positionV>
            <wp:extent cx="88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-628015</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-628015</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-628015</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-628015</wp:posOffset>
            </wp:positionV>
            <wp:extent cx="88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-628015</wp:posOffset>
            </wp:positionV>
            <wp:extent cx="88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-628015</wp:posOffset>
            </wp:positionV>
            <wp:extent cx="88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-628015</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-628015</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-628015</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-628015</wp:posOffset>
            </wp:positionV>
            <wp:extent cx="88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-628015</wp:posOffset>
            </wp:positionV>
            <wp:extent cx="88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-628015</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-628015</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-628015</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-628015</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-628015</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-628015</wp:posOffset>
            </wp:positionV>
            <wp:extent cx="88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-628015</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-628015</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-628015</wp:posOffset>
            </wp:positionV>
            <wp:extent cx="88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-628015</wp:posOffset>
            </wp:positionV>
            <wp:extent cx="8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-628015</wp:posOffset>
            </wp:positionV>
            <wp:extent cx="88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-628015</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-628015</wp:posOffset>
            </wp:positionV>
            <wp:extent cx="88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-628015</wp:posOffset>
            </wp:positionV>
            <wp:extent cx="88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-628015</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-628015</wp:posOffset>
            </wp:positionV>
            <wp:extent cx="88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-628015</wp:posOffset>
            </wp:positionV>
            <wp:extent cx="88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-628015</wp:posOffset>
            </wp:positionV>
            <wp:extent cx="88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-628015</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-628015</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-628015</wp:posOffset>
            </wp:positionV>
            <wp:extent cx="88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-628015</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-628015</wp:posOffset>
            </wp:positionV>
            <wp:extent cx="88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-628015</wp:posOffset>
            </wp:positionV>
            <wp:extent cx="88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-628015</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-628015</wp:posOffset>
            </wp:positionV>
            <wp:extent cx="88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-628015</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-628015</wp:posOffset>
            </wp:positionV>
            <wp:extent cx="889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-628015</wp:posOffset>
            </wp:positionV>
            <wp:extent cx="88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-628015</wp:posOffset>
            </wp:positionV>
            <wp:extent cx="88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-628015</wp:posOffset>
            </wp:positionV>
            <wp:extent cx="88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-628015</wp:posOffset>
            </wp:positionV>
            <wp:extent cx="88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-628015</wp:posOffset>
            </wp:positionV>
            <wp:extent cx="889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-628015</wp:posOffset>
            </wp:positionV>
            <wp:extent cx="88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-628015</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-628015</wp:posOffset>
            </wp:positionV>
            <wp:extent cx="88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-628015</wp:posOffset>
            </wp:positionV>
            <wp:extent cx="88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-628015</wp:posOffset>
            </wp:positionV>
            <wp:extent cx="88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-628015</wp:posOffset>
            </wp:positionV>
            <wp:extent cx="88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-628015</wp:posOffset>
            </wp:positionV>
            <wp:extent cx="88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-628015</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-628015</wp:posOffset>
            </wp:positionV>
            <wp:extent cx="88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-628015</wp:posOffset>
            </wp:positionV>
            <wp:extent cx="88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-628015</wp:posOffset>
            </wp:positionV>
            <wp:extent cx="88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-628015</wp:posOffset>
            </wp:positionV>
            <wp:extent cx="88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-628015</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-628015</wp:posOffset>
            </wp:positionV>
            <wp:extent cx="88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-628015</wp:posOffset>
            </wp:positionV>
            <wp:extent cx="88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-628015</wp:posOffset>
            </wp:positionV>
            <wp:extent cx="88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-628015</wp:posOffset>
            </wp:positionV>
            <wp:extent cx="88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-628015</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-628015</wp:posOffset>
            </wp:positionV>
            <wp:extent cx="88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-628015</wp:posOffset>
            </wp:positionV>
            <wp:extent cx="88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-628015</wp:posOffset>
            </wp:positionV>
            <wp:extent cx="88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-628015</wp:posOffset>
            </wp:positionV>
            <wp:extent cx="88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-628015</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-628015</wp:posOffset>
            </wp:positionV>
            <wp:extent cx="88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-628015</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-628015</wp:posOffset>
            </wp:positionV>
            <wp:extent cx="88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-628015</wp:posOffset>
            </wp:positionV>
            <wp:extent cx="88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-628015</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-628015</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-628015</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-628015</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-628015</wp:posOffset>
            </wp:positionV>
            <wp:extent cx="88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-628015</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-628015</wp:posOffset>
            </wp:positionV>
            <wp:extent cx="88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-628015</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-628015</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-628015</wp:posOffset>
            </wp:positionV>
            <wp:extent cx="88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-628015</wp:posOffset>
            </wp:positionV>
            <wp:extent cx="88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-628015</wp:posOffset>
            </wp:positionV>
            <wp:extent cx="88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-628015</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-628015</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-628015</wp:posOffset>
            </wp:positionV>
            <wp:extent cx="889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-628015</wp:posOffset>
            </wp:positionV>
            <wp:extent cx="88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-628015</wp:posOffset>
            </wp:positionV>
            <wp:extent cx="88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-628015</wp:posOffset>
            </wp:positionV>
            <wp:extent cx="8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-628015</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-628015</wp:posOffset>
            </wp:positionV>
            <wp:extent cx="88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-628015</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-628015</wp:posOffset>
            </wp:positionV>
            <wp:extent cx="889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-628015</wp:posOffset>
            </wp:positionV>
            <wp:extent cx="88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-628015</wp:posOffset>
            </wp:positionV>
            <wp:extent cx="88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-628015</wp:posOffset>
            </wp:positionV>
            <wp:extent cx="88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-628015</wp:posOffset>
            </wp:positionV>
            <wp:extent cx="88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-628015</wp:posOffset>
            </wp:positionV>
            <wp:extent cx="88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-628015</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-628015</wp:posOffset>
            </wp:positionV>
            <wp:extent cx="88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-628015</wp:posOffset>
            </wp:positionV>
            <wp:extent cx="88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-628015</wp:posOffset>
            </wp:positionV>
            <wp:extent cx="88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-628015</wp:posOffset>
            </wp:positionV>
            <wp:extent cx="88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-628015</wp:posOffset>
            </wp:positionV>
            <wp:extent cx="88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-628015</wp:posOffset>
            </wp:positionV>
            <wp:extent cx="88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-628015</wp:posOffset>
            </wp:positionV>
            <wp:extent cx="88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-628015</wp:posOffset>
            </wp:positionV>
            <wp:extent cx="88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-628015</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-628015</wp:posOffset>
            </wp:positionV>
            <wp:extent cx="88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-628015</wp:posOffset>
            </wp:positionV>
            <wp:extent cx="889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-628015</wp:posOffset>
            </wp:positionV>
            <wp:extent cx="88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-628015</wp:posOffset>
            </wp:positionV>
            <wp:extent cx="88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-628015</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-628015</wp:posOffset>
            </wp:positionV>
            <wp:extent cx="88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-628015</wp:posOffset>
            </wp:positionV>
            <wp:extent cx="889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-628015</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-628015</wp:posOffset>
            </wp:positionV>
            <wp:extent cx="889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-628015</wp:posOffset>
            </wp:positionV>
            <wp:extent cx="88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-628015</wp:posOffset>
            </wp:positionV>
            <wp:extent cx="889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-628015</wp:posOffset>
            </wp:positionV>
            <wp:extent cx="889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-628015</wp:posOffset>
            </wp:positionV>
            <wp:extent cx="889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-628015</wp:posOffset>
            </wp:positionV>
            <wp:extent cx="889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-628015</wp:posOffset>
            </wp:positionV>
            <wp:extent cx="88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-628015</wp:posOffset>
            </wp:positionV>
            <wp:extent cx="88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-628015</wp:posOffset>
            </wp:positionV>
            <wp:extent cx="88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-628015</wp:posOffset>
            </wp:positionV>
            <wp:extent cx="889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-628015</wp:posOffset>
            </wp:positionV>
            <wp:extent cx="889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-628015</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-628015</wp:posOffset>
            </wp:positionV>
            <wp:extent cx="88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-628015</wp:posOffset>
            </wp:positionV>
            <wp:extent cx="88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-628015</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-628015</wp:posOffset>
            </wp:positionV>
            <wp:extent cx="889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-628015</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-628015</wp:posOffset>
            </wp:positionV>
            <wp:extent cx="88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-628015</wp:posOffset>
            </wp:positionV>
            <wp:extent cx="88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-628015</wp:posOffset>
            </wp:positionV>
            <wp:extent cx="88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-628015</wp:posOffset>
            </wp:positionV>
            <wp:extent cx="889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-628015</wp:posOffset>
            </wp:positionV>
            <wp:extent cx="88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-628015</wp:posOffset>
            </wp:positionV>
            <wp:extent cx="889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-628015</wp:posOffset>
            </wp:positionV>
            <wp:extent cx="889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-628015</wp:posOffset>
            </wp:positionV>
            <wp:extent cx="88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-628015</wp:posOffset>
            </wp:positionV>
            <wp:extent cx="889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-628015</wp:posOffset>
            </wp:positionV>
            <wp:extent cx="88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-628015</wp:posOffset>
            </wp:positionV>
            <wp:extent cx="88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-628015</wp:posOffset>
            </wp:positionV>
            <wp:extent cx="889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-628015</wp:posOffset>
            </wp:positionV>
            <wp:extent cx="889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-628015</wp:posOffset>
            </wp:positionV>
            <wp:extent cx="88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-628015</wp:posOffset>
            </wp:positionV>
            <wp:extent cx="88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-628015</wp:posOffset>
            </wp:positionV>
            <wp:extent cx="889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-628015</wp:posOffset>
            </wp:positionV>
            <wp:extent cx="88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-628015</wp:posOffset>
            </wp:positionV>
            <wp:extent cx="889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-516255</wp:posOffset>
            </wp:positionV>
            <wp:extent cx="146050" cy="15430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46050" cy="154305"/>
                    </a:xfrm>
                    <a:prstGeom prst="rect">
                      <a:avLst/>
                    </a:prstGeom>
                    <a:noFill/>
                  </pic:spPr>
                </pic:pic>
              </a:graphicData>
            </a:graphic>
          </wp:anchor>
        </w:drawing>
      </w:r>
    </w:p>
    <w:p>
      <w:pPr>
        <w:ind w:left="160"/>
        <w:spacing w:after="0"/>
        <w:tabs>
          <w:tab w:leader="none" w:pos="2020" w:val="left"/>
          <w:tab w:leader="none" w:pos="2380" w:val="left"/>
          <w:tab w:leader="none" w:pos="5820" w:val="left"/>
          <w:tab w:leader="none" w:pos="6180" w:val="left"/>
          <w:tab w:leader="none" w:pos="6860" w:val="left"/>
          <w:tab w:leader="none" w:pos="9100" w:val="left"/>
          <w:tab w:leader="none" w:pos="9460" w:val="left"/>
          <w:tab w:leader="none" w:pos="10160" w:val="left"/>
        </w:tabs>
        <w:rPr>
          <w:sz w:val="20"/>
          <w:szCs w:val="20"/>
          <w:color w:val="auto"/>
        </w:rPr>
      </w:pPr>
      <w:r>
        <w:rPr>
          <w:rFonts w:ascii="Arial" w:cs="Arial" w:eastAsia="Arial" w:hAnsi="Arial"/>
          <w:sz w:val="23"/>
          <w:szCs w:val="23"/>
          <w:color w:val="auto"/>
          <w:vertAlign w:val="subscript"/>
        </w:rPr>
        <w:t>Nominees:</w:t>
      </w:r>
      <w:r>
        <w:rPr>
          <w:sz w:val="20"/>
          <w:szCs w:val="20"/>
          <w:color w:val="auto"/>
        </w:rPr>
        <w:tab/>
      </w:r>
      <w:r>
        <w:rPr>
          <w:rFonts w:ascii="Arial" w:cs="Arial" w:eastAsia="Arial" w:hAnsi="Arial"/>
          <w:sz w:val="12"/>
          <w:szCs w:val="12"/>
          <w:b w:val="1"/>
          <w:bCs w:val="1"/>
          <w:color w:val="auto"/>
        </w:rPr>
        <w:t>For</w:t>
      </w:r>
      <w:r>
        <w:rPr>
          <w:sz w:val="20"/>
          <w:szCs w:val="20"/>
          <w:color w:val="auto"/>
        </w:rPr>
        <w:tab/>
      </w:r>
      <w:r>
        <w:rPr>
          <w:rFonts w:ascii="Arial" w:cs="Arial" w:eastAsia="Arial" w:hAnsi="Arial"/>
          <w:sz w:val="14"/>
          <w:szCs w:val="14"/>
          <w:b w:val="1"/>
          <w:bCs w:val="1"/>
          <w:color w:val="auto"/>
        </w:rPr>
        <w:t>Against Abstain</w:t>
      </w:r>
      <w:r>
        <w:rPr>
          <w:sz w:val="20"/>
          <w:szCs w:val="20"/>
          <w:color w:val="auto"/>
        </w:rPr>
        <w:tab/>
      </w:r>
      <w:r>
        <w:rPr>
          <w:rFonts w:ascii="Arial" w:cs="Arial" w:eastAsia="Arial" w:hAnsi="Arial"/>
          <w:sz w:val="14"/>
          <w:szCs w:val="14"/>
          <w:b w:val="1"/>
          <w:bCs w:val="1"/>
          <w:color w:val="auto"/>
        </w:rPr>
        <w:t>For</w:t>
        <w:tab/>
        <w:t>Against</w:t>
        <w:tab/>
        <w:t>Abstain</w:t>
      </w:r>
      <w:r>
        <w:rPr>
          <w:sz w:val="20"/>
          <w:szCs w:val="20"/>
          <w:color w:val="auto"/>
        </w:rPr>
        <w:tab/>
      </w:r>
      <w:r>
        <w:rPr>
          <w:rFonts w:ascii="Arial" w:cs="Arial" w:eastAsia="Arial" w:hAnsi="Arial"/>
          <w:sz w:val="14"/>
          <w:szCs w:val="14"/>
          <w:b w:val="1"/>
          <w:bCs w:val="1"/>
          <w:color w:val="auto"/>
        </w:rPr>
        <w:t>For</w:t>
        <w:tab/>
        <w:t>Against</w:t>
        <w:tab/>
        <w:t>Abstain</w:t>
      </w:r>
    </w:p>
    <w:p>
      <w:pPr>
        <w:sectPr>
          <w:pgSz w:w="11900" w:h="16838" w:orient="portrait"/>
          <w:cols w:equalWidth="0" w:num="1">
            <w:col w:w="11420"/>
          </w:cols>
          <w:pgMar w:left="240" w:top="459" w:right="239" w:bottom="1440" w:gutter="0" w:footer="0" w:header="0"/>
        </w:sectPr>
      </w:pPr>
    </w:p>
    <w:p>
      <w:pPr>
        <w:spacing w:after="0" w:line="25" w:lineRule="exact"/>
        <w:rPr>
          <w:sz w:val="20"/>
          <w:szCs w:val="20"/>
          <w:color w:val="auto"/>
        </w:rPr>
      </w:pPr>
    </w:p>
    <w:tbl>
      <w:tblPr>
        <w:tblLayout w:type="fixed"/>
        <w:tblInd w:w="160" w:type="dxa"/>
        <w:tblCellMar>
          <w:top w:w="0" w:type="dxa"/>
          <w:left w:w="0" w:type="dxa"/>
          <w:bottom w:w="0" w:type="dxa"/>
          <w:right w:w="0" w:type="dxa"/>
        </w:tblCellMar>
      </w:tblPr>
      <w:tr>
        <w:trPr>
          <w:trHeight w:val="270"/>
        </w:trPr>
        <w:tc>
          <w:tcPr>
            <w:tcW w:w="1620" w:type="dxa"/>
            <w:vAlign w:val="bottom"/>
            <w:vMerge w:val="restart"/>
          </w:tcPr>
          <w:p>
            <w:pPr>
              <w:spacing w:after="0"/>
              <w:rPr>
                <w:sz w:val="20"/>
                <w:szCs w:val="20"/>
                <w:color w:val="auto"/>
              </w:rPr>
            </w:pPr>
            <w:r>
              <w:rPr>
                <w:rFonts w:ascii="Arial" w:cs="Arial" w:eastAsia="Arial" w:hAnsi="Arial"/>
                <w:sz w:val="14"/>
                <w:szCs w:val="14"/>
                <w:color w:val="auto"/>
              </w:rPr>
              <w:t>1.A - Gina R. Boswell</w:t>
            </w:r>
          </w:p>
        </w:tc>
        <w:tc>
          <w:tcPr>
            <w:tcW w:w="640" w:type="dxa"/>
            <w:vAlign w:val="bottom"/>
          </w:tcPr>
          <w:p>
            <w:pPr>
              <w:ind w:left="260"/>
              <w:spacing w:after="0" w:line="271" w:lineRule="exact"/>
              <w:rPr>
                <w:sz w:val="20"/>
                <w:szCs w:val="20"/>
                <w:color w:val="auto"/>
              </w:rPr>
            </w:pPr>
            <w:r>
              <w:rPr>
                <w:rFonts w:ascii="MS PGothic" w:cs="MS PGothic" w:eastAsia="MS PGothic" w:hAnsi="MS PGothic"/>
                <w:sz w:val="27"/>
                <w:szCs w:val="27"/>
                <w:color w:val="auto"/>
              </w:rPr>
              <w:t>☐</w:t>
            </w:r>
          </w:p>
        </w:tc>
        <w:tc>
          <w:tcPr>
            <w:tcW w:w="360" w:type="dxa"/>
            <w:vAlign w:val="bottom"/>
          </w:tcPr>
          <w:p>
            <w:pPr>
              <w:ind w:left="120"/>
              <w:spacing w:after="0" w:line="271" w:lineRule="exact"/>
              <w:rPr>
                <w:sz w:val="20"/>
                <w:szCs w:val="20"/>
                <w:color w:val="auto"/>
              </w:rPr>
            </w:pPr>
            <w:r>
              <w:rPr>
                <w:rFonts w:ascii="MS PGothic" w:cs="MS PGothic" w:eastAsia="MS PGothic" w:hAnsi="MS PGothic"/>
                <w:sz w:val="27"/>
                <w:szCs w:val="27"/>
                <w:color w:val="auto"/>
                <w:w w:val="81"/>
              </w:rPr>
              <w:t>☐</w:t>
            </w:r>
          </w:p>
        </w:tc>
        <w:tc>
          <w:tcPr>
            <w:tcW w:w="0" w:type="dxa"/>
            <w:vAlign w:val="bottom"/>
          </w:tcPr>
          <w:p>
            <w:pPr>
              <w:spacing w:after="0"/>
              <w:rPr>
                <w:sz w:val="1"/>
                <w:szCs w:val="1"/>
                <w:color w:val="auto"/>
              </w:rPr>
            </w:pPr>
          </w:p>
        </w:tc>
      </w:tr>
      <w:tr>
        <w:trPr>
          <w:trHeight w:val="42"/>
        </w:trPr>
        <w:tc>
          <w:tcPr>
            <w:tcW w:w="1620" w:type="dxa"/>
            <w:vAlign w:val="bottom"/>
            <w:vMerge w:val="continue"/>
          </w:tcPr>
          <w:p>
            <w:pPr>
              <w:spacing w:after="0"/>
              <w:rPr>
                <w:sz w:val="3"/>
                <w:szCs w:val="3"/>
                <w:color w:val="auto"/>
              </w:rPr>
            </w:pPr>
          </w:p>
        </w:tc>
        <w:tc>
          <w:tcPr>
            <w:tcW w:w="640" w:type="dxa"/>
            <w:vAlign w:val="bottom"/>
            <w:vMerge w:val="restart"/>
          </w:tcPr>
          <w:p>
            <w:pPr>
              <w:ind w:left="260"/>
              <w:spacing w:after="0" w:line="271" w:lineRule="exact"/>
              <w:rPr>
                <w:sz w:val="20"/>
                <w:szCs w:val="20"/>
                <w:color w:val="auto"/>
              </w:rPr>
            </w:pPr>
            <w:r>
              <w:rPr>
                <w:rFonts w:ascii="MS PGothic" w:cs="MS PGothic" w:eastAsia="MS PGothic" w:hAnsi="MS PGothic"/>
                <w:sz w:val="27"/>
                <w:szCs w:val="27"/>
                <w:color w:val="auto"/>
              </w:rPr>
              <w:t>☐</w:t>
            </w:r>
          </w:p>
        </w:tc>
        <w:tc>
          <w:tcPr>
            <w:tcW w:w="360" w:type="dxa"/>
            <w:vAlign w:val="bottom"/>
            <w:vMerge w:val="restart"/>
          </w:tcPr>
          <w:p>
            <w:pPr>
              <w:ind w:left="120"/>
              <w:spacing w:after="0" w:line="271" w:lineRule="exact"/>
              <w:rPr>
                <w:sz w:val="20"/>
                <w:szCs w:val="20"/>
                <w:color w:val="auto"/>
              </w:rPr>
            </w:pPr>
            <w:r>
              <w:rPr>
                <w:rFonts w:ascii="MS PGothic" w:cs="MS PGothic" w:eastAsia="MS PGothic" w:hAnsi="MS PGothic"/>
                <w:sz w:val="27"/>
                <w:szCs w:val="27"/>
                <w:color w:val="auto"/>
                <w:w w:val="81"/>
              </w:rPr>
              <w:t>☐</w:t>
            </w:r>
          </w:p>
        </w:tc>
        <w:tc>
          <w:tcPr>
            <w:tcW w:w="0" w:type="dxa"/>
            <w:vAlign w:val="bottom"/>
          </w:tcPr>
          <w:p>
            <w:pPr>
              <w:spacing w:after="0"/>
              <w:rPr>
                <w:sz w:val="1"/>
                <w:szCs w:val="1"/>
                <w:color w:val="auto"/>
              </w:rPr>
            </w:pPr>
          </w:p>
        </w:tc>
      </w:tr>
      <w:tr>
        <w:trPr>
          <w:trHeight w:val="390"/>
        </w:trPr>
        <w:tc>
          <w:tcPr>
            <w:tcW w:w="1620" w:type="dxa"/>
            <w:vAlign w:val="bottom"/>
            <w:vMerge w:val="restart"/>
          </w:tcPr>
          <w:p>
            <w:pPr>
              <w:spacing w:after="0"/>
              <w:rPr>
                <w:sz w:val="20"/>
                <w:szCs w:val="20"/>
                <w:color w:val="auto"/>
              </w:rPr>
            </w:pPr>
            <w:r>
              <w:rPr>
                <w:rFonts w:ascii="Arial" w:cs="Arial" w:eastAsia="Arial" w:hAnsi="Arial"/>
                <w:sz w:val="14"/>
                <w:szCs w:val="14"/>
                <w:color w:val="auto"/>
              </w:rPr>
              <w:t>1.D - John F. Ferraro</w:t>
            </w:r>
          </w:p>
        </w:tc>
        <w:tc>
          <w:tcPr>
            <w:tcW w:w="640" w:type="dxa"/>
            <w:vAlign w:val="bottom"/>
            <w:vMerge w:val="continue"/>
          </w:tcPr>
          <w:p>
            <w:pPr>
              <w:spacing w:after="0"/>
              <w:rPr>
                <w:sz w:val="24"/>
                <w:szCs w:val="24"/>
                <w:color w:val="auto"/>
              </w:rPr>
            </w:pPr>
          </w:p>
        </w:tc>
        <w:tc>
          <w:tcPr>
            <w:tcW w:w="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162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54"/>
        </w:trPr>
        <w:tc>
          <w:tcPr>
            <w:tcW w:w="2260" w:type="dxa"/>
            <w:vAlign w:val="bottom"/>
            <w:gridSpan w:val="2"/>
          </w:tcPr>
          <w:p>
            <w:pPr>
              <w:spacing w:after="0" w:line="271" w:lineRule="exact"/>
              <w:rPr>
                <w:sz w:val="20"/>
                <w:szCs w:val="20"/>
                <w:color w:val="auto"/>
              </w:rPr>
            </w:pPr>
            <w:r>
              <w:rPr>
                <w:rFonts w:ascii="Arial" w:cs="Arial" w:eastAsia="Arial" w:hAnsi="Arial"/>
                <w:sz w:val="14"/>
                <w:szCs w:val="14"/>
                <w:color w:val="auto"/>
                <w:w w:val="88"/>
              </w:rPr>
              <w:t>1.G - Roberto Mendoza</w:t>
            </w:r>
            <w:r>
              <w:rPr>
                <w:rFonts w:ascii="MS PGothic" w:cs="MS PGothic" w:eastAsia="MS PGothic" w:hAnsi="MS PGothic"/>
                <w:sz w:val="27"/>
                <w:szCs w:val="27"/>
                <w:color w:val="auto"/>
                <w:w w:val="88"/>
              </w:rPr>
              <w:t>☐</w:t>
            </w:r>
          </w:p>
        </w:tc>
        <w:tc>
          <w:tcPr>
            <w:tcW w:w="360" w:type="dxa"/>
            <w:vAlign w:val="bottom"/>
          </w:tcPr>
          <w:p>
            <w:pPr>
              <w:ind w:left="120"/>
              <w:spacing w:after="0" w:line="271" w:lineRule="exact"/>
              <w:rPr>
                <w:sz w:val="20"/>
                <w:szCs w:val="20"/>
                <w:color w:val="auto"/>
              </w:rPr>
            </w:pPr>
            <w:r>
              <w:rPr>
                <w:rFonts w:ascii="MS PGothic" w:cs="MS PGothic" w:eastAsia="MS PGothic" w:hAnsi="MS PGothic"/>
                <w:sz w:val="27"/>
                <w:szCs w:val="27"/>
                <w:color w:val="auto"/>
                <w:w w:val="81"/>
              </w:rPr>
              <w:t>☐</w:t>
            </w:r>
          </w:p>
        </w:tc>
        <w:tc>
          <w:tcPr>
            <w:tcW w:w="0" w:type="dxa"/>
            <w:vAlign w:val="bottom"/>
          </w:tcPr>
          <w:p>
            <w:pPr>
              <w:spacing w:after="0"/>
              <w:rPr>
                <w:sz w:val="1"/>
                <w:szCs w:val="1"/>
                <w:color w:val="auto"/>
              </w:rPr>
            </w:pPr>
          </w:p>
        </w:tc>
      </w:tr>
      <w:tr>
        <w:trPr>
          <w:trHeight w:val="282"/>
        </w:trPr>
        <w:tc>
          <w:tcPr>
            <w:tcW w:w="1620" w:type="dxa"/>
            <w:vAlign w:val="bottom"/>
            <w:vMerge w:val="restart"/>
          </w:tcPr>
          <w:p>
            <w:pPr>
              <w:spacing w:after="0"/>
              <w:rPr>
                <w:sz w:val="20"/>
                <w:szCs w:val="20"/>
                <w:color w:val="auto"/>
              </w:rPr>
            </w:pPr>
            <w:r>
              <w:rPr>
                <w:rFonts w:ascii="Arial" w:cs="Arial" w:eastAsia="Arial" w:hAnsi="Arial"/>
                <w:sz w:val="14"/>
                <w:szCs w:val="14"/>
                <w:color w:val="auto"/>
              </w:rPr>
              <w:t>1.J - Paul Read</w:t>
            </w:r>
          </w:p>
        </w:tc>
        <w:tc>
          <w:tcPr>
            <w:tcW w:w="640" w:type="dxa"/>
            <w:vAlign w:val="bottom"/>
          </w:tcPr>
          <w:p>
            <w:pPr>
              <w:ind w:left="260"/>
              <w:spacing w:after="0" w:line="271" w:lineRule="exact"/>
              <w:rPr>
                <w:sz w:val="20"/>
                <w:szCs w:val="20"/>
                <w:color w:val="auto"/>
              </w:rPr>
            </w:pPr>
            <w:r>
              <w:rPr>
                <w:rFonts w:ascii="MS PGothic" w:cs="MS PGothic" w:eastAsia="MS PGothic" w:hAnsi="MS PGothic"/>
                <w:sz w:val="27"/>
                <w:szCs w:val="27"/>
                <w:color w:val="auto"/>
              </w:rPr>
              <w:t>☐</w:t>
            </w:r>
          </w:p>
        </w:tc>
        <w:tc>
          <w:tcPr>
            <w:tcW w:w="360" w:type="dxa"/>
            <w:vAlign w:val="bottom"/>
          </w:tcPr>
          <w:p>
            <w:pPr>
              <w:ind w:left="120"/>
              <w:spacing w:after="0" w:line="271" w:lineRule="exact"/>
              <w:rPr>
                <w:sz w:val="20"/>
                <w:szCs w:val="20"/>
                <w:color w:val="auto"/>
              </w:rPr>
            </w:pPr>
            <w:r>
              <w:rPr>
                <w:rFonts w:ascii="MS PGothic" w:cs="MS PGothic" w:eastAsia="MS PGothic" w:hAnsi="MS PGothic"/>
                <w:sz w:val="27"/>
                <w:szCs w:val="27"/>
                <w:color w:val="auto"/>
                <w:w w:val="81"/>
              </w:rPr>
              <w:t>☐</w:t>
            </w:r>
          </w:p>
        </w:tc>
        <w:tc>
          <w:tcPr>
            <w:tcW w:w="0" w:type="dxa"/>
            <w:vAlign w:val="bottom"/>
          </w:tcPr>
          <w:p>
            <w:pPr>
              <w:spacing w:after="0"/>
              <w:rPr>
                <w:sz w:val="1"/>
                <w:szCs w:val="1"/>
                <w:color w:val="auto"/>
              </w:rPr>
            </w:pPr>
          </w:p>
        </w:tc>
      </w:tr>
      <w:tr>
        <w:trPr>
          <w:trHeight w:val="42"/>
        </w:trPr>
        <w:tc>
          <w:tcPr>
            <w:tcW w:w="1620" w:type="dxa"/>
            <w:vAlign w:val="bottom"/>
            <w:vMerge w:val="continue"/>
          </w:tcPr>
          <w:p>
            <w:pPr>
              <w:spacing w:after="0"/>
              <w:rPr>
                <w:sz w:val="3"/>
                <w:szCs w:val="3"/>
                <w:color w:val="auto"/>
              </w:rPr>
            </w:pPr>
          </w:p>
        </w:tc>
        <w:tc>
          <w:tcPr>
            <w:tcW w:w="640" w:type="dxa"/>
            <w:vAlign w:val="bottom"/>
            <w:vMerge w:val="restart"/>
          </w:tcPr>
          <w:p>
            <w:pPr>
              <w:ind w:left="260"/>
              <w:spacing w:after="0" w:line="271" w:lineRule="exact"/>
              <w:rPr>
                <w:sz w:val="20"/>
                <w:szCs w:val="20"/>
                <w:color w:val="auto"/>
              </w:rPr>
            </w:pPr>
            <w:r>
              <w:rPr>
                <w:rFonts w:ascii="MS PGothic" w:cs="MS PGothic" w:eastAsia="MS PGothic" w:hAnsi="MS PGothic"/>
                <w:sz w:val="27"/>
                <w:szCs w:val="27"/>
                <w:color w:val="auto"/>
              </w:rPr>
              <w:t>☐</w:t>
            </w:r>
          </w:p>
        </w:tc>
        <w:tc>
          <w:tcPr>
            <w:tcW w:w="360" w:type="dxa"/>
            <w:vAlign w:val="bottom"/>
            <w:vMerge w:val="restart"/>
          </w:tcPr>
          <w:p>
            <w:pPr>
              <w:ind w:left="120"/>
              <w:spacing w:after="0" w:line="271" w:lineRule="exact"/>
              <w:rPr>
                <w:sz w:val="20"/>
                <w:szCs w:val="20"/>
                <w:color w:val="auto"/>
              </w:rPr>
            </w:pPr>
            <w:r>
              <w:rPr>
                <w:rFonts w:ascii="MS PGothic" w:cs="MS PGothic" w:eastAsia="MS PGothic" w:hAnsi="MS PGothic"/>
                <w:sz w:val="27"/>
                <w:szCs w:val="27"/>
                <w:color w:val="auto"/>
                <w:w w:val="81"/>
              </w:rPr>
              <w:t>☐</w:t>
            </w:r>
          </w:p>
        </w:tc>
        <w:tc>
          <w:tcPr>
            <w:tcW w:w="0" w:type="dxa"/>
            <w:vAlign w:val="bottom"/>
          </w:tcPr>
          <w:p>
            <w:pPr>
              <w:spacing w:after="0"/>
              <w:rPr>
                <w:sz w:val="1"/>
                <w:szCs w:val="1"/>
                <w:color w:val="auto"/>
              </w:rPr>
            </w:pPr>
          </w:p>
        </w:tc>
      </w:tr>
      <w:tr>
        <w:trPr>
          <w:trHeight w:val="390"/>
        </w:trPr>
        <w:tc>
          <w:tcPr>
            <w:tcW w:w="1620" w:type="dxa"/>
            <w:vAlign w:val="bottom"/>
            <w:vMerge w:val="restart"/>
          </w:tcPr>
          <w:p>
            <w:pPr>
              <w:spacing w:after="0"/>
              <w:rPr>
                <w:sz w:val="20"/>
                <w:szCs w:val="20"/>
                <w:color w:val="auto"/>
              </w:rPr>
            </w:pPr>
            <w:r>
              <w:rPr>
                <w:rFonts w:ascii="Arial" w:cs="Arial" w:eastAsia="Arial" w:hAnsi="Arial"/>
                <w:sz w:val="14"/>
                <w:szCs w:val="14"/>
                <w:color w:val="auto"/>
              </w:rPr>
              <w:t>1.M - Edward J. Zore</w:t>
            </w:r>
          </w:p>
        </w:tc>
        <w:tc>
          <w:tcPr>
            <w:tcW w:w="640" w:type="dxa"/>
            <w:vAlign w:val="bottom"/>
            <w:vMerge w:val="continue"/>
          </w:tcPr>
          <w:p>
            <w:pPr>
              <w:spacing w:after="0"/>
              <w:rPr>
                <w:sz w:val="24"/>
                <w:szCs w:val="24"/>
                <w:color w:val="auto"/>
              </w:rPr>
            </w:pPr>
          </w:p>
        </w:tc>
        <w:tc>
          <w:tcPr>
            <w:tcW w:w="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162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ind w:left="160" w:hanging="152"/>
        <w:spacing w:after="0" w:line="258" w:lineRule="auto"/>
        <w:tabs>
          <w:tab w:leader="none" w:pos="176" w:val="left"/>
        </w:tabs>
        <w:numPr>
          <w:ilvl w:val="0"/>
          <w:numId w:val="89"/>
        </w:numPr>
        <w:rPr>
          <w:rFonts w:ascii="Arial" w:cs="Arial" w:eastAsia="Arial" w:hAnsi="Arial"/>
          <w:sz w:val="14"/>
          <w:szCs w:val="14"/>
          <w:color w:val="auto"/>
        </w:rPr>
      </w:pPr>
      <w:r>
        <w:rPr>
          <w:rFonts w:ascii="Arial" w:cs="Arial" w:eastAsia="Arial" w:hAnsi="Arial"/>
          <w:sz w:val="14"/>
          <w:szCs w:val="14"/>
          <w:color w:val="auto"/>
        </w:rPr>
        <w:t>Ratification of Deloitte &amp; Touche LLP as our independent auditors for 2017.</w:t>
      </w:r>
    </w:p>
    <w:p>
      <w:pPr>
        <w:spacing w:after="0" w:line="248" w:lineRule="exact"/>
        <w:rPr>
          <w:sz w:val="20"/>
          <w:szCs w:val="20"/>
          <w:color w:val="auto"/>
        </w:rPr>
      </w:pPr>
    </w:p>
    <w:p>
      <w:pPr>
        <w:ind w:left="160" w:right="160" w:hanging="152"/>
        <w:spacing w:after="0" w:line="250" w:lineRule="auto"/>
        <w:tabs>
          <w:tab w:leader="none" w:pos="168" w:val="left"/>
        </w:tabs>
        <w:numPr>
          <w:ilvl w:val="0"/>
          <w:numId w:val="90"/>
        </w:numPr>
        <w:rPr>
          <w:rFonts w:ascii="Arial" w:cs="Arial" w:eastAsia="Arial" w:hAnsi="Arial"/>
          <w:sz w:val="14"/>
          <w:szCs w:val="14"/>
          <w:color w:val="auto"/>
        </w:rPr>
      </w:pPr>
      <w:r>
        <w:rPr>
          <w:rFonts w:ascii="Arial" w:cs="Arial" w:eastAsia="Arial" w:hAnsi="Arial"/>
          <w:sz w:val="14"/>
          <w:szCs w:val="14"/>
          <w:color w:val="auto"/>
        </w:rPr>
        <w:t>Advisory vote on the frequency of the advisory vote on the compensation of our named executive officers.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00"/>
        </w:trPr>
        <w:tc>
          <w:tcPr>
            <w:tcW w:w="540" w:type="dxa"/>
            <w:vAlign w:val="bottom"/>
          </w:tcPr>
          <w:p>
            <w:pPr>
              <w:spacing w:after="0" w:line="271" w:lineRule="exact"/>
              <w:rPr>
                <w:sz w:val="20"/>
                <w:szCs w:val="20"/>
                <w:color w:val="auto"/>
              </w:rPr>
            </w:pPr>
            <w:r>
              <w:rPr>
                <w:rFonts w:ascii="MS PGothic" w:cs="MS PGothic" w:eastAsia="MS PGothic" w:hAnsi="MS PGothic"/>
                <w:sz w:val="27"/>
                <w:szCs w:val="27"/>
                <w:color w:val="auto"/>
              </w:rPr>
              <w:t>☐</w:t>
            </w:r>
          </w:p>
        </w:tc>
        <w:tc>
          <w:tcPr>
            <w:tcW w:w="2080" w:type="dxa"/>
            <w:vAlign w:val="bottom"/>
            <w:gridSpan w:val="3"/>
          </w:tcPr>
          <w:p>
            <w:pPr>
              <w:ind w:left="120"/>
              <w:spacing w:after="0"/>
              <w:rPr>
                <w:sz w:val="20"/>
                <w:szCs w:val="20"/>
                <w:color w:val="auto"/>
              </w:rPr>
            </w:pPr>
            <w:r>
              <w:rPr>
                <w:rFonts w:ascii="Arial" w:cs="Arial" w:eastAsia="Arial" w:hAnsi="Arial"/>
                <w:sz w:val="14"/>
                <w:szCs w:val="14"/>
                <w:color w:val="auto"/>
              </w:rPr>
              <w:t>1.B - Cari M. Dominguez</w:t>
            </w:r>
          </w:p>
        </w:tc>
        <w:tc>
          <w:tcPr>
            <w:tcW w:w="340" w:type="dxa"/>
            <w:vAlign w:val="bottom"/>
          </w:tcPr>
          <w:p>
            <w:pPr>
              <w:ind w:left="60"/>
              <w:spacing w:after="0" w:line="271" w:lineRule="exact"/>
              <w:rPr>
                <w:sz w:val="20"/>
                <w:szCs w:val="20"/>
                <w:color w:val="auto"/>
              </w:rPr>
            </w:pPr>
            <w:r>
              <w:rPr>
                <w:rFonts w:ascii="MS PGothic" w:cs="MS PGothic" w:eastAsia="MS PGothic" w:hAnsi="MS PGothic"/>
                <w:sz w:val="27"/>
                <w:szCs w:val="27"/>
                <w:color w:val="auto"/>
                <w:w w:val="96"/>
              </w:rPr>
              <w:t>☐</w:t>
            </w:r>
          </w:p>
        </w:tc>
        <w:tc>
          <w:tcPr>
            <w:tcW w:w="700" w:type="dxa"/>
            <w:vAlign w:val="bottom"/>
          </w:tcPr>
          <w:p>
            <w:pPr>
              <w:ind w:left="240"/>
              <w:spacing w:after="0" w:line="271" w:lineRule="exact"/>
              <w:rPr>
                <w:sz w:val="20"/>
                <w:szCs w:val="20"/>
                <w:color w:val="auto"/>
              </w:rPr>
            </w:pPr>
            <w:r>
              <w:rPr>
                <w:rFonts w:ascii="MS PGothic" w:cs="MS PGothic" w:eastAsia="MS PGothic" w:hAnsi="MS PGothic"/>
                <w:sz w:val="27"/>
                <w:szCs w:val="27"/>
                <w:color w:val="auto"/>
              </w:rPr>
              <w:t>☐</w:t>
            </w:r>
          </w:p>
        </w:tc>
        <w:tc>
          <w:tcPr>
            <w:tcW w:w="640" w:type="dxa"/>
            <w:vAlign w:val="bottom"/>
          </w:tcPr>
          <w:p>
            <w:pPr>
              <w:ind w:left="220"/>
              <w:spacing w:after="0" w:line="271" w:lineRule="exact"/>
              <w:rPr>
                <w:sz w:val="20"/>
                <w:szCs w:val="20"/>
                <w:color w:val="auto"/>
              </w:rPr>
            </w:pPr>
            <w:r>
              <w:rPr>
                <w:rFonts w:ascii="MS PGothic" w:cs="MS PGothic" w:eastAsia="MS PGothic" w:hAnsi="MS PGothic"/>
                <w:sz w:val="27"/>
                <w:szCs w:val="27"/>
                <w:color w:val="auto"/>
              </w:rPr>
              <w:t>☐</w:t>
            </w:r>
          </w:p>
        </w:tc>
        <w:tc>
          <w:tcPr>
            <w:tcW w:w="1600" w:type="dxa"/>
            <w:vAlign w:val="bottom"/>
          </w:tcPr>
          <w:p>
            <w:pPr>
              <w:ind w:left="180"/>
              <w:spacing w:after="0"/>
              <w:rPr>
                <w:sz w:val="20"/>
                <w:szCs w:val="20"/>
                <w:color w:val="auto"/>
              </w:rPr>
            </w:pPr>
            <w:r>
              <w:rPr>
                <w:rFonts w:ascii="Arial" w:cs="Arial" w:eastAsia="Arial" w:hAnsi="Arial"/>
                <w:sz w:val="14"/>
                <w:szCs w:val="14"/>
                <w:color w:val="auto"/>
              </w:rPr>
              <w:t>1.C - William Downe</w:t>
            </w:r>
          </w:p>
        </w:tc>
        <w:tc>
          <w:tcPr>
            <w:tcW w:w="440" w:type="dxa"/>
            <w:vAlign w:val="bottom"/>
          </w:tcPr>
          <w:p>
            <w:pPr>
              <w:ind w:left="80"/>
              <w:spacing w:after="0" w:line="271" w:lineRule="exact"/>
              <w:rPr>
                <w:sz w:val="20"/>
                <w:szCs w:val="20"/>
                <w:color w:val="auto"/>
              </w:rPr>
            </w:pPr>
            <w:r>
              <w:rPr>
                <w:rFonts w:ascii="MS PGothic" w:cs="MS PGothic" w:eastAsia="MS PGothic" w:hAnsi="MS PGothic"/>
                <w:sz w:val="27"/>
                <w:szCs w:val="27"/>
                <w:color w:val="auto"/>
              </w:rPr>
              <w:t>☐</w:t>
            </w:r>
          </w:p>
        </w:tc>
        <w:tc>
          <w:tcPr>
            <w:tcW w:w="640" w:type="dxa"/>
            <w:vAlign w:val="bottom"/>
          </w:tcPr>
          <w:p>
            <w:pPr>
              <w:ind w:left="140"/>
              <w:spacing w:after="0" w:line="271" w:lineRule="exact"/>
              <w:rPr>
                <w:sz w:val="20"/>
                <w:szCs w:val="20"/>
                <w:color w:val="auto"/>
              </w:rPr>
            </w:pPr>
            <w:r>
              <w:rPr>
                <w:rFonts w:ascii="MS PGothic" w:cs="MS PGothic" w:eastAsia="MS PGothic" w:hAnsi="MS PGothic"/>
                <w:sz w:val="27"/>
                <w:szCs w:val="27"/>
                <w:color w:val="auto"/>
              </w:rPr>
              <w:t>☐</w:t>
            </w:r>
          </w:p>
        </w:tc>
        <w:tc>
          <w:tcPr>
            <w:tcW w:w="680" w:type="dxa"/>
            <w:vAlign w:val="bottom"/>
          </w:tcPr>
          <w:p>
            <w:pPr>
              <w:ind w:left="200"/>
              <w:spacing w:after="0" w:line="271" w:lineRule="exact"/>
              <w:rPr>
                <w:sz w:val="20"/>
                <w:szCs w:val="20"/>
                <w:color w:val="auto"/>
              </w:rPr>
            </w:pPr>
            <w:r>
              <w:rPr>
                <w:rFonts w:ascii="MS PGothic" w:cs="MS PGothic" w:eastAsia="MS PGothic" w:hAnsi="MS PGothic"/>
                <w:sz w:val="27"/>
                <w:szCs w:val="27"/>
                <w:color w:val="auto"/>
              </w:rPr>
              <w:t>☐</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40" w:type="dxa"/>
            <w:vAlign w:val="bottom"/>
            <w:vMerge w:val="restart"/>
          </w:tcPr>
          <w:p>
            <w:pPr>
              <w:spacing w:after="0" w:line="271" w:lineRule="exact"/>
              <w:rPr>
                <w:sz w:val="20"/>
                <w:szCs w:val="20"/>
                <w:color w:val="auto"/>
              </w:rPr>
            </w:pPr>
            <w:r>
              <w:rPr>
                <w:rFonts w:ascii="MS PGothic" w:cs="MS PGothic" w:eastAsia="MS PGothic" w:hAnsi="MS PGothic"/>
                <w:sz w:val="27"/>
                <w:szCs w:val="27"/>
                <w:color w:val="auto"/>
              </w:rPr>
              <w:t>☐</w:t>
            </w:r>
          </w:p>
        </w:tc>
        <w:tc>
          <w:tcPr>
            <w:tcW w:w="2080" w:type="dxa"/>
            <w:vAlign w:val="bottom"/>
            <w:gridSpan w:val="3"/>
          </w:tcPr>
          <w:p>
            <w:pPr>
              <w:ind w:left="120"/>
              <w:spacing w:after="0"/>
              <w:rPr>
                <w:sz w:val="20"/>
                <w:szCs w:val="20"/>
                <w:color w:val="auto"/>
              </w:rPr>
            </w:pPr>
            <w:r>
              <w:rPr>
                <w:rFonts w:ascii="Arial" w:cs="Arial" w:eastAsia="Arial" w:hAnsi="Arial"/>
                <w:sz w:val="14"/>
                <w:szCs w:val="14"/>
                <w:color w:val="auto"/>
              </w:rPr>
              <w:t>1.E - Patricia Hemingway</w:t>
            </w:r>
          </w:p>
        </w:tc>
        <w:tc>
          <w:tcPr>
            <w:tcW w:w="340" w:type="dxa"/>
            <w:vAlign w:val="bottom"/>
            <w:vMerge w:val="restart"/>
          </w:tcPr>
          <w:p>
            <w:pPr>
              <w:ind w:left="60"/>
              <w:spacing w:after="0" w:line="271" w:lineRule="exact"/>
              <w:rPr>
                <w:sz w:val="20"/>
                <w:szCs w:val="20"/>
                <w:color w:val="auto"/>
              </w:rPr>
            </w:pPr>
            <w:r>
              <w:rPr>
                <w:rFonts w:ascii="MS PGothic" w:cs="MS PGothic" w:eastAsia="MS PGothic" w:hAnsi="MS PGothic"/>
                <w:sz w:val="27"/>
                <w:szCs w:val="27"/>
                <w:color w:val="auto"/>
                <w:w w:val="96"/>
              </w:rPr>
              <w:t>☐</w:t>
            </w:r>
          </w:p>
        </w:tc>
        <w:tc>
          <w:tcPr>
            <w:tcW w:w="700" w:type="dxa"/>
            <w:vAlign w:val="bottom"/>
            <w:vMerge w:val="restart"/>
          </w:tcPr>
          <w:p>
            <w:pPr>
              <w:ind w:left="240"/>
              <w:spacing w:after="0" w:line="271" w:lineRule="exact"/>
              <w:rPr>
                <w:sz w:val="20"/>
                <w:szCs w:val="20"/>
                <w:color w:val="auto"/>
              </w:rPr>
            </w:pPr>
            <w:r>
              <w:rPr>
                <w:rFonts w:ascii="MS PGothic" w:cs="MS PGothic" w:eastAsia="MS PGothic" w:hAnsi="MS PGothic"/>
                <w:sz w:val="27"/>
                <w:szCs w:val="27"/>
                <w:color w:val="auto"/>
              </w:rPr>
              <w:t>☐</w:t>
            </w:r>
          </w:p>
        </w:tc>
        <w:tc>
          <w:tcPr>
            <w:tcW w:w="640" w:type="dxa"/>
            <w:vAlign w:val="bottom"/>
            <w:vMerge w:val="restart"/>
          </w:tcPr>
          <w:p>
            <w:pPr>
              <w:ind w:left="220"/>
              <w:spacing w:after="0" w:line="271" w:lineRule="exact"/>
              <w:rPr>
                <w:sz w:val="20"/>
                <w:szCs w:val="20"/>
                <w:color w:val="auto"/>
              </w:rPr>
            </w:pPr>
            <w:r>
              <w:rPr>
                <w:rFonts w:ascii="MS PGothic" w:cs="MS PGothic" w:eastAsia="MS PGothic" w:hAnsi="MS PGothic"/>
                <w:sz w:val="27"/>
                <w:szCs w:val="27"/>
                <w:color w:val="auto"/>
              </w:rPr>
              <w:t>☐</w:t>
            </w:r>
          </w:p>
        </w:tc>
        <w:tc>
          <w:tcPr>
            <w:tcW w:w="1600" w:type="dxa"/>
            <w:vAlign w:val="bottom"/>
            <w:vMerge w:val="restart"/>
          </w:tcPr>
          <w:p>
            <w:pPr>
              <w:ind w:left="180"/>
              <w:spacing w:after="0"/>
              <w:rPr>
                <w:sz w:val="20"/>
                <w:szCs w:val="20"/>
                <w:color w:val="auto"/>
              </w:rPr>
            </w:pPr>
            <w:r>
              <w:rPr>
                <w:rFonts w:ascii="Arial" w:cs="Arial" w:eastAsia="Arial" w:hAnsi="Arial"/>
                <w:sz w:val="14"/>
                <w:szCs w:val="14"/>
                <w:color w:val="auto"/>
              </w:rPr>
              <w:t>1.F - Julie M. Howard</w:t>
            </w:r>
          </w:p>
        </w:tc>
        <w:tc>
          <w:tcPr>
            <w:tcW w:w="440" w:type="dxa"/>
            <w:vAlign w:val="bottom"/>
            <w:vMerge w:val="restart"/>
          </w:tcPr>
          <w:p>
            <w:pPr>
              <w:ind w:left="80"/>
              <w:spacing w:after="0" w:line="271" w:lineRule="exact"/>
              <w:rPr>
                <w:sz w:val="20"/>
                <w:szCs w:val="20"/>
                <w:color w:val="auto"/>
              </w:rPr>
            </w:pPr>
            <w:r>
              <w:rPr>
                <w:rFonts w:ascii="MS PGothic" w:cs="MS PGothic" w:eastAsia="MS PGothic" w:hAnsi="MS PGothic"/>
                <w:sz w:val="27"/>
                <w:szCs w:val="27"/>
                <w:color w:val="auto"/>
              </w:rPr>
              <w:t>☐</w:t>
            </w:r>
          </w:p>
        </w:tc>
        <w:tc>
          <w:tcPr>
            <w:tcW w:w="640" w:type="dxa"/>
            <w:vAlign w:val="bottom"/>
            <w:vMerge w:val="restart"/>
          </w:tcPr>
          <w:p>
            <w:pPr>
              <w:ind w:left="140"/>
              <w:spacing w:after="0" w:line="271" w:lineRule="exact"/>
              <w:rPr>
                <w:sz w:val="20"/>
                <w:szCs w:val="20"/>
                <w:color w:val="auto"/>
              </w:rPr>
            </w:pPr>
            <w:r>
              <w:rPr>
                <w:rFonts w:ascii="MS PGothic" w:cs="MS PGothic" w:eastAsia="MS PGothic" w:hAnsi="MS PGothic"/>
                <w:sz w:val="27"/>
                <w:szCs w:val="27"/>
                <w:color w:val="auto"/>
              </w:rPr>
              <w:t>☐</w:t>
            </w:r>
          </w:p>
        </w:tc>
        <w:tc>
          <w:tcPr>
            <w:tcW w:w="680" w:type="dxa"/>
            <w:vAlign w:val="bottom"/>
            <w:vMerge w:val="restart"/>
          </w:tcPr>
          <w:p>
            <w:pPr>
              <w:ind w:left="200"/>
              <w:spacing w:after="0" w:line="271" w:lineRule="exact"/>
              <w:rPr>
                <w:sz w:val="20"/>
                <w:szCs w:val="20"/>
                <w:color w:val="auto"/>
              </w:rPr>
            </w:pPr>
            <w:r>
              <w:rPr>
                <w:rFonts w:ascii="MS PGothic" w:cs="MS PGothic" w:eastAsia="MS PGothic" w:hAnsi="MS PGothic"/>
                <w:sz w:val="27"/>
                <w:szCs w:val="27"/>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40" w:type="dxa"/>
            <w:vAlign w:val="bottom"/>
            <w:vMerge w:val="continue"/>
          </w:tcPr>
          <w:p>
            <w:pPr>
              <w:spacing w:after="0"/>
              <w:rPr>
                <w:sz w:val="17"/>
                <w:szCs w:val="17"/>
                <w:color w:val="auto"/>
              </w:rPr>
            </w:pPr>
          </w:p>
        </w:tc>
        <w:tc>
          <w:tcPr>
            <w:tcW w:w="780" w:type="dxa"/>
            <w:vAlign w:val="bottom"/>
          </w:tcPr>
          <w:p>
            <w:pPr>
              <w:ind w:left="480"/>
              <w:spacing w:after="0"/>
              <w:rPr>
                <w:sz w:val="20"/>
                <w:szCs w:val="20"/>
                <w:color w:val="auto"/>
              </w:rPr>
            </w:pPr>
            <w:r>
              <w:rPr>
                <w:rFonts w:ascii="Arial" w:cs="Arial" w:eastAsia="Arial" w:hAnsi="Arial"/>
                <w:sz w:val="14"/>
                <w:szCs w:val="14"/>
                <w:color w:val="auto"/>
              </w:rPr>
              <w:t>Hall</w:t>
            </w: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540" w:type="dxa"/>
            <w:vAlign w:val="bottom"/>
          </w:tcPr>
          <w:p>
            <w:pPr>
              <w:spacing w:after="0" w:line="271" w:lineRule="exact"/>
              <w:rPr>
                <w:sz w:val="20"/>
                <w:szCs w:val="20"/>
                <w:color w:val="auto"/>
              </w:rPr>
            </w:pPr>
            <w:r>
              <w:rPr>
                <w:rFonts w:ascii="MS PGothic" w:cs="MS PGothic" w:eastAsia="MS PGothic" w:hAnsi="MS PGothic"/>
                <w:sz w:val="27"/>
                <w:szCs w:val="27"/>
                <w:color w:val="auto"/>
              </w:rPr>
              <w:t>☐</w:t>
            </w:r>
          </w:p>
        </w:tc>
        <w:tc>
          <w:tcPr>
            <w:tcW w:w="1480" w:type="dxa"/>
            <w:vAlign w:val="bottom"/>
            <w:gridSpan w:val="2"/>
          </w:tcPr>
          <w:p>
            <w:pPr>
              <w:ind w:left="120"/>
              <w:spacing w:after="0"/>
              <w:rPr>
                <w:sz w:val="20"/>
                <w:szCs w:val="20"/>
                <w:color w:val="auto"/>
              </w:rPr>
            </w:pPr>
            <w:r>
              <w:rPr>
                <w:rFonts w:ascii="Arial" w:cs="Arial" w:eastAsia="Arial" w:hAnsi="Arial"/>
                <w:sz w:val="14"/>
                <w:szCs w:val="14"/>
                <w:color w:val="auto"/>
              </w:rPr>
              <w:t>1.H - Ulice Payne, Jr.</w:t>
            </w:r>
          </w:p>
        </w:tc>
        <w:tc>
          <w:tcPr>
            <w:tcW w:w="600" w:type="dxa"/>
            <w:vAlign w:val="bottom"/>
          </w:tcPr>
          <w:p>
            <w:pPr>
              <w:spacing w:after="0"/>
              <w:rPr>
                <w:sz w:val="24"/>
                <w:szCs w:val="24"/>
                <w:color w:val="auto"/>
              </w:rPr>
            </w:pPr>
          </w:p>
        </w:tc>
        <w:tc>
          <w:tcPr>
            <w:tcW w:w="340" w:type="dxa"/>
            <w:vAlign w:val="bottom"/>
          </w:tcPr>
          <w:p>
            <w:pPr>
              <w:ind w:left="60"/>
              <w:spacing w:after="0" w:line="271" w:lineRule="exact"/>
              <w:rPr>
                <w:sz w:val="20"/>
                <w:szCs w:val="20"/>
                <w:color w:val="auto"/>
              </w:rPr>
            </w:pPr>
            <w:r>
              <w:rPr>
                <w:rFonts w:ascii="MS PGothic" w:cs="MS PGothic" w:eastAsia="MS PGothic" w:hAnsi="MS PGothic"/>
                <w:sz w:val="27"/>
                <w:szCs w:val="27"/>
                <w:color w:val="auto"/>
                <w:w w:val="96"/>
              </w:rPr>
              <w:t>☐</w:t>
            </w:r>
          </w:p>
        </w:tc>
        <w:tc>
          <w:tcPr>
            <w:tcW w:w="700" w:type="dxa"/>
            <w:vAlign w:val="bottom"/>
          </w:tcPr>
          <w:p>
            <w:pPr>
              <w:ind w:left="240"/>
              <w:spacing w:after="0" w:line="271" w:lineRule="exact"/>
              <w:rPr>
                <w:sz w:val="20"/>
                <w:szCs w:val="20"/>
                <w:color w:val="auto"/>
              </w:rPr>
            </w:pPr>
            <w:r>
              <w:rPr>
                <w:rFonts w:ascii="MS PGothic" w:cs="MS PGothic" w:eastAsia="MS PGothic" w:hAnsi="MS PGothic"/>
                <w:sz w:val="27"/>
                <w:szCs w:val="27"/>
                <w:color w:val="auto"/>
              </w:rPr>
              <w:t>☐</w:t>
            </w:r>
          </w:p>
        </w:tc>
        <w:tc>
          <w:tcPr>
            <w:tcW w:w="640" w:type="dxa"/>
            <w:vAlign w:val="bottom"/>
          </w:tcPr>
          <w:p>
            <w:pPr>
              <w:ind w:left="220"/>
              <w:spacing w:after="0" w:line="271" w:lineRule="exact"/>
              <w:rPr>
                <w:sz w:val="20"/>
                <w:szCs w:val="20"/>
                <w:color w:val="auto"/>
              </w:rPr>
            </w:pPr>
            <w:r>
              <w:rPr>
                <w:rFonts w:ascii="MS PGothic" w:cs="MS PGothic" w:eastAsia="MS PGothic" w:hAnsi="MS PGothic"/>
                <w:sz w:val="27"/>
                <w:szCs w:val="27"/>
                <w:color w:val="auto"/>
              </w:rPr>
              <w:t>☐</w:t>
            </w:r>
          </w:p>
        </w:tc>
        <w:tc>
          <w:tcPr>
            <w:tcW w:w="1600" w:type="dxa"/>
            <w:vAlign w:val="bottom"/>
          </w:tcPr>
          <w:p>
            <w:pPr>
              <w:ind w:left="180"/>
              <w:spacing w:after="0"/>
              <w:rPr>
                <w:sz w:val="20"/>
                <w:szCs w:val="20"/>
                <w:color w:val="auto"/>
              </w:rPr>
            </w:pPr>
            <w:r>
              <w:rPr>
                <w:rFonts w:ascii="Arial" w:cs="Arial" w:eastAsia="Arial" w:hAnsi="Arial"/>
                <w:sz w:val="14"/>
                <w:szCs w:val="14"/>
                <w:color w:val="auto"/>
              </w:rPr>
              <w:t>1.I - Jonas Prising</w:t>
            </w:r>
          </w:p>
        </w:tc>
        <w:tc>
          <w:tcPr>
            <w:tcW w:w="440" w:type="dxa"/>
            <w:vAlign w:val="bottom"/>
          </w:tcPr>
          <w:p>
            <w:pPr>
              <w:ind w:left="80"/>
              <w:spacing w:after="0" w:line="271" w:lineRule="exact"/>
              <w:rPr>
                <w:sz w:val="20"/>
                <w:szCs w:val="20"/>
                <w:color w:val="auto"/>
              </w:rPr>
            </w:pPr>
            <w:r>
              <w:rPr>
                <w:rFonts w:ascii="MS PGothic" w:cs="MS PGothic" w:eastAsia="MS PGothic" w:hAnsi="MS PGothic"/>
                <w:sz w:val="27"/>
                <w:szCs w:val="27"/>
                <w:color w:val="auto"/>
              </w:rPr>
              <w:t>☐</w:t>
            </w:r>
          </w:p>
        </w:tc>
        <w:tc>
          <w:tcPr>
            <w:tcW w:w="640" w:type="dxa"/>
            <w:vAlign w:val="bottom"/>
          </w:tcPr>
          <w:p>
            <w:pPr>
              <w:ind w:left="140"/>
              <w:spacing w:after="0" w:line="271" w:lineRule="exact"/>
              <w:rPr>
                <w:sz w:val="20"/>
                <w:szCs w:val="20"/>
                <w:color w:val="auto"/>
              </w:rPr>
            </w:pPr>
            <w:r>
              <w:rPr>
                <w:rFonts w:ascii="MS PGothic" w:cs="MS PGothic" w:eastAsia="MS PGothic" w:hAnsi="MS PGothic"/>
                <w:sz w:val="27"/>
                <w:szCs w:val="27"/>
                <w:color w:val="auto"/>
              </w:rPr>
              <w:t>☐</w:t>
            </w:r>
          </w:p>
        </w:tc>
        <w:tc>
          <w:tcPr>
            <w:tcW w:w="680" w:type="dxa"/>
            <w:vAlign w:val="bottom"/>
          </w:tcPr>
          <w:p>
            <w:pPr>
              <w:ind w:left="200"/>
              <w:spacing w:after="0" w:line="271" w:lineRule="exact"/>
              <w:rPr>
                <w:sz w:val="20"/>
                <w:szCs w:val="20"/>
                <w:color w:val="auto"/>
              </w:rPr>
            </w:pPr>
            <w:r>
              <w:rPr>
                <w:rFonts w:ascii="MS PGothic" w:cs="MS PGothic" w:eastAsia="MS PGothic" w:hAnsi="MS PGothic"/>
                <w:sz w:val="27"/>
                <w:szCs w:val="27"/>
                <w:color w:val="auto"/>
              </w:rPr>
              <w:t>☐</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line="271" w:lineRule="exact"/>
              <w:rPr>
                <w:sz w:val="20"/>
                <w:szCs w:val="20"/>
                <w:color w:val="auto"/>
              </w:rPr>
            </w:pPr>
            <w:r>
              <w:rPr>
                <w:rFonts w:ascii="MS PGothic" w:cs="MS PGothic" w:eastAsia="MS PGothic" w:hAnsi="MS PGothic"/>
                <w:sz w:val="27"/>
                <w:szCs w:val="27"/>
                <w:color w:val="auto"/>
              </w:rPr>
              <w:t>☐</w:t>
            </w:r>
          </w:p>
        </w:tc>
        <w:tc>
          <w:tcPr>
            <w:tcW w:w="2080" w:type="dxa"/>
            <w:vAlign w:val="bottom"/>
            <w:gridSpan w:val="3"/>
          </w:tcPr>
          <w:p>
            <w:pPr>
              <w:ind w:left="120"/>
              <w:spacing w:after="0"/>
              <w:rPr>
                <w:sz w:val="20"/>
                <w:szCs w:val="20"/>
                <w:color w:val="auto"/>
              </w:rPr>
            </w:pPr>
            <w:r>
              <w:rPr>
                <w:rFonts w:ascii="Arial" w:cs="Arial" w:eastAsia="Arial" w:hAnsi="Arial"/>
                <w:sz w:val="14"/>
                <w:szCs w:val="14"/>
                <w:color w:val="auto"/>
              </w:rPr>
              <w:t>1.K - Elizabeth P. Sartain</w:t>
            </w:r>
          </w:p>
        </w:tc>
        <w:tc>
          <w:tcPr>
            <w:tcW w:w="340" w:type="dxa"/>
            <w:vAlign w:val="bottom"/>
          </w:tcPr>
          <w:p>
            <w:pPr>
              <w:ind w:left="60"/>
              <w:spacing w:after="0" w:line="271" w:lineRule="exact"/>
              <w:rPr>
                <w:sz w:val="20"/>
                <w:szCs w:val="20"/>
                <w:color w:val="auto"/>
              </w:rPr>
            </w:pPr>
            <w:r>
              <w:rPr>
                <w:rFonts w:ascii="MS PGothic" w:cs="MS PGothic" w:eastAsia="MS PGothic" w:hAnsi="MS PGothic"/>
                <w:sz w:val="27"/>
                <w:szCs w:val="27"/>
                <w:color w:val="auto"/>
                <w:w w:val="96"/>
              </w:rPr>
              <w:t>☐</w:t>
            </w:r>
          </w:p>
        </w:tc>
        <w:tc>
          <w:tcPr>
            <w:tcW w:w="700" w:type="dxa"/>
            <w:vAlign w:val="bottom"/>
          </w:tcPr>
          <w:p>
            <w:pPr>
              <w:ind w:left="240"/>
              <w:spacing w:after="0" w:line="271" w:lineRule="exact"/>
              <w:rPr>
                <w:sz w:val="20"/>
                <w:szCs w:val="20"/>
                <w:color w:val="auto"/>
              </w:rPr>
            </w:pPr>
            <w:r>
              <w:rPr>
                <w:rFonts w:ascii="MS PGothic" w:cs="MS PGothic" w:eastAsia="MS PGothic" w:hAnsi="MS PGothic"/>
                <w:sz w:val="27"/>
                <w:szCs w:val="27"/>
                <w:color w:val="auto"/>
              </w:rPr>
              <w:t>☐</w:t>
            </w:r>
          </w:p>
        </w:tc>
        <w:tc>
          <w:tcPr>
            <w:tcW w:w="640" w:type="dxa"/>
            <w:vAlign w:val="bottom"/>
          </w:tcPr>
          <w:p>
            <w:pPr>
              <w:ind w:left="220"/>
              <w:spacing w:after="0" w:line="271" w:lineRule="exact"/>
              <w:rPr>
                <w:sz w:val="20"/>
                <w:szCs w:val="20"/>
                <w:color w:val="auto"/>
              </w:rPr>
            </w:pPr>
            <w:r>
              <w:rPr>
                <w:rFonts w:ascii="MS PGothic" w:cs="MS PGothic" w:eastAsia="MS PGothic" w:hAnsi="MS PGothic"/>
                <w:sz w:val="27"/>
                <w:szCs w:val="27"/>
                <w:color w:val="auto"/>
              </w:rPr>
              <w:t>☐</w:t>
            </w:r>
          </w:p>
        </w:tc>
        <w:tc>
          <w:tcPr>
            <w:tcW w:w="1600" w:type="dxa"/>
            <w:vAlign w:val="bottom"/>
          </w:tcPr>
          <w:p>
            <w:pPr>
              <w:ind w:left="180"/>
              <w:spacing w:after="0"/>
              <w:rPr>
                <w:sz w:val="20"/>
                <w:szCs w:val="20"/>
                <w:color w:val="auto"/>
              </w:rPr>
            </w:pPr>
            <w:r>
              <w:rPr>
                <w:rFonts w:ascii="Arial" w:cs="Arial" w:eastAsia="Arial" w:hAnsi="Arial"/>
                <w:sz w:val="14"/>
                <w:szCs w:val="14"/>
                <w:color w:val="auto"/>
              </w:rPr>
              <w:t>1.L- John R. Walter</w:t>
            </w:r>
          </w:p>
        </w:tc>
        <w:tc>
          <w:tcPr>
            <w:tcW w:w="440" w:type="dxa"/>
            <w:vAlign w:val="bottom"/>
          </w:tcPr>
          <w:p>
            <w:pPr>
              <w:ind w:left="80"/>
              <w:spacing w:after="0" w:line="271" w:lineRule="exact"/>
              <w:rPr>
                <w:sz w:val="20"/>
                <w:szCs w:val="20"/>
                <w:color w:val="auto"/>
              </w:rPr>
            </w:pPr>
            <w:r>
              <w:rPr>
                <w:rFonts w:ascii="MS PGothic" w:cs="MS PGothic" w:eastAsia="MS PGothic" w:hAnsi="MS PGothic"/>
                <w:sz w:val="27"/>
                <w:szCs w:val="27"/>
                <w:color w:val="auto"/>
              </w:rPr>
              <w:t>☐</w:t>
            </w:r>
          </w:p>
        </w:tc>
        <w:tc>
          <w:tcPr>
            <w:tcW w:w="640" w:type="dxa"/>
            <w:vAlign w:val="bottom"/>
          </w:tcPr>
          <w:p>
            <w:pPr>
              <w:ind w:left="140"/>
              <w:spacing w:after="0" w:line="271" w:lineRule="exact"/>
              <w:rPr>
                <w:sz w:val="20"/>
                <w:szCs w:val="20"/>
                <w:color w:val="auto"/>
              </w:rPr>
            </w:pPr>
            <w:r>
              <w:rPr>
                <w:rFonts w:ascii="MS PGothic" w:cs="MS PGothic" w:eastAsia="MS PGothic" w:hAnsi="MS PGothic"/>
                <w:sz w:val="27"/>
                <w:szCs w:val="27"/>
                <w:color w:val="auto"/>
              </w:rPr>
              <w:t>☐</w:t>
            </w:r>
          </w:p>
        </w:tc>
        <w:tc>
          <w:tcPr>
            <w:tcW w:w="680" w:type="dxa"/>
            <w:vAlign w:val="bottom"/>
          </w:tcPr>
          <w:p>
            <w:pPr>
              <w:ind w:left="200"/>
              <w:spacing w:after="0" w:line="271" w:lineRule="exact"/>
              <w:rPr>
                <w:sz w:val="20"/>
                <w:szCs w:val="20"/>
                <w:color w:val="auto"/>
              </w:rPr>
            </w:pPr>
            <w:r>
              <w:rPr>
                <w:rFonts w:ascii="MS PGothic" w:cs="MS PGothic" w:eastAsia="MS PGothic" w:hAnsi="MS PGothic"/>
                <w:sz w:val="27"/>
                <w:szCs w:val="27"/>
                <w:color w:val="auto"/>
              </w:rPr>
              <w:t>☐</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line="271" w:lineRule="exact"/>
              <w:rPr>
                <w:sz w:val="20"/>
                <w:szCs w:val="20"/>
                <w:color w:val="auto"/>
              </w:rPr>
            </w:pPr>
            <w:r>
              <w:rPr>
                <w:rFonts w:ascii="MS PGothic" w:cs="MS PGothic" w:eastAsia="MS PGothic" w:hAnsi="MS PGothic"/>
                <w:sz w:val="27"/>
                <w:szCs w:val="27"/>
                <w:color w:val="auto"/>
              </w:rPr>
              <w:t>☐</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4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Arial" w:cs="Arial" w:eastAsia="Arial" w:hAnsi="Arial"/>
                <w:sz w:val="14"/>
                <w:szCs w:val="14"/>
                <w:b w:val="1"/>
                <w:bCs w:val="1"/>
                <w:color w:val="auto"/>
              </w:rPr>
              <w:t>For</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Abstain</w:t>
            </w: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ind w:left="320"/>
              <w:spacing w:after="0"/>
              <w:rPr>
                <w:sz w:val="20"/>
                <w:szCs w:val="20"/>
                <w:color w:val="auto"/>
              </w:rPr>
            </w:pPr>
            <w:r>
              <w:rPr>
                <w:rFonts w:ascii="Arial" w:cs="Arial" w:eastAsia="Arial" w:hAnsi="Arial"/>
                <w:sz w:val="14"/>
                <w:szCs w:val="14"/>
                <w:b w:val="1"/>
                <w:bCs w:val="1"/>
                <w:color w:val="auto"/>
              </w:rPr>
              <w:t>For</w:t>
            </w: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Against</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194"/>
        </w:trPr>
        <w:tc>
          <w:tcPr>
            <w:tcW w:w="540" w:type="dxa"/>
            <w:vAlign w:val="bottom"/>
          </w:tcPr>
          <w:p>
            <w:pPr>
              <w:spacing w:after="0"/>
              <w:rPr>
                <w:sz w:val="16"/>
                <w:szCs w:val="16"/>
                <w:color w:val="auto"/>
              </w:rPr>
            </w:pPr>
          </w:p>
        </w:tc>
        <w:tc>
          <w:tcPr>
            <w:tcW w:w="780" w:type="dxa"/>
            <w:vAlign w:val="bottom"/>
            <w:vMerge w:val="restart"/>
          </w:tcPr>
          <w:p>
            <w:pPr>
              <w:ind w:left="120"/>
              <w:spacing w:after="0" w:line="271" w:lineRule="exact"/>
              <w:rPr>
                <w:sz w:val="20"/>
                <w:szCs w:val="20"/>
                <w:color w:val="auto"/>
              </w:rPr>
            </w:pPr>
            <w:r>
              <w:rPr>
                <w:rFonts w:ascii="MS PGothic" w:cs="MS PGothic" w:eastAsia="MS PGothic" w:hAnsi="MS PGothic"/>
                <w:sz w:val="27"/>
                <w:szCs w:val="27"/>
                <w:color w:val="auto"/>
              </w:rPr>
              <w:t>☐</w:t>
            </w:r>
          </w:p>
        </w:tc>
        <w:tc>
          <w:tcPr>
            <w:tcW w:w="70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60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3720" w:type="dxa"/>
            <w:vAlign w:val="bottom"/>
            <w:gridSpan w:val="5"/>
          </w:tcPr>
          <w:p>
            <w:pPr>
              <w:ind w:left="220"/>
              <w:spacing w:after="0"/>
              <w:rPr>
                <w:sz w:val="20"/>
                <w:szCs w:val="20"/>
                <w:color w:val="auto"/>
              </w:rPr>
            </w:pPr>
            <w:r>
              <w:rPr>
                <w:rFonts w:ascii="Arial" w:cs="Arial" w:eastAsia="Arial" w:hAnsi="Arial"/>
                <w:sz w:val="14"/>
                <w:szCs w:val="14"/>
                <w:color w:val="auto"/>
              </w:rPr>
              <w:t>3. Advisory vote to approve the compensation of our</w:t>
            </w:r>
          </w:p>
        </w:tc>
        <w:tc>
          <w:tcPr>
            <w:tcW w:w="640" w:type="dxa"/>
            <w:vAlign w:val="bottom"/>
            <w:vMerge w:val="restart"/>
          </w:tcPr>
          <w:p>
            <w:pPr>
              <w:ind w:left="300"/>
              <w:spacing w:after="0" w:line="271" w:lineRule="exact"/>
              <w:rPr>
                <w:sz w:val="20"/>
                <w:szCs w:val="20"/>
                <w:color w:val="auto"/>
              </w:rPr>
            </w:pPr>
            <w:r>
              <w:rPr>
                <w:rFonts w:ascii="MS PGothic" w:cs="MS PGothic" w:eastAsia="MS PGothic" w:hAnsi="MS PGothic"/>
                <w:sz w:val="27"/>
                <w:szCs w:val="27"/>
                <w:color w:val="auto"/>
              </w:rPr>
              <w:t>☐</w:t>
            </w:r>
          </w:p>
        </w:tc>
        <w:tc>
          <w:tcPr>
            <w:tcW w:w="680" w:type="dxa"/>
            <w:vAlign w:val="bottom"/>
            <w:vMerge w:val="restart"/>
          </w:tcPr>
          <w:p>
            <w:pPr>
              <w:ind w:left="240"/>
              <w:spacing w:after="0" w:line="271" w:lineRule="exact"/>
              <w:rPr>
                <w:sz w:val="20"/>
                <w:szCs w:val="20"/>
                <w:color w:val="auto"/>
              </w:rPr>
            </w:pPr>
            <w:r>
              <w:rPr>
                <w:rFonts w:ascii="MS PGothic" w:cs="MS PGothic" w:eastAsia="MS PGothic" w:hAnsi="MS PGothic"/>
                <w:sz w:val="27"/>
                <w:szCs w:val="27"/>
                <w:color w:val="auto"/>
              </w:rPr>
              <w:t>☐</w:t>
            </w:r>
          </w:p>
        </w:tc>
        <w:tc>
          <w:tcPr>
            <w:tcW w:w="58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0" w:type="dxa"/>
            <w:vAlign w:val="bottom"/>
          </w:tcPr>
          <w:p>
            <w:pPr>
              <w:spacing w:after="0"/>
              <w:rPr>
                <w:sz w:val="1"/>
                <w:szCs w:val="1"/>
                <w:color w:val="auto"/>
              </w:rPr>
            </w:pPr>
          </w:p>
        </w:tc>
      </w:tr>
      <w:tr>
        <w:trPr>
          <w:trHeight w:val="231"/>
        </w:trPr>
        <w:tc>
          <w:tcPr>
            <w:tcW w:w="54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2940" w:type="dxa"/>
            <w:vAlign w:val="bottom"/>
            <w:gridSpan w:val="3"/>
          </w:tcPr>
          <w:p>
            <w:pPr>
              <w:ind w:left="20"/>
              <w:spacing w:after="0"/>
              <w:rPr>
                <w:sz w:val="20"/>
                <w:szCs w:val="20"/>
                <w:color w:val="auto"/>
              </w:rPr>
            </w:pPr>
            <w:r>
              <w:rPr>
                <w:rFonts w:ascii="Arial" w:cs="Arial" w:eastAsia="Arial" w:hAnsi="Arial"/>
                <w:sz w:val="14"/>
                <w:szCs w:val="14"/>
                <w:color w:val="auto"/>
              </w:rPr>
              <w:t>named executive officers.</w:t>
            </w:r>
          </w:p>
        </w:tc>
        <w:tc>
          <w:tcPr>
            <w:tcW w:w="4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40" w:type="dxa"/>
            <w:vAlign w:val="bottom"/>
          </w:tcPr>
          <w:p>
            <w:pPr>
              <w:spacing w:after="0"/>
              <w:rPr>
                <w:sz w:val="20"/>
                <w:szCs w:val="20"/>
                <w:color w:val="auto"/>
              </w:rPr>
            </w:pPr>
            <w:r>
              <w:rPr>
                <w:rFonts w:ascii="Arial" w:cs="Arial" w:eastAsia="Arial" w:hAnsi="Arial"/>
                <w:sz w:val="14"/>
                <w:szCs w:val="14"/>
                <w:b w:val="1"/>
                <w:bCs w:val="1"/>
                <w:color w:val="auto"/>
              </w:rPr>
              <w:t>1 Year</w:t>
            </w:r>
          </w:p>
        </w:tc>
        <w:tc>
          <w:tcPr>
            <w:tcW w:w="780" w:type="dxa"/>
            <w:vAlign w:val="bottom"/>
          </w:tcPr>
          <w:p>
            <w:pPr>
              <w:ind w:left="160"/>
              <w:spacing w:after="0"/>
              <w:rPr>
                <w:sz w:val="20"/>
                <w:szCs w:val="20"/>
                <w:color w:val="auto"/>
              </w:rPr>
            </w:pPr>
            <w:r>
              <w:rPr>
                <w:rFonts w:ascii="Arial" w:cs="Arial" w:eastAsia="Arial" w:hAnsi="Arial"/>
                <w:sz w:val="14"/>
                <w:szCs w:val="14"/>
                <w:b w:val="1"/>
                <w:bCs w:val="1"/>
                <w:color w:val="auto"/>
              </w:rPr>
              <w:t>2 Years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3 Years</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Abstain</w:t>
            </w:r>
          </w:p>
        </w:tc>
        <w:tc>
          <w:tcPr>
            <w:tcW w:w="3280" w:type="dxa"/>
            <w:vAlign w:val="bottom"/>
            <w:gridSpan w:val="4"/>
            <w:vMerge w:val="restart"/>
          </w:tcPr>
          <w:p>
            <w:pPr>
              <w:ind w:left="220"/>
              <w:spacing w:after="0"/>
              <w:rPr>
                <w:sz w:val="20"/>
                <w:szCs w:val="20"/>
                <w:color w:val="auto"/>
              </w:rPr>
            </w:pPr>
            <w:r>
              <w:rPr>
                <w:rFonts w:ascii="Arial" w:cs="Arial" w:eastAsia="Arial" w:hAnsi="Arial"/>
                <w:sz w:val="14"/>
                <w:szCs w:val="14"/>
                <w:color w:val="auto"/>
              </w:rPr>
              <w:t>5. In their discretion, the Proxies are authorized</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540" w:type="dxa"/>
            <w:vAlign w:val="bottom"/>
            <w:vMerge w:val="restart"/>
          </w:tcPr>
          <w:p>
            <w:pPr>
              <w:ind w:left="80"/>
              <w:spacing w:after="0" w:line="271" w:lineRule="exact"/>
              <w:rPr>
                <w:sz w:val="20"/>
                <w:szCs w:val="20"/>
                <w:color w:val="auto"/>
              </w:rPr>
            </w:pPr>
            <w:r>
              <w:rPr>
                <w:rFonts w:ascii="MS PGothic" w:cs="MS PGothic" w:eastAsia="MS PGothic" w:hAnsi="MS PGothic"/>
                <w:sz w:val="27"/>
                <w:szCs w:val="27"/>
                <w:color w:val="auto"/>
              </w:rPr>
              <w:t>☐</w:t>
            </w:r>
          </w:p>
        </w:tc>
        <w:tc>
          <w:tcPr>
            <w:tcW w:w="780" w:type="dxa"/>
            <w:vAlign w:val="bottom"/>
            <w:vMerge w:val="restart"/>
          </w:tcPr>
          <w:p>
            <w:pPr>
              <w:ind w:left="280"/>
              <w:spacing w:after="0" w:line="271" w:lineRule="exact"/>
              <w:rPr>
                <w:sz w:val="20"/>
                <w:szCs w:val="20"/>
                <w:color w:val="auto"/>
              </w:rPr>
            </w:pPr>
            <w:r>
              <w:rPr>
                <w:rFonts w:ascii="MS PGothic" w:cs="MS PGothic" w:eastAsia="MS PGothic" w:hAnsi="MS PGothic"/>
                <w:sz w:val="27"/>
                <w:szCs w:val="27"/>
                <w:color w:val="auto"/>
              </w:rPr>
              <w:t>☐</w:t>
            </w:r>
          </w:p>
        </w:tc>
        <w:tc>
          <w:tcPr>
            <w:tcW w:w="70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60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3280" w:type="dxa"/>
            <w:vAlign w:val="bottom"/>
            <w:gridSpan w:val="4"/>
            <w:vMerge w:val="continue"/>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940" w:type="dxa"/>
            <w:vAlign w:val="bottom"/>
            <w:gridSpan w:val="3"/>
          </w:tcPr>
          <w:p>
            <w:pPr>
              <w:ind w:left="20"/>
              <w:spacing w:after="0"/>
              <w:rPr>
                <w:sz w:val="20"/>
                <w:szCs w:val="20"/>
                <w:color w:val="auto"/>
              </w:rPr>
            </w:pPr>
            <w:r>
              <w:rPr>
                <w:rFonts w:ascii="Arial" w:cs="Arial" w:eastAsia="Arial" w:hAnsi="Arial"/>
                <w:sz w:val="14"/>
                <w:szCs w:val="14"/>
                <w:color w:val="auto"/>
              </w:rPr>
              <w:t>to vote upon such other business as may</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2940" w:type="dxa"/>
            <w:vAlign w:val="bottom"/>
            <w:gridSpan w:val="3"/>
            <w:vMerge w:val="restart"/>
          </w:tcPr>
          <w:p>
            <w:pPr>
              <w:ind w:left="20"/>
              <w:spacing w:after="0"/>
              <w:rPr>
                <w:sz w:val="20"/>
                <w:szCs w:val="20"/>
                <w:color w:val="auto"/>
              </w:rPr>
            </w:pPr>
            <w:r>
              <w:rPr>
                <w:rFonts w:ascii="Arial" w:cs="Arial" w:eastAsia="Arial" w:hAnsi="Arial"/>
                <w:sz w:val="14"/>
                <w:szCs w:val="14"/>
                <w:color w:val="auto"/>
              </w:rPr>
              <w:t>properly come before the meeting.</w:t>
            </w: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94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sectPr>
          <w:pgSz w:w="11900" w:h="16838" w:orient="portrait"/>
          <w:cols w:equalWidth="0" w:num="2">
            <w:col w:w="2940" w:space="200"/>
            <w:col w:w="828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9"/>
          <w:szCs w:val="19"/>
          <w:b w:val="1"/>
          <w:bCs w:val="1"/>
          <w:color w:val="auto"/>
        </w:rPr>
        <w:t xml:space="preserve">IF VOTING BY MAIL, YOU </w:t>
      </w:r>
      <w:r>
        <w:rPr>
          <w:rFonts w:ascii="Arial" w:cs="Arial" w:eastAsia="Arial" w:hAnsi="Arial"/>
          <w:sz w:val="19"/>
          <w:szCs w:val="19"/>
          <w:b w:val="1"/>
          <w:bCs w:val="1"/>
          <w:u w:val="single" w:color="auto"/>
          <w:color w:val="auto"/>
        </w:rPr>
        <w:t>MUST</w:t>
      </w:r>
      <w:r>
        <w:rPr>
          <w:rFonts w:ascii="Arial" w:cs="Arial" w:eastAsia="Arial" w:hAnsi="Arial"/>
          <w:sz w:val="19"/>
          <w:szCs w:val="19"/>
          <w:b w:val="1"/>
          <w:bCs w:val="1"/>
          <w:color w:val="auto"/>
        </w:rPr>
        <w:t xml:space="preserve"> COMPLETE SECTIONS A - C ON BOTH SIDES OF THIS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170180</wp:posOffset>
            </wp:positionV>
            <wp:extent cx="6251575" cy="42037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251575" cy="42037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40"/>
        <w:spacing w:after="0"/>
        <w:rPr>
          <w:sz w:val="20"/>
          <w:szCs w:val="20"/>
          <w:color w:val="auto"/>
        </w:rPr>
      </w:pPr>
      <w:r>
        <w:rPr>
          <w:rFonts w:ascii="Arial" w:cs="Arial" w:eastAsia="Arial" w:hAnsi="Arial"/>
          <w:sz w:val="10"/>
          <w:szCs w:val="10"/>
          <w:color w:val="auto"/>
        </w:rPr>
        <w:t>02lOUC</w:t>
      </w:r>
    </w:p>
    <w:p>
      <w:pPr>
        <w:sectPr>
          <w:pgSz w:w="11900" w:h="16838" w:orient="portrait"/>
          <w:cols w:equalWidth="0" w:num="1">
            <w:col w:w="11420"/>
          </w:cols>
          <w:pgMar w:left="240" w:top="459" w:right="23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ManpowerGroup Inc.</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Annual Meeting of ManpowerGroup Inc. Shareholders</w:t>
      </w:r>
    </w:p>
    <w:p>
      <w:pPr>
        <w:jc w:val="center"/>
        <w:ind w:right="20"/>
        <w:spacing w:after="0" w:line="234" w:lineRule="auto"/>
        <w:rPr>
          <w:sz w:val="20"/>
          <w:szCs w:val="20"/>
          <w:color w:val="auto"/>
        </w:rPr>
      </w:pPr>
      <w:r>
        <w:rPr>
          <w:rFonts w:ascii="Arial" w:cs="Arial" w:eastAsia="Arial" w:hAnsi="Arial"/>
          <w:sz w:val="18"/>
          <w:szCs w:val="18"/>
          <w:b w:val="1"/>
          <w:bCs w:val="1"/>
          <w:color w:val="auto"/>
        </w:rPr>
        <w:t>Tuesday, May 2, 2017</w:t>
      </w:r>
    </w:p>
    <w:p>
      <w:pPr>
        <w:jc w:val="center"/>
        <w:ind w:right="20"/>
        <w:spacing w:after="0" w:line="235" w:lineRule="auto"/>
        <w:rPr>
          <w:sz w:val="20"/>
          <w:szCs w:val="20"/>
          <w:color w:val="auto"/>
        </w:rPr>
      </w:pPr>
      <w:r>
        <w:rPr>
          <w:rFonts w:ascii="Arial" w:cs="Arial" w:eastAsia="Arial" w:hAnsi="Arial"/>
          <w:sz w:val="18"/>
          <w:szCs w:val="18"/>
          <w:b w:val="1"/>
          <w:bCs w:val="1"/>
          <w:color w:val="auto"/>
        </w:rPr>
        <w:t>10:00 a.m.</w:t>
      </w:r>
    </w:p>
    <w:p>
      <w:pPr>
        <w:jc w:val="center"/>
        <w:ind w:right="20"/>
        <w:spacing w:after="0" w:line="235" w:lineRule="auto"/>
        <w:rPr>
          <w:sz w:val="20"/>
          <w:szCs w:val="20"/>
          <w:color w:val="auto"/>
        </w:rPr>
      </w:pPr>
      <w:r>
        <w:rPr>
          <w:rFonts w:ascii="Arial" w:cs="Arial" w:eastAsia="Arial" w:hAnsi="Arial"/>
          <w:sz w:val="18"/>
          <w:szCs w:val="18"/>
          <w:b w:val="1"/>
          <w:bCs w:val="1"/>
          <w:color w:val="auto"/>
        </w:rPr>
        <w:t>International Headquarters of ManpowerGroup Inc.</w:t>
      </w:r>
    </w:p>
    <w:p>
      <w:pPr>
        <w:jc w:val="center"/>
        <w:ind w:right="20"/>
        <w:spacing w:after="0" w:line="235" w:lineRule="auto"/>
        <w:rPr>
          <w:sz w:val="20"/>
          <w:szCs w:val="20"/>
          <w:color w:val="auto"/>
        </w:rPr>
      </w:pPr>
      <w:r>
        <w:rPr>
          <w:rFonts w:ascii="Arial" w:cs="Arial" w:eastAsia="Arial" w:hAnsi="Arial"/>
          <w:sz w:val="18"/>
          <w:szCs w:val="18"/>
          <w:b w:val="1"/>
          <w:bCs w:val="1"/>
          <w:color w:val="auto"/>
        </w:rPr>
        <w:t>100 Manpower Place</w:t>
      </w:r>
    </w:p>
    <w:p>
      <w:pPr>
        <w:jc w:val="center"/>
        <w:ind w:right="20"/>
        <w:spacing w:after="0"/>
        <w:rPr>
          <w:sz w:val="20"/>
          <w:szCs w:val="20"/>
          <w:color w:val="auto"/>
        </w:rPr>
      </w:pPr>
      <w:r>
        <w:rPr>
          <w:rFonts w:ascii="Arial" w:cs="Arial" w:eastAsia="Arial" w:hAnsi="Arial"/>
          <w:sz w:val="18"/>
          <w:szCs w:val="18"/>
          <w:b w:val="1"/>
          <w:bCs w:val="1"/>
          <w:color w:val="auto"/>
        </w:rPr>
        <w:t>Milwaukee, Wisconsin</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Agenda</w:t>
      </w:r>
    </w:p>
    <w:p>
      <w:pPr>
        <w:spacing w:after="0" w:line="13"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Elect thirteen individuals nominated by the Board of Directors of ManpowerGroup Inc. to serve until 2018 as directors.</w:t>
      </w:r>
    </w:p>
    <w:p>
      <w:pPr>
        <w:ind w:left="460" w:hanging="452"/>
        <w:spacing w:after="0" w:line="234"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Ratification of Deloitte &amp; Touche LLP as our independent auditors for 2017.</w:t>
      </w:r>
    </w:p>
    <w:p>
      <w:pPr>
        <w:ind w:left="460" w:hanging="452"/>
        <w:spacing w:after="0" w:line="234"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Advisory vote to approve the compensation of our named executive officers.</w:t>
      </w:r>
    </w:p>
    <w:p>
      <w:pPr>
        <w:ind w:left="460" w:hanging="452"/>
        <w:spacing w:after="0" w:line="234"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Advisory vote on the frequency of the advisory vote on the compensation of our named executive officers.</w:t>
      </w: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Transact such other business as may properly come before the meeting.</w:t>
      </w:r>
    </w:p>
    <w:p>
      <w:pPr>
        <w:spacing w:after="0" w:line="190"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color w:val="auto"/>
        </w:rPr>
        <w:t xml:space="preserve">Important notice regarding the Internet availability of proxy materials for the Annual Meeting of Shareholders. </w:t>
      </w:r>
      <w:r>
        <w:rPr>
          <w:rFonts w:ascii="Arial" w:cs="Arial" w:eastAsia="Arial" w:hAnsi="Arial"/>
          <w:sz w:val="18"/>
          <w:szCs w:val="18"/>
          <w:color w:val="auto"/>
        </w:rPr>
        <w:t>The Proxy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the 2016 Annual Report to Shareholders are available at: </w:t>
      </w:r>
      <w:r>
        <w:rPr>
          <w:rFonts w:ascii="Arial" w:cs="Arial" w:eastAsia="Arial" w:hAnsi="Arial"/>
          <w:sz w:val="18"/>
          <w:szCs w:val="18"/>
          <w:b w:val="1"/>
          <w:bCs w:val="1"/>
          <w:u w:val="single" w:color="auto"/>
          <w:color w:val="auto"/>
        </w:rPr>
        <w:t>www.envisionreports.com/MAN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line="285" w:lineRule="auto"/>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YOU HAVE NOT VOTED VIA THE INTERNET</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OR</w:t>
      </w:r>
      <w:r>
        <w:rPr>
          <w:rFonts w:ascii="Arial" w:cs="Arial" w:eastAsia="Arial" w:hAnsi="Arial"/>
          <w:sz w:val="14"/>
          <w:szCs w:val="14"/>
          <w:color w:val="auto"/>
        </w:rPr>
        <w:t xml:space="preserve"> </w:t>
      </w:r>
      <w:r>
        <w:rPr>
          <w:rFonts w:ascii="Arial" w:cs="Arial" w:eastAsia="Arial" w:hAnsi="Arial"/>
          <w:sz w:val="14"/>
          <w:szCs w:val="14"/>
          <w:b w:val="1"/>
          <w:bCs w:val="1"/>
          <w:color w:val="auto"/>
        </w:rPr>
        <w:t>TELEPHONE, FOLD ALONG THE PERFORATION, DETACH AND RETURN THE BOTTOM PORTION IN THE</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ENCLOSED ENVELOPE. </w:t>
      </w:r>
      <w:r>
        <w:rPr>
          <w:rFonts w:ascii="Arial" w:cs="Arial" w:eastAsia="Arial" w:hAnsi="Arial"/>
          <w:sz w:val="14"/>
          <w:szCs w:val="14"/>
          <w:color w:val="auto"/>
        </w:rPr>
        <w:t>q</w:t>
      </w:r>
    </w:p>
    <w:p>
      <w:pPr>
        <w:spacing w:after="0" w:line="393" w:lineRule="exact"/>
        <w:rPr>
          <w:sz w:val="20"/>
          <w:szCs w:val="20"/>
          <w:color w:val="auto"/>
        </w:rPr>
      </w:pPr>
    </w:p>
    <w:p>
      <w:pPr>
        <w:spacing w:after="0"/>
        <w:tabs>
          <w:tab w:leader="none" w:pos="11180" w:val="left"/>
        </w:tabs>
        <w:rPr>
          <w:sz w:val="20"/>
          <w:szCs w:val="20"/>
          <w:color w:val="auto"/>
        </w:rPr>
      </w:pPr>
      <w:r>
        <w:rPr>
          <w:rFonts w:ascii="Arial" w:cs="Arial" w:eastAsia="Arial" w:hAnsi="Arial"/>
          <w:sz w:val="25"/>
          <w:szCs w:val="25"/>
          <w:b w:val="1"/>
          <w:bCs w:val="1"/>
          <w:color w:val="auto"/>
        </w:rPr>
        <w:t>Proxy — ManpowerGroup Inc.</w:t>
      </w:r>
      <w:r>
        <w:rPr>
          <w:sz w:val="20"/>
          <w:szCs w:val="20"/>
          <w:color w:val="auto"/>
        </w:rPr>
        <w:tab/>
      </w:r>
      <w:r>
        <w:rPr>
          <w:rFonts w:ascii="Arial" w:cs="Arial" w:eastAsia="Arial" w:hAnsi="Arial"/>
          <w:sz w:val="36"/>
          <w:szCs w:val="3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6963410" cy="171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96341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6963410" cy="171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963410" cy="1714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THIS PROXY IS SOLICITED ON BEHALF OF THE BOARD OF DIRECTORS OF MANPOWERGROUP INC.</w:t>
      </w:r>
    </w:p>
    <w:p>
      <w:pPr>
        <w:spacing w:after="0" w:line="229" w:lineRule="exact"/>
        <w:rPr>
          <w:sz w:val="20"/>
          <w:szCs w:val="20"/>
          <w:color w:val="auto"/>
        </w:rPr>
      </w:pPr>
    </w:p>
    <w:p>
      <w:pPr>
        <w:jc w:val="both"/>
        <w:ind w:right="280"/>
        <w:spacing w:after="0" w:line="239" w:lineRule="auto"/>
        <w:rPr>
          <w:sz w:val="20"/>
          <w:szCs w:val="20"/>
          <w:color w:val="auto"/>
        </w:rPr>
      </w:pPr>
      <w:r>
        <w:rPr>
          <w:rFonts w:ascii="Arial" w:cs="Arial" w:eastAsia="Arial" w:hAnsi="Arial"/>
          <w:sz w:val="18"/>
          <w:szCs w:val="18"/>
          <w:color w:val="auto"/>
        </w:rPr>
        <w:t>The undersigned hereby appoints Jonas Prising, John T. McGinnis and Richard Buchband proxies, each with power to act without the other and with power of substitution, and hereby authorizes them to represent and vote, as designated on the other side, all the shares of stock of ManpowerGroup Inc. standing in the name of the undersigned with all powers which the undersigned would possess if present at the Annual Meeting of Shareholders of ManpowerGroup Inc. to be held May 2, 2017 or any adjournment thereof.</w:t>
      </w:r>
    </w:p>
    <w:p>
      <w:pPr>
        <w:spacing w:after="0" w:line="180" w:lineRule="exact"/>
        <w:rPr>
          <w:sz w:val="20"/>
          <w:szCs w:val="20"/>
          <w:color w:val="auto"/>
        </w:rPr>
      </w:pPr>
    </w:p>
    <w:p>
      <w:pPr>
        <w:ind w:right="980"/>
        <w:spacing w:after="0" w:line="522" w:lineRule="auto"/>
        <w:rPr>
          <w:sz w:val="20"/>
          <w:szCs w:val="20"/>
          <w:color w:val="auto"/>
        </w:rPr>
      </w:pPr>
      <w:r>
        <w:rPr>
          <w:rFonts w:ascii="Arial" w:cs="Arial" w:eastAsia="Arial" w:hAnsi="Arial"/>
          <w:sz w:val="18"/>
          <w:szCs w:val="18"/>
          <w:b w:val="1"/>
          <w:bCs w:val="1"/>
          <w:color w:val="auto"/>
        </w:rPr>
        <w:t>In their discretion, the Proxies are authorized to vote upon such other business as may properly come before the meeting. (Continued and to be marked, dated and signed, on the other side)</w:t>
      </w:r>
    </w:p>
    <w:p>
      <w:pPr>
        <w:sectPr>
          <w:pgSz w:w="11900" w:h="16838" w:orient="portrait"/>
          <w:cols w:equalWidth="0" w:num="1">
            <w:col w:w="11440"/>
          </w:cols>
          <w:pgMar w:left="240" w:top="459" w:right="219" w:bottom="1440" w:gutter="0" w:footer="0" w:header="0"/>
        </w:sectPr>
      </w:pPr>
    </w:p>
    <w:p>
      <w:pPr>
        <w:spacing w:after="0" w:line="239" w:lineRule="exact"/>
        <w:rPr>
          <w:sz w:val="20"/>
          <w:szCs w:val="20"/>
          <w:color w:val="auto"/>
        </w:rPr>
      </w:pPr>
    </w:p>
    <w:p>
      <w:pPr>
        <w:ind w:left="360" w:hanging="295"/>
        <w:spacing w:after="0"/>
        <w:tabs>
          <w:tab w:leader="none" w:pos="360" w:val="left"/>
        </w:tabs>
        <w:numPr>
          <w:ilvl w:val="0"/>
          <w:numId w:val="92"/>
        </w:numPr>
        <w:rPr>
          <w:rFonts w:ascii="Arial" w:cs="Arial" w:eastAsia="Arial" w:hAnsi="Arial"/>
          <w:sz w:val="18"/>
          <w:szCs w:val="18"/>
          <w:b w:val="1"/>
          <w:bCs w:val="1"/>
          <w:color w:val="FFFFFF"/>
        </w:rPr>
      </w:pPr>
      <w:r>
        <w:rPr>
          <w:rFonts w:ascii="Arial" w:cs="Arial" w:eastAsia="Arial" w:hAnsi="Arial"/>
          <w:sz w:val="16"/>
          <w:szCs w:val="16"/>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54305" cy="12890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54305" cy="12890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90595" cy="40322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3490595" cy="403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Comments </w:t>
      </w:r>
      <w:r>
        <w:rPr>
          <w:rFonts w:ascii="Arial" w:cs="Arial" w:eastAsia="Arial" w:hAnsi="Arial"/>
          <w:sz w:val="14"/>
          <w:szCs w:val="14"/>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34925</wp:posOffset>
            </wp:positionV>
            <wp:extent cx="3627755" cy="40322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3627755" cy="403225"/>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2">
            <w:col w:w="5060" w:space="720"/>
            <w:col w:w="5660"/>
          </w:cols>
          <w:pgMar w:left="240" w:top="459" w:right="219"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ind w:left="360" w:hanging="302"/>
        <w:spacing w:after="0"/>
        <w:tabs>
          <w:tab w:leader="none" w:pos="360" w:val="left"/>
        </w:tabs>
        <w:numPr>
          <w:ilvl w:val="0"/>
          <w:numId w:val="93"/>
        </w:numPr>
        <w:rPr>
          <w:rFonts w:ascii="Arial" w:cs="Arial" w:eastAsia="Arial" w:hAnsi="Arial"/>
          <w:sz w:val="18"/>
          <w:szCs w:val="18"/>
          <w:b w:val="1"/>
          <w:bCs w:val="1"/>
          <w:color w:val="FFFFFF"/>
        </w:rPr>
      </w:pPr>
      <w:r>
        <w:rPr>
          <w:rFonts w:ascii="Arial" w:cs="Arial" w:eastAsia="Arial" w:hAnsi="Arial"/>
          <w:sz w:val="16"/>
          <w:szCs w:val="16"/>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54305" cy="12890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54305" cy="128905"/>
                    </a:xfrm>
                    <a:prstGeom prst="rect">
                      <a:avLst/>
                    </a:prstGeom>
                    <a:noFill/>
                  </pic:spPr>
                </pic:pic>
              </a:graphicData>
            </a:graphic>
          </wp:anchor>
        </w:drawing>
      </w:r>
    </w:p>
    <w:p>
      <w:pPr>
        <w:spacing w:after="0" w:line="39" w:lineRule="exact"/>
        <w:rPr>
          <w:sz w:val="20"/>
          <w:szCs w:val="20"/>
          <w:color w:val="auto"/>
        </w:rPr>
      </w:pPr>
    </w:p>
    <w:p>
      <w:pPr>
        <w:ind w:right="680"/>
        <w:spacing w:after="0" w:line="258" w:lineRule="auto"/>
        <w:rPr>
          <w:sz w:val="20"/>
          <w:szCs w:val="20"/>
          <w:color w:val="auto"/>
        </w:rPr>
      </w:pPr>
      <w:r>
        <w:rPr>
          <w:rFonts w:ascii="Arial" w:cs="Arial" w:eastAsia="Arial" w:hAnsi="Arial"/>
          <w:sz w:val="14"/>
          <w:szCs w:val="14"/>
          <w:color w:val="auto"/>
        </w:rPr>
        <w:t>Please sign exactly as name(s) appears hereon. Joint owners should each sign. When signing as attorney, executor, administrator, corporate officer, trustee, guardian, or custodian, please give full title.</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3680" w:type="dxa"/>
            <w:vAlign w:val="bottom"/>
            <w:gridSpan w:val="2"/>
          </w:tcPr>
          <w:p>
            <w:pPr>
              <w:jc w:val="right"/>
              <w:ind w:right="450"/>
              <w:spacing w:after="0"/>
              <w:rPr>
                <w:sz w:val="20"/>
                <w:szCs w:val="20"/>
                <w:color w:val="auto"/>
              </w:rPr>
            </w:pPr>
            <w:r>
              <w:rPr>
                <w:rFonts w:ascii="Arial" w:cs="Arial" w:eastAsia="Arial" w:hAnsi="Arial"/>
                <w:sz w:val="14"/>
                <w:szCs w:val="14"/>
                <w:color w:val="auto"/>
              </w:rPr>
              <w:t>Date (mm/dd/yyyy) — Please print date below.</w:t>
            </w:r>
          </w:p>
        </w:tc>
        <w:tc>
          <w:tcPr>
            <w:tcW w:w="3920" w:type="dxa"/>
            <w:vAlign w:val="bottom"/>
            <w:gridSpan w:val="2"/>
          </w:tcPr>
          <w:p>
            <w:pPr>
              <w:ind w:left="220"/>
              <w:spacing w:after="0"/>
              <w:rPr>
                <w:sz w:val="20"/>
                <w:szCs w:val="20"/>
                <w:color w:val="auto"/>
              </w:rPr>
            </w:pPr>
            <w:r>
              <w:rPr>
                <w:rFonts w:ascii="Arial" w:cs="Arial" w:eastAsia="Arial" w:hAnsi="Arial"/>
                <w:sz w:val="13"/>
                <w:szCs w:val="13"/>
                <w:color w:val="auto"/>
              </w:rPr>
              <w:t>Signature 1 — Please keep signature within the box.</w:t>
            </w:r>
          </w:p>
        </w:tc>
        <w:tc>
          <w:tcPr>
            <w:tcW w:w="3840" w:type="dxa"/>
            <w:vAlign w:val="bottom"/>
            <w:gridSpan w:val="2"/>
          </w:tcPr>
          <w:p>
            <w:pPr>
              <w:ind w:left="180"/>
              <w:spacing w:after="0"/>
              <w:rPr>
                <w:sz w:val="20"/>
                <w:szCs w:val="20"/>
                <w:color w:val="auto"/>
              </w:rPr>
            </w:pPr>
            <w:r>
              <w:rPr>
                <w:rFonts w:ascii="Arial" w:cs="Arial" w:eastAsia="Arial" w:hAnsi="Arial"/>
                <w:sz w:val="13"/>
                <w:szCs w:val="13"/>
                <w:color w:val="auto"/>
              </w:rPr>
              <w:t>Signature 2 — Please keep signature within the box.</w:t>
            </w:r>
          </w:p>
        </w:tc>
      </w:tr>
      <w:tr>
        <w:trPr>
          <w:trHeight w:val="601"/>
        </w:trPr>
        <w:tc>
          <w:tcPr>
            <w:tcW w:w="1660" w:type="dxa"/>
            <w:vAlign w:val="bottom"/>
            <w:tcBorders>
              <w:top w:val="single" w:sz="8" w:color="auto"/>
              <w:left w:val="single" w:sz="8" w:color="auto"/>
              <w:bottom w:val="single" w:sz="8" w:color="auto"/>
            </w:tcBorders>
          </w:tcPr>
          <w:p>
            <w:pPr>
              <w:jc w:val="right"/>
              <w:ind w:right="269"/>
              <w:spacing w:after="0" w:line="601" w:lineRule="exact"/>
              <w:rPr>
                <w:sz w:val="20"/>
                <w:szCs w:val="20"/>
                <w:color w:val="auto"/>
              </w:rPr>
            </w:pPr>
            <w:r>
              <w:rPr>
                <w:rFonts w:ascii="Arial" w:cs="Arial" w:eastAsia="Arial" w:hAnsi="Arial"/>
                <w:sz w:val="54"/>
                <w:szCs w:val="54"/>
                <w:color w:val="auto"/>
              </w:rPr>
              <w:t>/</w:t>
            </w:r>
          </w:p>
        </w:tc>
        <w:tc>
          <w:tcPr>
            <w:tcW w:w="2020" w:type="dxa"/>
            <w:vAlign w:val="bottom"/>
            <w:tcBorders>
              <w:top w:val="single" w:sz="8" w:color="auto"/>
              <w:bottom w:val="single" w:sz="8" w:color="auto"/>
              <w:right w:val="single" w:sz="8" w:color="auto"/>
            </w:tcBorders>
          </w:tcPr>
          <w:p>
            <w:pPr>
              <w:jc w:val="right"/>
              <w:ind w:right="1150"/>
              <w:spacing w:after="0" w:line="601" w:lineRule="exact"/>
              <w:rPr>
                <w:sz w:val="20"/>
                <w:szCs w:val="20"/>
                <w:color w:val="auto"/>
              </w:rPr>
            </w:pPr>
            <w:r>
              <w:rPr>
                <w:rFonts w:ascii="Arial" w:cs="Arial" w:eastAsia="Arial" w:hAnsi="Arial"/>
                <w:sz w:val="54"/>
                <w:szCs w:val="54"/>
                <w:color w:val="auto"/>
              </w:rPr>
              <w:t>/</w:t>
            </w:r>
          </w:p>
        </w:tc>
        <w:tc>
          <w:tcPr>
            <w:tcW w:w="260" w:type="dxa"/>
            <w:vAlign w:val="bottom"/>
            <w:tcBorders>
              <w:right w:val="single" w:sz="8" w:color="auto"/>
            </w:tcBorders>
          </w:tcPr>
          <w:p>
            <w:pPr>
              <w:spacing w:after="0"/>
              <w:rPr>
                <w:sz w:val="24"/>
                <w:szCs w:val="24"/>
                <w:color w:val="auto"/>
              </w:rPr>
            </w:pPr>
          </w:p>
        </w:tc>
        <w:tc>
          <w:tcPr>
            <w:tcW w:w="3660" w:type="dxa"/>
            <w:vAlign w:val="bottom"/>
            <w:tcBorders>
              <w:top w:val="single" w:sz="8" w:color="auto"/>
              <w:bottom w:val="single" w:sz="8" w:color="auto"/>
              <w:righ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3640" w:type="dxa"/>
            <w:vAlign w:val="bottom"/>
            <w:tcBorders>
              <w:top w:val="single" w:sz="8" w:color="auto"/>
              <w:bottom w:val="single" w:sz="8" w:color="auto"/>
              <w:right w:val="single" w:sz="8" w:color="auto"/>
            </w:tcBorders>
          </w:tcPr>
          <w:p>
            <w:pPr>
              <w:spacing w:after="0"/>
              <w:rPr>
                <w:sz w:val="24"/>
                <w:szCs w:val="24"/>
                <w:color w:val="auto"/>
              </w:rPr>
            </w:pPr>
          </w:p>
        </w:tc>
      </w:tr>
    </w:tbl>
    <w:p>
      <w:pPr>
        <w:spacing w:after="0" w:line="9" w:lineRule="exact"/>
        <w:rPr>
          <w:sz w:val="20"/>
          <w:szCs w:val="20"/>
          <w:color w:val="auto"/>
        </w:rPr>
      </w:pPr>
    </w:p>
    <w:tbl>
      <w:tblPr>
        <w:tblLayout w:type="fixed"/>
        <w:tblInd w:w="1680" w:type="dxa"/>
        <w:tblCellMar>
          <w:top w:w="0" w:type="dxa"/>
          <w:left w:w="0" w:type="dxa"/>
          <w:bottom w:w="0" w:type="dxa"/>
          <w:right w:w="0" w:type="dxa"/>
        </w:tblCellMar>
      </w:tblPr>
      <w:tr>
        <w:trPr>
          <w:trHeight w:val="531"/>
        </w:trPr>
        <w:tc>
          <w:tcPr>
            <w:tcW w:w="8780" w:type="dxa"/>
            <w:vAlign w:val="bottom"/>
            <w:gridSpan w:val="3"/>
          </w:tcPr>
          <w:p>
            <w:pPr>
              <w:spacing w:after="0"/>
              <w:rPr>
                <w:sz w:val="20"/>
                <w:szCs w:val="20"/>
                <w:color w:val="auto"/>
              </w:rPr>
            </w:pPr>
            <w:r>
              <w:rPr>
                <w:rFonts w:ascii="Arial" w:cs="Arial" w:eastAsia="Arial" w:hAnsi="Arial"/>
                <w:sz w:val="18"/>
                <w:szCs w:val="18"/>
                <w:b w:val="1"/>
                <w:bCs w:val="1"/>
                <w:color w:val="auto"/>
              </w:rPr>
              <w:t>IF VOTING BY MAIL, YOU MUST COMPLETE SECTIONS A - C ON BOTH SIDES OF THIS CARD.</w:t>
            </w:r>
          </w:p>
        </w:tc>
        <w:tc>
          <w:tcPr>
            <w:tcW w:w="960" w:type="dxa"/>
            <w:vAlign w:val="bottom"/>
          </w:tcPr>
          <w:p>
            <w:pPr>
              <w:jc w:val="right"/>
              <w:spacing w:after="0"/>
              <w:rPr>
                <w:sz w:val="20"/>
                <w:szCs w:val="20"/>
                <w:color w:val="auto"/>
              </w:rPr>
            </w:pPr>
            <w:r>
              <w:rPr>
                <w:rFonts w:ascii="Arial" w:cs="Arial" w:eastAsia="Arial" w:hAnsi="Arial"/>
                <w:sz w:val="45"/>
                <w:szCs w:val="45"/>
                <w:b w:val="1"/>
                <w:bCs w:val="1"/>
                <w:color w:val="auto"/>
              </w:rPr>
              <w:t>+</w:t>
            </w:r>
          </w:p>
        </w:tc>
      </w:tr>
      <w:tr>
        <w:trPr>
          <w:trHeight w:val="20"/>
        </w:trPr>
        <w:tc>
          <w:tcPr>
            <w:tcW w:w="2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40"/>
      </w:cols>
      <w:pgMar w:left="240" w:top="459"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lvl w:ilvl="1">
      <w:lvlJc w:val="left"/>
      <w:lvlText w:val="(%2)"/>
      <w:numFmt w:val="decimal"/>
      <w:start w:val="1"/>
    </w:lvl>
  </w:abstractNum>
  <w:abstractNum w:abstractNumId="5">
    <w:nsid w:val="579478FE"/>
    <w:multiLevelType w:val="hybridMultilevel"/>
    <w:lvl w:ilvl="0">
      <w:lvlJc w:val="left"/>
      <w:lvlText w:val="☐"/>
      <w:numFmt w:val="bullet"/>
      <w:start w:val="1"/>
    </w:lvl>
    <w:lvl w:ilvl="1">
      <w:lvlJc w:val="left"/>
      <w:lvlText w:val="(%2)"/>
      <w:numFmt w:val="decimal"/>
      <w:start w:val="4"/>
    </w:lvl>
  </w:abstractNum>
  <w:abstractNum w:abstractNumId="6">
    <w:nsid w:val="749ABB43"/>
    <w:multiLevelType w:val="hybridMultilevel"/>
    <w:lvl w:ilvl="0">
      <w:lvlJc w:val="left"/>
      <w:lvlText w:val="☐"/>
      <w:numFmt w:val="bullet"/>
      <w:start w:val="1"/>
    </w:lvl>
    <w:lvl w:ilvl="1">
      <w:lvlJc w:val="left"/>
      <w:lvlText w:val="(%2)"/>
      <w:numFmt w:val="decimal"/>
      <w:start w:val="1"/>
    </w:lvl>
  </w:abstractNum>
  <w:abstractNum w:abstractNumId="7">
    <w:nsid w:val="3DC240FB"/>
    <w:multiLevelType w:val="hybridMultilevel"/>
    <w:lvl w:ilvl="0">
      <w:lvlJc w:val="left"/>
      <w:lvlText w:val="(%1)"/>
      <w:numFmt w:val="decimal"/>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1)"/>
      <w:numFmt w:val="decimal"/>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1)"/>
      <w:numFmt w:val="decimal"/>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5"/>
      <w:numFmt w:val="bullet"/>
      <w:start w:val="1"/>
    </w:lvl>
  </w:abstractNum>
  <w:abstractNum w:abstractNumId="18">
    <w:nsid w:val="275AC794"/>
    <w:multiLevelType w:val="hybridMultilevel"/>
    <w:lvl w:ilvl="0">
      <w:lvlJc w:val="left"/>
      <w:lvlText w:val="4"/>
      <w:numFmt w:val="bullet"/>
      <w:start w:val="1"/>
    </w:lvl>
  </w:abstractNum>
  <w:abstractNum w:abstractNumId="19">
    <w:nsid w:val="39386575"/>
    <w:multiLevelType w:val="hybridMultilevel"/>
    <w:lvl w:ilvl="0">
      <w:lvlJc w:val="left"/>
      <w:lvlText w:val="6"/>
      <w:numFmt w:val="bullet"/>
      <w:start w:val="1"/>
    </w:lvl>
  </w:abstractNum>
  <w:abstractNum w:abstractNumId="20">
    <w:nsid w:val="1CF10FD8"/>
    <w:multiLevelType w:val="hybridMultilevel"/>
    <w:lvl w:ilvl="0">
      <w:lvlJc w:val="left"/>
      <w:lvlText w:val="3"/>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1)"/>
      <w:numFmt w:val="decimal"/>
      <w:start w:val="1"/>
    </w:lvl>
  </w:abstractNum>
  <w:abstractNum w:abstractNumId="28">
    <w:nsid w:val="10233C99"/>
    <w:multiLevelType w:val="hybridMultilevel"/>
    <w:lvl w:ilvl="0">
      <w:lvlJc w:val="left"/>
      <w:lvlText w:val="(%1)"/>
      <w:numFmt w:val="decimal"/>
      <w:start w:val="2"/>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emdash "/>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1)"/>
      <w:numFmt w:val="decimal"/>
      <w:start w:val="1"/>
    </w:lvl>
  </w:abstractNum>
  <w:abstractNum w:abstractNumId="43">
    <w:nsid w:val="100F8FCA"/>
    <w:multiLevelType w:val="hybridMultilevel"/>
    <w:lvl w:ilvl="0">
      <w:lvlJc w:val="left"/>
      <w:lvlText w:val="(%1)"/>
      <w:numFmt w:val="decimal"/>
      <w:start w:val="1"/>
    </w:lvl>
  </w:abstractNum>
  <w:abstractNum w:abstractNumId="44">
    <w:nsid w:val="6590700B"/>
    <w:multiLevelType w:val="hybridMultilevel"/>
    <w:lvl w:ilvl="0">
      <w:lvlJc w:val="left"/>
      <w:lvlText w:val="(%1)"/>
      <w:numFmt w:val="decimal"/>
      <w:start w:val="1"/>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
      <w:numFmt w:val="bullet"/>
      <w:start w:val="1"/>
    </w:lvl>
    <w:lvl w:ilvl="1">
      <w:lvlJc w:val="left"/>
      <w:lvlText w:val="•"/>
      <w:numFmt w:val="bullet"/>
      <w:start w:val="1"/>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
      <w:numFmt w:val="bullet"/>
      <w:start w:val="1"/>
    </w:lvl>
  </w:abstractNum>
  <w:abstractNum w:abstractNumId="52">
    <w:nsid w:val="1EBA5D23"/>
    <w:multiLevelType w:val="hybridMultilevel"/>
    <w:lvl w:ilvl="0">
      <w:lvlJc w:val="left"/>
      <w:lvlText w:val="(%1)"/>
      <w:numFmt w:val="decimal"/>
      <w:start w:val="1"/>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
      <w:numFmt w:val="bullet"/>
      <w:start w:val="1"/>
    </w:lvl>
  </w:abstractNum>
  <w:abstractNum w:abstractNumId="55">
    <w:nsid w:val="540A471C"/>
    <w:multiLevelType w:val="hybridMultilevel"/>
    <w:lvl w:ilvl="0">
      <w:lvlJc w:val="left"/>
      <w:lvlText w:val="(%1)"/>
      <w:numFmt w:val="decimal"/>
      <w:start w:val="1"/>
    </w:lvl>
  </w:abstractNum>
  <w:abstractNum w:abstractNumId="56">
    <w:nsid w:val="7BD3EE7B"/>
    <w:multiLevelType w:val="hybridMultilevel"/>
    <w:lvl w:ilvl="0">
      <w:lvlJc w:val="left"/>
      <w:lvlText w:val="(%1)"/>
      <w:numFmt w:val="decimal"/>
      <w:start w:val="1"/>
    </w:lvl>
  </w:abstractNum>
  <w:abstractNum w:abstractNumId="57">
    <w:nsid w:val="51D9C564"/>
    <w:multiLevelType w:val="hybridMultilevel"/>
    <w:lvl w:ilvl="0">
      <w:lvlJc w:val="left"/>
      <w:lvlText w:val="•"/>
      <w:numFmt w:val="bullet"/>
      <w:start w:val="1"/>
    </w:lvl>
  </w:abstractNum>
  <w:abstractNum w:abstractNumId="58">
    <w:nsid w:val="613EFDC5"/>
    <w:multiLevelType w:val="hybridMultilevel"/>
    <w:lvl w:ilvl="0">
      <w:lvlJc w:val="left"/>
      <w:lvlText w:val="•"/>
      <w:numFmt w:val="bullet"/>
      <w:start w:val="1"/>
    </w:lvl>
  </w:abstractNum>
  <w:abstractNum w:abstractNumId="59">
    <w:nsid w:val="BF72B14"/>
    <w:multiLevelType w:val="hybridMultilevel"/>
    <w:lvl w:ilvl="0">
      <w:lvlJc w:val="left"/>
      <w:lvlText w:val="•"/>
      <w:numFmt w:val="bullet"/>
      <w:start w:val="1"/>
    </w:lvl>
  </w:abstractNum>
  <w:abstractNum w:abstractNumId="60">
    <w:nsid w:val="11447B73"/>
    <w:multiLevelType w:val="hybridMultilevel"/>
    <w:lvl w:ilvl="0">
      <w:lvlJc w:val="left"/>
      <w:lvlText w:val="(%1)"/>
      <w:numFmt w:val="decimal"/>
      <w:start w:val="1"/>
    </w:lvl>
  </w:abstractNum>
  <w:abstractNum w:abstractNumId="61">
    <w:nsid w:val="42963E5A"/>
    <w:multiLevelType w:val="hybridMultilevel"/>
    <w:lvl w:ilvl="0">
      <w:lvlJc w:val="left"/>
      <w:lvlText w:val="(%1)"/>
      <w:numFmt w:val="decimal"/>
      <w:start w:val="2"/>
    </w:lvl>
  </w:abstractNum>
  <w:abstractNum w:abstractNumId="62">
    <w:nsid w:val="A0382C5"/>
    <w:multiLevelType w:val="hybridMultilevel"/>
    <w:lvl w:ilvl="0">
      <w:lvlJc w:val="left"/>
      <w:lvlText w:val="(%1)"/>
      <w:numFmt w:val="decimal"/>
      <w:start w:val="5"/>
    </w:lvl>
  </w:abstractNum>
  <w:abstractNum w:abstractNumId="63">
    <w:nsid w:val="8F2B15E"/>
    <w:multiLevelType w:val="hybridMultilevel"/>
    <w:lvl w:ilvl="0">
      <w:lvlJc w:val="left"/>
      <w:lvlText w:val="(%1)"/>
      <w:numFmt w:val="decimal"/>
      <w:start w:val="1"/>
    </w:lvl>
  </w:abstractNum>
  <w:abstractNum w:abstractNumId="64">
    <w:nsid w:val="1A32234B"/>
    <w:multiLevelType w:val="hybridMultilevel"/>
    <w:lvl w:ilvl="0">
      <w:lvlJc w:val="left"/>
      <w:lvlText w:val="(%1)"/>
      <w:numFmt w:val="decimal"/>
      <w:start w:val="1"/>
    </w:lvl>
  </w:abstractNum>
  <w:abstractNum w:abstractNumId="65">
    <w:nsid w:val="3B0FD379"/>
    <w:multiLevelType w:val="hybridMultilevel"/>
    <w:lvl w:ilvl="0">
      <w:lvlJc w:val="left"/>
      <w:lvlText w:val="(%1)"/>
      <w:numFmt w:val="decimal"/>
      <w:start w:val="1"/>
    </w:lvl>
  </w:abstractNum>
  <w:abstractNum w:abstractNumId="66">
    <w:nsid w:val="68EB2F63"/>
    <w:multiLevelType w:val="hybridMultilevel"/>
    <w:lvl w:ilvl="0">
      <w:lvlJc w:val="left"/>
      <w:lvlText w:val="(%1)"/>
      <w:numFmt w:val="decimal"/>
      <w:start w:val="1"/>
    </w:lvl>
  </w:abstractNum>
  <w:abstractNum w:abstractNumId="67">
    <w:nsid w:val="4962813B"/>
    <w:multiLevelType w:val="hybridMultilevel"/>
    <w:lvl w:ilvl="0">
      <w:lvlJc w:val="left"/>
      <w:lvlText w:val="(%1)"/>
      <w:numFmt w:val="decimal"/>
      <w:start w:val="8"/>
    </w:lvl>
  </w:abstractNum>
  <w:abstractNum w:abstractNumId="68">
    <w:nsid w:val="60B6DF70"/>
    <w:multiLevelType w:val="hybridMultilevel"/>
    <w:lvl w:ilvl="0">
      <w:lvlJc w:val="left"/>
      <w:lvlText w:val="(%1)"/>
      <w:numFmt w:val="decimal"/>
      <w:start w:val="1"/>
    </w:lvl>
  </w:abstractNum>
  <w:abstractNum w:abstractNumId="69">
    <w:nsid w:val="6A5EE64"/>
    <w:multiLevelType w:val="hybridMultilevel"/>
    <w:lvl w:ilvl="0">
      <w:lvlJc w:val="left"/>
      <w:lvlText w:val="(%1)"/>
      <w:numFmt w:val="decimal"/>
      <w:start w:val="1"/>
    </w:lvl>
  </w:abstractNum>
  <w:abstractNum w:abstractNumId="70">
    <w:nsid w:val="14330624"/>
    <w:multiLevelType w:val="hybridMultilevel"/>
    <w:lvl w:ilvl="0">
      <w:lvlJc w:val="left"/>
      <w:lvlText w:val="(%1)"/>
      <w:numFmt w:val="decimal"/>
      <w:start w:val="1"/>
    </w:lvl>
  </w:abstractNum>
  <w:abstractNum w:abstractNumId="71">
    <w:nsid w:val="7FFFCA11"/>
    <w:multiLevelType w:val="hybridMultilevel"/>
    <w:lvl w:ilvl="0">
      <w:lvlJc w:val="left"/>
      <w:lvlText w:val="(%1)"/>
      <w:numFmt w:val="lowerRoman"/>
      <w:start w:val="1"/>
    </w:lvl>
  </w:abstractNum>
  <w:abstractNum w:abstractNumId="72">
    <w:nsid w:val="1A27709E"/>
    <w:multiLevelType w:val="hybridMultilevel"/>
    <w:lvl w:ilvl="0">
      <w:lvlJc w:val="left"/>
      <w:lvlText w:val="(%1)"/>
      <w:numFmt w:val="decimal"/>
      <w:start w:val="1"/>
    </w:lvl>
  </w:abstractNum>
  <w:abstractNum w:abstractNumId="73">
    <w:nsid w:val="71EA1109"/>
    <w:multiLevelType w:val="hybridMultilevel"/>
    <w:lvl w:ilvl="0">
      <w:lvlJc w:val="left"/>
      <w:lvlText w:val="(%1)"/>
      <w:numFmt w:val="decimal"/>
      <w:start w:val="1"/>
    </w:lvl>
  </w:abstractNum>
  <w:abstractNum w:abstractNumId="74">
    <w:nsid w:val="100F59DC"/>
    <w:multiLevelType w:val="hybridMultilevel"/>
    <w:lvl w:ilvl="0">
      <w:lvlJc w:val="left"/>
      <w:lvlText w:val="(%1)"/>
      <w:numFmt w:val="decimal"/>
      <w:start w:val="1"/>
    </w:lvl>
  </w:abstractNum>
  <w:abstractNum w:abstractNumId="75">
    <w:nsid w:val="7FB7E0AA"/>
    <w:multiLevelType w:val="hybridMultilevel"/>
    <w:lvl w:ilvl="0">
      <w:lvlJc w:val="left"/>
      <w:lvlText w:val="(%1)"/>
      <w:numFmt w:val="decimal"/>
      <w:start w:val="1"/>
    </w:lvl>
  </w:abstractNum>
  <w:abstractNum w:abstractNumId="76">
    <w:nsid w:val="6EB5BD4"/>
    <w:multiLevelType w:val="hybridMultilevel"/>
    <w:lvl w:ilvl="0">
      <w:lvlJc w:val="left"/>
      <w:lvlText w:val="(%1)"/>
      <w:numFmt w:val="decimal"/>
      <w:start w:val="1"/>
    </w:lvl>
  </w:abstractNum>
  <w:abstractNum w:abstractNumId="77">
    <w:nsid w:val="6F6DD9AC"/>
    <w:multiLevelType w:val="hybridMultilevel"/>
    <w:lvl w:ilvl="0">
      <w:lvlJc w:val="left"/>
      <w:lvlText w:val="(%1)"/>
      <w:numFmt w:val="decimal"/>
      <w:start w:val="1"/>
    </w:lvl>
  </w:abstractNum>
  <w:abstractNum w:abstractNumId="78">
    <w:nsid w:val="94211F2"/>
    <w:multiLevelType w:val="hybridMultilevel"/>
    <w:lvl w:ilvl="0">
      <w:lvlJc w:val="left"/>
      <w:lvlText w:val="(%1)"/>
      <w:numFmt w:val="decimal"/>
      <w:start w:val="1"/>
    </w:lvl>
  </w:abstractNum>
  <w:abstractNum w:abstractNumId="79">
    <w:nsid w:val="885E1B"/>
    <w:multiLevelType w:val="hybridMultilevel"/>
    <w:lvl w:ilvl="0">
      <w:lvlJc w:val="left"/>
      <w:lvlText w:val="(%1)"/>
      <w:numFmt w:val="decimal"/>
      <w:start w:val="1"/>
    </w:lvl>
  </w:abstractNum>
  <w:abstractNum w:abstractNumId="80">
    <w:nsid w:val="76272110"/>
    <w:multiLevelType w:val="hybridMultilevel"/>
    <w:lvl w:ilvl="0">
      <w:lvlJc w:val="left"/>
      <w:lvlText w:val="(%1)"/>
      <w:numFmt w:val="decimal"/>
      <w:start w:val="3"/>
    </w:lvl>
  </w:abstractNum>
  <w:abstractNum w:abstractNumId="81">
    <w:nsid w:val="4C04A8AF"/>
    <w:multiLevelType w:val="hybridMultilevel"/>
    <w:lvl w:ilvl="0">
      <w:lvlJc w:val="left"/>
      <w:lvlText w:val="•"/>
      <w:numFmt w:val="bullet"/>
      <w:start w:val="1"/>
    </w:lvl>
  </w:abstractNum>
  <w:abstractNum w:abstractNumId="82">
    <w:nsid w:val="1716703B"/>
    <w:multiLevelType w:val="hybridMultilevel"/>
    <w:lvl w:ilvl="0">
      <w:lvlJc w:val="left"/>
      <w:lvlText w:val="•"/>
      <w:numFmt w:val="bullet"/>
      <w:start w:val="1"/>
    </w:lvl>
  </w:abstractNum>
  <w:abstractNum w:abstractNumId="83">
    <w:nsid w:val="14E17E33"/>
    <w:multiLevelType w:val="hybridMultilevel"/>
    <w:lvl w:ilvl="0">
      <w:lvlJc w:val="left"/>
      <w:lvlText w:val="•"/>
      <w:numFmt w:val="bullet"/>
      <w:start w:val="1"/>
    </w:lvl>
  </w:abstractNum>
  <w:abstractNum w:abstractNumId="84">
    <w:nsid w:val="3222E7CD"/>
    <w:multiLevelType w:val="hybridMultilevel"/>
    <w:lvl w:ilvl="0">
      <w:lvlJc w:val="left"/>
      <w:lvlText w:val="%1."/>
      <w:numFmt w:val="decimal"/>
      <w:start w:val="3"/>
    </w:lvl>
  </w:abstractNum>
  <w:abstractNum w:abstractNumId="85">
    <w:nsid w:val="74DE0EE3"/>
    <w:multiLevelType w:val="hybridMultilevel"/>
    <w:lvl w:ilvl="0">
      <w:lvlJc w:val="left"/>
      <w:lvlText w:val="%1."/>
      <w:numFmt w:val="decimal"/>
      <w:start w:val="4"/>
    </w:lvl>
  </w:abstractNum>
  <w:abstractNum w:abstractNumId="86">
    <w:nsid w:val="68EBC550"/>
    <w:multiLevelType w:val="hybridMultilevel"/>
    <w:lvl w:ilvl="0">
      <w:lvlJc w:val="left"/>
      <w:lvlText w:val="q"/>
      <w:numFmt w:val="bullet"/>
      <w:start w:val="1"/>
    </w:lvl>
  </w:abstractNum>
  <w:abstractNum w:abstractNumId="87">
    <w:nsid w:val="2DF6D648"/>
    <w:multiLevelType w:val="hybridMultilevel"/>
    <w:lvl w:ilvl="0">
      <w:lvlJc w:val="left"/>
      <w:lvlText w:val="%1."/>
      <w:numFmt w:val="decimal"/>
    </w:lvl>
    <w:lvl w:ilvl="1">
      <w:lvlJc w:val="left"/>
      <w:lvlText w:val="A"/>
      <w:numFmt w:val="bullet"/>
      <w:start w:val="1"/>
    </w:lvl>
  </w:abstractNum>
  <w:abstractNum w:abstractNumId="88">
    <w:nsid w:val="46B7D447"/>
    <w:multiLevelType w:val="hybridMultilevel"/>
    <w:lvl w:ilvl="0">
      <w:lvlJc w:val="left"/>
      <w:lvlText w:val="%1."/>
      <w:numFmt w:val="decimal"/>
      <w:start w:val="2"/>
    </w:lvl>
  </w:abstractNum>
  <w:abstractNum w:abstractNumId="89">
    <w:nsid w:val="4A2AC315"/>
    <w:multiLevelType w:val="hybridMultilevel"/>
    <w:lvl w:ilvl="0">
      <w:lvlJc w:val="left"/>
      <w:lvlText w:val="%1."/>
      <w:numFmt w:val="decimal"/>
      <w:start w:val="4"/>
    </w:lvl>
  </w:abstractNum>
  <w:abstractNum w:abstractNumId="90">
    <w:nsid w:val="39EE015C"/>
    <w:multiLevelType w:val="hybridMultilevel"/>
    <w:lvl w:ilvl="0">
      <w:lvlJc w:val="left"/>
      <w:lvlText w:val="%1."/>
      <w:numFmt w:val="decimal"/>
      <w:start w:val="1"/>
    </w:lvl>
  </w:abstractNum>
  <w:abstractNum w:abstractNumId="91">
    <w:nsid w:val="57FC4FBB"/>
    <w:multiLevelType w:val="hybridMultilevel"/>
    <w:lvl w:ilvl="0">
      <w:lvlJc w:val="left"/>
      <w:lvlText w:val="B"/>
      <w:numFmt w:val="bullet"/>
      <w:start w:val="1"/>
    </w:lvl>
  </w:abstractNum>
  <w:abstractNum w:abstractNumId="92">
    <w:nsid w:val="CC1016F"/>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jpe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2019-12-05T18:45:17Z</dcterms:created>
  <dcterms:modified xsi:type="dcterms:W3CDTF">2019-12-05T18:45:17Z</dcterms:modified>
</cp:coreProperties>
</file>