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February 3, 2016</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On February 3, 2016, we issued a press release announcing our results of operations for the three months and year ended December 31, 2015. A copy of the press release is attached hereto as Exhibit 99.1 and is incorporated herein by reference.</w:t>
      </w:r>
    </w:p>
    <w:p>
      <w:pPr>
        <w:spacing w:after="0" w:line="151"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color w:val="auto"/>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 Attached hereto as Exhibit 99.3 is our Operating Unit Results since January 1, 2014, revised to conform to the current year presentation.</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260" w:type="dxa"/>
            <w:vAlign w:val="bottom"/>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auto"/>
              </w:rPr>
              <w:t>99.1</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Press Release dated February 3, 2016</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99.2</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Presentation materials for February 3, 2016 conference call</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99.3</w:t>
            </w:r>
          </w:p>
        </w:tc>
        <w:tc>
          <w:tcPr>
            <w:tcW w:w="10260" w:type="dxa"/>
            <w:vAlign w:val="bottom"/>
          </w:tcPr>
          <w:p>
            <w:pPr>
              <w:ind w:left="1140"/>
              <w:spacing w:after="0"/>
              <w:rPr>
                <w:sz w:val="20"/>
                <w:szCs w:val="20"/>
                <w:color w:val="auto"/>
              </w:rPr>
            </w:pPr>
            <w:r>
              <w:rPr>
                <w:rFonts w:ascii="Arial" w:cs="Arial" w:eastAsia="Arial" w:hAnsi="Arial"/>
                <w:sz w:val="16"/>
                <w:szCs w:val="16"/>
                <w:color w:val="auto"/>
              </w:rPr>
              <w:t>Operating Unit Results reflecting the restatement of segment results</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February 3,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880" w:type="dxa"/>
            <w:vAlign w:val="bottom"/>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99.1</w:t>
            </w:r>
          </w:p>
        </w:tc>
        <w:tc>
          <w:tcPr>
            <w:tcW w:w="9880" w:type="dxa"/>
            <w:vAlign w:val="bottom"/>
          </w:tcPr>
          <w:p>
            <w:pPr>
              <w:ind w:left="760"/>
              <w:spacing w:after="0"/>
              <w:rPr>
                <w:sz w:val="20"/>
                <w:szCs w:val="20"/>
                <w:color w:val="auto"/>
              </w:rPr>
            </w:pPr>
            <w:r>
              <w:rPr>
                <w:rFonts w:ascii="Arial" w:cs="Arial" w:eastAsia="Arial" w:hAnsi="Arial"/>
                <w:sz w:val="16"/>
                <w:szCs w:val="16"/>
                <w:color w:val="auto"/>
              </w:rPr>
              <w:t>Press Release dated February 3, 2016</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99.2</w:t>
            </w:r>
          </w:p>
        </w:tc>
        <w:tc>
          <w:tcPr>
            <w:tcW w:w="9880" w:type="dxa"/>
            <w:vAlign w:val="bottom"/>
          </w:tcPr>
          <w:p>
            <w:pPr>
              <w:ind w:left="760"/>
              <w:spacing w:after="0"/>
              <w:rPr>
                <w:sz w:val="20"/>
                <w:szCs w:val="20"/>
                <w:color w:val="auto"/>
              </w:rPr>
            </w:pPr>
            <w:r>
              <w:rPr>
                <w:rFonts w:ascii="Arial" w:cs="Arial" w:eastAsia="Arial" w:hAnsi="Arial"/>
                <w:sz w:val="16"/>
                <w:szCs w:val="16"/>
                <w:color w:val="auto"/>
              </w:rPr>
              <w:t>Presentation materials for February 3, 2016 conference call</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99.3</w:t>
            </w:r>
          </w:p>
        </w:tc>
        <w:tc>
          <w:tcPr>
            <w:tcW w:w="9880" w:type="dxa"/>
            <w:vAlign w:val="bottom"/>
          </w:tcPr>
          <w:p>
            <w:pPr>
              <w:ind w:left="760"/>
              <w:spacing w:after="0"/>
              <w:rPr>
                <w:sz w:val="20"/>
                <w:szCs w:val="20"/>
                <w:color w:val="auto"/>
              </w:rPr>
            </w:pPr>
            <w:r>
              <w:rPr>
                <w:rFonts w:ascii="Arial" w:cs="Arial" w:eastAsia="Arial" w:hAnsi="Arial"/>
                <w:sz w:val="16"/>
                <w:szCs w:val="16"/>
                <w:color w:val="auto"/>
              </w:rPr>
              <w:t>Operating Unit Results reflecting the restatement of segment results</w:t>
            </w: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57275"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727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Mike Van Handel</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+1.414.906.6305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and Full Year 2015 Results</w:t>
      </w:r>
    </w:p>
    <w:p>
      <w:pPr>
        <w:spacing w:after="0" w:line="175" w:lineRule="exact"/>
        <w:rPr>
          <w:sz w:val="20"/>
          <w:szCs w:val="20"/>
          <w:color w:val="auto"/>
        </w:rPr>
      </w:pPr>
    </w:p>
    <w:p>
      <w:pPr>
        <w:ind w:right="40"/>
        <w:spacing w:after="0" w:line="379" w:lineRule="auto"/>
        <w:rPr>
          <w:sz w:val="20"/>
          <w:szCs w:val="20"/>
          <w:color w:val="auto"/>
        </w:rPr>
      </w:pPr>
      <w:r>
        <w:rPr>
          <w:rFonts w:ascii="Arial" w:cs="Arial" w:eastAsia="Arial" w:hAnsi="Arial"/>
          <w:sz w:val="17"/>
          <w:szCs w:val="17"/>
          <w:b w:val="1"/>
          <w:bCs w:val="1"/>
          <w:color w:val="auto"/>
        </w:rPr>
        <w:t xml:space="preserve">MILWAUKEE, February 3, 2016 -- </w:t>
      </w:r>
      <w:r>
        <w:rPr>
          <w:rFonts w:ascii="Arial" w:cs="Arial" w:eastAsia="Arial" w:hAnsi="Arial"/>
          <w:sz w:val="17"/>
          <w:szCs w:val="17"/>
          <w:color w:val="auto"/>
        </w:rPr>
        <w:t>ManpowerGroup (NYSE: MAN) today reported net earnings of $1.66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2015 compared to $1.47 per diluted share in the prior year period. The net earnings in the quarter were $123.9 million compared to $117.2 million a year earlier. Revenues for the fourth quarter totaled $5.0 billion, a decrease of 3 percent from the year earlier period.</w:t>
      </w:r>
    </w:p>
    <w:p>
      <w:pPr>
        <w:spacing w:after="0" w:line="1" w:lineRule="exact"/>
        <w:rPr>
          <w:sz w:val="20"/>
          <w:szCs w:val="20"/>
          <w:color w:val="auto"/>
        </w:rPr>
      </w:pPr>
    </w:p>
    <w:p>
      <w:pPr>
        <w:ind w:right="40" w:firstLine="555"/>
        <w:spacing w:after="0" w:line="337" w:lineRule="auto"/>
        <w:rPr>
          <w:sz w:val="20"/>
          <w:szCs w:val="20"/>
          <w:color w:val="auto"/>
        </w:rPr>
      </w:pPr>
      <w:r>
        <w:rPr>
          <w:rFonts w:ascii="Arial" w:cs="Arial" w:eastAsia="Arial" w:hAnsi="Arial"/>
          <w:sz w:val="18"/>
          <w:szCs w:val="18"/>
          <w:color w:val="auto"/>
        </w:rPr>
        <w:t>Financial results in the quarter were significantly impacted by the stronger U.S. dollar relative to several foreign currencies compared to the prior year period. On a constant currency basis, revenue increased 7% and net earnings per diluted share increased 24%. Earnings per share were negatively impacted 16 cents by changes in foreign currencies compared to the prior year. The quarter also included a favorable impact from a lower income tax rate, as the full year amount of the U.S. Workers Opportunity Tax Credit (WOTC) was recorded upon legislative approval in December 2015.</w:t>
      </w:r>
    </w:p>
    <w:p>
      <w:pPr>
        <w:spacing w:after="0" w:line="4" w:lineRule="exact"/>
        <w:rPr>
          <w:sz w:val="20"/>
          <w:szCs w:val="20"/>
          <w:color w:val="auto"/>
        </w:rPr>
      </w:pPr>
    </w:p>
    <w:p>
      <w:pPr>
        <w:ind w:right="60" w:firstLine="555"/>
        <w:spacing w:after="0" w:line="343" w:lineRule="auto"/>
        <w:rPr>
          <w:sz w:val="20"/>
          <w:szCs w:val="20"/>
          <w:color w:val="auto"/>
        </w:rPr>
      </w:pPr>
      <w:r>
        <w:rPr>
          <w:rFonts w:ascii="Arial" w:cs="Arial" w:eastAsia="Arial" w:hAnsi="Arial"/>
          <w:sz w:val="18"/>
          <w:szCs w:val="18"/>
          <w:color w:val="auto"/>
        </w:rPr>
        <w:t>Jonas Prising, ManpowerGroup Chairman &amp; CEO, said: “We are pleased with our solid performance in the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 with good top line and bottom line performance, capping off a very good year. We made significant operational and strategic progress during the course of 2015 and are well positioned to further build on this progress as we enter the new year.</w:t>
      </w:r>
    </w:p>
    <w:p>
      <w:pPr>
        <w:spacing w:after="0" w:line="2" w:lineRule="exact"/>
        <w:rPr>
          <w:sz w:val="20"/>
          <w:szCs w:val="20"/>
          <w:color w:val="auto"/>
        </w:rPr>
      </w:pPr>
    </w:p>
    <w:p>
      <w:pPr>
        <w:ind w:right="180" w:firstLine="555"/>
        <w:spacing w:after="0" w:line="349" w:lineRule="auto"/>
        <w:rPr>
          <w:sz w:val="20"/>
          <w:szCs w:val="20"/>
          <w:color w:val="auto"/>
        </w:rPr>
      </w:pPr>
      <w:r>
        <w:rPr>
          <w:rFonts w:ascii="Arial" w:cs="Arial" w:eastAsia="Arial" w:hAnsi="Arial"/>
          <w:sz w:val="18"/>
          <w:szCs w:val="18"/>
          <w:color w:val="auto"/>
        </w:rPr>
        <w:t>“Our workforce solutions are ideally suited to help companies adapt and prosper in a volatile and uncertain environment, and at the same time help millions of individuals find meaningful employment all over the world. That is the foundation of our confidence and passion for our business in 2016 and beyond.</w:t>
      </w:r>
    </w:p>
    <w:p>
      <w:pPr>
        <w:spacing w:after="0" w:line="2" w:lineRule="exact"/>
        <w:rPr>
          <w:sz w:val="20"/>
          <w:szCs w:val="20"/>
          <w:color w:val="auto"/>
        </w:rPr>
      </w:pPr>
    </w:p>
    <w:p>
      <w:pPr>
        <w:ind w:right="120" w:firstLine="555"/>
        <w:spacing w:after="0" w:line="349" w:lineRule="auto"/>
        <w:rPr>
          <w:sz w:val="20"/>
          <w:szCs w:val="20"/>
          <w:color w:val="auto"/>
        </w:rPr>
      </w:pPr>
      <w:r>
        <w:rPr>
          <w:rFonts w:ascii="Arial" w:cs="Arial" w:eastAsia="Arial" w:hAnsi="Arial"/>
          <w:sz w:val="18"/>
          <w:szCs w:val="18"/>
          <w:color w:val="auto"/>
        </w:rPr>
        <w:t>“We are anticipating diluted earnings per share in the first quarter of 2016 to be in the range of 87 to 95 cents which includes an estimated unfavorable currency impact of 4 cents,” Prising stated.</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earnings per diluted share for the year ended December 31, 2015 was $5.40 compared</w:t>
      </w:r>
    </w:p>
    <w:p>
      <w:pPr>
        <w:sectPr>
          <w:pgSz w:w="11900" w:h="16838" w:orient="portrait"/>
          <w:cols w:equalWidth="0" w:num="1">
            <w:col w:w="11440"/>
          </w:cols>
          <w:pgMar w:left="240" w:top="533" w:right="219" w:bottom="1440" w:gutter="0" w:footer="0" w:header="0"/>
        </w:sectPr>
      </w:pPr>
    </w:p>
    <w:bookmarkStart w:id="5" w:name="page6"/>
    <w:bookmarkEnd w:id="5"/>
    <w:p>
      <w:pPr>
        <w:ind w:right="340"/>
        <w:spacing w:after="0" w:line="349" w:lineRule="auto"/>
        <w:rPr>
          <w:sz w:val="20"/>
          <w:szCs w:val="20"/>
          <w:color w:val="auto"/>
        </w:rPr>
      </w:pPr>
      <w:r>
        <w:rPr>
          <w:rFonts w:ascii="Arial" w:cs="Arial" w:eastAsia="Arial" w:hAnsi="Arial"/>
          <w:sz w:val="18"/>
          <w:szCs w:val="18"/>
          <w:color w:val="auto"/>
        </w:rPr>
        <w:t>to $5.30 per diluted share in 2014. Net earnings were $419.2 million compared to $427.6 million in the prior year. Revenues for the year were $19.3 billion, a decrease of 7 percent in U.S. dollars from the prior year and an increase of 7 percent in constant currency.</w:t>
      </w:r>
    </w:p>
    <w:p>
      <w:pPr>
        <w:spacing w:after="0" w:line="1" w:lineRule="exact"/>
        <w:rPr>
          <w:sz w:val="20"/>
          <w:szCs w:val="20"/>
          <w:color w:val="auto"/>
        </w:rPr>
      </w:pPr>
    </w:p>
    <w:p>
      <w:pPr>
        <w:ind w:left="560"/>
        <w:spacing w:after="0" w:line="370" w:lineRule="auto"/>
        <w:rPr>
          <w:sz w:val="20"/>
          <w:szCs w:val="20"/>
          <w:color w:val="auto"/>
        </w:rPr>
      </w:pPr>
      <w:r>
        <w:rPr>
          <w:rFonts w:ascii="Arial" w:cs="Arial" w:eastAsia="Arial" w:hAnsi="Arial"/>
          <w:sz w:val="17"/>
          <w:szCs w:val="17"/>
          <w:color w:val="auto"/>
        </w:rPr>
        <w:t>2015 earnings were unfavorably impacted by 81 cents per diluted share due to changes in foreign currencies compared to the prior year. In conjunction with its fourth quarter and full year earnings release, ManpowerGroup will broadcast its conference call live over the Internet</w:t>
      </w:r>
    </w:p>
    <w:p>
      <w:pPr>
        <w:spacing w:after="0" w:line="349" w:lineRule="auto"/>
        <w:rPr>
          <w:sz w:val="20"/>
          <w:szCs w:val="20"/>
          <w:color w:val="auto"/>
        </w:rPr>
      </w:pPr>
      <w:r>
        <w:rPr>
          <w:rFonts w:ascii="Arial" w:cs="Arial" w:eastAsia="Arial" w:hAnsi="Arial"/>
          <w:sz w:val="18"/>
          <w:szCs w:val="18"/>
          <w:color w:val="auto"/>
        </w:rPr>
        <w:t xml:space="preserve">on February 3, 2016 at 7:30 a.m. CST (8:30 a.m. EST). Interested parties are invited to listen to the webcast and view the presentation by logging on to </w:t>
      </w:r>
      <w:r>
        <w:rPr>
          <w:rFonts w:ascii="Arial" w:cs="Arial" w:eastAsia="Arial" w:hAnsi="Arial"/>
          <w:sz w:val="18"/>
          <w:szCs w:val="18"/>
          <w:u w:val="single" w:color="auto"/>
          <w:color w:val="0000FF"/>
        </w:rPr>
        <w:t>http://www.manpowergroup.com/investors</w:t>
      </w:r>
      <w:r>
        <w:rPr>
          <w:rFonts w:ascii="Arial" w:cs="Arial" w:eastAsia="Arial" w:hAnsi="Arial"/>
          <w:sz w:val="18"/>
          <w:szCs w:val="18"/>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http://www.manpowergroup.com/investors</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r>
        <w:rPr>
          <w:rFonts w:ascii="Arial" w:cs="Arial" w:eastAsia="Arial" w:hAnsi="Arial"/>
          <w:sz w:val="16"/>
          <w:szCs w:val="16"/>
          <w:color w:val="auto"/>
        </w:rPr>
        <w: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444444"/>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2014, which information is incorporated herein by reference.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360"/>
          </w:cols>
          <w:pgMar w:left="240" w:top="595"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3"/>
              </w:rPr>
              <w:t>Three Months Ended December 31</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5,121.1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4,102.8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4,252.3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-3.5 %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7.2%</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868.8</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675.5</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-0.8 %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8.7%</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-91.9 %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64.8</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-13.3 %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117.2</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12.1 %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12.9 %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78.8</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-6.0 %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79.8</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-6.2 %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20" w:right="54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$6.1 million and $6.6 million for the three months ended December 31, 2015 and 2014, respectively. These fees are primarily based on revenues generated by the franchise offices, which were $269.7 million and $279.5 million for the three months ended December 31, 2015 and 2014,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w w:val="94"/>
              </w:rPr>
              <w:t>Three Months Ended December 31</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2.3 %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23.5 %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1,172.5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296.1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5.5 %</w:t>
            </w:r>
          </w:p>
        </w:tc>
        <w:tc>
          <w:tcPr>
            <w:tcW w:w="1060" w:type="dxa"/>
            <w:vAlign w:val="bottom"/>
          </w:tcPr>
          <w:p>
            <w:pPr>
              <w:jc w:val="right"/>
              <w:spacing w:after="0"/>
              <w:rPr>
                <w:sz w:val="20"/>
                <w:szCs w:val="20"/>
                <w:color w:val="auto"/>
              </w:rPr>
            </w:pPr>
            <w:r>
              <w:rPr>
                <w:rFonts w:ascii="Arial" w:cs="Arial" w:eastAsia="Arial" w:hAnsi="Arial"/>
                <w:sz w:val="16"/>
                <w:szCs w:val="16"/>
                <w:color w:val="auto"/>
              </w:rPr>
              <w:t>20.3 %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246.4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1,743.2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1,810.4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1,501.8</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566.9</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2.2 %</w:t>
            </w:r>
          </w:p>
        </w:tc>
        <w:tc>
          <w:tcPr>
            <w:tcW w:w="106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4,953.9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5,121.1</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-3.3 %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10.0 %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55.4</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18.6</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5.7 %</w:t>
            </w:r>
          </w:p>
        </w:tc>
        <w:tc>
          <w:tcPr>
            <w:tcW w:w="1060" w:type="dxa"/>
            <w:vAlign w:val="bottom"/>
          </w:tcPr>
          <w:p>
            <w:pPr>
              <w:jc w:val="right"/>
              <w:spacing w:after="0"/>
              <w:rPr>
                <w:sz w:val="20"/>
                <w:szCs w:val="20"/>
                <w:color w:val="auto"/>
              </w:rPr>
            </w:pPr>
            <w:r>
              <w:rPr>
                <w:rFonts w:ascii="Arial" w:cs="Arial" w:eastAsia="Arial" w:hAnsi="Arial"/>
                <w:sz w:val="16"/>
                <w:szCs w:val="16"/>
                <w:color w:val="auto"/>
              </w:rPr>
              <w:t>20.7 %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92.4</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0.7 %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14.5 %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-25.7 %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-14.3 %</w:t>
            </w:r>
          </w:p>
        </w:tc>
        <w:tc>
          <w:tcPr>
            <w:tcW w:w="106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64.1 %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229.3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6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$3.7 million and $4.4 million for the three months ended December 31, 2015 and 2014, respectively. These fees are primarily based on revenues generated by the franchise offices, which were $174.5 million and $189.1 million for the three months ended December 31, 2015 and 2014,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2014</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gain</w:t>
            </w:r>
          </w:p>
        </w:tc>
        <w:tc>
          <w:tcPr>
            <w:tcW w:w="8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(income) expense, net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92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19,329.9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20,762.8</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16,034.1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17,274.6</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-7.2 %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6.5%</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3,295.8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3,488.2</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2,606.9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2,768.3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-5.8 %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719.9</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-4.3 %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-26.4 %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254.0</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-4.9 %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419.2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427.6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-2.0 %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5.38</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1.5 %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5.30</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79.5</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-3.5 %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-3.8 %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12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$24.2 million and $25.4 million for the years ended December 31, 2015 and 2014, respectively. These fees are primarily based on revenues generated by the franchise offices, which were $1,082.3 million and $1,124.7 million for the years ended December 31, 2015 and 2014, respectively.</w:t>
      </w:r>
    </w:p>
    <w:p>
      <w:pPr>
        <w:sectPr>
          <w:pgSz w:w="11900" w:h="16838" w:orient="portrait"/>
          <w:cols w:equalWidth="0" w:num="1">
            <w:col w:w="11240"/>
          </w:cols>
          <w:pgMar w:left="340" w:top="67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4"/>
          </w:tcPr>
          <w:p>
            <w:pPr>
              <w:jc w:val="center"/>
              <w:ind w:right="720"/>
              <w:spacing w:after="0"/>
              <w:rPr>
                <w:sz w:val="20"/>
                <w:szCs w:val="20"/>
                <w:color w:val="auto"/>
              </w:rPr>
            </w:pPr>
            <w:r>
              <w:rPr>
                <w:rFonts w:ascii="Arial" w:cs="Arial" w:eastAsia="Arial" w:hAnsi="Arial"/>
                <w:sz w:val="16"/>
                <w:szCs w:val="16"/>
                <w:b w:val="1"/>
                <w:bCs w:val="1"/>
                <w:color w:val="auto"/>
                <w:w w:val="90"/>
              </w:rPr>
              <w:t>Year Ended December 31</w:t>
            </w:r>
          </w:p>
        </w:tc>
        <w:tc>
          <w:tcPr>
            <w:tcW w:w="108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8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80" w:type="dxa"/>
            <w:vAlign w:val="bottom"/>
          </w:tcPr>
          <w:p>
            <w:pPr>
              <w:jc w:val="right"/>
              <w:ind w:right="34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800"/>
              <w:spacing w:after="0"/>
              <w:rPr>
                <w:sz w:val="20"/>
                <w:szCs w:val="20"/>
                <w:color w:val="auto"/>
              </w:rPr>
            </w:pPr>
            <w:r>
              <w:rPr>
                <w:rFonts w:ascii="Arial" w:cs="Arial" w:eastAsia="Arial" w:hAnsi="Arial"/>
                <w:sz w:val="16"/>
                <w:szCs w:val="16"/>
                <w:b w:val="1"/>
                <w:bCs w:val="1"/>
                <w:color w:val="auto"/>
                <w:w w:val="93"/>
              </w:rPr>
              <w:t>Reported</w:t>
            </w:r>
          </w:p>
        </w:tc>
        <w:tc>
          <w:tcPr>
            <w:tcW w:w="1080" w:type="dxa"/>
            <w:vAlign w:val="bottom"/>
          </w:tcPr>
          <w:p>
            <w:pPr>
              <w:jc w:val="right"/>
              <w:ind w:right="32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center"/>
              <w:ind w:left="680"/>
              <w:spacing w:after="0"/>
              <w:rPr>
                <w:sz w:val="20"/>
                <w:szCs w:val="20"/>
                <w:color w:val="auto"/>
              </w:rPr>
            </w:pPr>
            <w:r>
              <w:rPr>
                <w:rFonts w:ascii="Arial" w:cs="Arial" w:eastAsia="Arial" w:hAnsi="Arial"/>
                <w:sz w:val="16"/>
                <w:szCs w:val="16"/>
                <w:color w:val="auto"/>
                <w:w w:val="93"/>
              </w:rPr>
              <w:t>(Unaudited)</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Americas: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3,086.4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-2.6 %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45"/>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1,497.3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-0.7 %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17.6 %</w:t>
            </w:r>
          </w:p>
        </w:tc>
      </w:tr>
      <w:tr>
        <w:trPr>
          <w:trHeight w:val="255"/>
        </w:trPr>
        <w:tc>
          <w:tcPr>
            <w:tcW w:w="5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4,583.7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-2.0 %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07"/>
        </w:trPr>
        <w:tc>
          <w:tcPr>
            <w:tcW w:w="52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-12.9 %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7"/>
        </w:trPr>
        <w:tc>
          <w:tcPr>
            <w:tcW w:w="5200" w:type="dxa"/>
            <w:vAlign w:val="bottom"/>
          </w:tcPr>
          <w:p>
            <w:pPr>
              <w:ind w:left="260"/>
              <w:spacing w:after="0"/>
              <w:rPr>
                <w:sz w:val="20"/>
                <w:szCs w:val="20"/>
                <w:color w:val="auto"/>
              </w:rPr>
            </w:pPr>
            <w:r>
              <w:rPr>
                <w:rFonts w:ascii="Arial" w:cs="Arial" w:eastAsia="Arial" w:hAnsi="Arial"/>
                <w:sz w:val="16"/>
                <w:szCs w:val="16"/>
                <w:color w:val="auto"/>
              </w:rPr>
              <w:t>Italy</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1,226.1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1,178.8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4.0 %</w:t>
            </w:r>
          </w:p>
        </w:tc>
        <w:tc>
          <w:tcPr>
            <w:tcW w:w="1080" w:type="dxa"/>
            <w:vAlign w:val="bottom"/>
          </w:tcPr>
          <w:p>
            <w:pPr>
              <w:jc w:val="right"/>
              <w:spacing w:after="0"/>
              <w:rPr>
                <w:sz w:val="20"/>
                <w:szCs w:val="20"/>
                <w:color w:val="auto"/>
              </w:rPr>
            </w:pPr>
            <w:r>
              <w:rPr>
                <w:rFonts w:ascii="Arial" w:cs="Arial" w:eastAsia="Arial" w:hAnsi="Arial"/>
                <w:sz w:val="16"/>
                <w:szCs w:val="16"/>
                <w:color w:val="auto"/>
              </w:rPr>
              <w:t>24.5 %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0.5 %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245"/>
        </w:trPr>
        <w:tc>
          <w:tcPr>
            <w:tcW w:w="5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6,871.9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7,509.7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-8.5 %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9.1 %</w:t>
            </w:r>
          </w:p>
        </w:tc>
      </w:tr>
      <w:tr>
        <w:trPr>
          <w:trHeight w:val="221"/>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5,453.3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-9.8 %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APME</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2,239.1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-3.8 %</w:t>
            </w:r>
          </w:p>
        </w:tc>
        <w:tc>
          <w:tcPr>
            <w:tcW w:w="108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-7.0 %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75"/>
        </w:trPr>
        <w:tc>
          <w:tcPr>
            <w:tcW w:w="5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19,329.9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20,762.8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-6.9 %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r>
      <w:tr>
        <w:trPr>
          <w:trHeight w:val="20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Americas: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14.7 %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45"/>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1.3 %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19.2 %</w:t>
            </w:r>
          </w:p>
        </w:tc>
      </w:tr>
      <w:tr>
        <w:trPr>
          <w:trHeight w:val="255"/>
        </w:trPr>
        <w:tc>
          <w:tcPr>
            <w:tcW w:w="5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10.5 %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07"/>
        </w:trPr>
        <w:tc>
          <w:tcPr>
            <w:tcW w:w="52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-6.1 %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17"/>
        </w:trPr>
        <w:tc>
          <w:tcPr>
            <w:tcW w:w="5200" w:type="dxa"/>
            <w:vAlign w:val="bottom"/>
          </w:tcPr>
          <w:p>
            <w:pPr>
              <w:ind w:left="260"/>
              <w:spacing w:after="0"/>
              <w:rPr>
                <w:sz w:val="20"/>
                <w:szCs w:val="20"/>
                <w:color w:val="auto"/>
              </w:rPr>
            </w:pPr>
            <w:r>
              <w:rPr>
                <w:rFonts w:ascii="Arial" w:cs="Arial" w:eastAsia="Arial" w:hAnsi="Arial"/>
                <w:sz w:val="16"/>
                <w:szCs w:val="16"/>
                <w:color w:val="auto"/>
              </w:rPr>
              <w:t>Italy</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10.5 %</w:t>
            </w:r>
          </w:p>
        </w:tc>
        <w:tc>
          <w:tcPr>
            <w:tcW w:w="1080" w:type="dxa"/>
            <w:vAlign w:val="bottom"/>
          </w:tcPr>
          <w:p>
            <w:pPr>
              <w:jc w:val="right"/>
              <w:spacing w:after="0"/>
              <w:rPr>
                <w:sz w:val="20"/>
                <w:szCs w:val="20"/>
                <w:color w:val="auto"/>
              </w:rPr>
            </w:pPr>
            <w:r>
              <w:rPr>
                <w:rFonts w:ascii="Arial" w:cs="Arial" w:eastAsia="Arial" w:hAnsi="Arial"/>
                <w:sz w:val="16"/>
                <w:szCs w:val="16"/>
                <w:color w:val="auto"/>
              </w:rPr>
              <w:t>32.5 %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13.7 %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31.8 %</w:t>
            </w:r>
          </w:p>
        </w:tc>
      </w:tr>
      <w:tr>
        <w:trPr>
          <w:trHeight w:val="245"/>
        </w:trPr>
        <w:tc>
          <w:tcPr>
            <w:tcW w:w="5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-1.9 %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17.3 %</w:t>
            </w:r>
          </w:p>
        </w:tc>
      </w:tr>
      <w:tr>
        <w:trPr>
          <w:trHeight w:val="221"/>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-19.5 %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APME</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-5.7 %</w:t>
            </w:r>
          </w:p>
        </w:tc>
        <w:tc>
          <w:tcPr>
            <w:tcW w:w="108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14.3 %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20.1 %</w:t>
            </w: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859.1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4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2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-4.3 %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4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35"/>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40" w:firstLine="1"/>
        <w:spacing w:after="0" w:line="265" w:lineRule="auto"/>
        <w:tabs>
          <w:tab w:leader="none" w:pos="23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$15.2 million and $16.1 million for the years ended December 31, 2015 and 2014, respectively. These fees are primarily based on revenues generated by the franchise offices, which were $714.1 million and $744.8 million for the years ended December 31, 2015 and 2014, respectively.</w:t>
      </w:r>
    </w:p>
    <w:p>
      <w:pPr>
        <w:spacing w:after="0" w:line="138" w:lineRule="exact"/>
        <w:rPr>
          <w:rFonts w:ascii="Arial" w:cs="Arial" w:eastAsia="Arial" w:hAnsi="Arial"/>
          <w:sz w:val="16"/>
          <w:szCs w:val="16"/>
          <w:color w:val="auto"/>
        </w:rPr>
      </w:pPr>
    </w:p>
    <w:p>
      <w:pPr>
        <w:ind w:left="240" w:hanging="21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0"/>
              <w:spacing w:after="0"/>
              <w:rPr>
                <w:sz w:val="20"/>
                <w:szCs w:val="20"/>
                <w:color w:val="auto"/>
              </w:rPr>
            </w:pPr>
            <w:r>
              <w:rPr>
                <w:rFonts w:ascii="Arial" w:cs="Arial" w:eastAsia="Arial" w:hAnsi="Arial"/>
                <w:sz w:val="16"/>
                <w:szCs w:val="16"/>
                <w:b w:val="1"/>
                <w:bCs w:val="1"/>
                <w:color w:val="auto"/>
              </w:rPr>
              <w:t>2014</w:t>
            </w:r>
          </w:p>
        </w:tc>
        <w:tc>
          <w:tcPr>
            <w:tcW w:w="3100" w:type="dxa"/>
            <w:vAlign w:val="bottom"/>
          </w:tcPr>
          <w:p>
            <w:pPr>
              <w:spacing w:after="0"/>
              <w:rPr>
                <w:sz w:val="18"/>
                <w:szCs w:val="18"/>
                <w:color w:val="auto"/>
              </w:rPr>
            </w:pPr>
          </w:p>
        </w:tc>
      </w:tr>
      <w:tr>
        <w:trPr>
          <w:trHeight w:val="28"/>
        </w:trPr>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w:t>
            </w:r>
          </w:p>
        </w:tc>
        <w:tc>
          <w:tcPr>
            <w:tcW w:w="3100" w:type="dxa"/>
            <w:vAlign w:val="bottom"/>
            <w:tcBorders>
              <w:bottom w:val="single" w:sz="8" w:color="CCEEFF"/>
            </w:tcBorders>
            <w:shd w:val="clear" w:color="auto" w:fill="CCEEFF"/>
          </w:tcPr>
          <w:p>
            <w:pPr>
              <w:spacing w:after="0"/>
              <w:rPr>
                <w:sz w:val="19"/>
                <w:szCs w:val="19"/>
                <w:color w:val="auto"/>
              </w:rPr>
            </w:pPr>
          </w:p>
        </w:tc>
      </w:tr>
      <w:tr>
        <w:trPr>
          <w:trHeight w:val="217"/>
        </w:trPr>
        <w:tc>
          <w:tcPr>
            <w:tcW w:w="52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310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gain</w:t>
            </w: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100" w:type="dxa"/>
            <w:vAlign w:val="bottom"/>
            <w:tcBorders>
              <w:bottom w:val="single" w:sz="8" w:color="CCEEFF"/>
            </w:tcBorders>
            <w:shd w:val="clear" w:color="auto" w:fill="CCEEFF"/>
          </w:tcPr>
          <w:p>
            <w:pPr>
              <w:spacing w:after="0"/>
              <w:rPr>
                <w:sz w:val="19"/>
                <w:szCs w:val="19"/>
                <w:color w:val="auto"/>
              </w:rPr>
            </w:pPr>
          </w:p>
        </w:tc>
      </w:tr>
      <w:tr>
        <w:trPr>
          <w:trHeight w:val="245"/>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(income) expense, net</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c>
          <w:tcPr>
            <w:tcW w:w="3100" w:type="dxa"/>
            <w:vAlign w:val="bottom"/>
            <w:tcBorders>
              <w:bottom w:val="single" w:sz="8" w:color="CCEEFF"/>
            </w:tcBorders>
          </w:tcPr>
          <w:p>
            <w:pPr>
              <w:spacing w:after="0"/>
              <w:rPr>
                <w:sz w:val="21"/>
                <w:szCs w:val="21"/>
                <w:color w:val="auto"/>
              </w:rPr>
            </w:pPr>
          </w:p>
        </w:tc>
      </w:tr>
      <w:tr>
        <w:trPr>
          <w:trHeight w:val="246"/>
        </w:trPr>
        <w:tc>
          <w:tcPr>
            <w:tcW w:w="5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w:t>
            </w:r>
          </w:p>
        </w:tc>
        <w:tc>
          <w:tcPr>
            <w:tcW w:w="3100" w:type="dxa"/>
            <w:vAlign w:val="bottom"/>
            <w:tcBorders>
              <w:bottom w:val="single" w:sz="8" w:color="CCEEFF"/>
            </w:tcBorders>
            <w:shd w:val="clear" w:color="auto" w:fill="CCEEFF"/>
          </w:tcPr>
          <w:p>
            <w:pPr>
              <w:spacing w:after="0"/>
              <w:rPr>
                <w:sz w:val="20"/>
                <w:szCs w:val="20"/>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320"/>
          </w:cols>
          <w:pgMar w:left="300" w:top="679" w:right="2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 31</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2014</w:t>
            </w: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699.2</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4,243.0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4,134.5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147.8</w:t>
            </w: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5,092.5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4,981.5</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1,075.2</w:t>
            </w: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688.6</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2,050.6</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46290" cy="153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3035"/>
                    </a:xfrm>
                    <a:prstGeom prst="rect">
                      <a:avLst/>
                    </a:prstGeom>
                    <a:noFill/>
                  </pic:spPr>
                </pic:pic>
              </a:graphicData>
            </a:graphic>
          </wp:anchor>
        </w:drawing>
      </w:r>
    </w:p>
    <w:p>
      <w:pPr>
        <w:sectPr>
          <w:pgSz w:w="11900" w:h="16838" w:orient="portrait"/>
          <w:cols w:equalWidth="0" w:num="1">
            <w:col w:w="11240"/>
          </w:cols>
          <w:pgMar w:left="340" w:top="679" w:right="319" w:bottom="1440" w:gutter="0" w:footer="0" w:header="0"/>
        </w:sectPr>
      </w:pPr>
    </w:p>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Land, buildings, leasehold improvements and equipment</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property and equipment</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46290"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585.4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633.5</w:t>
            </w:r>
          </w:p>
        </w:tc>
      </w:tr>
      <w:tr>
        <w:trPr>
          <w:trHeight w:val="241"/>
        </w:trPr>
        <w:tc>
          <w:tcPr>
            <w:tcW w:w="38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438.3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484.4</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149.1</w:t>
            </w:r>
          </w:p>
        </w:tc>
      </w:tr>
      <w:tr>
        <w:trPr>
          <w:trHeight w:val="28"/>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7,517.5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7,181.2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389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8935" cy="762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7940" w:space="720"/>
            <w:col w:w="2580"/>
          </w:cols>
          <w:pgMar w:left="340" w:top="679"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LIABILITIES AND SHAREHOLDERS' EQUITY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1,542.7</w:t>
            </w: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Employee compensation payable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204.5</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472.7</w:t>
            </w: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payroll taxes and insurance</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613.8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622.4</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466.3</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45.2</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3,353.8</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422.6</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461.8</w:t>
            </w: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884.4</w:t>
            </w: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ManpowerGroup shareholders'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3,084.2</w:t>
            </w: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1,966.0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1,667.8</w:t>
            </w:r>
          </w:p>
        </w:tc>
      </w:tr>
      <w:tr>
        <w:trPr>
          <w:trHeight w:val="24"/>
        </w:trPr>
        <w:tc>
          <w:tcPr>
            <w:tcW w:w="8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(155.2)</w:t>
            </w:r>
          </w:p>
        </w:tc>
      </w:tr>
      <w:tr>
        <w:trPr>
          <w:trHeight w:val="245"/>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Treasury stock, at cost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(1,654.9)</w:t>
            </w:r>
          </w:p>
        </w:tc>
      </w:tr>
      <w:tr>
        <w:trPr>
          <w:trHeight w:val="245"/>
        </w:trPr>
        <w:tc>
          <w:tcPr>
            <w:tcW w:w="8660" w:type="dxa"/>
            <w:vAlign w:val="bottom"/>
            <w:tcBorders>
              <w:bottom w:val="single" w:sz="8" w:color="CCEEFF"/>
            </w:tcBorders>
            <w:shd w:val="clear" w:color="auto" w:fill="CCEEFF"/>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2,943.0</w:t>
            </w: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5"/>
        </w:trPr>
        <w:tc>
          <w:tcPr>
            <w:tcW w:w="8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2,943.0</w:t>
            </w:r>
          </w:p>
        </w:tc>
      </w:tr>
      <w:tr>
        <w:trPr>
          <w:trHeight w:val="235"/>
        </w:trPr>
        <w:tc>
          <w:tcPr>
            <w:tcW w:w="8660" w:type="dxa"/>
            <w:vAlign w:val="bottom"/>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7,517.5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7,181.2</w:t>
            </w:r>
          </w:p>
        </w:tc>
      </w:tr>
      <w:tr>
        <w:trPr>
          <w:trHeight w:val="20"/>
        </w:trPr>
        <w:tc>
          <w:tcPr>
            <w:tcW w:w="8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90"/>
              </w:rPr>
              <w:t>Year Ended</w:t>
            </w:r>
          </w:p>
        </w:tc>
        <w:tc>
          <w:tcPr>
            <w:tcW w:w="820" w:type="dxa"/>
            <w:vAlign w:val="bottom"/>
          </w:tcPr>
          <w:p>
            <w:pPr>
              <w:spacing w:after="0"/>
              <w:rPr>
                <w:sz w:val="18"/>
                <w:szCs w:val="18"/>
                <w:color w:val="auto"/>
              </w:rPr>
            </w:pP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6"/>
                <w:szCs w:val="16"/>
                <w:b w:val="1"/>
                <w:bCs w:val="1"/>
                <w:color w:val="auto"/>
                <w:w w:val="90"/>
              </w:rPr>
              <w:t>December 31</w:t>
            </w:r>
          </w:p>
        </w:tc>
        <w:tc>
          <w:tcPr>
            <w:tcW w:w="82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80"/>
              <w:spacing w:after="0"/>
              <w:rPr>
                <w:sz w:val="20"/>
                <w:szCs w:val="20"/>
                <w:color w:val="auto"/>
              </w:rPr>
            </w:pPr>
            <w:r>
              <w:rPr>
                <w:rFonts w:ascii="Arial" w:cs="Arial" w:eastAsia="Arial" w:hAnsi="Arial"/>
                <w:sz w:val="16"/>
                <w:szCs w:val="16"/>
                <w:b w:val="1"/>
                <w:bCs w:val="1"/>
                <w:color w:val="auto"/>
                <w:w w:val="95"/>
              </w:rPr>
              <w:t>2014</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center"/>
              <w:ind w:left="480"/>
              <w:spacing w:after="0"/>
              <w:rPr>
                <w:sz w:val="20"/>
                <w:szCs w:val="20"/>
                <w:color w:val="auto"/>
              </w:rPr>
            </w:pPr>
            <w:r>
              <w:rPr>
                <w:rFonts w:ascii="Arial" w:cs="Arial" w:eastAsia="Arial" w:hAnsi="Arial"/>
                <w:sz w:val="16"/>
                <w:szCs w:val="16"/>
                <w:color w:val="auto"/>
                <w:w w:val="93"/>
              </w:rPr>
              <w:t>(Unaudited)</w:t>
            </w:r>
          </w:p>
        </w:tc>
        <w:tc>
          <w:tcPr>
            <w:tcW w:w="82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419.2</w:t>
            </w:r>
          </w:p>
        </w:tc>
        <w:tc>
          <w:tcPr>
            <w:tcW w:w="120" w:type="dxa"/>
            <w:vAlign w:val="bottom"/>
          </w:tcPr>
          <w:p>
            <w:pPr>
              <w:spacing w:after="0"/>
              <w:rPr>
                <w:sz w:val="18"/>
                <w:szCs w:val="18"/>
                <w:color w:val="auto"/>
              </w:rPr>
            </w:pP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427.6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83.8</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18.9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(270.5)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155.0</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306.2</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investments,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for debt issuance costs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25.5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share-based award transactions, net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(143.5)</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737.6</w:t>
            </w:r>
          </w:p>
        </w:tc>
      </w:tr>
      <w:tr>
        <w:trPr>
          <w:trHeight w:val="235"/>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699.2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ind w:left="10100"/>
        <w:spacing w:after="0"/>
        <w:rPr>
          <w:sz w:val="20"/>
          <w:szCs w:val="20"/>
          <w:color w:val="auto"/>
        </w:rPr>
      </w:pPr>
      <w:r>
        <w:rPr>
          <w:rFonts w:ascii="Arial" w:cs="Arial" w:eastAsia="Arial" w:hAnsi="Arial"/>
          <w:sz w:val="18"/>
          <w:szCs w:val="18"/>
          <w:b w:val="1"/>
          <w:bCs w:val="1"/>
          <w:color w:val="auto"/>
        </w:rPr>
        <w:t>Exhibit 99.3</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ManpowerGroup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Restated Operating Unit Results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35" w:lineRule="exact"/>
        <w:rPr>
          <w:sz w:val="20"/>
          <w:szCs w:val="20"/>
          <w:color w:val="auto"/>
        </w:rPr>
      </w:pPr>
    </w:p>
    <w:p>
      <w:pPr>
        <w:ind w:left="20" w:right="440"/>
        <w:spacing w:after="0" w:line="279" w:lineRule="auto"/>
        <w:rPr>
          <w:sz w:val="20"/>
          <w:szCs w:val="20"/>
          <w:color w:val="auto"/>
        </w:rPr>
      </w:pPr>
      <w:r>
        <w:rPr>
          <w:rFonts w:ascii="Arial" w:cs="Arial" w:eastAsia="Arial" w:hAnsi="Arial"/>
          <w:sz w:val="16"/>
          <w:szCs w:val="16"/>
          <w:color w:val="auto"/>
        </w:rPr>
        <w:t>Effective January 1, 2016, we realigned our organizational structure in Europe. As a result, Other Southern Europe now includes several countries that were previously reported in Northern Europe. All previously reported results have been restated to conform to the current year presentation.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91"/>
              </w:rPr>
              <w:t>Three Months Ended June 30</w:t>
            </w:r>
          </w:p>
        </w:tc>
        <w:tc>
          <w:tcPr>
            <w:tcW w:w="980" w:type="dxa"/>
            <w:vAlign w:val="bottom"/>
          </w:tcPr>
          <w:p>
            <w:pPr>
              <w:spacing w:after="0"/>
              <w:rPr>
                <w:sz w:val="18"/>
                <w:szCs w:val="18"/>
                <w:color w:val="auto"/>
              </w:rPr>
            </w:pPr>
          </w:p>
        </w:tc>
      </w:tr>
      <w:tr>
        <w:trPr>
          <w:trHeight w:val="28"/>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ind w:left="740"/>
              <w:spacing w:after="0"/>
              <w:rPr>
                <w:sz w:val="20"/>
                <w:szCs w:val="20"/>
                <w:color w:val="auto"/>
              </w:rPr>
            </w:pPr>
            <w:r>
              <w:rPr>
                <w:rFonts w:ascii="Arial" w:cs="Arial" w:eastAsia="Arial" w:hAnsi="Arial"/>
                <w:sz w:val="16"/>
                <w:szCs w:val="16"/>
                <w:b w:val="1"/>
                <w:bCs w:val="1"/>
                <w:color w:val="auto"/>
              </w:rPr>
              <w:t>% Variance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 Variance</w:t>
            </w:r>
          </w:p>
        </w:tc>
      </w:tr>
      <w:tr>
        <w:trPr>
          <w:trHeight w:val="28"/>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Constant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Constant</w:t>
            </w:r>
          </w:p>
        </w:tc>
      </w:tr>
      <w:tr>
        <w:trPr>
          <w:trHeight w:val="241"/>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40" w:type="dxa"/>
            <w:vAlign w:val="bottom"/>
          </w:tcPr>
          <w:p>
            <w:pPr>
              <w:jc w:val="right"/>
              <w:ind w:right="400"/>
              <w:spacing w:after="0"/>
              <w:rPr>
                <w:sz w:val="20"/>
                <w:szCs w:val="20"/>
                <w:color w:val="auto"/>
              </w:rPr>
            </w:pPr>
            <w:r>
              <w:rPr>
                <w:rFonts w:ascii="Arial" w:cs="Arial" w:eastAsia="Arial" w:hAnsi="Arial"/>
                <w:sz w:val="16"/>
                <w:szCs w:val="16"/>
                <w:b w:val="1"/>
                <w:bCs w:val="1"/>
                <w:color w:val="auto"/>
              </w:rPr>
              <w:t>Reported</w:t>
            </w: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Currency</w:t>
            </w:r>
          </w:p>
        </w:tc>
        <w:tc>
          <w:tcPr>
            <w:tcW w:w="20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00" w:type="dxa"/>
            <w:vAlign w:val="bottom"/>
          </w:tcPr>
          <w:p>
            <w:pPr>
              <w:jc w:val="right"/>
              <w:ind w:right="360"/>
              <w:spacing w:after="0"/>
              <w:rPr>
                <w:sz w:val="20"/>
                <w:szCs w:val="20"/>
                <w:color w:val="auto"/>
              </w:rPr>
            </w:pPr>
            <w:r>
              <w:rPr>
                <w:rFonts w:ascii="Arial" w:cs="Arial" w:eastAsia="Arial" w:hAnsi="Arial"/>
                <w:sz w:val="16"/>
                <w:szCs w:val="16"/>
                <w:b w:val="1"/>
                <w:bCs w:val="1"/>
                <w:color w:val="auto"/>
              </w:rPr>
              <w:t>Reported</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Currency</w:t>
            </w:r>
          </w:p>
        </w:tc>
      </w:tr>
      <w:tr>
        <w:trPr>
          <w:trHeight w:val="28"/>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3"/>
          </w:tcPr>
          <w:p>
            <w:pPr>
              <w:jc w:val="right"/>
              <w:ind w:right="700"/>
              <w:spacing w:after="0"/>
              <w:rPr>
                <w:sz w:val="20"/>
                <w:szCs w:val="20"/>
                <w:color w:val="auto"/>
              </w:rPr>
            </w:pPr>
            <w:r>
              <w:rPr>
                <w:rFonts w:ascii="Arial" w:cs="Arial" w:eastAsia="Arial" w:hAnsi="Arial"/>
                <w:sz w:val="16"/>
                <w:szCs w:val="16"/>
                <w:color w:val="auto"/>
              </w:rPr>
              <w:t>(Unaudited)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right"/>
              <w:ind w:right="660"/>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720.5</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775.9</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45"/>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359.3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350.6</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2.5 %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368.1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375.2</w:t>
            </w:r>
          </w:p>
        </w:tc>
        <w:tc>
          <w:tcPr>
            <w:tcW w:w="1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-1.9 %</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14.4 %</w:t>
            </w:r>
          </w:p>
        </w:tc>
      </w:tr>
      <w:tr>
        <w:trPr>
          <w:trHeight w:val="255"/>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1,071.1</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1,151.1</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7"/>
        </w:trPr>
        <w:tc>
          <w:tcPr>
            <w:tcW w:w="264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1,217.3</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-14.5 %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1,412.1</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-14.8 %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Italy</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274.7</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-1.7 %</w:t>
            </w:r>
          </w:p>
        </w:tc>
        <w:tc>
          <w:tcPr>
            <w:tcW w:w="94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319.3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313.9</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1.7 %</w:t>
            </w:r>
          </w:p>
        </w:tc>
        <w:tc>
          <w:tcPr>
            <w:tcW w:w="98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Southern Europe</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363.6</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-8.7 %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378.3</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45"/>
        </w:trPr>
        <w:tc>
          <w:tcPr>
            <w:tcW w:w="2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1,642.7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1,855.6</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-11.5 %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1,870.0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2,104.3</w:t>
            </w:r>
          </w:p>
        </w:tc>
        <w:tc>
          <w:tcPr>
            <w:tcW w:w="1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-11.1 %</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9.5 %</w:t>
            </w:r>
          </w:p>
        </w:tc>
      </w:tr>
      <w:tr>
        <w:trPr>
          <w:trHeight w:val="22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1,330.3</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1,392.5</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APME</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573.7</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-7.1 %</w:t>
            </w:r>
          </w:p>
        </w:tc>
        <w:tc>
          <w:tcPr>
            <w:tcW w:w="9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594.0</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-6.3 %</w:t>
            </w:r>
          </w:p>
        </w:tc>
        <w:tc>
          <w:tcPr>
            <w:tcW w:w="98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79.8</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75"/>
        </w:trPr>
        <w:tc>
          <w:tcPr>
            <w:tcW w:w="26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4,542.2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4,904.0</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-7.4 %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4,861.3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5,321.7</w:t>
            </w:r>
          </w:p>
        </w:tc>
        <w:tc>
          <w:tcPr>
            <w:tcW w:w="1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-8.7 %</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r>
      <w:tr>
        <w:trPr>
          <w:trHeight w:val="20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30.0 %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40.3 %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40.3 %</w:t>
            </w:r>
          </w:p>
        </w:tc>
      </w:tr>
      <w:tr>
        <w:trPr>
          <w:trHeight w:val="245"/>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12.6</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1.7 %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w:t>
            </w:r>
          </w:p>
        </w:tc>
        <w:tc>
          <w:tcPr>
            <w:tcW w:w="1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3.3 %</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19.7 %</w:t>
            </w:r>
          </w:p>
        </w:tc>
      </w:tr>
      <w:tr>
        <w:trPr>
          <w:trHeight w:val="255"/>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26.0</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16.3 %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43.7</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33.7 %</w:t>
            </w:r>
          </w:p>
        </w:tc>
      </w:tr>
      <w:tr>
        <w:trPr>
          <w:trHeight w:val="207"/>
        </w:trPr>
        <w:tc>
          <w:tcPr>
            <w:tcW w:w="264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51.2</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71.9</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Italy</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11.1 %</w:t>
            </w:r>
          </w:p>
        </w:tc>
        <w:tc>
          <w:tcPr>
            <w:tcW w:w="940" w:type="dxa"/>
            <w:vAlign w:val="bottom"/>
          </w:tcPr>
          <w:p>
            <w:pPr>
              <w:jc w:val="right"/>
              <w:spacing w:after="0"/>
              <w:rPr>
                <w:sz w:val="20"/>
                <w:szCs w:val="20"/>
                <w:color w:val="auto"/>
              </w:rPr>
            </w:pPr>
            <w:r>
              <w:rPr>
                <w:rFonts w:ascii="Arial" w:cs="Arial" w:eastAsia="Arial" w:hAnsi="Arial"/>
                <w:sz w:val="16"/>
                <w:szCs w:val="16"/>
                <w:color w:val="auto"/>
              </w:rPr>
              <w:t>36.8 %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8.0 %</w:t>
            </w:r>
          </w:p>
        </w:tc>
        <w:tc>
          <w:tcPr>
            <w:tcW w:w="980" w:type="dxa"/>
            <w:vAlign w:val="bottom"/>
          </w:tcPr>
          <w:p>
            <w:pPr>
              <w:jc w:val="right"/>
              <w:spacing w:after="0"/>
              <w:rPr>
                <w:sz w:val="20"/>
                <w:szCs w:val="20"/>
                <w:color w:val="auto"/>
              </w:rPr>
            </w:pPr>
            <w:r>
              <w:rPr>
                <w:rFonts w:ascii="Arial" w:cs="Arial" w:eastAsia="Arial" w:hAnsi="Arial"/>
                <w:sz w:val="16"/>
                <w:szCs w:val="16"/>
                <w:color w:val="auto"/>
              </w:rPr>
              <w:t>33.7 %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Southern Europe</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-18.3 %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-30.1 %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r>
      <w:tr>
        <w:trPr>
          <w:trHeight w:val="245"/>
        </w:trPr>
        <w:tc>
          <w:tcPr>
            <w:tcW w:w="2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73.6</w:t>
            </w:r>
          </w:p>
        </w:tc>
        <w:tc>
          <w:tcPr>
            <w:tcW w:w="14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-1.8 %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101.6</w:t>
            </w:r>
          </w:p>
        </w:tc>
        <w:tc>
          <w:tcPr>
            <w:tcW w:w="1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-6.8 %</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14.7 %</w:t>
            </w:r>
          </w:p>
        </w:tc>
      </w:tr>
      <w:tr>
        <w:trPr>
          <w:trHeight w:val="22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-9.5 %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APME</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-7.4 %</w:t>
            </w:r>
          </w:p>
        </w:tc>
        <w:tc>
          <w:tcPr>
            <w:tcW w:w="94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-11.4 %</w:t>
            </w:r>
          </w:p>
        </w:tc>
        <w:tc>
          <w:tcPr>
            <w:tcW w:w="98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-31.8 %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45"/>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Intangible asset amortization expense</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r>
      <w:tr>
        <w:trPr>
          <w:trHeight w:val="221"/>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profit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126.9</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187.4</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12.5 %</w:t>
            </w:r>
          </w:p>
        </w:tc>
      </w:tr>
      <w:tr>
        <w:trPr>
          <w:trHeight w:val="245"/>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r>
      <w:tr>
        <w:trPr>
          <w:trHeight w:val="235"/>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179.5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ectPr>
          <w:pgSz w:w="11900" w:h="16838" w:orient="portrait"/>
          <w:cols w:equalWidth="0" w:num="1">
            <w:col w:w="11220"/>
          </w:cols>
          <w:pgMar w:left="340" w:top="674"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Six Months Ended June 30</w:t>
            </w:r>
          </w:p>
        </w:tc>
        <w:tc>
          <w:tcPr>
            <w:tcW w:w="1060" w:type="dxa"/>
            <w:vAlign w:val="bottom"/>
          </w:tcPr>
          <w:p>
            <w:pPr>
              <w:spacing w:after="0"/>
              <w:rPr>
                <w:sz w:val="18"/>
                <w:szCs w:val="18"/>
                <w:color w:val="auto"/>
              </w:rPr>
            </w:pPr>
          </w:p>
        </w:tc>
      </w:tr>
      <w:tr>
        <w:trPr>
          <w:trHeight w:val="28"/>
        </w:trPr>
        <w:tc>
          <w:tcPr>
            <w:tcW w:w="6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 Variance</w:t>
            </w:r>
          </w:p>
        </w:tc>
      </w:tr>
      <w:tr>
        <w:trPr>
          <w:trHeight w:val="28"/>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160"/>
              <w:spacing w:after="0"/>
              <w:rPr>
                <w:sz w:val="20"/>
                <w:szCs w:val="20"/>
                <w:color w:val="auto"/>
              </w:rPr>
            </w:pPr>
            <w:r>
              <w:rPr>
                <w:rFonts w:ascii="Arial" w:cs="Arial" w:eastAsia="Arial" w:hAnsi="Arial"/>
                <w:sz w:val="16"/>
                <w:szCs w:val="16"/>
                <w:b w:val="1"/>
                <w:bCs w:val="1"/>
                <w:color w:val="auto"/>
              </w:rPr>
              <w:t>Constant</w:t>
            </w:r>
          </w:p>
        </w:tc>
      </w:tr>
      <w:tr>
        <w:trPr>
          <w:trHeight w:val="241"/>
        </w:trPr>
        <w:tc>
          <w:tcPr>
            <w:tcW w:w="6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40" w:type="dxa"/>
            <w:vAlign w:val="bottom"/>
          </w:tcPr>
          <w:p>
            <w:pPr>
              <w:jc w:val="right"/>
              <w:ind w:right="3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Currency</w:t>
            </w:r>
          </w:p>
        </w:tc>
      </w:tr>
      <w:tr>
        <w:trPr>
          <w:trHeight w:val="28"/>
        </w:trPr>
        <w:tc>
          <w:tcPr>
            <w:tcW w:w="6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jc w:val="right"/>
              <w:ind w:right="6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686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1,496.4</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45"/>
        </w:trPr>
        <w:tc>
          <w:tcPr>
            <w:tcW w:w="6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725.8</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0.2 %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15.2 %</w:t>
            </w:r>
          </w:p>
        </w:tc>
      </w:tr>
      <w:tr>
        <w:trPr>
          <w:trHeight w:val="255"/>
        </w:trPr>
        <w:tc>
          <w:tcPr>
            <w:tcW w:w="6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2,215.1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2,222.2</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07"/>
        </w:trPr>
        <w:tc>
          <w:tcPr>
            <w:tcW w:w="686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2,629.4</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7"/>
        </w:trPr>
        <w:tc>
          <w:tcPr>
            <w:tcW w:w="6860" w:type="dxa"/>
            <w:vAlign w:val="bottom"/>
          </w:tcPr>
          <w:p>
            <w:pPr>
              <w:ind w:left="260"/>
              <w:spacing w:after="0"/>
              <w:rPr>
                <w:sz w:val="20"/>
                <w:szCs w:val="20"/>
                <w:color w:val="auto"/>
              </w:rPr>
            </w:pPr>
            <w:r>
              <w:rPr>
                <w:rFonts w:ascii="Arial" w:cs="Arial" w:eastAsia="Arial" w:hAnsi="Arial"/>
                <w:sz w:val="16"/>
                <w:szCs w:val="16"/>
                <w:color w:val="auto"/>
              </w:rPr>
              <w:t>Italy</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588.6</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0.1 %</w:t>
            </w:r>
          </w:p>
        </w:tc>
        <w:tc>
          <w:tcPr>
            <w:tcW w:w="1060" w:type="dxa"/>
            <w:vAlign w:val="bottom"/>
          </w:tcPr>
          <w:p>
            <w:pPr>
              <w:jc w:val="right"/>
              <w:spacing w:after="0"/>
              <w:rPr>
                <w:sz w:val="20"/>
                <w:szCs w:val="20"/>
                <w:color w:val="auto"/>
              </w:rPr>
            </w:pPr>
            <w:r>
              <w:rPr>
                <w:rFonts w:ascii="Arial" w:cs="Arial" w:eastAsia="Arial" w:hAnsi="Arial"/>
                <w:sz w:val="16"/>
                <w:szCs w:val="16"/>
                <w:color w:val="auto"/>
              </w:rPr>
              <w:t>23.2 %</w:t>
            </w: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741.9</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45"/>
        </w:trPr>
        <w:tc>
          <w:tcPr>
            <w:tcW w:w="6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3,512.7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3,959.9</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-11.3 %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8.5 %</w:t>
            </w:r>
          </w:p>
        </w:tc>
      </w:tr>
      <w:tr>
        <w:trPr>
          <w:trHeight w:val="221"/>
        </w:trPr>
        <w:tc>
          <w:tcPr>
            <w:tcW w:w="6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2,722.8</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17"/>
        </w:trPr>
        <w:tc>
          <w:tcPr>
            <w:tcW w:w="6860" w:type="dxa"/>
            <w:vAlign w:val="bottom"/>
          </w:tcPr>
          <w:p>
            <w:pPr>
              <w:ind w:left="100"/>
              <w:spacing w:after="0"/>
              <w:rPr>
                <w:sz w:val="20"/>
                <w:szCs w:val="20"/>
                <w:color w:val="auto"/>
              </w:rPr>
            </w:pPr>
            <w:r>
              <w:rPr>
                <w:rFonts w:ascii="Arial" w:cs="Arial" w:eastAsia="Arial" w:hAnsi="Arial"/>
                <w:sz w:val="16"/>
                <w:szCs w:val="16"/>
                <w:color w:val="auto"/>
              </w:rPr>
              <w:t>APME</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1,167.7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-6.7 %</w:t>
            </w:r>
          </w:p>
        </w:tc>
        <w:tc>
          <w:tcPr>
            <w:tcW w:w="106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153.1</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75"/>
        </w:trPr>
        <w:tc>
          <w:tcPr>
            <w:tcW w:w="68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9,403.5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10,225.7</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-8.0 %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r>
      <w:tr>
        <w:trPr>
          <w:trHeight w:val="20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686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43.1</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37.1 %</w:t>
            </w:r>
          </w:p>
        </w:tc>
      </w:tr>
      <w:tr>
        <w:trPr>
          <w:trHeight w:val="245"/>
        </w:trPr>
        <w:tc>
          <w:tcPr>
            <w:tcW w:w="68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2.5 %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17.5 %</w:t>
            </w:r>
          </w:p>
        </w:tc>
      </w:tr>
      <w:tr>
        <w:trPr>
          <w:trHeight w:val="255"/>
        </w:trPr>
        <w:tc>
          <w:tcPr>
            <w:tcW w:w="6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29.6 %</w:t>
            </w:r>
          </w:p>
        </w:tc>
      </w:tr>
      <w:tr>
        <w:trPr>
          <w:trHeight w:val="207"/>
        </w:trPr>
        <w:tc>
          <w:tcPr>
            <w:tcW w:w="686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123.1</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17"/>
        </w:trPr>
        <w:tc>
          <w:tcPr>
            <w:tcW w:w="6860" w:type="dxa"/>
            <w:vAlign w:val="bottom"/>
          </w:tcPr>
          <w:p>
            <w:pPr>
              <w:ind w:left="260"/>
              <w:spacing w:after="0"/>
              <w:rPr>
                <w:sz w:val="20"/>
                <w:szCs w:val="20"/>
                <w:color w:val="auto"/>
              </w:rPr>
            </w:pPr>
            <w:r>
              <w:rPr>
                <w:rFonts w:ascii="Arial" w:cs="Arial" w:eastAsia="Arial" w:hAnsi="Arial"/>
                <w:sz w:val="16"/>
                <w:szCs w:val="16"/>
                <w:color w:val="auto"/>
              </w:rPr>
              <w:t>Italy</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9.3 %</w:t>
            </w:r>
          </w:p>
        </w:tc>
        <w:tc>
          <w:tcPr>
            <w:tcW w:w="1060" w:type="dxa"/>
            <w:vAlign w:val="bottom"/>
          </w:tcPr>
          <w:p>
            <w:pPr>
              <w:jc w:val="right"/>
              <w:spacing w:after="0"/>
              <w:rPr>
                <w:sz w:val="20"/>
                <w:szCs w:val="20"/>
                <w:color w:val="auto"/>
              </w:rPr>
            </w:pPr>
            <w:r>
              <w:rPr>
                <w:rFonts w:ascii="Arial" w:cs="Arial" w:eastAsia="Arial" w:hAnsi="Arial"/>
                <w:sz w:val="16"/>
                <w:szCs w:val="16"/>
                <w:color w:val="auto"/>
              </w:rPr>
              <w:t>34.9 %</w:t>
            </w: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45"/>
        </w:trPr>
        <w:tc>
          <w:tcPr>
            <w:tcW w:w="68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175.2</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-4.7 %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16.8 %</w:t>
            </w:r>
          </w:p>
        </w:tc>
      </w:tr>
      <w:tr>
        <w:trPr>
          <w:trHeight w:val="221"/>
        </w:trPr>
        <w:tc>
          <w:tcPr>
            <w:tcW w:w="6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73.7</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7"/>
        </w:trPr>
        <w:tc>
          <w:tcPr>
            <w:tcW w:w="6860" w:type="dxa"/>
            <w:vAlign w:val="bottom"/>
          </w:tcPr>
          <w:p>
            <w:pPr>
              <w:ind w:left="100"/>
              <w:spacing w:after="0"/>
              <w:rPr>
                <w:sz w:val="20"/>
                <w:szCs w:val="20"/>
                <w:color w:val="auto"/>
              </w:rPr>
            </w:pPr>
            <w:r>
              <w:rPr>
                <w:rFonts w:ascii="Arial" w:cs="Arial" w:eastAsia="Arial" w:hAnsi="Arial"/>
                <w:sz w:val="16"/>
                <w:szCs w:val="16"/>
                <w:color w:val="auto"/>
              </w:rPr>
              <w:t>APME</w:t>
            </w: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41.2</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-9.4 %</w:t>
            </w:r>
          </w:p>
        </w:tc>
        <w:tc>
          <w:tcPr>
            <w:tcW w:w="10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6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7"/>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372.1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380.8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314.3</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r>
      <w:tr>
        <w:trPr>
          <w:trHeight w:val="24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ectPr>
          <w:pgSz w:w="11900" w:h="16838" w:orient="portrait"/>
          <w:cols w:equalWidth="0" w:num="1">
            <w:col w:w="11280"/>
          </w:cols>
          <w:pgMar w:left="320" w:top="991" w:right="29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Three Months Ended 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8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Three Months Ended December 31</w:t>
            </w:r>
          </w:p>
        </w:tc>
        <w:tc>
          <w:tcPr>
            <w:tcW w:w="880" w:type="dxa"/>
            <w:vAlign w:val="bottom"/>
          </w:tcPr>
          <w:p>
            <w:pPr>
              <w:spacing w:after="0"/>
              <w:rPr>
                <w:sz w:val="18"/>
                <w:szCs w:val="18"/>
                <w:color w:val="auto"/>
              </w:rPr>
            </w:pPr>
          </w:p>
        </w:tc>
      </w:tr>
      <w:tr>
        <w:trPr>
          <w:trHeight w:val="28"/>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3"/>
          </w:tcPr>
          <w:p>
            <w:pPr>
              <w:ind w:left="740"/>
              <w:spacing w:after="0"/>
              <w:rPr>
                <w:sz w:val="20"/>
                <w:szCs w:val="20"/>
                <w:color w:val="auto"/>
              </w:rPr>
            </w:pPr>
            <w:r>
              <w:rPr>
                <w:rFonts w:ascii="Arial" w:cs="Arial" w:eastAsia="Arial" w:hAnsi="Arial"/>
                <w:sz w:val="16"/>
                <w:szCs w:val="16"/>
                <w:b w:val="1"/>
                <w:bCs w:val="1"/>
                <w:color w:val="auto"/>
              </w:rPr>
              <w:t>% Variance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 Variance</w:t>
            </w:r>
          </w:p>
        </w:tc>
      </w:tr>
      <w:tr>
        <w:trPr>
          <w:trHeight w:val="28"/>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Constant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60"/>
              <w:spacing w:after="0"/>
              <w:rPr>
                <w:sz w:val="20"/>
                <w:szCs w:val="20"/>
                <w:color w:val="auto"/>
              </w:rPr>
            </w:pPr>
            <w:r>
              <w:rPr>
                <w:rFonts w:ascii="Arial" w:cs="Arial" w:eastAsia="Arial" w:hAnsi="Arial"/>
                <w:sz w:val="16"/>
                <w:szCs w:val="16"/>
                <w:b w:val="1"/>
                <w:bCs w:val="1"/>
                <w:color w:val="auto"/>
              </w:rPr>
              <w:t>Reported</w:t>
            </w: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Currency</w:t>
            </w:r>
          </w:p>
        </w:tc>
        <w:tc>
          <w:tcPr>
            <w:tcW w:w="20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400" w:type="dxa"/>
            <w:vAlign w:val="bottom"/>
          </w:tcPr>
          <w:p>
            <w:pPr>
              <w:jc w:val="right"/>
              <w:ind w:right="460"/>
              <w:spacing w:after="0"/>
              <w:rPr>
                <w:sz w:val="20"/>
                <w:szCs w:val="20"/>
                <w:color w:val="auto"/>
              </w:rPr>
            </w:pPr>
            <w:r>
              <w:rPr>
                <w:rFonts w:ascii="Arial" w:cs="Arial" w:eastAsia="Arial" w:hAnsi="Arial"/>
                <w:sz w:val="16"/>
                <w:szCs w:val="16"/>
                <w:b w:val="1"/>
                <w:bCs w:val="1"/>
                <w:color w:val="auto"/>
              </w:rPr>
              <w:t>Reported</w:t>
            </w:r>
          </w:p>
        </w:tc>
        <w:tc>
          <w:tcPr>
            <w:tcW w:w="880" w:type="dxa"/>
            <w:vAlign w:val="bottom"/>
          </w:tcPr>
          <w:p>
            <w:pPr>
              <w:jc w:val="right"/>
              <w:ind w:right="14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6"/>
                <w:szCs w:val="16"/>
                <w:color w:val="auto"/>
                <w:w w:val="90"/>
              </w:rPr>
              <w:t>(Unaudited)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3"/>
          </w:tcPr>
          <w:p>
            <w:pPr>
              <w:jc w:val="right"/>
              <w:ind w:right="760"/>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800.5</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-3.9 %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789.5</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45"/>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-5.6 %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383.0</w:t>
            </w: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2.3 %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23.5 %</w:t>
            </w:r>
          </w:p>
        </w:tc>
      </w:tr>
      <w:tr>
        <w:trPr>
          <w:trHeight w:val="255"/>
        </w:trPr>
        <w:tc>
          <w:tcPr>
            <w:tcW w:w="2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1,136.6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-4.4 %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1,172.5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7"/>
        </w:trPr>
        <w:tc>
          <w:tcPr>
            <w:tcW w:w="2640" w:type="dxa"/>
            <w:vAlign w:val="bottom"/>
            <w:tcBorders>
              <w:top w:val="single" w:sz="8" w:color="CCEEFF"/>
            </w:tcBorders>
          </w:tcPr>
          <w:p>
            <w:pPr>
              <w:ind w:left="100"/>
              <w:spacing w:after="0"/>
              <w:rPr>
                <w:sz w:val="20"/>
                <w:szCs w:val="20"/>
                <w:color w:val="auto"/>
              </w:rPr>
            </w:pPr>
            <w:r>
              <w:rPr>
                <w:rFonts w:ascii="Arial" w:cs="Arial" w:eastAsia="Arial" w:hAnsi="Arial"/>
                <w:sz w:val="16"/>
                <w:szCs w:val="16"/>
                <w:color w:val="auto"/>
              </w:rPr>
              <w:t>Southern Europe:</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1,454.3</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-14.6 %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1,267.9</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Italy</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294.1</w:t>
            </w: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10.3 %</w:t>
            </w:r>
          </w:p>
        </w:tc>
        <w:tc>
          <w:tcPr>
            <w:tcW w:w="880" w:type="dxa"/>
            <w:vAlign w:val="bottom"/>
          </w:tcPr>
          <w:p>
            <w:pPr>
              <w:jc w:val="right"/>
              <w:spacing w:after="0"/>
              <w:rPr>
                <w:sz w:val="20"/>
                <w:szCs w:val="20"/>
                <w:color w:val="auto"/>
              </w:rPr>
            </w:pPr>
            <w:r>
              <w:rPr>
                <w:rFonts w:ascii="Arial" w:cs="Arial" w:eastAsia="Arial" w:hAnsi="Arial"/>
                <w:sz w:val="16"/>
                <w:szCs w:val="16"/>
                <w:color w:val="auto"/>
              </w:rPr>
              <w:t>31.4 %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296.1</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5.5 %</w:t>
            </w:r>
          </w:p>
        </w:tc>
        <w:tc>
          <w:tcPr>
            <w:tcW w:w="880" w:type="dxa"/>
            <w:vAlign w:val="bottom"/>
          </w:tcPr>
          <w:p>
            <w:pPr>
              <w:jc w:val="right"/>
              <w:spacing w:after="0"/>
              <w:rPr>
                <w:sz w:val="20"/>
                <w:szCs w:val="20"/>
                <w:color w:val="auto"/>
              </w:rPr>
            </w:pPr>
            <w:r>
              <w:rPr>
                <w:rFonts w:ascii="Arial" w:cs="Arial" w:eastAsia="Arial" w:hAnsi="Arial"/>
                <w:sz w:val="16"/>
                <w:szCs w:val="16"/>
                <w:color w:val="auto"/>
              </w:rPr>
              <w:t>20.3 %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Southern Europe</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369.5</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45"/>
        </w:trPr>
        <w:tc>
          <w:tcPr>
            <w:tcW w:w="2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2,139.1</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-9.7 %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1,847.5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1,933.5</w:t>
            </w: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-4.4 %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8.4 %</w:t>
            </w:r>
          </w:p>
        </w:tc>
      </w:tr>
      <w:tr>
        <w:trPr>
          <w:trHeight w:val="22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1,423.8</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-11.0 %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1,378.7</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APME</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570.2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592.5</w:t>
            </w: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-3.7 %</w:t>
            </w:r>
          </w:p>
        </w:tc>
        <w:tc>
          <w:tcPr>
            <w:tcW w:w="880" w:type="dxa"/>
            <w:vAlign w:val="bottom"/>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566.9</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2.2 %</w:t>
            </w:r>
          </w:p>
        </w:tc>
        <w:tc>
          <w:tcPr>
            <w:tcW w:w="88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75"/>
        </w:trPr>
        <w:tc>
          <w:tcPr>
            <w:tcW w:w="26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4,972.5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5,416.0</w:t>
            </w: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-8.2 %</w:t>
            </w:r>
          </w:p>
        </w:tc>
        <w:tc>
          <w:tcPr>
            <w:tcW w:w="88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4,953.9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5,121.1</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-3.3 %</w:t>
            </w:r>
          </w:p>
        </w:tc>
        <w:tc>
          <w:tcPr>
            <w:tcW w:w="88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8.7 %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45"/>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-9.7 %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w:t>
            </w: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10.0 %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31.2 %</w:t>
            </w:r>
          </w:p>
        </w:tc>
      </w:tr>
      <w:tr>
        <w:trPr>
          <w:trHeight w:val="255"/>
        </w:trPr>
        <w:tc>
          <w:tcPr>
            <w:tcW w:w="2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3.9 %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0.5 %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07"/>
        </w:trPr>
        <w:tc>
          <w:tcPr>
            <w:tcW w:w="2640" w:type="dxa"/>
            <w:vAlign w:val="bottom"/>
            <w:tcBorders>
              <w:top w:val="single" w:sz="8" w:color="CCEEFF"/>
            </w:tcBorders>
          </w:tcPr>
          <w:p>
            <w:pPr>
              <w:ind w:left="100"/>
              <w:spacing w:after="0"/>
              <w:rPr>
                <w:sz w:val="20"/>
                <w:szCs w:val="20"/>
                <w:color w:val="auto"/>
              </w:rPr>
            </w:pPr>
            <w:r>
              <w:rPr>
                <w:rFonts w:ascii="Arial" w:cs="Arial" w:eastAsia="Arial" w:hAnsi="Arial"/>
                <w:sz w:val="16"/>
                <w:szCs w:val="16"/>
                <w:color w:val="auto"/>
              </w:rPr>
              <w:t>Southern Europe:</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-11.0 %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68.2</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Italy</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w:t>
            </w: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19.1 %</w:t>
            </w:r>
          </w:p>
        </w:tc>
        <w:tc>
          <w:tcPr>
            <w:tcW w:w="880" w:type="dxa"/>
            <w:vAlign w:val="bottom"/>
          </w:tcPr>
          <w:p>
            <w:pPr>
              <w:jc w:val="right"/>
              <w:spacing w:after="0"/>
              <w:rPr>
                <w:sz w:val="20"/>
                <w:szCs w:val="20"/>
                <w:color w:val="auto"/>
              </w:rPr>
            </w:pPr>
            <w:r>
              <w:rPr>
                <w:rFonts w:ascii="Arial" w:cs="Arial" w:eastAsia="Arial" w:hAnsi="Arial"/>
                <w:sz w:val="16"/>
                <w:szCs w:val="16"/>
                <w:color w:val="auto"/>
              </w:rPr>
              <w:t>42.1 %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18.6</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5.7 %</w:t>
            </w:r>
          </w:p>
        </w:tc>
        <w:tc>
          <w:tcPr>
            <w:tcW w:w="880" w:type="dxa"/>
            <w:vAlign w:val="bottom"/>
          </w:tcPr>
          <w:p>
            <w:pPr>
              <w:jc w:val="right"/>
              <w:spacing w:after="0"/>
              <w:rPr>
                <w:sz w:val="20"/>
                <w:szCs w:val="20"/>
                <w:color w:val="auto"/>
              </w:rPr>
            </w:pPr>
            <w:r>
              <w:rPr>
                <w:rFonts w:ascii="Arial" w:cs="Arial" w:eastAsia="Arial" w:hAnsi="Arial"/>
                <w:sz w:val="16"/>
                <w:szCs w:val="16"/>
                <w:color w:val="auto"/>
              </w:rPr>
              <w:t>20.7 %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Southern Europe</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9.4 %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10.4 %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r>
      <w:tr>
        <w:trPr>
          <w:trHeight w:val="245"/>
        </w:trPr>
        <w:tc>
          <w:tcPr>
            <w:tcW w:w="2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-4.8 %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96.5</w:t>
            </w:r>
          </w:p>
        </w:tc>
        <w:tc>
          <w:tcPr>
            <w:tcW w:w="15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0.6 %</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13.9 %</w:t>
            </w:r>
          </w:p>
        </w:tc>
      </w:tr>
      <w:tr>
        <w:trPr>
          <w:trHeight w:val="221"/>
        </w:trPr>
        <w:tc>
          <w:tcPr>
            <w:tcW w:w="2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-17.1 %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49.8</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-27.5 %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r>
      <w:tr>
        <w:trPr>
          <w:trHeight w:val="217"/>
        </w:trPr>
        <w:tc>
          <w:tcPr>
            <w:tcW w:w="2640" w:type="dxa"/>
            <w:vAlign w:val="bottom"/>
          </w:tcPr>
          <w:p>
            <w:pPr>
              <w:ind w:left="100"/>
              <w:spacing w:after="0"/>
              <w:rPr>
                <w:sz w:val="20"/>
                <w:szCs w:val="20"/>
                <w:color w:val="auto"/>
              </w:rPr>
            </w:pPr>
            <w:r>
              <w:rPr>
                <w:rFonts w:ascii="Arial" w:cs="Arial" w:eastAsia="Arial" w:hAnsi="Arial"/>
                <w:sz w:val="16"/>
                <w:szCs w:val="16"/>
                <w:color w:val="auto"/>
              </w:rPr>
              <w:t>APME</w:t>
            </w: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21.6</w:t>
            </w:r>
          </w:p>
        </w:tc>
        <w:tc>
          <w:tcPr>
            <w:tcW w:w="1620" w:type="dxa"/>
            <w:vAlign w:val="bottom"/>
            <w:gridSpan w:val="3"/>
          </w:tcPr>
          <w:p>
            <w:pPr>
              <w:jc w:val="right"/>
              <w:ind w:right="260"/>
              <w:spacing w:after="0"/>
              <w:rPr>
                <w:sz w:val="20"/>
                <w:szCs w:val="20"/>
                <w:color w:val="auto"/>
              </w:rPr>
            </w:pPr>
            <w:r>
              <w:rPr>
                <w:rFonts w:ascii="Arial" w:cs="Arial" w:eastAsia="Arial" w:hAnsi="Arial"/>
                <w:sz w:val="16"/>
                <w:szCs w:val="16"/>
                <w:color w:val="auto"/>
              </w:rPr>
              <w:t>9.9 %</w:t>
            </w:r>
          </w:p>
        </w:tc>
        <w:tc>
          <w:tcPr>
            <w:tcW w:w="880" w:type="dxa"/>
            <w:vAlign w:val="bottom"/>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-14.3 %</w:t>
            </w:r>
          </w:p>
        </w:tc>
        <w:tc>
          <w:tcPr>
            <w:tcW w:w="88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2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72.0 %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64.1 %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76.3 %</w:t>
            </w:r>
          </w:p>
        </w:tc>
      </w:tr>
      <w:tr>
        <w:trPr>
          <w:trHeight w:val="217"/>
        </w:trPr>
        <w:tc>
          <w:tcPr>
            <w:tcW w:w="26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243.3</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217.3</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229.3</w:t>
            </w:r>
          </w:p>
        </w:tc>
        <w:tc>
          <w:tcPr>
            <w:tcW w:w="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4"/>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1"/>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45"/>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6"/>
              </w:rPr>
              <w:t>Intangible asset amortization expense</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r>
      <w:tr>
        <w:trPr>
          <w:trHeight w:val="221"/>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Operating profit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-2.8 %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193.3</w:t>
            </w:r>
          </w:p>
        </w:tc>
        <w:tc>
          <w:tcPr>
            <w:tcW w:w="15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-6.3%</w:t>
            </w: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r>
      <w:tr>
        <w:trPr>
          <w:trHeight w:val="245"/>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r>
      <w:tr>
        <w:trPr>
          <w:trHeight w:val="235"/>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Earnings before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20"/>
          </w:cols>
          <w:pgMar w:left="340" w:top="1184"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Pr>
          <w:p>
            <w:pPr>
              <w:spacing w:after="0"/>
              <w:rPr>
                <w:sz w:val="18"/>
                <w:szCs w:val="18"/>
                <w:color w:val="auto"/>
              </w:rPr>
            </w:pPr>
          </w:p>
        </w:tc>
      </w:tr>
      <w:tr>
        <w:trPr>
          <w:trHeight w:val="28"/>
        </w:trPr>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3"/>
          </w:tcPr>
          <w:p>
            <w:pPr>
              <w:ind w:left="76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 Variance</w:t>
            </w:r>
          </w:p>
        </w:tc>
      </w:tr>
      <w:tr>
        <w:trPr>
          <w:trHeight w:val="28"/>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48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160"/>
              <w:spacing w:after="0"/>
              <w:rPr>
                <w:sz w:val="20"/>
                <w:szCs w:val="20"/>
                <w:color w:val="auto"/>
              </w:rPr>
            </w:pPr>
            <w:r>
              <w:rPr>
                <w:rFonts w:ascii="Arial" w:cs="Arial" w:eastAsia="Arial" w:hAnsi="Arial"/>
                <w:sz w:val="16"/>
                <w:szCs w:val="16"/>
                <w:b w:val="1"/>
                <w:bCs w:val="1"/>
                <w:color w:val="auto"/>
              </w:rPr>
              <w:t>Constant</w:t>
            </w:r>
          </w:p>
        </w:tc>
      </w:tr>
      <w:tr>
        <w:trPr>
          <w:trHeight w:val="241"/>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380" w:type="dxa"/>
            <w:vAlign w:val="bottom"/>
          </w:tcPr>
          <w:p>
            <w:pPr>
              <w:jc w:val="right"/>
              <w:ind w:right="440"/>
              <w:spacing w:after="0"/>
              <w:rPr>
                <w:sz w:val="20"/>
                <w:szCs w:val="20"/>
                <w:color w:val="auto"/>
              </w:rPr>
            </w:pPr>
            <w:r>
              <w:rPr>
                <w:rFonts w:ascii="Arial" w:cs="Arial" w:eastAsia="Arial" w:hAnsi="Arial"/>
                <w:sz w:val="16"/>
                <w:szCs w:val="16"/>
                <w:b w:val="1"/>
                <w:bCs w:val="1"/>
                <w:color w:val="auto"/>
              </w:rPr>
              <w:t>Reported</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20"/>
                <w:szCs w:val="20"/>
                <w:color w:val="auto"/>
              </w:rPr>
            </w:pPr>
          </w:p>
        </w:tc>
        <w:tc>
          <w:tcPr>
            <w:tcW w:w="740" w:type="dxa"/>
            <w:vAlign w:val="bottom"/>
          </w:tcPr>
          <w:p>
            <w:pPr>
              <w:jc w:val="right"/>
              <w:ind w:right="2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260" w:type="dxa"/>
            <w:vAlign w:val="bottom"/>
          </w:tcPr>
          <w:p>
            <w:pPr>
              <w:jc w:val="right"/>
              <w:ind w:right="3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140"/>
              <w:spacing w:after="0"/>
              <w:rPr>
                <w:sz w:val="20"/>
                <w:szCs w:val="20"/>
                <w:color w:val="auto"/>
              </w:rPr>
            </w:pPr>
            <w:r>
              <w:rPr>
                <w:rFonts w:ascii="Arial" w:cs="Arial" w:eastAsia="Arial" w:hAnsi="Arial"/>
                <w:sz w:val="16"/>
                <w:szCs w:val="16"/>
                <w:b w:val="1"/>
                <w:bCs w:val="1"/>
                <w:color w:val="auto"/>
              </w:rPr>
              <w:t>Currency</w:t>
            </w:r>
          </w:p>
        </w:tc>
      </w:tr>
      <w:tr>
        <w:trPr>
          <w:trHeight w:val="28"/>
        </w:trPr>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jc w:val="right"/>
              <w:ind w:right="760"/>
              <w:spacing w:after="0"/>
              <w:rPr>
                <w:sz w:val="20"/>
                <w:szCs w:val="20"/>
                <w:color w:val="auto"/>
              </w:rPr>
            </w:pPr>
            <w:r>
              <w:rPr>
                <w:rFonts w:ascii="Arial" w:cs="Arial" w:eastAsia="Arial" w:hAnsi="Arial"/>
                <w:sz w:val="16"/>
                <w:szCs w:val="16"/>
                <w:color w:val="auto"/>
              </w:rPr>
              <w:t>(Unaudited)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62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2720" w:type="dxa"/>
            <w:vAlign w:val="bottom"/>
          </w:tcPr>
          <w:p>
            <w:pPr>
              <w:ind w:left="100"/>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2,257.3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2,296.9</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3,086.4</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45"/>
        </w:trPr>
        <w:tc>
          <w:tcPr>
            <w:tcW w:w="27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1,114.3</w:t>
            </w:r>
          </w:p>
        </w:tc>
        <w:tc>
          <w:tcPr>
            <w:tcW w:w="15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-1.8 %</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1,497.3</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-0.7 %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17.6 %</w:t>
            </w:r>
          </w:p>
        </w:tc>
      </w:tr>
      <w:tr>
        <w:trPr>
          <w:trHeight w:val="255"/>
        </w:trPr>
        <w:tc>
          <w:tcPr>
            <w:tcW w:w="2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3,351.7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3,411.2</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4,492.0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4,583.7</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07"/>
        </w:trPr>
        <w:tc>
          <w:tcPr>
            <w:tcW w:w="272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4,083.7</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-14.6 %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5,351.6</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17"/>
        </w:trPr>
        <w:tc>
          <w:tcPr>
            <w:tcW w:w="2720" w:type="dxa"/>
            <w:vAlign w:val="bottom"/>
          </w:tcPr>
          <w:p>
            <w:pPr>
              <w:ind w:left="260"/>
              <w:spacing w:after="0"/>
              <w:rPr>
                <w:sz w:val="20"/>
                <w:szCs w:val="20"/>
                <w:color w:val="auto"/>
              </w:rPr>
            </w:pPr>
            <w:r>
              <w:rPr>
                <w:rFonts w:ascii="Arial" w:cs="Arial" w:eastAsia="Arial" w:hAnsi="Arial"/>
                <w:sz w:val="16"/>
                <w:szCs w:val="16"/>
                <w:color w:val="auto"/>
              </w:rPr>
              <w:t>Italy</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913.8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882.7</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3.5 %</w:t>
            </w:r>
          </w:p>
        </w:tc>
        <w:tc>
          <w:tcPr>
            <w:tcW w:w="920" w:type="dxa"/>
            <w:vAlign w:val="bottom"/>
          </w:tcPr>
          <w:p>
            <w:pPr>
              <w:jc w:val="right"/>
              <w:spacing w:after="0"/>
              <w:rPr>
                <w:sz w:val="20"/>
                <w:szCs w:val="20"/>
                <w:color w:val="auto"/>
              </w:rPr>
            </w:pPr>
            <w:r>
              <w:rPr>
                <w:rFonts w:ascii="Arial" w:cs="Arial" w:eastAsia="Arial" w:hAnsi="Arial"/>
                <w:sz w:val="16"/>
                <w:szCs w:val="16"/>
                <w:color w:val="auto"/>
              </w:rPr>
              <w:t>25.9 %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1,178.8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4.0 %</w:t>
            </w:r>
          </w:p>
        </w:tc>
        <w:tc>
          <w:tcPr>
            <w:tcW w:w="1060" w:type="dxa"/>
            <w:vAlign w:val="bottom"/>
          </w:tcPr>
          <w:p>
            <w:pPr>
              <w:jc w:val="right"/>
              <w:spacing w:after="0"/>
              <w:rPr>
                <w:sz w:val="20"/>
                <w:szCs w:val="20"/>
                <w:color w:val="auto"/>
              </w:rPr>
            </w:pPr>
            <w:r>
              <w:rPr>
                <w:rFonts w:ascii="Arial" w:cs="Arial" w:eastAsia="Arial" w:hAnsi="Arial"/>
                <w:sz w:val="16"/>
                <w:szCs w:val="16"/>
                <w:color w:val="auto"/>
              </w:rPr>
              <w:t>24.5 %</w:t>
            </w: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1,132.6</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1,502.1</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45"/>
        </w:trPr>
        <w:tc>
          <w:tcPr>
            <w:tcW w:w="2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5,444.0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6,099.0</w:t>
            </w:r>
          </w:p>
        </w:tc>
        <w:tc>
          <w:tcPr>
            <w:tcW w:w="15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-10.7 %</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7,291.5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8,032.5</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-9.2 %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8.1 %</w:t>
            </w:r>
          </w:p>
        </w:tc>
      </w:tr>
      <w:tr>
        <w:trPr>
          <w:trHeight w:val="221"/>
        </w:trPr>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4,146.6</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5,525.3</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7"/>
        </w:trPr>
        <w:tc>
          <w:tcPr>
            <w:tcW w:w="2720" w:type="dxa"/>
            <w:vAlign w:val="bottom"/>
          </w:tcPr>
          <w:p>
            <w:pPr>
              <w:ind w:left="100"/>
              <w:spacing w:after="0"/>
              <w:rPr>
                <w:sz w:val="20"/>
                <w:szCs w:val="20"/>
                <w:color w:val="auto"/>
              </w:rPr>
            </w:pPr>
            <w:r>
              <w:rPr>
                <w:rFonts w:ascii="Arial" w:cs="Arial" w:eastAsia="Arial" w:hAnsi="Arial"/>
                <w:sz w:val="16"/>
                <w:szCs w:val="16"/>
                <w:color w:val="auto"/>
              </w:rPr>
              <w:t>APME</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1,659.9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1,760.2</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-5.7 %</w:t>
            </w:r>
          </w:p>
        </w:tc>
        <w:tc>
          <w:tcPr>
            <w:tcW w:w="92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2,239.1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2,327.1</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-3.8 %</w:t>
            </w:r>
          </w:p>
        </w:tc>
        <w:tc>
          <w:tcPr>
            <w:tcW w:w="106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224.7</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294.2</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75"/>
        </w:trPr>
        <w:tc>
          <w:tcPr>
            <w:tcW w:w="27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w w:val="96"/>
              </w:rPr>
              <w:t>14,376.0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w w:val="96"/>
              </w:rPr>
              <w:t>15,641.7</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-8.1 %</w:t>
            </w:r>
          </w:p>
        </w:tc>
        <w:tc>
          <w:tcPr>
            <w:tcW w:w="92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w w:val="96"/>
              </w:rPr>
              <w:t>19,329.9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w w:val="99"/>
              </w:rPr>
              <w:t>20,762.8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-6.9 %</w:t>
            </w:r>
          </w:p>
        </w:tc>
        <w:tc>
          <w:tcPr>
            <w:tcW w:w="106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04"/>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2720" w:type="dxa"/>
            <w:vAlign w:val="bottom"/>
          </w:tcPr>
          <w:p>
            <w:pPr>
              <w:ind w:left="100"/>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85.0</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23.1 %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125.4</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245"/>
        </w:trPr>
        <w:tc>
          <w:tcPr>
            <w:tcW w:w="27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w:t>
            </w:r>
          </w:p>
        </w:tc>
        <w:tc>
          <w:tcPr>
            <w:tcW w:w="15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-1.8 %</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14.9 %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1.3 %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19.2 %</w:t>
            </w:r>
          </w:p>
        </w:tc>
      </w:tr>
      <w:tr>
        <w:trPr>
          <w:trHeight w:val="255"/>
        </w:trPr>
        <w:tc>
          <w:tcPr>
            <w:tcW w:w="2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126.2</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15.0 %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181.6</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07"/>
        </w:trPr>
        <w:tc>
          <w:tcPr>
            <w:tcW w:w="272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275.5</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17"/>
        </w:trPr>
        <w:tc>
          <w:tcPr>
            <w:tcW w:w="2720" w:type="dxa"/>
            <w:vAlign w:val="bottom"/>
          </w:tcPr>
          <w:p>
            <w:pPr>
              <w:ind w:left="260"/>
              <w:spacing w:after="0"/>
              <w:rPr>
                <w:sz w:val="20"/>
                <w:szCs w:val="20"/>
                <w:color w:val="auto"/>
              </w:rPr>
            </w:pPr>
            <w:r>
              <w:rPr>
                <w:rFonts w:ascii="Arial" w:cs="Arial" w:eastAsia="Arial" w:hAnsi="Arial"/>
                <w:sz w:val="16"/>
                <w:szCs w:val="16"/>
                <w:color w:val="auto"/>
              </w:rPr>
              <w:t>Italy</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45.6</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12.4 %</w:t>
            </w:r>
          </w:p>
        </w:tc>
        <w:tc>
          <w:tcPr>
            <w:tcW w:w="920" w:type="dxa"/>
            <w:vAlign w:val="bottom"/>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64.2</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10.5 %</w:t>
            </w:r>
          </w:p>
        </w:tc>
        <w:tc>
          <w:tcPr>
            <w:tcW w:w="1060" w:type="dxa"/>
            <w:vAlign w:val="bottom"/>
          </w:tcPr>
          <w:p>
            <w:pPr>
              <w:jc w:val="right"/>
              <w:spacing w:after="0"/>
              <w:rPr>
                <w:sz w:val="20"/>
                <w:szCs w:val="20"/>
                <w:color w:val="auto"/>
              </w:rPr>
            </w:pPr>
            <w:r>
              <w:rPr>
                <w:rFonts w:ascii="Arial" w:cs="Arial" w:eastAsia="Arial" w:hAnsi="Arial"/>
                <w:sz w:val="16"/>
                <w:szCs w:val="16"/>
                <w:color w:val="auto"/>
              </w:rPr>
              <w:t>32.5 %</w:t>
            </w: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2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45"/>
        </w:trPr>
        <w:tc>
          <w:tcPr>
            <w:tcW w:w="2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286.1</w:t>
            </w:r>
          </w:p>
        </w:tc>
        <w:tc>
          <w:tcPr>
            <w:tcW w:w="15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6"/>
                <w:szCs w:val="16"/>
                <w:color w:val="auto"/>
              </w:rPr>
              <w:t>-4.8 %</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369.6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382.6</w:t>
            </w: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-3.4 %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15.0 %</w:t>
            </w:r>
          </w:p>
        </w:tc>
      </w:tr>
      <w:tr>
        <w:trPr>
          <w:trHeight w:val="221"/>
        </w:trPr>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127.4</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177.2</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-5.8 %</w:t>
            </w:r>
          </w:p>
        </w:tc>
      </w:tr>
      <w:tr>
        <w:trPr>
          <w:trHeight w:val="217"/>
        </w:trPr>
        <w:tc>
          <w:tcPr>
            <w:tcW w:w="2720" w:type="dxa"/>
            <w:vAlign w:val="bottom"/>
          </w:tcPr>
          <w:p>
            <w:pPr>
              <w:ind w:left="100"/>
              <w:spacing w:after="0"/>
              <w:rPr>
                <w:sz w:val="20"/>
                <w:szCs w:val="20"/>
                <w:color w:val="auto"/>
              </w:rPr>
            </w:pPr>
            <w:r>
              <w:rPr>
                <w:rFonts w:ascii="Arial" w:cs="Arial" w:eastAsia="Arial" w:hAnsi="Arial"/>
                <w:sz w:val="16"/>
                <w:szCs w:val="16"/>
                <w:color w:val="auto"/>
              </w:rPr>
              <w:t>APME</w:t>
            </w: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62.8</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-2.8 %</w:t>
            </w:r>
          </w:p>
        </w:tc>
        <w:tc>
          <w:tcPr>
            <w:tcW w:w="92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84.2</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-5.7%</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5.1%</w:t>
            </w: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2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33.5</w:t>
            </w: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14.3%</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20.1%</w:t>
            </w: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629.8</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859.1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9"/>
              </w:rPr>
              <w:t>Intangible asset amortization expense</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526.6</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719.9</w:t>
            </w: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-4.3%</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11.2%</w:t>
            </w:r>
          </w:p>
        </w:tc>
      </w:tr>
      <w:tr>
        <w:trPr>
          <w:trHeight w:val="245"/>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480.6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499.6</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681.6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99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2019-12-06T00:45:52Z</dcterms:created>
  <dcterms:modified xsi:type="dcterms:W3CDTF">2019-12-06T00:45:52Z</dcterms:modified>
</cp:coreProperties>
</file>