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w:t>
      </w:r>
    </w:p>
    <w:p>
      <w:pPr>
        <w:spacing w:after="0" w:line="27"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June 30, 2013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8"/>
          <w:szCs w:val="18"/>
          <w:color w:val="auto"/>
        </w:rPr>
      </w:pPr>
    </w:p>
    <w:p>
      <w:pPr>
        <w:ind w:left="4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1-10686</w:t>
      </w:r>
    </w:p>
    <w:p>
      <w:pPr>
        <w:spacing w:after="0" w:line="2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MANPOWERGROUP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200" w:right="239" w:bottom="1440" w:gutter="0" w:footer="0" w:header="0"/>
        </w:sectPr>
      </w:pPr>
    </w:p>
    <w:p>
      <w:pPr>
        <w:spacing w:after="0" w:line="228"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Wisconsin</w:t>
      </w:r>
    </w:p>
    <w:p>
      <w:pPr>
        <w:spacing w:after="0" w:line="31"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39-1672779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6640" w:space="720"/>
            <w:col w:w="4060"/>
          </w:cols>
          <w:pgMar w:left="240" w:top="200" w:right="239" w:bottom="1440" w:gutter="0" w:footer="0" w:header="0"/>
          <w:type w:val="continuous"/>
        </w:sectPr>
      </w:pPr>
    </w:p>
    <w:p>
      <w:pPr>
        <w:spacing w:after="0" w:line="3"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100 Manpower Place</w:t>
      </w:r>
    </w:p>
    <w:p>
      <w:pPr>
        <w:spacing w:after="0" w:line="31"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Milwaukee, Wisconsin</w:t>
      </w:r>
    </w:p>
    <w:p>
      <w:pPr>
        <w:spacing w:after="0" w:line="9"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53212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6640" w:space="720"/>
            <w:col w:w="4060"/>
          </w:cols>
          <w:pgMar w:left="240" w:top="20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(414) 961-1000</w:t>
      </w:r>
    </w:p>
    <w:p>
      <w:pPr>
        <w:spacing w:after="0" w:line="256"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06" w:lineRule="exact"/>
        <w:rPr>
          <w:sz w:val="24"/>
          <w:szCs w:val="24"/>
          <w:color w:val="auto"/>
        </w:rPr>
      </w:pPr>
    </w:p>
    <w:p>
      <w:pPr>
        <w:jc w:val="both"/>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06"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00" w:right="239" w:bottom="1440" w:gutter="0" w:footer="0" w:header="0"/>
          <w:type w:val="continuous"/>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4920" w:space="720"/>
            <w:col w:w="1960" w:space="100"/>
            <w:col w:w="3720"/>
          </w:cols>
          <w:pgMar w:left="240" w:top="20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ectPr>
          <w:pgSz w:w="11900" w:h="16838" w:orient="portrait"/>
          <w:cols w:equalWidth="0" w:num="1">
            <w:col w:w="11420"/>
          </w:cols>
          <w:pgMar w:left="240" w:top="200" w:right="239" w:bottom="1440" w:gutter="0" w:footer="0" w:header="0"/>
          <w:type w:val="continuous"/>
        </w:sectPr>
      </w:pP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420" w:type="dxa"/>
            <w:vAlign w:val="bottom"/>
          </w:tcPr>
          <w:p>
            <w:pPr>
              <w:spacing w:after="0"/>
              <w:rPr>
                <w:sz w:val="20"/>
                <w:szCs w:val="20"/>
                <w:color w:val="auto"/>
              </w:rPr>
            </w:pPr>
          </w:p>
        </w:tc>
      </w:tr>
      <w:tr>
        <w:trPr>
          <w:trHeight w:val="437"/>
        </w:trPr>
        <w:tc>
          <w:tcPr>
            <w:tcW w:w="23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Shares Outstanding</w:t>
            </w:r>
          </w:p>
        </w:tc>
      </w:tr>
      <w:tr>
        <w:trPr>
          <w:trHeight w:val="245"/>
        </w:trPr>
        <w:tc>
          <w:tcPr>
            <w:tcW w:w="9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4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at July 31, 2013</w:t>
            </w:r>
          </w:p>
        </w:tc>
      </w:tr>
      <w:tr>
        <w:trPr>
          <w:trHeight w:val="234"/>
        </w:trPr>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60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8"/>
              </w:rPr>
              <w:t>78,289,428</w:t>
            </w:r>
          </w:p>
        </w:tc>
      </w:tr>
      <w:tr>
        <w:trPr>
          <w:trHeight w:val="2112"/>
        </w:trPr>
        <w:tc>
          <w:tcPr>
            <w:tcW w:w="2340" w:type="dxa"/>
            <w:vAlign w:val="bottom"/>
            <w:tcBorders>
              <w:bottom w:val="single" w:sz="8" w:color="808080"/>
            </w:tcBorders>
          </w:tcPr>
          <w:p>
            <w:pPr>
              <w:spacing w:after="0"/>
              <w:rPr>
                <w:sz w:val="24"/>
                <w:szCs w:val="24"/>
                <w:color w:val="auto"/>
              </w:rPr>
            </w:pPr>
          </w:p>
        </w:tc>
        <w:tc>
          <w:tcPr>
            <w:tcW w:w="60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0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3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gridSpan w:val="2"/>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1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1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1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1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1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Other Information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Exhibits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8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8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 – Financial Statements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$115.6 and $118.0, respectively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ind w:left="6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less accumulated amortization of $229.4 and $213.2, respectively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6,673.3</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1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and per share data)</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1,505.0</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taxes payable</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$.01 par value, authorized 125,000,000 shares, issued 110,097,843 and 109,543,492 shares, respectively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32,853,513 and 32,896,063 shares, respectively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6,673.3</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6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5,040.7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9,809.6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Operating profit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6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8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Translation adjustments on net investment hedge, net of income taxes of</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$(3.6), $12.9, $3.8 and $5.8, respectively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Translation adjustments of long-term intercompany loans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Unrealized (loss) gain on investments, less income taxes of $(0.4), $(0.3),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$0.0 and $0.5, respectively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Defined benefit pension plans and retiree health care plan, less income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taxes of $1.0, $0.0, $1.0 and $0.1, respectively</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52.2</w:t>
            </w:r>
          </w:p>
        </w:tc>
        <w:tc>
          <w:tcPr>
            <w:tcW w:w="8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6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 tax benefit on exercise of share-based awards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impact of acquisitions: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share-based award transactions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net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2013 and 2012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0" w:lineRule="exact"/>
        <w:rPr>
          <w:sz w:val="20"/>
          <w:szCs w:val="20"/>
          <w:color w:val="auto"/>
        </w:rPr>
      </w:pPr>
    </w:p>
    <w:p>
      <w:pPr>
        <w:spacing w:after="0" w:line="27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2012 Annual Report to Shareholders.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evaluated events and transactions occurring after the balance sheet date through our filing date and noted no events that are subject to recognition or disclosure.</w:t>
      </w:r>
    </w:p>
    <w:p>
      <w:pPr>
        <w:spacing w:after="0" w:line="378"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2011, the FASB issued new accounting guidance on balance sheet offsetting. The new guidance requires an entity to disclose both gross information and net information about instruments and transactions eligible for offset in the statement of financial position. It also requires disclosures on instruments and transactions subject to an agreement similar to a master netting agreement. We adopted this guidance effective January 1, 2013. There was no impact of this adoption on our Consolidated Financial Statements.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July 2012, the FASB issued new accounting guidance on testing indefinite-lived intangible assets other than goodwill for impairment. The new guidance allows entities the option to first assess qualitative factors to determine whether it is necessary to perform the quantitative impairment test. An entity electing to perform a qualitative assessment is no longer required to calculate the fair value of an indefinite-lived intangible asset unless the entity determines, based on such an assessment, that it is “more likely than not” that the asset is impaired. We adopted this guidance effective January 1, 2013. We perform annual impairment tests in the third quarter of each year. The application of the guidance to our annual impairment tests is not expected to have a significant impact on our Consolidated Financial Statements.</w:t>
      </w:r>
    </w:p>
    <w:p>
      <w:pPr>
        <w:spacing w:after="0" w:line="21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February 2013, the FASB issued new accounting guidance on comprehensive income. The new guidance requires an entity to provide information about the changes in accumulated other comprehensive income by component. An entity is also required to present significant amounts reclassified out of accumulated other comprehensive income by the respective line items of net income. We adopted this guidance effective January 1, 2013. There was no material impact of this adoption on our Consolidated Financial Statements.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2013, the FASB issued new accounting guidance on cumulative translation adjustment. The new guidance requires that currency translation adjustments should be released into net income only if the sale of a foreign subsidiary results in the complete liquidation of the entity. For an equity method investment that is a foreign entity, a pro rata portion of the currency translation adjustments should be released into net income upon a partial sale of such an equity method investment. The new guidance also clarifies that the sale of an investment in a foreign entity includes both (1) events that result in the loss of a controlling financial interest in the foreign entity and (2) events that result in an acquirer’s obtaining control of an acquiree in which it held an equity interest immediately before the acquisition date, otherwise known as a “step acquisition.” Accordingly, the cumulative translation adjustment should be released into net income upon the occurrence of those events. The guidance is effective for us in 2014. We are currently assessing the impact of the adoption of this guidance on our Consolidated Financial Statements.</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25" w:right="279" w:bottom="1440" w:gutter="0" w:footer="0" w:header="0"/>
        </w:sectPr>
      </w:pPr>
    </w:p>
    <w:bookmarkStart w:id="7" w:name="page8"/>
    <w:bookmarkEnd w:id="7"/>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Share-Based Compensation Plans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2013 and 2012, we recognized share-based compensation expense of $8.3 and $8.0, respectively, and $14.8 and $14.9 for the six months ended June 30, 2013 and 2012, respectively. The expense relates to stock options, deferred stock, restricted stock and performance share units. Consideration received from share-based awards was $15.0 and $3.9 for the six months ended June 30, 2013 and 2012, respectively. We recognize share-based compensation expense in selling and administrative expenses on a straight-line basis over the service period of each award.</w:t>
      </w:r>
    </w:p>
    <w:p>
      <w:pPr>
        <w:spacing w:after="0" w:line="396"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$16.9 and $34.0 for the six months ended June 30, 2013 and 2012, respectively. For those acquisitions completed during the first quarter of 2013, our cash payments were fully offset by the cash acquired.</w:t>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Costs</w:t>
      </w:r>
    </w:p>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recorded net restructuring costs of $54.8 and $21.0 for the six months ended June 30, 2013 and 2012, respectively, in selling and administrative expenses, related to severances and office closures. During the six months ended June 30, 2013, we made payments of $46.6 out of our restructuring reserve. We expect a majority of the remaining $49.6 reserve will be paid in 2013.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restructuring reserve by reportable segment and Corporate are shown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line="239" w:lineRule="exact"/>
              <w:rPr>
                <w:sz w:val="20"/>
                <w:szCs w:val="20"/>
                <w:color w:val="auto"/>
              </w:rPr>
            </w:pPr>
            <w:r>
              <w:rPr>
                <w:rFonts w:ascii="Times New Roman" w:cs="Times New Roman" w:eastAsia="Times New Roman" w:hAnsi="Times New Roman"/>
                <w:sz w:val="18"/>
                <w:szCs w:val="18"/>
                <w:b w:val="1"/>
                <w:bCs w:val="1"/>
                <w:color w:val="auto"/>
                <w:w w:val="99"/>
              </w:rPr>
              <w:t>Europe</w:t>
            </w:r>
            <w:r>
              <w:rPr>
                <w:rFonts w:ascii="Times New Roman" w:cs="Times New Roman" w:eastAsia="Times New Roman" w:hAnsi="Times New Roman"/>
                <w:sz w:val="25"/>
                <w:szCs w:val="25"/>
                <w:color w:val="auto"/>
                <w:w w:val="99"/>
                <w:vertAlign w:val="superscript"/>
              </w:rPr>
              <w:t>(2)</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5"/>
              </w:rPr>
              <w:t>15.6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20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closure costs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5"/>
              </w:rPr>
              <w:t>11.0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Costs paid or utilized</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2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6"/>
              </w:rPr>
              <w:t>(17.1)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5"/>
              </w:rPr>
              <w:t>24.9</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$3.8 and $6.2 as of January 1, 2013 and June 30, 2013, respectively.</w:t>
      </w:r>
    </w:p>
    <w:p>
      <w:pPr>
        <w:spacing w:after="0" w:line="27" w:lineRule="exact"/>
        <w:rPr>
          <w:rFonts w:ascii="Times New Roman" w:cs="Times New Roman" w:eastAsia="Times New Roman" w:hAnsi="Times New Roman"/>
          <w:sz w:val="18"/>
          <w:szCs w:val="18"/>
          <w:color w:val="auto"/>
        </w:rPr>
      </w:pPr>
    </w:p>
    <w:p>
      <w:pPr>
        <w:ind w:right="180" w:firstLine="8"/>
        <w:spacing w:after="0" w:line="261" w:lineRule="auto"/>
        <w:tabs>
          <w:tab w:leader="none" w:pos="3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$3.8 and $3.0 as of January 1, 2013 and June 30, 2013, respectively. Balances related to Italy were $0.9 and $0.0 as of January 1, 2013 and June 30, 2013, respectively.</w:t>
      </w:r>
    </w:p>
    <w:p>
      <w:pPr>
        <w:spacing w:after="0" w:line="396"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recorded an income tax expense at an effective rate of 42.1% for the three months ended June 30, 2013, as compared to an effective rate of 50.7% for the three months ended June 30, 2012. The 2013 rate was favorably impacted by a change in the overall mix of earnings, primarily an increase to non-U.S. income, and by the reinstatement of the 2013 United States Federal Work Opportunity Tax Credit (“WOTC”). Excluding the impact of the non-recurring items (the restructuring charges in 2013 and 2012 and the U.S. legal cost in 2012) and the French business tax, our tax rate for the three months ended June 30, 2013 and 2012 would have been approximately 31% and 34%, respectively. The 31% rate was lower than the U.S. Federal statutory rate of 35% due to the overall mix of earnings and the current year WOTC. The 42.1% effective tax rate was higher than the U.S. Federal statutory rate of 35% and we currently expect an annual effective tax rate of approximately 40%, due primarily to the impact of valuation allowances, other permanent items and the French business tax.</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recorded an income tax expense at an effective rate of 42.7% for the six months ended June 30, 2013, as compared to an effective rate of 50.8% for the six months ended June 30, 2012. The 2013 rate was favorably impacted by a change in the overall mix of earnings, primarily an increase to non-U.S. income, and by the 2012 and 2013 WOTC, which was reinstated in January of 2013, retroactive to January 1, 2012. Excluding the impact of the non-recurring items (the restructuring charges in 2013 and 2012 and the U.S. legal cost in 2012 and the prior-year WOTC recognized in 2013) and the French business tax, our tax rate for the six months ended June 30, 2013 and 2012 would have been approximately 31% and 35%, respectively.</w:t>
      </w:r>
    </w:p>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2013, we had gross unrecognized tax benefits related to various tax jurisdictions, including interest and penalties, of $28.6. We had related tax benefits of $2.5, and the net amount of $26.1 would favorably affect the effective tax rate if recognized. As of December 31, 2012, we had gross unrecognized tax benefits related to various tax jurisdictions, including interest and penalties, of $28.5. We had related tax benefits of $2.5 for a net amount of $26.0. We do not expect our unrecognized tax benefits to change significantly over the next 12 months.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as a result, we are routinely audited by the various tax jurisdictions in which we operate. Generally, the tax years that remain subject to tax examination are 2009 through 2012 for our major operations in Germany, Italy, France, Japan, United States and United Kingdom. As of June 30, 2013, we are subject to tax audits in France, Germany, Denmark, Austria, Italy, Norway and Spain. We believe that the resolution of these audits will not have a material impact on earnings.</w:t>
      </w:r>
    </w:p>
    <w:p>
      <w:pPr>
        <w:spacing w:after="0" w:line="39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Earnings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net earnings per share – basic and net earnings per share – diluted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45"/>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dilutive securities – stock options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of other share-based awards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were 2.1 million and 4.2 million share-based awards excluded from the calculation of net earnings per share – diluted for the three months ended June 30, 2013 and 2012, respectively, and 2.3 million and 4.2 million share-based awards excluded from the calculation of net earnings per share – diluted for the six months ended June 30, 2013 and 2012, respectively, as the exercise price for these awards was greater than the average market price of the common shares during the period.</w:t>
      </w:r>
    </w:p>
    <w:p>
      <w:pPr>
        <w:spacing w:after="0" w:line="39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amortizable intangible assets and intangible assets that do not require amortization,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2013</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2012</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1,043.3</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Finite-lived: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 agreements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213.2</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Indefinite-lived:</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$513.4 as of both June 30, 2013 and December 31, 2012.</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$139.5 as of both June 30, 2013 and December 31, 2012.</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consolidated amortization expense related to intangible assets for the remainder of 2013 is expected to be $16.6 and in each of the next five years is expected to be as follows: 2014 - $28.3, 2015 - $25.0, 2016 - $21.6, 2017 - $19.3 and 2018 - $17.4.</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and Corporate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line="239" w:lineRule="exact"/>
              <w:rPr>
                <w:sz w:val="20"/>
                <w:szCs w:val="20"/>
                <w:color w:val="auto"/>
              </w:rPr>
            </w:pPr>
            <w:r>
              <w:rPr>
                <w:rFonts w:ascii="Times New Roman" w:cs="Times New Roman" w:eastAsia="Times New Roman" w:hAnsi="Times New Roman"/>
                <w:sz w:val="18"/>
                <w:szCs w:val="18"/>
                <w:b w:val="1"/>
                <w:bCs w:val="1"/>
                <w:color w:val="auto"/>
                <w:w w:val="95"/>
              </w:rPr>
              <w:t>Americas</w:t>
            </w:r>
            <w:r>
              <w:rPr>
                <w:rFonts w:ascii="Times New Roman" w:cs="Times New Roman" w:eastAsia="Times New Roman" w:hAnsi="Times New Roman"/>
                <w:sz w:val="25"/>
                <w:szCs w:val="25"/>
                <w:color w:val="auto"/>
                <w:w w:val="95"/>
                <w:vertAlign w:val="superscript"/>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line="239" w:lineRule="exact"/>
              <w:rPr>
                <w:sz w:val="20"/>
                <w:szCs w:val="20"/>
                <w:color w:val="auto"/>
              </w:rPr>
            </w:pPr>
            <w:r>
              <w:rPr>
                <w:rFonts w:ascii="Times New Roman" w:cs="Times New Roman" w:eastAsia="Times New Roman" w:hAnsi="Times New Roman"/>
                <w:sz w:val="18"/>
                <w:szCs w:val="18"/>
                <w:b w:val="1"/>
                <w:bCs w:val="1"/>
                <w:color w:val="auto"/>
                <w:w w:val="99"/>
              </w:rPr>
              <w:t>Europe</w:t>
            </w:r>
            <w:r>
              <w:rPr>
                <w:rFonts w:ascii="Times New Roman" w:cs="Times New Roman" w:eastAsia="Times New Roman" w:hAnsi="Times New Roman"/>
                <w:sz w:val="25"/>
                <w:szCs w:val="25"/>
                <w:color w:val="auto"/>
                <w:w w:val="99"/>
                <w:vertAlign w:val="superscript"/>
              </w:rPr>
              <w:t>(2)</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line="239"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73.2</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Currency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73.6</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$448.5 as of both January 1, 2013 and June 30, 2013.</w:t>
      </w:r>
    </w:p>
    <w:p>
      <w:pPr>
        <w:spacing w:after="0" w:line="27" w:lineRule="exact"/>
        <w:rPr>
          <w:rFonts w:ascii="Times New Roman" w:cs="Times New Roman" w:eastAsia="Times New Roman" w:hAnsi="Times New Roman"/>
          <w:sz w:val="18"/>
          <w:szCs w:val="18"/>
          <w:color w:val="auto"/>
        </w:rPr>
      </w:pPr>
    </w:p>
    <w:p>
      <w:pPr>
        <w:ind w:right="40" w:firstLine="8"/>
        <w:spacing w:after="0" w:line="250" w:lineRule="auto"/>
        <w:tabs>
          <w:tab w:leader="none" w:pos="3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$83.8 and $82.7 as of January 1, 2013 and June 30, 2013, respectively. Balances related to Italy were $5.5 and $5.4 as of January 1, 2013 and June 30, 2013, respectively.</w:t>
      </w:r>
    </w:p>
    <w:p>
      <w:pPr>
        <w:ind w:right="140" w:firstLine="8"/>
        <w:spacing w:after="0" w:line="254" w:lineRule="auto"/>
        <w:tabs>
          <w:tab w:leader="none" w:pos="29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Corporate balance relates to goodwill attributable from our acquisition of Jefferson Wells ($55.5) which is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balances by reporting unit were as follows: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1,</w:t>
            </w:r>
          </w:p>
        </w:tc>
      </w:t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504.0</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 (Vitae)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reporting units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1,041.3</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did not perform an interim impairment test of our goodwill and indefinite-lived intangible assets in the six months ended June 30, 2013 as we noted no significant indicators of impairment as of June 30, 2013.</w:t>
      </w:r>
    </w:p>
    <w:p>
      <w:pPr>
        <w:spacing w:after="0" w:line="37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for our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left="150"/>
              <w:spacing w:after="0" w:line="194" w:lineRule="exact"/>
              <w:rPr>
                <w:sz w:val="20"/>
                <w:szCs w:val="20"/>
                <w:color w:val="auto"/>
              </w:rPr>
            </w:pPr>
            <w:r>
              <w:rPr>
                <w:rFonts w:ascii="Times New Roman" w:cs="Times New Roman" w:eastAsia="Times New Roman" w:hAnsi="Times New Roman"/>
                <w:sz w:val="18"/>
                <w:szCs w:val="18"/>
                <w:b w:val="1"/>
                <w:bCs w:val="1"/>
                <w:color w:val="auto"/>
              </w:rPr>
              <w:t>3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jc w:val="right"/>
              <w:ind w:right="570"/>
              <w:spacing w:after="0" w:line="194" w:lineRule="exact"/>
              <w:rPr>
                <w:sz w:val="20"/>
                <w:szCs w:val="20"/>
                <w:color w:val="auto"/>
              </w:rPr>
            </w:pPr>
            <w:r>
              <w:rPr>
                <w:rFonts w:ascii="Times New Roman" w:cs="Times New Roman" w:eastAsia="Times New Roman" w:hAnsi="Times New Roman"/>
                <w:sz w:val="18"/>
                <w:szCs w:val="18"/>
                <w:b w:val="1"/>
                <w:bCs w:val="1"/>
                <w:color w:val="auto"/>
              </w:rPr>
              <w:t>6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2012</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120" w:type="dxa"/>
            <w:vAlign w:val="bottom"/>
            <w:gridSpan w:val="3"/>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benefit cost</w:t>
            </w:r>
          </w:p>
        </w:tc>
        <w:tc>
          <w:tcPr>
            <w:tcW w:w="31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Retiree Health Care Plan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240" w:type="dxa"/>
            <w:vAlign w:val="bottom"/>
            <w:gridSpan w:val="3"/>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5"/>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3 Months Ended</w:t>
            </w: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5"/>
          </w:tcPr>
          <w:p>
            <w:pPr>
              <w:jc w:val="right"/>
              <w:ind w:right="570"/>
              <w:spacing w:after="0" w:line="194" w:lineRule="exact"/>
              <w:rPr>
                <w:sz w:val="20"/>
                <w:szCs w:val="20"/>
                <w:color w:val="auto"/>
              </w:rPr>
            </w:pPr>
            <w:r>
              <w:rPr>
                <w:rFonts w:ascii="Times New Roman" w:cs="Times New Roman" w:eastAsia="Times New Roman" w:hAnsi="Times New Roman"/>
                <w:sz w:val="18"/>
                <w:szCs w:val="18"/>
                <w:b w:val="1"/>
                <w:bCs w:val="1"/>
                <w:color w:val="auto"/>
              </w:rPr>
              <w:t>6 Months Ended</w:t>
            </w: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benefit cost</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Effective January 1, 2013, we amended a defined benefit plan in the Netherlands. The defined benefit plan was frozen, and the participants were transitioned to a defined contribution plan. In April 2013, following the approval by the local Workers’ Council, we recognized a curtailment gain of €1.8 ($2.3) related to this amendment.</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2013, contributions made to our pension plans were $3.9 and $7.9, respectively, and contributions made to our retiree health care plan were $0.5 and $1.0, respectively. During 2013, we expect to make total contributions of $18.0 to our pension plans and to fund our retiree health care payments as incurred.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 Shareholders’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income, net of tax, were as follows: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loss on net investment hedge, net of income taxes of $(27.5) and $(31.3), respectively</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loss on long-term intercompany loans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gain on investments, net of income taxes of $3.9 for both dates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20" w:type="dxa"/>
            <w:vAlign w:val="bottom"/>
          </w:tcPr>
          <w:p>
            <w:pPr>
              <w:spacing w:after="0"/>
              <w:rPr>
                <w:sz w:val="18"/>
                <w:szCs w:val="18"/>
                <w:color w:val="auto"/>
              </w:rPr>
            </w:pPr>
          </w:p>
        </w:tc>
        <w:tc>
          <w:tcPr>
            <w:tcW w:w="7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plans, net of income taxes of $(21.7) and $(22.6), respectively</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20" w:type="dxa"/>
            <w:vAlign w:val="bottom"/>
          </w:tcPr>
          <w:p>
            <w:pPr>
              <w:spacing w:after="0"/>
              <w:rPr>
                <w:sz w:val="18"/>
                <w:szCs w:val="18"/>
                <w:color w:val="auto"/>
              </w:rPr>
            </w:pPr>
          </w:p>
        </w:tc>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Retiree health care plan, net of income taxes of $(1.6) and $(1.7), respectively</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April 30, 2013, the Board of Directors declared a semi-annual cash dividend of $0.46 per share, which was paid on June 14, 2013 to shareholders of record on June 3,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Interest and Other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and other expenses consisted of the following:</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45"/>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2012</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8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 and Fair Value Measurements</w:t>
      </w:r>
    </w:p>
    <w:p>
      <w:pPr>
        <w:spacing w:after="0" w:line="2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1" w:name="page12"/>
    <w:bookmarkEnd w:id="11"/>
    <w:p>
      <w:pPr>
        <w:ind w:right="20"/>
        <w:spacing w:after="0" w:line="258" w:lineRule="auto"/>
        <w:rPr>
          <w:sz w:val="20"/>
          <w:szCs w:val="20"/>
          <w:color w:val="auto"/>
        </w:rPr>
      </w:pPr>
      <w:r>
        <w:rPr>
          <w:rFonts w:ascii="Times New Roman" w:cs="Times New Roman" w:eastAsia="Times New Roman" w:hAnsi="Times New Roman"/>
          <w:sz w:val="18"/>
          <w:szCs w:val="18"/>
          <w:color w:val="auto"/>
        </w:rPr>
        <w:t>A portion of the €350.0 ($455.3) 4.5% notes due June 2018 was designated as an economic hedge of our net investment in our foreign subsidiaries with a Euro functional currency as of June 30, 2013. For derivatives designated as an economic hedge of the foreign currency exposure of a net investment in a foreign operation, the gain or loss associated with foreign currency translation is recorded as a component of accumulated other comprehensive (loss) income, net of taxes. As of June 30, 2013 and December 31, 2012, we had a $44.9 and $51.1, respectively, unrealized translation loss included in accumulated other comprehensive (loss) income, net of taxes, as the net investment hedge was deemed effective.</w:t>
      </w:r>
    </w:p>
    <w:p>
      <w:pPr>
        <w:spacing w:after="0" w:line="2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We recorded a loss in interest and other expenses of $0.1 and $0.3 for the three and six months ended June 30, 2013, respectively, and a loss of $0.3 and a gain of $0.4 for the three and six months ended June 30, 2012, respectively, associated with our forward contracts, which offset the loss and gain recorded for the items noted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measurements of those items recorded in our Consolidated Balance Sheets as of June 30, 2013 and December 31, 2012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carrying value of long-term debt approximates fair value, except for the Euro-denominated notes. The fair value of the Euro-denominated notes, as observable at commonly quoted intervals (Level 2 inputs), was $488.9 and $778.8 as of June 30, 2013 and December 31, 2012, respectively, compared to a carrying value of $455.3 and $725.5, respectively.</w:t>
      </w:r>
    </w:p>
    <w:p>
      <w:pPr>
        <w:spacing w:after="0" w:line="176"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Data</w:t>
      </w: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Operating Unit Profit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ind w:right="80"/>
        <w:spacing w:after="0" w:line="255" w:lineRule="auto"/>
        <w:rPr>
          <w:sz w:val="20"/>
          <w:szCs w:val="20"/>
          <w:color w:val="auto"/>
        </w:rPr>
      </w:pPr>
      <w:r>
        <w:rPr>
          <w:rFonts w:ascii="Times New Roman" w:cs="Times New Roman" w:eastAsia="Times New Roman" w:hAnsi="Times New Roman"/>
          <w:sz w:val="18"/>
          <w:szCs w:val="18"/>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maintaining its own financial reports. We have an executive sponsor for each global brand who is responsible for ensuring the integrity and consistency of delivery locally as we develop and implement global workforce solutions for our clients that deliver the outcomes.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21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Managed Service Provider (MSP), Recruitment Process Outsourcing (RPO), Borderless Talent Solutions (BTS) and Strategic Workforce Consulting (SWC). The Right Management segment revenues are derived from career management and talent management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6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Americas: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United States (a)</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1,454.6</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Americas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Southern Europe:</w:t>
            </w:r>
          </w:p>
        </w:tc>
        <w:tc>
          <w:tcPr>
            <w:tcW w:w="1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France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Italy</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Southern Europe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Northern Europe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APME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Management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(b)</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5,040.7</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9,809.6</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unit profit (loss): (c)</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Americas: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Americas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Southern Europe:</w:t>
            </w:r>
          </w:p>
        </w:tc>
        <w:tc>
          <w:tcPr>
            <w:tcW w:w="1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France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Italy</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Southern Europe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Northern Europe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APME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Management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 expense (c)</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profit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160.7</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ind w:left="380" w:right="20" w:hanging="372"/>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where a majority of our franchises operate, revenues from services included fees received from the related franchise offices of $3.8 for both the three months ended June 30, 2013 and 2012, and $7.0 for both the six months ended June 30, 2013 and 2012. These fees are primarily based on revenues generated by the franchise offices, which were $175.3 and $180.6 for the three months ended June 30, 2013 and 2012, respectively, and $330.4 and $345.0 for the six months ended June 30, 2013 and 2012, respectively.</w:t>
      </w:r>
    </w:p>
    <w:p>
      <w:pPr>
        <w:spacing w:after="0" w:line="180" w:lineRule="exact"/>
        <w:rPr>
          <w:rFonts w:ascii="Times New Roman" w:cs="Times New Roman" w:eastAsia="Times New Roman" w:hAnsi="Times New Roman"/>
          <w:sz w:val="18"/>
          <w:szCs w:val="18"/>
          <w:color w:val="auto"/>
        </w:rPr>
      </w:pPr>
    </w:p>
    <w:p>
      <w:pPr>
        <w:ind w:left="380" w:right="140" w:hanging="372"/>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revenues from services include fees received from our franchise offices of $6.1 for both the three months ended June 30, 2013 and 2012, and $11.4 and $11.5 for the six months ended June 30, 2013 and 2012, respectively. These fees are primarily based on revenues generated by the franchise offices, which were $272.3 and $270.0 for the three months ended June 30, 2013 and 2012, respectively, and $507.0 and $523.9 for the six months ended June 30, 2013 and 2012, respectively.</w:t>
      </w:r>
    </w:p>
    <w:p>
      <w:pPr>
        <w:spacing w:after="0" w:line="207" w:lineRule="exact"/>
        <w:rPr>
          <w:rFonts w:ascii="Times New Roman" w:cs="Times New Roman" w:eastAsia="Times New Roman" w:hAnsi="Times New Roman"/>
          <w:sz w:val="18"/>
          <w:szCs w:val="18"/>
          <w:color w:val="auto"/>
        </w:rPr>
      </w:pPr>
    </w:p>
    <w:p>
      <w:pPr>
        <w:ind w:left="380" w:right="620" w:hanging="372"/>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segment performance based on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second quarter of 2013 a number of our French clients asserted claims against us, requesting refunds for various payroll tax subsidies that we have received dating back to 2003 related to our French temporary associates. While we receive claims in the normal course of business, there was a significant increase in claims made during the second quarter due to an impending change in the French statute of limitations that reduced the claims period from 10 to 5 years for claims filed after June 2013. We believe these claims are without merit, as these payroll tax subsidies are for the benefit of the direct employer of the temporary associates. As such, our pricing practices implicitly consider all direct costs of employing our temporary associates, including the benefit of these payroll tax subsidies. We do not expect the resolution of these claims to have a material impact on our consolidated financial statements or the results of our France and Southern Europe segments.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2013, the employer mandate provisions of the new U.S. healthcare legislation, Patient Protection and Affordable Care Act (PPACA), were delayed until 2015 from the original effective date of 2014. The employer mandate provisions of PPACA are expected to have the greatest financial impact on us and our clients with U.S.-based employees. We expect this legislation will increase the employment costs of our permanent employees and our associates, but we continue to assess the potential impact. Our intention is to pass on to our U.S. clients any cost increases related to our associates, however there is no assurance that we will be fully successful.</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measures section on pages 23 and 24 for further information on constant currency and organic constant currency.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Results - Three Months Ended June 30, 2013 and 2012</w:t>
      </w:r>
    </w:p>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three months ended June 30, 2013, we saw continued revenue decline in several of our markets consistent with that seen in the first quarter of 2013, after adjusting for one additional billing day in this quarter compared to the same quarter last year. This revenue decline unfavorably impacted our operating leverage and profitability. The decline in revenues in the second quarter of 2013 compared to 2012 occurred across all segments and was due to the economic uncertainty in most markets. We saw continued declines in our staffing/interim business and a slight decrease in our permanent recruitment businesses, particularly across Europe, although this decline was an improvement from the decrease in the first quarter of 2013. Our ManpowerGroup Solutions business showed continued growth in the second quarter of 2013 consistent with that seen in the first quarter of 2013 and in 2012. At Right Management, we continue to see a decrease in demand for the talent management services due to a soft demand environment, while demand for our countercyclical outplacement services increased slightly.</w:t>
      </w:r>
    </w:p>
    <w:p>
      <w:pPr>
        <w:spacing w:after="0" w:line="2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gross profit margin in the second quarter of 2013 compared to 2012 remained flat as the growth in our higher-margin ManpowerGroup Solutions business was offset by the impact of the decline in our permanent recruitment business. Our staffing/interim gross profit margin increased slightly in the second quarter of 2013 compared to 2012 as payroll tax credits related to the Credit d’Impôt pour la Compétitivité et l’Emploi (“CICE”) in France were partially offset by margin declines in certain Northern Europe countries. For additional information on the CICE payroll tax credit, see the Legal Regulations section of Management’s Discussion and Analysis. We recorded $20.0 million of restructuring charges in the quarter as we further simplify our organization and recalibrate our cost base. Selling and administrative expenses decreased 7.5% in constant currency in the quarter as we are seeing the benefits of the simplification and cost recalibration actions initiated since the fourth quarter of 2012.</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Client demand for workforce solutions and services is dependent on the overall strength of the labor market and secular trends toward greater workforce flexibility within each of the countries and territories in which we operate. Slowing economic growth or economic contraction typically results in decreasing demand for labor, resulting in less demand for our staffing services. This slowdown typically impacts our operating profit unfavorably as we may experience a deleveraging of our selling and administrative expense base as expenses may not change at the same pace as revenues. However, due to our simplification actions noted above, we were able to decrease our selling and administrative expenses at a faster pace than the decrease in revenues, which favorably impacted our operating profit for the second quarter of 2013 compared to 2012.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three months ended June 30, 2013 as compared to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45"/>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80" w:type="dxa"/>
            <w:vAlign w:val="bottom"/>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20" w:type="dxa"/>
            <w:vAlign w:val="bottom"/>
          </w:tcPr>
          <w:p>
            <w:pPr>
              <w:spacing w:after="0"/>
              <w:rPr>
                <w:sz w:val="21"/>
                <w:szCs w:val="21"/>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5,206.7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4,345.0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861.7</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16.6</w:t>
            </w: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16.6</w:t>
            </w: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767.3</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1.8%</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41.7</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42.1%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50.7%</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66.4</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70.6</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80.4</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year-over-year decrease in revenues from services of 3.2% (-2.9% in constant currency and -3.1% on an organic constant currency basis) was attributed to:</w:t>
      </w:r>
    </w:p>
    <w:p>
      <w:pPr>
        <w:spacing w:after="0" w:line="189" w:lineRule="exact"/>
        <w:rPr>
          <w:sz w:val="20"/>
          <w:szCs w:val="20"/>
          <w:color w:val="auto"/>
        </w:rPr>
      </w:pPr>
    </w:p>
    <w:p>
      <w:pPr>
        <w:jc w:val="both"/>
        <w:ind w:left="660" w:hanging="139"/>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services in several of our markets within the Americas, Southern Europe and Northern Europe, where revenues decreased 1.4% (-1.1% in constant currency), 4.7% (-6.6% in constant currency) and 1.2% (-1.6% on a constant currency basis and -2.6% on an organic constant currency basis), respectively. France and Italy experienced revenue declines of 7.5% and 0.2%, respectively, in constant currency due to the current economic environment;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ind w:left="660" w:hanging="139"/>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decline in the United States of 1.9% primarily due to a large client project in our Manpower business line that concluded in the first quarter of 2013 as well as strong price discipline on new business opportunities;</w:t>
      </w:r>
    </w:p>
    <w:p>
      <w:pPr>
        <w:spacing w:after="0" w:line="188"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talent management services at Right Management, where these revenues decreased 10.6% (-10.3% on a constant currency basis); and</w:t>
      </w:r>
    </w:p>
    <w:p>
      <w:pPr>
        <w:spacing w:after="0" w:line="188"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decrease due to the impact of currency exchange rates; partially offset by</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1.9% in constant currency primarily due to growth in the permanent recruitment business;</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approximately 1.4% from one additional day in the period; and</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Northern Europe acquisition in April 2013, which added 0.2% of revenue growth to our consolidated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was flat year-over-year and was primarily attributed to:</w:t>
      </w:r>
    </w:p>
    <w:p>
      <w:pPr>
        <w:spacing w:after="0" w:line="252" w:lineRule="exact"/>
        <w:rPr>
          <w:sz w:val="20"/>
          <w:szCs w:val="20"/>
          <w:color w:val="auto"/>
        </w:rPr>
      </w:pPr>
    </w:p>
    <w:p>
      <w:pPr>
        <w:ind w:left="660" w:hanging="139"/>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increase from our higher-margin ManpowerGroup Solutions business; offset by</w:t>
      </w:r>
    </w:p>
    <w:p>
      <w:pPr>
        <w:spacing w:after="0" w:line="252"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unfavorable impact resulting from the decline in our permanent recruitment business excluding our Recruitment Process Outsourcing (“RPO”) business, which decreased 10% year-over-year.</w:t>
      </w:r>
    </w:p>
    <w:p>
      <w:pPr>
        <w:spacing w:after="0" w:line="188"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staffing/interim margins were stable in the quarter as increases in the Americas and Southern Europe (partly due to the benefit of the CICE payroll tax credit) offset lower gross profit margins in Northern Europe and APME.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7.7% decline in selling and administrative expenses in the second quarter of 2013 (-7.5% in constant currency and -7.7% in organic constant currency)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attributed to:</w:t>
      </w:r>
    </w:p>
    <w:p>
      <w:pPr>
        <w:spacing w:after="0" w:line="234" w:lineRule="exact"/>
        <w:rPr>
          <w:sz w:val="20"/>
          <w:szCs w:val="20"/>
          <w:color w:val="auto"/>
        </w:rPr>
      </w:pPr>
    </w:p>
    <w:p>
      <w:pPr>
        <w:ind w:left="660" w:hanging="139"/>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organic salary-related costs, because of lower headcount and lower variable incentive-based costs;</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lease costs because we have closed offices since the second quarter of 2012;</w:t>
      </w:r>
    </w:p>
    <w:p>
      <w:pPr>
        <w:spacing w:after="0" w:line="252" w:lineRule="exact"/>
        <w:rPr>
          <w:rFonts w:ascii="Times New Roman" w:cs="Times New Roman" w:eastAsia="Times New Roman" w:hAnsi="Times New Roman"/>
          <w:sz w:val="18"/>
          <w:szCs w:val="18"/>
          <w:color w:val="auto"/>
        </w:rPr>
      </w:pPr>
    </w:p>
    <w:p>
      <w:pPr>
        <w:ind w:left="660" w:right="20" w:hanging="139"/>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of $10.0 million in the U.S. in the second quarter of 2012 , primarily related to the entry into a settlement agreement in connection with a lawsuit involving allegations regarding the Company’s vacation pay practices in Illinois, as compared to no such legal costs recorded in 2013; and</w:t>
      </w:r>
    </w:p>
    <w:p>
      <w:pPr>
        <w:spacing w:after="0" w:line="188"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 decrease due to the impact of currency exchange rates; partially offset by</w:t>
      </w:r>
    </w:p>
    <w:p>
      <w:pPr>
        <w:spacing w:after="0" w:line="252" w:lineRule="exact"/>
        <w:rPr>
          <w:rFonts w:ascii="Times New Roman" w:cs="Times New Roman" w:eastAsia="Times New Roman" w:hAnsi="Times New Roman"/>
          <w:sz w:val="18"/>
          <w:szCs w:val="18"/>
          <w:color w:val="auto"/>
        </w:rPr>
      </w:pPr>
    </w:p>
    <w:p>
      <w:pPr>
        <w:jc w:val="both"/>
        <w:ind w:left="660" w:hanging="139"/>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$20.0 million, comprised of $4.4 million in the Americas, $3.3 million in Southern Europe, $9.3 million in Northern Europe, $0.4 million in APME and $2.6 million at Right Management for the three months ended June 30, 2013, compared to restructuring costs of $18.7 million, comprised of $10.4 million at Right Management and $8.3 million in the Americas, for the three months ended June 30, 2012; and</w:t>
      </w:r>
    </w:p>
    <w:p>
      <w:pPr>
        <w:spacing w:after="0" w:line="203"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as a result of the acquisition in Northern Europe.</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60 basis points (0.60%) in the second quarter of 2013 compared to 2012. The change in selling and administrative expenses as a percent of revenues consists of:</w:t>
      </w:r>
    </w:p>
    <w:p>
      <w:pPr>
        <w:spacing w:after="0" w:line="189" w:lineRule="exact"/>
        <w:rPr>
          <w:sz w:val="20"/>
          <w:szCs w:val="20"/>
          <w:color w:val="auto"/>
        </w:rPr>
      </w:pPr>
    </w:p>
    <w:p>
      <w:pPr>
        <w:ind w:left="660" w:hanging="13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(-0.30%) favorable impact due to the decrease in our organic salary-related costs and lease costs as noted above;</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favorable impact due to the decrease in legal costs as noted above; and</w:t>
      </w:r>
    </w:p>
    <w:p>
      <w:pPr>
        <w:spacing w:after="0" w:line="252"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the decrease of non-personnel related costs, excluding legal costs noted above, as a result of the simplification and cost recalibration actions taken.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and other expenses are comprised of interest, foreign exchange gains and losses and other miscellaneous non-operating income and expenses. Interest and other expenses were $10.3 million in the second quarter of 2013 compared to $11.3 million in the second quarter of 2012. Net interest expense increased $0.6 million in the second quarter of 2013 to $9.4 million from $8.8 million in the second quarter of 2012. Other expenses were $0.9 million in the second quarter of 2013 compared to $2.5 million in the second quarter of 2012.</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right="20"/>
        <w:spacing w:after="0" w:line="255" w:lineRule="auto"/>
        <w:rPr>
          <w:sz w:val="20"/>
          <w:szCs w:val="20"/>
          <w:color w:val="auto"/>
        </w:rPr>
      </w:pPr>
      <w:r>
        <w:rPr>
          <w:rFonts w:ascii="Times New Roman" w:cs="Times New Roman" w:eastAsia="Times New Roman" w:hAnsi="Times New Roman"/>
          <w:sz w:val="18"/>
          <w:szCs w:val="18"/>
          <w:color w:val="auto"/>
        </w:rPr>
        <w:t>We recorded an income tax expense at an effective rate of 42.1% for the three months ended June 30, 2013, as compared to an effective rate of 50.7% for the three months ended June 30, 2012. The 2013 rate was favorably impacted by a change in the overall mix of earnings, primarily an increase to non-U.S. income, and by the reinstatement of the 2013 United States Federal Work Opportunity Tax Credit (“WOTC”). Excluding the impact of the non-recurring items (the restructuring charges in 2013 and 2012 and the U.S. legal cost in 2012) and the French business tax, our tax rate for the three months ended June 30, 2013 and 2012 would have been approximately 31% and 34%, respectively. The 31% rate was lower than the U.S. Federal statutory rate of 35% due to the overall mix of earnings and the current year WOTC. The 42.1% effective tax rate was higher than the U.S. Federal statutory rate of 35% and we currently expect an annual effective tax rate of approximately 40%, due primarily to the impact of valuation allowances, other permanent items and the French business tax.</w:t>
      </w:r>
    </w:p>
    <w:p>
      <w:pPr>
        <w:spacing w:after="0" w:line="212"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$0.87 for the three months ended June 30, 2013 compared to $0.51 for the three months ended June 30, 2012. Foreign currency exchange rates unfavorably impacted net earnings per share - diluted by approximately $0.01 per share for the three months ended June 30, 2013.</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Weighted average shares - diluted decreased 2.3% to 78.6 million for the three months ended June 30, 2013 from 80.4 million for the three months ended June 30, 2012. This decrease is primarily a result of the repurchase of 2.7 million shares during 2012 subsequent to June 30, 2012.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Results - Six Months Ended June 30, 2013 and 2012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six months ended June 30, 2013 as compared to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45"/>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80" w:type="dxa"/>
            <w:vAlign w:val="bottom"/>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20" w:type="dxa"/>
            <w:vAlign w:val="bottom"/>
          </w:tcPr>
          <w:p>
            <w:pPr>
              <w:spacing w:after="0"/>
              <w:rPr>
                <w:sz w:val="21"/>
                <w:szCs w:val="21"/>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10,303.1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8,594.0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1,709.1</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16.6</w:t>
            </w: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16.6</w:t>
            </w: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1,520.9</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profit</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188.2</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1.8</w:t>
            </w: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165.1</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42.7%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50.8%</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year-over-year decrease in revenues from services of 4.8% (-4.3% in constant currency and -4.6% on an organic constant currency basis) was attributed to:</w:t>
      </w:r>
    </w:p>
    <w:p>
      <w:pPr>
        <w:spacing w:after="0" w:line="189" w:lineRule="exact"/>
        <w:rPr>
          <w:sz w:val="20"/>
          <w:szCs w:val="20"/>
          <w:color w:val="auto"/>
        </w:rPr>
      </w:pPr>
    </w:p>
    <w:p>
      <w:pPr>
        <w:jc w:val="both"/>
        <w:ind w:left="660" w:hanging="139"/>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services in several of our markets within the Americas, Southern Europe and Northern Europe, where revenues decreased 2.7% (-2.1% in constant currency), 6.8% (-8.0% in constant currency and -8.2% in organic constant currency) and 3.2% (-3.7% on a constant currency basis and -4.1% on an organic constant currency basis), respectively. Several of our larger markets such as France and Italy experienced revenue declines of 9.3% (-10.4% in constant currency and -10.8% in organic constant currency) and 1.0% (-2.1% on a constant currency basis), respectively, due to the current economic environments in those countries;</w:t>
      </w:r>
    </w:p>
    <w:p>
      <w:pPr>
        <w:spacing w:after="0" w:line="210" w:lineRule="exact"/>
        <w:rPr>
          <w:rFonts w:ascii="Times New Roman" w:cs="Times New Roman" w:eastAsia="Times New Roman" w:hAnsi="Times New Roman"/>
          <w:sz w:val="18"/>
          <w:szCs w:val="18"/>
          <w:color w:val="auto"/>
        </w:rPr>
      </w:pPr>
    </w:p>
    <w:p>
      <w:pPr>
        <w:jc w:val="both"/>
        <w:ind w:left="660" w:hanging="139"/>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decline in the United States of 3.0% primarily due to a decrease of our larger strategic account client revenues because of softening demand, a large client project in our Manpower business line that concluded in the first quarter of 2013 and strong price discipline on new business opportunities;</w:t>
      </w:r>
    </w:p>
    <w:p>
      <w:pPr>
        <w:spacing w:after="0" w:line="203"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talent management services at Right Management, where these revenues decreased 11.3% (-10.8% on a constant currency basis);</w:t>
      </w:r>
    </w:p>
    <w:p>
      <w:pPr>
        <w:spacing w:after="0" w:line="188"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approximately 0.4% from one less day in the period;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ind w:left="660" w:hanging="13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0.5% decrease due to the impact of currency exchange rates; partially offset by</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0.2% in constant currency primarily due to growth in the permanent recruitment business; and</w:t>
      </w:r>
    </w:p>
    <w:p>
      <w:pPr>
        <w:spacing w:after="0" w:line="252"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of two entities in April 2012, one in Southern Europe and one in the Americas, and one entity in April 2013 in Northern Europe, which combined to add 0.3% of revenue growth to our consolidated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was flat year-over-year and was primarily attributed to:</w:t>
      </w:r>
    </w:p>
    <w:p>
      <w:pPr>
        <w:spacing w:after="0" w:line="252" w:lineRule="exact"/>
        <w:rPr>
          <w:sz w:val="20"/>
          <w:szCs w:val="20"/>
          <w:color w:val="auto"/>
        </w:rPr>
      </w:pPr>
    </w:p>
    <w:p>
      <w:pPr>
        <w:ind w:left="660" w:hanging="13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increase from our higher-margin ManpowerGroup Solutions business; offset by</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unfavorable impact resulting from the decline in our permanent recruitment business, which decreased 5% year-over-year.</w:t>
      </w:r>
    </w:p>
    <w:p>
      <w:pPr>
        <w:spacing w:after="0" w:line="252"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staffing/interim margins were stable in first half of 2013 as increases in the Americas and Southern Europe (due to the benefit of the CICE payroll tax credit) offset lower gross profit margins in Northern Europe and APME.</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5.1% decline in selling and administrative expenses for the six months ended June 30, 2013 (-4.7% in constant currency and -5.0% in organic constant currency) was attributed to:</w:t>
      </w:r>
    </w:p>
    <w:p>
      <w:pPr>
        <w:spacing w:after="0" w:line="189" w:lineRule="exact"/>
        <w:rPr>
          <w:sz w:val="20"/>
          <w:szCs w:val="20"/>
          <w:color w:val="auto"/>
        </w:rPr>
      </w:pPr>
    </w:p>
    <w:p>
      <w:pPr>
        <w:ind w:left="660" w:hanging="13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organic salary-related costs, because of lower headcount and lower variable incentive-based costs;</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lease costs because we have closed offices since the second quarter of 2012;</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of $10.0 million in the U.S. for the six months ended June 30, 2012 compared to no such legal costs recorded in 2013; and</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decrease due to the impact of currency exchange rates; partially offset by</w:t>
      </w:r>
    </w:p>
    <w:p>
      <w:pPr>
        <w:spacing w:after="0" w:line="252" w:lineRule="exact"/>
        <w:rPr>
          <w:rFonts w:ascii="Times New Roman" w:cs="Times New Roman" w:eastAsia="Times New Roman" w:hAnsi="Times New Roman"/>
          <w:sz w:val="18"/>
          <w:szCs w:val="18"/>
          <w:color w:val="auto"/>
        </w:rPr>
      </w:pPr>
    </w:p>
    <w:p>
      <w:pPr>
        <w:jc w:val="both"/>
        <w:ind w:left="660" w:hanging="139"/>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$54.8 million, comprised of $10.3 million in the Americas, $4.5 million in Southern Europe, $26.4 million in Northern Europe, $2.8 million in APME, $6.4 million at Right Management and $4.4 million in corporate expenses for the six months ended June 30, 2013, compared to restructuring costs of $18.7 million, comprised of $10.4 million at Right Management and $8.3 million in the Americas, for the six months ended June 30, 2012; and</w:t>
      </w:r>
    </w:p>
    <w:p>
      <w:pPr>
        <w:spacing w:after="0" w:line="207"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as a result of the acquisitions in Southern Europe, Northern Europe and the Americas.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expenses as a percent of revenues decreased 10 basis points (0.10%) for the six months ended June 30, 2013 compared to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selling and administrative expense as a percent of revenues consists of:</w:t>
      </w:r>
    </w:p>
    <w:p>
      <w:pPr>
        <w:spacing w:after="0" w:line="234" w:lineRule="exact"/>
        <w:rPr>
          <w:sz w:val="20"/>
          <w:szCs w:val="20"/>
          <w:color w:val="auto"/>
        </w:rPr>
      </w:pPr>
    </w:p>
    <w:p>
      <w:pPr>
        <w:ind w:left="660" w:hanging="139"/>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favorable impact due to the decrease in our organic salary-related costs and lease costs;</w:t>
      </w:r>
    </w:p>
    <w:p>
      <w:pPr>
        <w:spacing w:after="0" w:line="252" w:lineRule="exact"/>
        <w:rPr>
          <w:rFonts w:ascii="Times New Roman" w:cs="Times New Roman" w:eastAsia="Times New Roman" w:hAnsi="Times New Roman"/>
          <w:sz w:val="18"/>
          <w:szCs w:val="18"/>
          <w:color w:val="auto"/>
        </w:rPr>
      </w:pPr>
    </w:p>
    <w:p>
      <w:pPr>
        <w:ind w:left="660" w:right="20" w:hanging="139"/>
        <w:spacing w:after="0" w:line="282" w:lineRule="auto"/>
        <w:tabs>
          <w:tab w:leader="none" w:pos="7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favorable impact due to the decrease of non-personnel related costs, excluding legal costs noted above, as a result of the simplification and cost recalibration actions taken; and</w:t>
      </w:r>
    </w:p>
    <w:p>
      <w:pPr>
        <w:spacing w:after="0" w:line="188" w:lineRule="exact"/>
        <w:rPr>
          <w:rFonts w:ascii="Times New Roman" w:cs="Times New Roman" w:eastAsia="Times New Roman" w:hAnsi="Times New Roman"/>
          <w:sz w:val="18"/>
          <w:szCs w:val="18"/>
          <w:color w:val="auto"/>
        </w:rPr>
      </w:pPr>
    </w:p>
    <w:p>
      <w:pPr>
        <w:ind w:left="700" w:hanging="179"/>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the decrease in legal costs as noted above; partially offset by</w:t>
      </w:r>
    </w:p>
    <w:p>
      <w:pPr>
        <w:spacing w:after="0" w:line="252" w:lineRule="exact"/>
        <w:rPr>
          <w:rFonts w:ascii="Times New Roman" w:cs="Times New Roman" w:eastAsia="Times New Roman" w:hAnsi="Times New Roman"/>
          <w:sz w:val="18"/>
          <w:szCs w:val="18"/>
          <w:color w:val="auto"/>
        </w:rPr>
      </w:pPr>
    </w:p>
    <w:p>
      <w:pPr>
        <w:ind w:left="660" w:hanging="139"/>
        <w:spacing w:after="0" w:line="282" w:lineRule="auto"/>
        <w:tabs>
          <w:tab w:leader="none" w:pos="7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basis point (0.40%) increase due to the restructuring costs of $54.8 million for the six months ended June 30, 2013 compared to $18.7 million for the six months ended June 30, 2013.</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Interest and other expenses were $21.8 million for the six months ended June 30, 2013 compared to $23.1 million for the six months ended June 30, 2012. Net interest expense increased $1.6 million for the six months ended June 30, 2013 to $19.2 million from $17.6 million for the six months ended June 30, 2012. Other expenses were $2.6 million for the six months ended June 30, 2013 compared to $5.5 million for the six months ended June 30, 2012.</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recorded an income tax expense at an effective rate of 42.7% for the six months ended June 30, 2013, as compared to an effective rate of 50.8% for the six months ended June 30, 2012. The 2013 rate was favorably impacted by a change in the overall mix of earnings, primarily an increase to non-U.S. income, and by the 2012 and 2013 WOTC, which was reinstated in January of 2013, retroactive to January 1, 2012. Excluding the impact of the non-recurring items (the restructuring charges in 2013 and 2012 and the U.S. legal cost in 2012 and the prior-year WOTC recognized in 2013) and the French business tax, our tax rate for the six months ended June 30, 2013 and 2012 would have been approximately 31% and 35%,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ind w:right="400"/>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$1.17 for the six months ended June 30, 2013 compared to $1.01 for the six months ended June 30, 2012. Foreign currency exchange rates unfavorably impacted net earnings per share - diluted by approximately $0.02 per share for the six months ended June 30, 2013.</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Weighted average shares - diluted decreased 2.7% to 78.6 million for the six months ended June 30, 2013 from 80.8 million for the six months ended June 30, 2012. This decrease is primarily a result of the repurchase of 2.7 million shares during 2012 subsequent to June 30, 2012.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Operating Results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Operating Unit Profit (“OUP”) given the operational nature of these taxes. While we continue to view this tax as operational, during the second quarter of 2013 we changed our internal reporting to exclude the French business tax from the OUP of our France reportable segment. Therefore our France reportable segment OUP now excludes the business tax and we no longer need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Americas, revenues from services decreased 1.4% (-1.1% in constant currency) in the second quarter of 2013 compared to 2012. In the United States, revenues from services declined 1.9% in the second quarter of 2013 compared to 2012. The revenue decline in the United States was attributable to a large client project in our Manpower business line that concluded in the first quarter of 2013 and strong price discipline in accepting new business opportunities. This decline was partially offset by an increase in ManpowerGroup Solutions revenues of 16.3%, primarily driven by our RPO and Managed Service Provider (“MSP”) businesses, and an increase in our permanent recruitment revenues of 6.5% in the United States for the second quarter of 2013 compared to 2012. In Other Americas, revenues from services declined 0.5% (0.4% increase in constant currency) in the second quarter of 2013 compared to 2012, with revenue growth in Canada and Argentina of 9.6% and 4.3%, respectively, in constant currency and a revenue decline in Mexico of 0.8% in constant currency.</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Americas, revenues from services decreased 2.7% (-2.1% in constant currency) in the first half of 2013 compared to 2012. In the United States, revenues from services declined 3.0% in the first half of 2013 compared to 2012. The revenue decline in the United States was attributable to a decline in staffing/interim services in the Manpower and Experis business lines as we had approximately one less billing day for the six months ended June 30, 2013 compared to 2012, softening of demand from our larger strategic accounts in the first half of 2013 compared to 2012, a large client project in our Manpower business line that concluded in the first quarter of 2013 and strong price discipline in accepting new business opportunities. These declines were partially offset by an increase in ManpowerGroup Solutions revenues of 14.9% and an increase in our permanent recruitment revenues of 6.5% in the United States for the first half of 2013 compared to 2012. In Other Americas, revenues from services declined 2.2% (-0.5% in constant currency and -0.8% on an organic constant currency basis) in the first half of 2013 compared to 2012, with revenue growth in Canada of 9.7% in constant currency (7.5% on an organic constant currency basis) and revenue declines in Mexico and Argentina of 1.6% and 3.1%, respectively, in constant currency.</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Gross profit margin increased in the second quarter of 2013 compared to 2012 due to the favorable impact of improved staffing/interim gross profit margin resulting from stronger pricing discipline in the United States, as well as continued growth in our ManpowerGroup Solutions and permanent recruitment businesses.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margin increased in the first half of 2013 compared to 2012 due to the favorable impact of improved staffing/interim gross profit margin resulting from lower employment tax costs and stronger pricing discipline in the United States, as well as continued growth in our ManpowerGroup Solutions and permanent recruitment businesses.</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 second quarter of 2013, selling and administrative expenses decreased 11.0% in constant currency due to $10.0 million of legal costs incurred in the second quarter of 2012, as well as a decrease in restructuring costs with $4.4 million incurred in the second quarter of 2013 compared to $8.3 million in the second quarter of 2012. Excluding these restructuring costs and legal costs, expenses decreased due to declines in salary-related and lease costs in the Americas.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first half of 2013, selling and administrative expenses decreased 3.8% in constant currency due to $10.0 million of legal costs incurred in the first half of 2012. Excluding these legal costs, expenses were down slightly in constant currency due to the decline in lease costs.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OUP margin in the Americas was 3.7% and 1.6% for the second quarter of 2013 and 2012, respectively. In the United States, OUP margin was 4.1% in the second quarter of 2013 compared to 1.0% in 2012. The margin increase in the second quarter of 2013 in the United States was due to the legal costs and restructuring costs noted above, as well as the improvement in the gross profit margin as noted above. Other Americas OUP margin was 3.1% in the second quarter of 2013 compared to 2.7% in the second quarter of 2012. The increase in the Other Americas OUP margin was due to the improvement in the gross profit margin.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OUP margin in the Americas was 2.6% and 1.8% for the first half of 2013 and 2012, respectively. In the United States, OUP margin was 2.6% in the first half of 2013 compared to 1.0% in 2012. The margin increase in the first half of 2013 in the United States was due to the legal costs as well as the improvement in the gross profit margin as noted above. Other Americas OUP margin was 2.7% in the first half of 2013 compared to 3.3% in the first half of 2012. The decrease in the Other Americas OUP margin was due to restructuring costs.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Southern Europe</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Southern Europe, which includes operations in France and Italy, revenues from services decreased 4.7% (-6.6% in constant currency) in the second quarter of 2013 compared to 2012. In France and Italy (which represent 73% and 15%, respectively, of Southern Europe’s revenues), revenues from services decreased 9.1% and 0.2% in constant currency, respectively, in the second quarter of 2013 compared to 2012. The decrease in France is due primarily to a softening demand in the staffing/interim business, and an 18.1% decline in constant currency in the permanent recruitment business. The decrease in Italy is mostly due to a 5.3% decline in constant currency in the Experis business line partially offset by the increase in the ManpowerGroup Solutions business. In Other Southern Europe, revenues from services increased 6.8% (3.7% in constant currency) during the second quarter of 2013 compared to 2012 driven by the revenue increase in Portugal due to the increases in the Manpower staffing and ManpowerGroup Solutions businesses.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from services decreased 6.8% (-8.0% in constant currency and -8.2% on an organic constant currency basis) in the first half of 2013 compared to 2012. In France and Italy, revenues from services decreased 10.8% in organic constant currency and 2.1% in constant currency, respectively, in the first half of 2013 compared to 2012. The decrease in France is due primarily to one less billing day in the first half of 2013 compared to 2012, a softening demand in the staffing/interim business, and a 25.1% decline in constant currency in the permanent recruitment business. The decrease in Italy is mostly due to one less billing day in the first half of 2013 compared to 2012 as well as a 7.0% decline in constant currency in the permanent recruitment business. In Other Southern Europe, revenues from services increased 2.9% (0.9% in constant currency) during the first half of 2013 compared to 2012 driven by the 11.1% revenue decline in Spain due to the weak economic conditions in that market partially offset by the revenue increase in Portugal due to the increases in the Manpower staffing and ManpowerGroup Solutions businesses.</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second quarter of 2013 compared to 2012 due primarily to the CICE payroll tax credit in France, which was partially offset by the decrease in our permanent recruitment business.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first half of 2013 compared to 2012 due primarily to the CICE payroll tax credit in France, which was partially offset by the decrease in our permanent recruitment business and pricing pressures in Italy that unfavorably impacted staffing/interim gross margins.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decreased 0.7% (-2.6% in constant currency) during the second quarter of 2013 compared to 2012 primarily related to the decrease in salary-related costs due to lower headcount, partially offset by the $3.3 million of restructuring costs.</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4.2% (-5.4% in constant currency and -5.9% on an organic constant currency basis) during the first half of 2013 compared to 2012 primarily related to the decrease in organic salary-related costs due to lower headcount, partially offset by the $4.5 million of restructuring costs and the additional recurring selling and administrative costs resulting from the 2012 Damilo acquisition in France.</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OUP margin in Southern Europe was 3.1% for the second quarter of 2013 compared to 2.7% for 2012. In France, the OUP margin was 3.1% for the second quarter of 2013 compared to 2.4% for 2012, due to the improvement in our gross profit margin and the decrease in salary-related costs due to lower headcount, partially offset by the restructuring costs in the second quarter of 2013. In Italy, the OUP margin was 5.3% for the second quarter of 2013 compared to 4.6% for 2012, due to the slight increase in gross profit margin and the decrease in salary-related costs due to lower headcount. Other Southern Europe’s OUP margin declined to 0.6% for the second quarter of 2013 from 1.6% in 2012 due to the decrease in the gross profit margin.</w:t>
      </w:r>
    </w:p>
    <w:p>
      <w:pPr>
        <w:spacing w:after="0" w:line="2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OUP margin in Southern Europe was 3.0% for the first half of 2013 compared to 2.5% for 2012. In France, the OUP margin was 2.9% for the first half of 2013 compared to 2.1% for 2012, due to the improvement in our gross profit margin and the decrease in salary-related costs due to lower headcount, partially offset by the impact of one less billing day. In Italy, the OUP margin was 4.9% for the first half of 2013 compared to 5.0% for 2012, due to the decrease in gross profit margin and the impact of one less billing day, partially offset by the decrease in salary-related costs due to lower headcount. Other Southern Europe’s OUP margin declined to 0.9% for the first half of 2013 from 1.7% in 2012 due to the decrease of the gross profit margin, restructuring costs in the first half of 2013, and an increase in salary-related costs.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Northern Europe</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Northern Europe, which includes operations in the United Kingdom, the Nordics, Germany and the Netherlands (comprising 30%, 25%, 12%, and 9%, respectively, of Northern Europe’s revenues), revenues from services decreased 1.2% (-1.6% in constant currency and -2.6% on an organic constant currency basis) in the second quarter of 2013 as compared to 2012. The decrease in revenues from services was primarily attributable to the 11.4% decline in our Experis business line, which saw softening demand for IT services, particularly among our larger clients, in both our interim and permanent recruitment businesses.</w:t>
      </w:r>
    </w:p>
    <w:p>
      <w:pPr>
        <w:spacing w:after="0" w:line="2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Revenues from services decreased 3.2% (-3.7% in constant currency and -4.1% on an organic constant currency basis) in the first half of 2013 as compared to 2012. The decrease in revenues from services was primarily attributable to having one less billing day in the first half of 2013 compared to 2012 and the 14.1% decline in our Experis business line, which saw softening demand for IT services, particularly among our larger clients, in both our interim and permanent recruitment businesses, as well as slight declines in our Manpower and ManpowerGroup Solutions businesses.</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Gross profit margin decreased in the second quarter of 2013 compared to 2012 due to the decline in our staffing/interim margins as we experienced lower bench utilization in our Manpower business line in Sweden and new collective labor agreements and higher holiday pay costs in Germany, encountered general pricing pressures in several markets, and saw a 6.9% decrease in constant currency in our permanent recruitment business.</w:t>
      </w:r>
    </w:p>
    <w:p>
      <w:pPr>
        <w:spacing w:after="0" w:line="20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Gross profit margin decreased in the first half of 2013 compared to 2012 due to the decline in our staffing/interim margins as we experienced lower bench utilization in our Manpower business line in Sweden and new collective labor agreements and higher holiday pay costs in Germany, encountered general pricing pressures in several markets, and saw a 11.7% decrease in constant currency in our permanent recruitment business.</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decreased 6.0% (-7.0% decrease in constant currency and -7.8% on an organic constant currency basis) in the second quarter of 2013 compared to 2012. The decrease in selling and administrative expenses was due primarily to lower headcount, which reduced compensation-related expenses such as salaries and variable incentive-based costs, and lower lease costs, partially offset by the $9.3 million of restructuring costs and the additional recurring selling and administrative costs resulting from an acquisition in April 2013.</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decreased 2.6% (-3.6% decrease in constant currency and -4.0% on an organic constant currency basis) in the first half of 2013 compared to 2012. The decrease in selling and administrative expenses was due primarily to lower headcount, which reduced compensation-related expenses such as salaries and variable incentive-based costs, and lower lease costs, partially offset by the $26.4 million of restructuring costs and the additional recurring selling and administrative costs resulting from an acquisition in April 2013.</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OUP margin for Northern Europe was 2.4% and 2.8% for the second quarter of 2013 and 2012, respectively. The decline in OUP margin was the result of the decrease in the gross profit margin and restructuring costs, partially offset by the decrease in compensation-related expenses and lease costs.</w:t>
      </w:r>
    </w:p>
    <w:p>
      <w:pPr>
        <w:spacing w:after="0" w:line="18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OUP margin for Northern Europe was 1.6% and 2.9% for the first half of 2013 and 2012, respectively. The decline in OUP margin was the result of the decrease in the gross profit margin, the impact of one less billing day and restructuring costs, partially offset by the decrease in compensation-related expenses and lease costs.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APME</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APME, revenues from services decreased 6.0% (1.9% increase in constant currency) in the second quarter of 2013 compared to 2012. In Japan (which represents 37% of APME’s revenues), revenues from services decreased 1.5% in constant currency due primarily to continued declining demand for our staffing/interim services, partially offset by an increase in the permanent recruitment business. In Australia (which represents 23% of APME’s revenues), revenues from services were down 5.8% in constant currency for the second quarter of 2013 compared to 2012 due to the decreased demand for interim services in our Experis business line, partially offset by the increase in the permanent recruitment business and one additional billing day in the second quarter of 2013 compared to 2012.</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Revenues from services decreased 6.5% (0.2% increase in constant currency) in the first half of 2013 compared to 2012. In Japan, revenues from services decreased 3.3% in constant currency due primarily to declining demand for our staffing/interim services and three fewer billing days in the first half of 2013 compared to 2012, partially offset by an increase in the permanent recruitment business. In Australia, revenues from services were down 7.5% in constant currency for the first half of 2013 compared to 2012 due to the decreased demand for interim services in our Experis business line, partially offset by an increase in the permanent recruitment business.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21" w:name="page22"/>
    <w:bookmarkEnd w:id="21"/>
    <w:p>
      <w:pPr>
        <w:ind w:right="40"/>
        <w:spacing w:after="0" w:line="266" w:lineRule="auto"/>
        <w:rPr>
          <w:sz w:val="20"/>
          <w:szCs w:val="20"/>
          <w:color w:val="auto"/>
        </w:rPr>
      </w:pPr>
      <w:r>
        <w:rPr>
          <w:rFonts w:ascii="Times New Roman" w:cs="Times New Roman" w:eastAsia="Times New Roman" w:hAnsi="Times New Roman"/>
          <w:sz w:val="18"/>
          <w:szCs w:val="18"/>
          <w:color w:val="auto"/>
        </w:rPr>
        <w:t>Gross profit margin decreased in the second quarter and first half of 2013 compared to 2012 due to a decrease in our staffing/interim gross profit margin from modest pricing pressures and change in business mix, as well as the 5.1% and 5.8%, respectively, decline in constant currency in our permanent recruitment business.</w:t>
      </w:r>
    </w:p>
    <w:p>
      <w:pPr>
        <w:spacing w:after="0" w:line="20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12.7% (-5.3% in constant currency) in the second quarter of 2013 compared to 2012 related to reduced compensation-related expenses such as salaries and variable incentive-based costs due to lower headcount, partially offset by $0.4 million of restructuring costs.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10.0% (-3.7% in constant currency) in the first half of 2013 compared to 2012 related to reduced compensation-related expenses such as salaries and variable incentive-based costs due to lower headcount, partially offset by $2.8 million of restructuring costs.</w:t>
      </w:r>
    </w:p>
    <w:p>
      <w:pPr>
        <w:spacing w:after="0" w:line="203"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OUP margin for APME was 3.3% for both the second quarter of 2013 and 2012, as the favorable impact from the decrease in salary-related costs from lower headcount was offset by the decrease in our gross profit margin.</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OUP margin for APME was 2.8% in the first half of 2013 compared to 3.1% in 2012. OUP margin decreased for the first half of 2013 compared to 2012 due to the decrease in our gross profit margin, $2.8 million of restructuring costs and the impact of one less billing day, partially offset by the decrease in salary-related costs due to lower headcount.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Management</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Revenues from services decreased 3.5% (-2.0% in constant currency). The decrease was due to the decline in demand for our talent management business, as we are seeing a longer sales cycle as clients continue to defer their discretionary spending. Our countercyclical outplacement services increased 2.1% in constant currency in the second quarter of 2013 compared to 2012, a slight improvement over the increase seen in the first quarter, however, still a significant moderation from the growth rates seen in the quarters in 2012 as there are a lower number of large outplacement projects, primarily in the Americas, as well as clients opting for programs with shorter durations.</w:t>
      </w:r>
    </w:p>
    <w:p>
      <w:pPr>
        <w:spacing w:after="0" w:line="21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Revenues from services decreased 3.7% (-2.3% in constant currency). The decrease was due to the decline in demand for our talent management business, partially offset by the 1.8% increase in outplacement services in constant currency in the first half of 2013 compared to 2012.</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second quarter of 2013 compared to 2012 due to the change in business mix as the higher-margin outplacement business represented a greater percentage of the revenue mix.</w:t>
      </w:r>
    </w:p>
    <w:p>
      <w:pPr>
        <w:spacing w:after="0" w:line="189" w:lineRule="exact"/>
        <w:rPr>
          <w:sz w:val="20"/>
          <w:szCs w:val="20"/>
          <w:color w:val="auto"/>
        </w:rPr>
      </w:pPr>
    </w:p>
    <w:p>
      <w:pPr>
        <w:jc w:val="both"/>
        <w:ind w:right="80"/>
        <w:spacing w:after="0" w:line="313" w:lineRule="auto"/>
        <w:rPr>
          <w:sz w:val="20"/>
          <w:szCs w:val="20"/>
          <w:color w:val="auto"/>
        </w:rPr>
      </w:pPr>
      <w:r>
        <w:rPr>
          <w:rFonts w:ascii="Times New Roman" w:cs="Times New Roman" w:eastAsia="Times New Roman" w:hAnsi="Times New Roman"/>
          <w:sz w:val="17"/>
          <w:szCs w:val="17"/>
          <w:color w:val="auto"/>
        </w:rPr>
        <w:t>Gross profit margin decreased slightly in the first half of 2013 compared to 2012 due to the margin deterioration in both the outplacement business and talent management business, offset by the change in business mix as the higher-margin outplacement business represented a greater percentage of the revenue mix.</w:t>
      </w:r>
    </w:p>
    <w:p>
      <w:pPr>
        <w:spacing w:after="0" w:line="1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20.9% (-19.9% in constant currency) in the second quarter of 2013 compared to 2012 due mostly to the decrease in restructuring costs to $2.6 million recorded in the second quarter of 2013 compared to $10.4 million in the second quarter of 2012, as well as the cost savings from the cost recalibration program put in place in 2012 favorably impacted expense levels.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13.1% (-12.1% in constant currency) in the first half of 2013 compared to 2012 as the cost savings from the cost recalibration program put in place in 2012 favorably impacted expense levels, as well as a decrease in restructuring costs to $6.4 million recorded in the first half of 2013 compared to $10.4 million in the first half of 2012.</w:t>
      </w:r>
    </w:p>
    <w:p>
      <w:pPr>
        <w:spacing w:after="0" w:line="20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OUP margin for Right Management was 9.2% in the second quarter of 2013 compared to -3.5% in 2012. The OUP margin for the second quarter of 2013 improved due to the decrease in selling and administrative expenses from the decline in restructuring costs and cost savings from the cost recalibration program noted above, as well as the increase in the gross profit margin.</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OUP margin for Right Management was 6.0% in the first half of 2013 compared to -0.3% in 2012. The OUP margin for the first half of 2013 improved due to the decrease in selling and administrative expenses from the decline in restructuring costs and cost savings from the cost recalibration program noted above, partially offset by the slight decrease in the gross profit margin.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and Organic Constant Currency Reconciliation</w:t>
      </w:r>
    </w:p>
    <w:p>
      <w:pPr>
        <w:spacing w:after="0" w:line="2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1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these Non-GAAP percent variances to those calculated based on our GAAP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120" w:type="dxa"/>
            <w:vAlign w:val="bottom"/>
            <w:tcBorders>
              <w:bottom w:val="single" w:sz="8" w:color="auto"/>
            </w:tcBorders>
            <w:gridSpan w:val="7"/>
          </w:tcPr>
          <w:p>
            <w:pPr>
              <w:ind w:left="1200"/>
              <w:spacing w:after="0"/>
              <w:rPr>
                <w:sz w:val="20"/>
                <w:szCs w:val="20"/>
                <w:color w:val="auto"/>
              </w:rPr>
            </w:pPr>
            <w:r>
              <w:rPr>
                <w:rFonts w:ascii="Times New Roman" w:cs="Times New Roman" w:eastAsia="Times New Roman" w:hAnsi="Times New Roman"/>
                <w:sz w:val="18"/>
                <w:szCs w:val="18"/>
                <w:b w:val="1"/>
                <w:bCs w:val="1"/>
                <w:color w:val="auto"/>
              </w:rPr>
              <w:t>3 Months Ended June 30, 2013 Compared to 2012</w:t>
            </w: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7"/>
              </w:rPr>
              <w:t>Impact of</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Acquisitions/</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5"/>
              </w:rPr>
              <w:t>Variance in</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Dispositions</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Reported</w:t>
            </w: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Impact of</w:t>
            </w:r>
          </w:p>
        </w:tc>
        <w:tc>
          <w:tcPr>
            <w:tcW w:w="15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Constant</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Constant</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Currency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40"/>
              <w:spacing w:after="0" w:line="234" w:lineRule="exact"/>
              <w:rPr>
                <w:sz w:val="20"/>
                <w:szCs w:val="20"/>
                <w:color w:val="auto"/>
              </w:rPr>
            </w:pPr>
            <w:r>
              <w:rPr>
                <w:rFonts w:ascii="Times New Roman" w:cs="Times New Roman" w:eastAsia="Times New Roman" w:hAnsi="Times New Roman"/>
                <w:sz w:val="18"/>
                <w:szCs w:val="18"/>
                <w:color w:val="auto"/>
                <w:w w:val="97"/>
              </w:rPr>
              <w:t>Amount</w:t>
            </w:r>
            <w:r>
              <w:rPr>
                <w:rFonts w:ascii="Times New Roman" w:cs="Times New Roman" w:eastAsia="Times New Roman" w:hAnsi="Times New Roman"/>
                <w:sz w:val="25"/>
                <w:szCs w:val="25"/>
                <w:color w:val="auto"/>
                <w:w w:val="97"/>
                <w:vertAlign w:val="superscript"/>
              </w:rPr>
              <w:t>(a)</w:t>
            </w:r>
          </w:p>
        </w:tc>
        <w:tc>
          <w:tcPr>
            <w:tcW w:w="1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8"/>
              </w:rPr>
              <w:t>Reported Variance</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Currency</w:t>
            </w:r>
          </w:p>
        </w:tc>
        <w:tc>
          <w:tcPr>
            <w:tcW w:w="15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Currency</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Currency)</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748.5</w:t>
            </w: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387.2</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1,135.7</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 Europe: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1,320.6</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278.4</w:t>
            </w:r>
          </w:p>
        </w:tc>
        <w:tc>
          <w:tcPr>
            <w:tcW w:w="1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Southern Europe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203.0</w:t>
            </w: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1,802.0</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(4.7)</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Europe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1,398.8</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APME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623.3</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(6.0)</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(3.5)</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5,040.7</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(3.2)</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836.4</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and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708.3</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(7.7)</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128.1</w:t>
            </w: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35.6</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three months ended June 30,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120" w:type="dxa"/>
            <w:vAlign w:val="bottom"/>
            <w:tcBorders>
              <w:bottom w:val="single" w:sz="8" w:color="auto"/>
            </w:tcBorders>
            <w:gridSpan w:val="7"/>
          </w:tcPr>
          <w:p>
            <w:pPr>
              <w:ind w:left="1200"/>
              <w:spacing w:after="0"/>
              <w:rPr>
                <w:sz w:val="20"/>
                <w:szCs w:val="20"/>
                <w:color w:val="auto"/>
              </w:rPr>
            </w:pPr>
            <w:r>
              <w:rPr>
                <w:rFonts w:ascii="Times New Roman" w:cs="Times New Roman" w:eastAsia="Times New Roman" w:hAnsi="Times New Roman"/>
                <w:sz w:val="18"/>
                <w:szCs w:val="18"/>
                <w:b w:val="1"/>
                <w:bCs w:val="1"/>
                <w:color w:val="auto"/>
              </w:rPr>
              <w:t>6 Months Ended June 30, 2013 Compared to 2012</w:t>
            </w: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7"/>
              </w:rPr>
              <w:t>Impact of</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Acquisitions/</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5"/>
              </w:rPr>
              <w:t>Variance in</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Dispositions</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Reported</w:t>
            </w: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Impact of</w:t>
            </w:r>
          </w:p>
        </w:tc>
        <w:tc>
          <w:tcPr>
            <w:tcW w:w="15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Constant</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Constant</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Currency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40"/>
              <w:spacing w:after="0" w:line="234" w:lineRule="exact"/>
              <w:rPr>
                <w:sz w:val="20"/>
                <w:szCs w:val="20"/>
                <w:color w:val="auto"/>
              </w:rPr>
            </w:pPr>
            <w:r>
              <w:rPr>
                <w:rFonts w:ascii="Times New Roman" w:cs="Times New Roman" w:eastAsia="Times New Roman" w:hAnsi="Times New Roman"/>
                <w:sz w:val="18"/>
                <w:szCs w:val="18"/>
                <w:color w:val="auto"/>
                <w:w w:val="97"/>
              </w:rPr>
              <w:t>Amount</w:t>
            </w:r>
            <w:r>
              <w:rPr>
                <w:rFonts w:ascii="Times New Roman" w:cs="Times New Roman" w:eastAsia="Times New Roman" w:hAnsi="Times New Roman"/>
                <w:sz w:val="25"/>
                <w:szCs w:val="25"/>
                <w:color w:val="auto"/>
                <w:w w:val="97"/>
                <w:vertAlign w:val="superscript"/>
              </w:rPr>
              <w:t>(a)</w:t>
            </w:r>
          </w:p>
        </w:tc>
        <w:tc>
          <w:tcPr>
            <w:tcW w:w="1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8"/>
              </w:rPr>
              <w:t>Reported Variance</w:t>
            </w: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Currency</w:t>
            </w:r>
          </w:p>
        </w:tc>
        <w:tc>
          <w:tcPr>
            <w:tcW w:w="15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Currency</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Currency)</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1,454.6</w:t>
            </w:r>
          </w:p>
        </w:tc>
        <w:tc>
          <w:tcPr>
            <w:tcW w:w="1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774.1</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2,228.7</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 Europe: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2,465.8</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(9.3)</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536.3</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Southern Europe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396.4</w:t>
            </w: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3,398.5</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Europe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2,769.1</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APME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1,255.8</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(6.5)</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157.5</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9,809.6</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1,626.5</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and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1,444.0</w:t>
            </w:r>
          </w:p>
        </w:tc>
        <w:tc>
          <w:tcPr>
            <w:tcW w:w="1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182.5</w:t>
            </w: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six months ended June 30,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During the second quarter of 2013, we repatriated $136.2 million of the foreign earnings. As of June 30, 2013, we had $144.0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 As of June 30, 2013, we have identified approximately $260.9 million of non-United States earnings that are not permanently invested. We may repatriate additional earnings in the future as cash needs arise.</w:t>
      </w:r>
    </w:p>
    <w:p>
      <w:pPr>
        <w:spacing w:after="0" w:line="21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$71.6 million during the first half of 2013 compared to $39.6 million during the first half of 2012. This increase is primarily due to changes in our operating assets and liabilities, due to the timing of collections, accruals and payments. Changes in operating assets and liabilities utilized $242.8 million of cash during the first half of 2013 compared to $191.2 million during the first half of 2012.</w:t>
      </w:r>
    </w:p>
    <w:p>
      <w:pPr>
        <w:spacing w:after="0" w:line="20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Accounts receivable decreased to $4,172.0 million as of June 30, 2013 from $4,179.0 million as of December 31, 2012. This decrease is due to changes in foreign currency exchange rates, which fully offset an increase due to collections being impacted by the last two days of June falling on a weekend. At constant exchange rates, the June 30, 2013 balance would have been approximately $113.8 million higher than reported.</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Capital expenditures were $25.1 million in the first half of 2013 compared to $33.8 million in the first half of 2012. These expenditures were primarily comprised of purchases of computer equipment, office furniture and other costs related to office openings and refurbishments. The expenditures were higher in the first half of 2012 primarily due to office consolidations and realignments, as well as several leasehold improvement projects.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 w:name="page25"/>
    <w:bookmarkEnd w:id="24"/>
    <w:p>
      <w:pPr>
        <w:ind w:right="180"/>
        <w:spacing w:after="0" w:line="282"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$16.9 million and $34.0 million for the first half of 2013 and 2012, respectively.</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change due to net debt borrowings was an outflow of $229.8 million in the first half of 2013 compared to an inflow of $55.6 million in the first half of 2012. On June 14, 2013, upon maturity, we paid off our €200.0 million 4.75% notes with available cash. Our €350.0 million 4.5% notes are due June 2018. The credit terms of any replacement borrowings, including interest rate and facility fees, will be dependent upon the condition of the credit markets at that time. We currently do not anticipate any problems accessing the credit markets should we need additional financing.</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June 30, 2013, we had letters of credit totaling $0.9 million issued under our $800.0 million revolving credit facility. Additional borrowings of $799.1 million were available to us under the credit agreement as of June 30, 2013.</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$800.0 million revolving credit agreement requires that we comply with a leverage ratio (Debt-to-EBITDA) of not greater than 3.5 to 1 and a fixed charge coverage ratio of not less than 1.5 to 1. As defined in the agreement, we had a Debt-to-EBITDA ratio of 0.99 to 1 and a fixed charge coverage ratio of 2.82 to 1 as of June 30, 2013. Based on our current forecast, we expect to be in compliance with our financial covenants for the next 12 months.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working capital needs of our subsidiary operations. As of June 30, 2013, such credit lines totaled $427.4 million, of which $348.5 million was unused. Under the revolving credit agreement, total subsidiary borrowings cannot exceed $300.0 million in the first, second and fourth quarters, and $600.0 million in the third quarter of each year. Due to limitations on subsidiary borrowings in our revolving credit agreement, additional borrowings of $221.1 million could have been made under these lines as of June 30, 2013.</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No repurchases were made during the first half of 2013. During the first half of 2012, we purchased a total of 878,897 shares, comprised of 619,257 shares under the 2010 authorization and 259,640 shares under the 2011 authorization. As of June 30, 2013, there were 8.0 million shares remaining authorized for repurchase under the 2012 authorization.</w:t>
      </w:r>
    </w:p>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April 30, 2013, the Board of Directors declared a semi-annual cash dividend of $0.46 per share, which was paid on June 14, 2013 to shareholders of record on June 3, 2013.</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had aggregate commitments related to debt repayments, operating leases, severances and office closure costs, and certain other commitments of $1,745.2 million as of June 30, 2013 compared to $1,989.1 million as of December 31, 2012.</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that total approximately $156.8 million and $166.8 million as of June 30, 2013 and December 31, 2012, respectively, consisting of $118.5 million and $128.9 million for guarantees, respectively, and $38.3 million and $37.9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$0.9 million and $0.8 million in the first half of 2013 and 2012,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net restructuring costs of $54.8 million and $21.0 million in the six months ended June 30, 2013 and 2012, respectively, in selling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related to severances and office closures in several countries. During the six months ended June 30, 2013, we made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$46.6 million out of our restructuring reserve. We expect a majority of the remaining $49.6 million reserve will be paid in 2013. Changes in the restructuring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by reportable segment and Corporate are shown in Note 5 to the Consolidated Financial Statements.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2012, we implemented a simplification and cost recalibration plan that impacts all of our segments as well as our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 The goal of our plan is to simplify our organization by creating the right agility and speed, and focuses around four different areas: 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 programs, delivery models, and technology structure. With this plan in place, we expect a reduction in selling and administrative expenses of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 million in 2013. We anticipate further restructuring costs, and estimate that we will achieve additional savings in selling and administrative expenses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execute our plan.</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Legal Regulations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French government passed legislation effective January 1, 2013 to improve competitiveness and reduce employment costs by offering payroll tax credits to most French and foreign enterprises subject to corporate tax in France. This law, CICE, provides credits based on a percentage of wages paid to employees receiving less than two and a half times the French minimum wage. The payroll tax credit is equal to 4% of eligible wages in 2013 and increases to 6% of eligible wages in 2014 and 2015. We will receive the credit as a reduction of our current income taxes payable, with any amounts not creditable against our current income tax payable being paid to us after three years. Given the amount of our current income taxes payable, we expect the majority of the cash to be received at the end of this three-year carry forward period. We intend to use the credit to invest in employment opportunities and to improve our competitiveness, as required by the law. We are uncertain what impact, if any, this credit will have on overall market pricing or on client requests for pricing concessions, either of which could reduce the net benefit we receive from these credits. The CICE credit is accounted for as a reduction of our cost of services in the period earned, and we expect it will have a favorable impact on our consolidated gross profit margin, as well as our margins in France and Southern Europe.</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Germany, six labor unions representing approximately two-thirds of the market for temporary workers entered into new Collective Labor Agreements with the temporary help industry. Nine of these new agreements became effective between November 2012 and July 2013. We expect additional unions representing temporary workers to negotiate similar arrangements. These agreements will require, among other things, higher wages to temporary employees. This will have an unfavorable impact on our gross profit margin in Germany, as we pass on many of these additional costs to the client without a mark-up. However, we currently do not expect a significant impact on our consolidated or Northern Europe financial results.</w:t>
      </w:r>
    </w:p>
    <w:p>
      <w:pPr>
        <w:spacing w:after="0" w:line="2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2013, the employer mandate provisions of the new U.S. healthcare legislation, Patient Protection and Affordable Care Act (PPACA), were delayed until 2015 from the original effective date of 2014. The employer mandate provisions of PPACA are expected to have the greatest financial impact on us and our clients with U.S.-based employees. We expect this legislation will increase the employment costs of our permanent employees and our associates, but we continue to assess the potential impact. Our intention is to pass on to our U.S. clients any cost increases related to our associates, however there is no assurance that we will be fully successful.</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2012 Annual Report on Form 10-K contains certain disclosures about market risks affecting us. There have been no material changes to the information provided which would require additional disclosures as of the date of this filing.</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ind w:left="43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Unregistered Sales of Equity Securities and Use of Proceeds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As of June 30, 2013, there were 8.0 million shares remaining authorized for repurchase under the 2012 authorization. The following table shows the total amount of shares repurchased during the second quarter of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6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as part of</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45"/>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2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1- 30, 2013</w:t>
            </w:r>
          </w:p>
        </w:tc>
        <w:tc>
          <w:tcPr>
            <w:tcW w:w="4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May 1 - 31, 2013</w:t>
            </w:r>
          </w:p>
        </w:tc>
        <w:tc>
          <w:tcPr>
            <w:tcW w:w="4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8,000,000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1 - 30, 2013</w:t>
            </w:r>
          </w:p>
        </w:tc>
        <w:tc>
          <w:tcPr>
            <w:tcW w:w="4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our Annual Meeting of Shareholders held on April 30, 2013, our shareholders approved amendments to our Articles of Incorporation (the “Articles”) to eliminate the classification of our Board of Directors beginning at the 2014 Annual Meeting. In conjunction with the Articles amendments, on July 30, 2013, the Board of Directors adopted amendments to our Amended and Restated By-Laws (the “By-Laws”) to remove the classification of our Board of Directors. A copy of the Amended and Restated By-Laws are attached as Exhibit 3.2 to this Form 10-Q.</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2013:</w:t>
      </w:r>
    </w:p>
    <w:p>
      <w:pPr>
        <w:spacing w:after="0" w:line="189"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value-added tax;</w:t>
      </w:r>
    </w:p>
    <w:p>
      <w:pPr>
        <w:spacing w:after="0" w:line="252" w:lineRule="exact"/>
        <w:rPr>
          <w:rFonts w:ascii="Times New Roman" w:cs="Times New Roman" w:eastAsia="Times New Roman" w:hAnsi="Times New Roman"/>
          <w:sz w:val="18"/>
          <w:szCs w:val="18"/>
          <w:color w:val="auto"/>
        </w:rPr>
      </w:pPr>
    </w:p>
    <w:p>
      <w:pPr>
        <w:ind w:left="380" w:right="90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with respect to certain procedures for governmental requirements and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252"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Articles of Incorporation of ManpowerGroup Inc.</w:t>
      </w:r>
    </w:p>
    <w:p>
      <w:pPr>
        <w:spacing w:after="0" w:line="252"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Amended and Restated By-Laws of ManpowerGroup Inc.</w:t>
      </w:r>
    </w:p>
    <w:p>
      <w:pPr>
        <w:spacing w:after="0" w:line="252"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Statement regarding Computation of Ratio of Earnings to Fixed Charges.</w:t>
      </w:r>
    </w:p>
    <w:p>
      <w:pPr>
        <w:spacing w:after="0" w:line="252"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Jeffrey A. Joerres, Chairman and Chief Executive Officer, pursuant to Section 13a-14(a) of the Securities Exchange Act of</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1934.</w:t>
      </w:r>
    </w:p>
    <w:p>
      <w:pPr>
        <w:spacing w:after="0" w:line="234" w:lineRule="exact"/>
        <w:rPr>
          <w:sz w:val="20"/>
          <w:szCs w:val="20"/>
          <w:color w:val="auto"/>
        </w:rPr>
      </w:pPr>
    </w:p>
    <w:p>
      <w:pPr>
        <w:ind w:left="1040" w:hanging="647"/>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Michael J. Van Handel, Executive Vice President and Chief Financial Officer, pursuant to Section 13a-14(a) of the Securities Exchange Act of 1934.</w:t>
      </w:r>
    </w:p>
    <w:p>
      <w:pPr>
        <w:spacing w:after="0" w:line="189"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Statement of Jeffrey A. Joerres, Chairman and Chief Executive Officer, pursuant to 18 U.S.C. ss. 1350.</w:t>
      </w:r>
    </w:p>
    <w:p>
      <w:pPr>
        <w:spacing w:after="0" w:line="252" w:lineRule="exact"/>
        <w:rPr>
          <w:sz w:val="20"/>
          <w:szCs w:val="20"/>
          <w:color w:val="auto"/>
        </w:rPr>
      </w:pPr>
    </w:p>
    <w:p>
      <w:pPr>
        <w:ind w:left="380"/>
        <w:spacing w:after="0"/>
        <w:tabs>
          <w:tab w:leader="none" w:pos="10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Michael J. Van Handel, Executive Vice President and Chief Financial Officer, pursuant to 18 U.S.C. ss. 1350.</w:t>
      </w:r>
    </w:p>
    <w:p>
      <w:pPr>
        <w:spacing w:after="0" w:line="252" w:lineRule="exact"/>
        <w:rPr>
          <w:sz w:val="20"/>
          <w:szCs w:val="20"/>
          <w:color w:val="auto"/>
        </w:rPr>
      </w:pPr>
    </w:p>
    <w:p>
      <w:pPr>
        <w:ind w:left="1040" w:right="140" w:hanging="654"/>
        <w:spacing w:after="0" w:line="289"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Quarterly Report on Form 10-Q for the quarter ended June 30, 2013,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729" w:right="479" w:bottom="1440" w:gutter="0" w:footer="0" w:header="0"/>
        </w:sectPr>
      </w:pPr>
    </w:p>
    <w:bookmarkStart w:id="29" w:name="page30"/>
    <w:bookmarkEnd w:id="29"/>
    <w:p>
      <w:pPr>
        <w:spacing w:after="0" w:line="1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17145</wp:posOffset>
            </wp:positionV>
            <wp:extent cx="1912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12620" cy="17145"/>
                    </a:xfrm>
                    <a:prstGeom prst="rect">
                      <a:avLst/>
                    </a:prstGeom>
                    <a:noFill/>
                  </pic:spPr>
                </pic:pic>
              </a:graphicData>
            </a:graphic>
          </wp:anchor>
        </w:drawing>
      </w:r>
    </w:p>
    <w:p>
      <w:pPr>
        <w:spacing w:after="0" w:line="1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2013</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17145</wp:posOffset>
            </wp:positionV>
            <wp:extent cx="37477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7770" cy="17145"/>
                    </a:xfrm>
                    <a:prstGeom prst="rect">
                      <a:avLst/>
                    </a:prstGeom>
                    <a:noFill/>
                  </pic:spPr>
                </pic:pic>
              </a:graphicData>
            </a:graphic>
          </wp:anchor>
        </w:drawing>
      </w:r>
    </w:p>
    <w:p>
      <w:pPr>
        <w:spacing w:after="0" w:line="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(Signing on behalf of the Registrant and as the Principal Financial Officer and</w:t>
      </w:r>
    </w:p>
    <w:p>
      <w:pPr>
        <w:spacing w:after="0" w:line="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0" w:name="page31"/>
    <w:bookmarkEnd w:id="30"/>
    <w:p>
      <w:pPr>
        <w:spacing w:after="0"/>
        <w:tabs>
          <w:tab w:leader="none" w:pos="60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80"/>
          </w:cols>
          <w:pgMar w:left="540" w:top="1188" w:right="479" w:bottom="1440" w:gutter="0" w:footer="0" w:header="0"/>
        </w:sectPr>
      </w:pPr>
    </w:p>
    <w:p>
      <w:pPr>
        <w:spacing w:after="0" w:line="279"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Articles of Incorporation of ManpowerGroup Inc.</w:t>
      </w:r>
    </w:p>
    <w:p>
      <w:pPr>
        <w:spacing w:after="0" w:line="252"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ManpowerGroup Inc.</w:t>
      </w:r>
    </w:p>
    <w:p>
      <w:pPr>
        <w:spacing w:after="0" w:line="252"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Statement regarding Computation of Ratio of Earnings to Fixed Charges.</w:t>
      </w:r>
    </w:p>
    <w:p>
      <w:pPr>
        <w:spacing w:after="0" w:line="252"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Jeffrey A. Joerres, Chairman and Chief Executive Officer, pursuant to Section 13a-14(a) of the Securities Exchange Act of</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1934.</w:t>
      </w:r>
    </w:p>
    <w:p>
      <w:pPr>
        <w:spacing w:after="0" w:line="234" w:lineRule="exact"/>
        <w:rPr>
          <w:sz w:val="20"/>
          <w:szCs w:val="20"/>
          <w:color w:val="auto"/>
        </w:rPr>
      </w:pPr>
    </w:p>
    <w:p>
      <w:pPr>
        <w:ind w:left="740" w:hanging="647"/>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Michael J. Van Handel, Executive Vice President and Chief Financial Officer, pursuant to Section 13a-14(a) of the Securities Exchange Act of 1934.</w:t>
      </w:r>
    </w:p>
    <w:p>
      <w:pPr>
        <w:spacing w:after="0" w:line="189"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Statement of Jeffrey A. Joerres, Chairman and Chief Executive Officer, pursuant to 18 U.S.C. ss. 1350.</w:t>
      </w:r>
    </w:p>
    <w:p>
      <w:pPr>
        <w:spacing w:after="0" w:line="252"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Michael J. Van Handel, Executive Vice President and Chief Financial Officer, pursuant to 18 U.S.C. ss. 1350.</w:t>
      </w:r>
    </w:p>
    <w:p>
      <w:pPr>
        <w:spacing w:after="0" w:line="252" w:lineRule="exact"/>
        <w:rPr>
          <w:sz w:val="20"/>
          <w:szCs w:val="20"/>
          <w:color w:val="auto"/>
        </w:rPr>
      </w:pPr>
    </w:p>
    <w:p>
      <w:pPr>
        <w:ind w:left="740" w:right="140" w:hanging="654"/>
        <w:spacing w:after="0" w:line="289" w:lineRule="auto"/>
        <w:tabs>
          <w:tab w:leader="none" w:pos="7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Quarterly Report on Form 10-Q for the quarter ended June 30, 2013, formatted in XBRL (Extensible Business Reporting Language): (i) Consolidated Balance Sheets, (ii) Consolidated Statements of Operations, (iii) Consolidated Statements of Comprehensive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540" w:top="1188" w:right="479" w:bottom="1440" w:gutter="0" w:footer="0" w:header="0"/>
          <w:type w:val="continuous"/>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ARTICLES OF INCORPORATION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amended and restated Articles of Incorporation are executed by the undersigned to supersede and replace the heretofore existing Articles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of ManpowerGroup Inc., as amended, a corporation organized under Chapter 180 of the Wisconsin Statutes: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ManpowerGroup Inc.</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period of existence of the corporation shall be perpetual.</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corporation is authorized to engage in any lawful activity for which corporations may be organized under Chapter 180 of the Wisconsin Statutes and any successor provisions.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5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aggregate number of shares which the corporation shall have the authority to issue, the designation of each class of shares, the authorized number of shares of each class of par value and the par value thereof per share shall be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Designation</w:t>
            </w:r>
          </w:p>
        </w:tc>
        <w:tc>
          <w:tcPr>
            <w:tcW w:w="3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Par Value</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41"/>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Class</w:t>
            </w:r>
          </w:p>
        </w:tc>
        <w:tc>
          <w:tcPr>
            <w:tcW w:w="35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Per Share</w:t>
            </w:r>
          </w:p>
        </w:tc>
        <w:tc>
          <w:tcPr>
            <w:tcW w:w="37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198"/>
        </w:trPr>
        <w:tc>
          <w:tcPr>
            <w:tcW w:w="4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w:t>
            </w:r>
          </w:p>
        </w:tc>
        <w:tc>
          <w:tcPr>
            <w:tcW w:w="350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5"/>
              </w:rPr>
              <w:t>$.01</w:t>
            </w:r>
          </w:p>
        </w:tc>
        <w:tc>
          <w:tcPr>
            <w:tcW w:w="3780" w:type="dxa"/>
            <w:vAlign w:val="bottom"/>
          </w:tcPr>
          <w:p>
            <w:pPr>
              <w:jc w:val="right"/>
              <w:ind w:right="1270"/>
              <w:spacing w:after="0" w:line="198" w:lineRule="exact"/>
              <w:rPr>
                <w:sz w:val="20"/>
                <w:szCs w:val="20"/>
                <w:color w:val="auto"/>
              </w:rPr>
            </w:pPr>
            <w:r>
              <w:rPr>
                <w:rFonts w:ascii="Times New Roman" w:cs="Times New Roman" w:eastAsia="Times New Roman" w:hAnsi="Times New Roman"/>
                <w:sz w:val="18"/>
                <w:szCs w:val="18"/>
                <w:color w:val="auto"/>
              </w:rPr>
              <w:t>125,000,000</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Preferred Stock</w:t>
            </w:r>
          </w:p>
        </w:tc>
        <w:tc>
          <w:tcPr>
            <w:tcW w:w="3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5"/>
              </w:rPr>
              <w:t>$.01</w:t>
            </w:r>
          </w:p>
        </w:tc>
        <w:tc>
          <w:tcPr>
            <w:tcW w:w="37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25,000,000</w:t>
            </w: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preferences, limitations and relative rights of shares of each class of stock shall be as follows:</w:t>
      </w:r>
    </w:p>
    <w:p>
      <w:pPr>
        <w:spacing w:after="0" w:line="277" w:lineRule="exact"/>
        <w:rPr>
          <w:sz w:val="20"/>
          <w:szCs w:val="20"/>
          <w:color w:val="auto"/>
        </w:rPr>
      </w:pPr>
    </w:p>
    <w:p>
      <w:pPr>
        <w:ind w:left="1020" w:hanging="364"/>
        <w:spacing w:after="0"/>
        <w:tabs>
          <w:tab w:leader="none" w:pos="102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Common Stock.</w:t>
      </w:r>
    </w:p>
    <w:p>
      <w:pPr>
        <w:spacing w:after="0" w:line="279" w:lineRule="exact"/>
        <w:rPr>
          <w:rFonts w:ascii="Times New Roman" w:cs="Times New Roman" w:eastAsia="Times New Roman" w:hAnsi="Times New Roman"/>
          <w:sz w:val="18"/>
          <w:szCs w:val="18"/>
          <w:i w:val="1"/>
          <w:iCs w:val="1"/>
          <w:color w:val="auto"/>
        </w:rPr>
      </w:pPr>
    </w:p>
    <w:p>
      <w:pPr>
        <w:ind w:left="660" w:right="40" w:firstLine="1293"/>
        <w:spacing w:after="0" w:line="261" w:lineRule="auto"/>
        <w:tabs>
          <w:tab w:leader="none" w:pos="2382" w:val="left"/>
        </w:tabs>
        <w:numPr>
          <w:ilvl w:val="1"/>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Except as otherwise provided by law and except as may be determined by the Board of Directors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Preferred Stock as provided in subparagraph (b) of paragraph (1) of Section B, below, only the holders of shares of Common Stock shall be entitled to vote for the election of directors of the corporation and for all other corporate purposes. Except as otherwise provided by law, upon any such vote, each holder of Common Stock shall be entitled to one vote for each share of Common Stock held of record by such shareholder.</w:t>
      </w:r>
    </w:p>
    <w:p>
      <w:pPr>
        <w:spacing w:after="0" w:line="234" w:lineRule="exact"/>
        <w:rPr>
          <w:rFonts w:ascii="Times New Roman" w:cs="Times New Roman" w:eastAsia="Times New Roman" w:hAnsi="Times New Roman"/>
          <w:sz w:val="18"/>
          <w:szCs w:val="18"/>
          <w:i w:val="1"/>
          <w:iCs w:val="1"/>
          <w:color w:val="auto"/>
        </w:rPr>
      </w:pPr>
    </w:p>
    <w:p>
      <w:pPr>
        <w:jc w:val="both"/>
        <w:ind w:left="660" w:right="100" w:firstLine="1293"/>
        <w:spacing w:after="0" w:line="267" w:lineRule="auto"/>
        <w:tabs>
          <w:tab w:leader="none" w:pos="2382" w:val="left"/>
        </w:tabs>
        <w:numPr>
          <w:ilvl w:val="1"/>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provisions of paragraph (4) of Section B, below, the holders of Common Stock shall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such dividends as may be declared thereon from time to time by the Board of Directors, in its discretion, out of any funds of the corporation at the time legally available for payment of dividends on Common Stock.</w:t>
      </w:r>
    </w:p>
    <w:p>
      <w:pPr>
        <w:spacing w:after="0" w:line="227" w:lineRule="exact"/>
        <w:rPr>
          <w:rFonts w:ascii="Times New Roman" w:cs="Times New Roman" w:eastAsia="Times New Roman" w:hAnsi="Times New Roman"/>
          <w:sz w:val="18"/>
          <w:szCs w:val="18"/>
          <w:i w:val="1"/>
          <w:iCs w:val="1"/>
          <w:color w:val="auto"/>
        </w:rPr>
      </w:pPr>
    </w:p>
    <w:p>
      <w:pPr>
        <w:ind w:left="660" w:right="40" w:firstLine="1293"/>
        <w:spacing w:after="0" w:line="261" w:lineRule="auto"/>
        <w:tabs>
          <w:tab w:leader="none" w:pos="2382" w:val="left"/>
        </w:tabs>
        <w:numPr>
          <w:ilvl w:val="1"/>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the voluntary or involuntary dissolution, liquidation or winding up of the corporation, after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paid to or set aside for the holders of shares of Preferred Stock the full preferential amounts to which they are entitled as provided in paragraph (5) of Section B, below, the holders of outstanding shares of Common Stock shall be entitled to share ratably, according to the number of shares held by each, in the remaining assets of the corporation available for distribution.</w:t>
      </w:r>
    </w:p>
    <w:p>
      <w:pPr>
        <w:spacing w:after="0" w:line="234" w:lineRule="exact"/>
        <w:rPr>
          <w:rFonts w:ascii="Times New Roman" w:cs="Times New Roman" w:eastAsia="Times New Roman" w:hAnsi="Times New Roman"/>
          <w:sz w:val="18"/>
          <w:szCs w:val="18"/>
          <w:i w:val="1"/>
          <w:iCs w:val="1"/>
          <w:color w:val="auto"/>
        </w:rPr>
      </w:pPr>
    </w:p>
    <w:p>
      <w:pPr>
        <w:ind w:left="1020" w:hanging="364"/>
        <w:spacing w:after="0"/>
        <w:tabs>
          <w:tab w:leader="none" w:pos="102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Preferred Stock.</w:t>
      </w:r>
    </w:p>
    <w:p>
      <w:pPr>
        <w:spacing w:after="0" w:line="279" w:lineRule="exact"/>
        <w:rPr>
          <w:rFonts w:ascii="Times New Roman" w:cs="Times New Roman" w:eastAsia="Times New Roman" w:hAnsi="Times New Roman"/>
          <w:sz w:val="18"/>
          <w:szCs w:val="18"/>
          <w:i w:val="1"/>
          <w:iCs w:val="1"/>
          <w:color w:val="auto"/>
        </w:rPr>
      </w:pPr>
    </w:p>
    <w:p>
      <w:pPr>
        <w:ind w:left="660" w:right="180" w:firstLine="1293"/>
        <w:spacing w:after="0" w:line="261" w:lineRule="auto"/>
        <w:tabs>
          <w:tab w:leader="none" w:pos="2382" w:val="left"/>
        </w:tabs>
        <w:numPr>
          <w:ilvl w:val="1"/>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Series and Variations Between Series</w:t>
      </w:r>
      <w:r>
        <w:rPr>
          <w:rFonts w:ascii="Times New Roman" w:cs="Times New Roman" w:eastAsia="Times New Roman" w:hAnsi="Times New Roman"/>
          <w:sz w:val="18"/>
          <w:szCs w:val="18"/>
          <w:color w:val="auto"/>
        </w:rPr>
        <w:t>. The Preferred Stock may from time to time as hereinafter provided, be divided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issued in one or more series, and the Board of Directors is hereby expressly authorized to establish one or more series, to fix and determine the variations as among series and to fix and determine, prior to the issuance of any shares of a particular series, the following designations, terms, limitations and relative rights and preferences of such series:</w:t>
      </w:r>
    </w:p>
    <w:p>
      <w:pPr>
        <w:spacing w:after="0" w:line="236" w:lineRule="exact"/>
        <w:rPr>
          <w:rFonts w:ascii="Times New Roman" w:cs="Times New Roman" w:eastAsia="Times New Roman" w:hAnsi="Times New Roman"/>
          <w:sz w:val="18"/>
          <w:szCs w:val="18"/>
          <w:i w:val="1"/>
          <w:iCs w:val="1"/>
          <w:color w:val="auto"/>
        </w:rPr>
      </w:pPr>
    </w:p>
    <w:p>
      <w:pPr>
        <w:ind w:left="660" w:right="200" w:firstLine="1941"/>
        <w:spacing w:after="0" w:line="266" w:lineRule="auto"/>
        <w:tabs>
          <w:tab w:leader="none" w:pos="302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designations of such series and the number of shares which shall constitute such series, which number may at any time, or from time to time, be increased or decreased (but not below the number of shares thereof then outstanding) by the Board of Directors unless the Board of Directors shall have otherwise provided in establishing such series;</w:t>
      </w:r>
    </w:p>
    <w:p>
      <w:pPr>
        <w:spacing w:after="0" w:line="230" w:lineRule="exact"/>
        <w:rPr>
          <w:rFonts w:ascii="Times New Roman" w:cs="Times New Roman" w:eastAsia="Times New Roman" w:hAnsi="Times New Roman"/>
          <w:sz w:val="18"/>
          <w:szCs w:val="18"/>
          <w:color w:val="auto"/>
        </w:rPr>
      </w:pPr>
    </w:p>
    <w:p>
      <w:pPr>
        <w:ind w:left="660" w:right="140" w:firstLine="1941"/>
        <w:spacing w:after="0" w:line="266" w:lineRule="auto"/>
        <w:tabs>
          <w:tab w:leader="none" w:pos="303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the shares of that series shall have voting rights, in addition to the voting rights provided by law, which might include the right to elect a specified number of directors in any case or if dividends on such series were not paid for a specified period of time;</w:t>
      </w:r>
    </w:p>
    <w:p>
      <w:pPr>
        <w:spacing w:after="0" w:line="230" w:lineRule="exact"/>
        <w:rPr>
          <w:rFonts w:ascii="Times New Roman" w:cs="Times New Roman" w:eastAsia="Times New Roman" w:hAnsi="Times New Roman"/>
          <w:sz w:val="18"/>
          <w:szCs w:val="18"/>
          <w:color w:val="auto"/>
        </w:rPr>
      </w:pPr>
    </w:p>
    <w:p>
      <w:pPr>
        <w:ind w:left="660" w:right="240" w:firstLine="1941"/>
        <w:spacing w:after="0" w:line="282" w:lineRule="auto"/>
        <w:tabs>
          <w:tab w:leader="none" w:pos="302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yearly rate of dividends, if any, on the shares of such series, the dates in each year upon which such dividend shall be payable and, the date or dates from which any such cumulative dividend shall be cumulative;</w:t>
      </w:r>
    </w:p>
    <w:p>
      <w:pPr>
        <w:sectPr>
          <w:pgSz w:w="11900" w:h="16838" w:orient="portrait"/>
          <w:cols w:equalWidth="0" w:num="1">
            <w:col w:w="11420"/>
          </w:cols>
          <w:pgMar w:left="240" w:top="117" w:right="239" w:bottom="94" w:gutter="0" w:footer="0" w:header="0"/>
        </w:sectPr>
      </w:pPr>
    </w:p>
    <w:bookmarkStart w:id="33" w:name="page34"/>
    <w:bookmarkEnd w:id="33"/>
    <w:p>
      <w:pPr>
        <w:spacing w:after="0" w:line="42" w:lineRule="exact"/>
        <w:rPr>
          <w:sz w:val="20"/>
          <w:szCs w:val="20"/>
          <w:color w:val="auto"/>
        </w:rPr>
      </w:pPr>
    </w:p>
    <w:p>
      <w:pPr>
        <w:ind w:left="660" w:right="200" w:firstLine="1941"/>
        <w:spacing w:after="0" w:line="282" w:lineRule="auto"/>
        <w:tabs>
          <w:tab w:leader="none" w:pos="30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payable on the shares of such series in the event of the voluntary or involuntary liquidation, dissolution or winding up of the corporation;</w:t>
      </w:r>
    </w:p>
    <w:p>
      <w:pPr>
        <w:spacing w:after="0" w:line="215" w:lineRule="exact"/>
        <w:rPr>
          <w:rFonts w:ascii="Times New Roman" w:cs="Times New Roman" w:eastAsia="Times New Roman" w:hAnsi="Times New Roman"/>
          <w:sz w:val="18"/>
          <w:szCs w:val="18"/>
          <w:color w:val="auto"/>
        </w:rPr>
      </w:pPr>
    </w:p>
    <w:p>
      <w:pPr>
        <w:ind w:left="660" w:right="160" w:firstLine="1941"/>
        <w:spacing w:after="0" w:line="289" w:lineRule="auto"/>
        <w:tabs>
          <w:tab w:leader="none" w:pos="302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if any, on which the shares of such series shall be redeemable, and, if redeemable, the amount per share payable thereon in the case of the redemption thereof (which amount may vary for (i) shares redeemed on different dates; and (ii) shares redeemed through the operation of a sinking fund, if any, applicable to such shares, from the amount payable with respect to shares otherwise redeemed);</w:t>
      </w:r>
    </w:p>
    <w:p>
      <w:pPr>
        <w:spacing w:after="0" w:line="212" w:lineRule="exact"/>
        <w:rPr>
          <w:rFonts w:ascii="Times New Roman" w:cs="Times New Roman" w:eastAsia="Times New Roman" w:hAnsi="Times New Roman"/>
          <w:sz w:val="17"/>
          <w:szCs w:val="17"/>
          <w:color w:val="auto"/>
        </w:rPr>
      </w:pPr>
    </w:p>
    <w:p>
      <w:pPr>
        <w:ind w:left="660" w:right="480" w:firstLine="1941"/>
        <w:spacing w:after="0" w:line="282" w:lineRule="auto"/>
        <w:tabs>
          <w:tab w:leader="none" w:pos="300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and manner in which a sinking fund, if any, shall be applied to the redemption or purchase of the shares of such series, and the terms and provisions relative to the operation of such fund;</w:t>
      </w:r>
    </w:p>
    <w:p>
      <w:pPr>
        <w:spacing w:after="0" w:line="215" w:lineRule="exact"/>
        <w:rPr>
          <w:rFonts w:ascii="Times New Roman" w:cs="Times New Roman" w:eastAsia="Times New Roman" w:hAnsi="Times New Roman"/>
          <w:sz w:val="18"/>
          <w:szCs w:val="18"/>
          <w:color w:val="auto"/>
        </w:rPr>
      </w:pPr>
    </w:p>
    <w:p>
      <w:pPr>
        <w:ind w:left="660" w:firstLine="1941"/>
        <w:spacing w:after="0" w:line="266" w:lineRule="auto"/>
        <w:tabs>
          <w:tab w:leader="none" w:pos="30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shares of such series shall be convertible into shares of any other class or of any other series of the same or any other class and, if so convertible, the price or prices or the rate or rates of conversion, including the method, if any, for adjustments of such prices or rates, and any other terms and conditions applicable thereto; and</w:t>
      </w:r>
    </w:p>
    <w:p>
      <w:pPr>
        <w:spacing w:after="0" w:line="230" w:lineRule="exact"/>
        <w:rPr>
          <w:rFonts w:ascii="Times New Roman" w:cs="Times New Roman" w:eastAsia="Times New Roman" w:hAnsi="Times New Roman"/>
          <w:sz w:val="18"/>
          <w:szCs w:val="18"/>
          <w:color w:val="auto"/>
        </w:rPr>
      </w:pPr>
    </w:p>
    <w:p>
      <w:pPr>
        <w:ind w:left="660" w:right="20" w:firstLine="1941"/>
        <w:spacing w:after="0" w:line="282" w:lineRule="auto"/>
        <w:tabs>
          <w:tab w:leader="none" w:pos="30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terms, limitations and relative rights and preferences, if any, of such series as the Board of Directors may lawfully fix and determine and as shall not be inconsistent with the laws of the State of Wisconsin or these Articles of Incorporation.</w:t>
      </w:r>
    </w:p>
    <w:p>
      <w:pPr>
        <w:spacing w:after="0" w:line="213" w:lineRule="exact"/>
        <w:rPr>
          <w:rFonts w:ascii="Times New Roman" w:cs="Times New Roman" w:eastAsia="Times New Roman" w:hAnsi="Times New Roman"/>
          <w:sz w:val="18"/>
          <w:szCs w:val="18"/>
          <w:color w:val="auto"/>
        </w:rPr>
      </w:pPr>
    </w:p>
    <w:p>
      <w:pPr>
        <w:ind w:left="660" w:right="20" w:firstLine="1293"/>
        <w:spacing w:after="0" w:line="284" w:lineRule="auto"/>
        <w:tabs>
          <w:tab w:leader="none" w:pos="2382"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 Shares of Preferred Stock may be issued which are redeemable by the corporation at the price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Board of Directors for shares of each series as provided in subparagraph (e) of paragraph (1) of this Section B, above.</w:t>
      </w:r>
    </w:p>
    <w:p>
      <w:pPr>
        <w:spacing w:after="0" w:line="212" w:lineRule="exact"/>
        <w:rPr>
          <w:rFonts w:ascii="Times New Roman" w:cs="Times New Roman" w:eastAsia="Times New Roman" w:hAnsi="Times New Roman"/>
          <w:sz w:val="18"/>
          <w:szCs w:val="18"/>
          <w:i w:val="1"/>
          <w:iCs w:val="1"/>
          <w:color w:val="auto"/>
        </w:rPr>
      </w:pPr>
    </w:p>
    <w:p>
      <w:pPr>
        <w:ind w:left="660" w:right="20" w:firstLine="1293"/>
        <w:spacing w:after="0" w:line="267" w:lineRule="auto"/>
        <w:tabs>
          <w:tab w:leader="none" w:pos="2382"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Conversion of Preferred Stock</w:t>
      </w:r>
      <w:r>
        <w:rPr>
          <w:rFonts w:ascii="Times New Roman" w:cs="Times New Roman" w:eastAsia="Times New Roman" w:hAnsi="Times New Roman"/>
          <w:sz w:val="18"/>
          <w:szCs w:val="18"/>
          <w:color w:val="auto"/>
        </w:rPr>
        <w:t>. Shares of Preferred Stock may be issued which are convertible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shares of any other series of Preferred Stock on the terms and conditions determined by the Board of Directors for shares of each series as provided in subparagraph (g) of paragraph (1) of this Section B, above.</w:t>
      </w:r>
    </w:p>
    <w:p>
      <w:pPr>
        <w:spacing w:after="0" w:line="227" w:lineRule="exact"/>
        <w:rPr>
          <w:rFonts w:ascii="Times New Roman" w:cs="Times New Roman" w:eastAsia="Times New Roman" w:hAnsi="Times New Roman"/>
          <w:sz w:val="18"/>
          <w:szCs w:val="18"/>
          <w:i w:val="1"/>
          <w:iCs w:val="1"/>
          <w:color w:val="auto"/>
        </w:rPr>
      </w:pPr>
    </w:p>
    <w:p>
      <w:pPr>
        <w:ind w:left="660" w:firstLine="1293"/>
        <w:spacing w:after="0" w:line="253" w:lineRule="auto"/>
        <w:tabs>
          <w:tab w:leader="none" w:pos="2382"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Shares of Preferred Stock may be issued which entitle the holders thereof to cumulative, noncumulative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cumulative dividends. The holders of Preferred Stock shall be entitled to receive, when, as and if declared by the Board of Directors, out of funds legally available therefor, dividends at the annual rate fixed by the Board of Directors with respect to each series of shares and no more. Such dividends shall be payable on such dates and in respect of such periods in such year as may be fixed by the Board of Directors to the holders of record thereof on such date as may be determined by the Board of Directors. Such dividends shall be paid or declared and set apart for payment for each dividend period before any dividend (other than a dividend payable solely in Common Stock) for the same period shall be paid upon or set apart for payment on the Common Stock, and, if dividends on the Preferred Stock shall be cumulative or partially cumulative, all unpaid dividends thereon for any past dividend period shall be fully paid or declared and set apart for payment, but without interest, before any dividend (other than a dividend payable solely in Common Stock) shall be paid upon or set apart for payment in the Common Stock. The holders of Preferred Stock shall not, however, be entitled to participate in any other or additional earnings or profits of the corporation, except for such premiums, if any, as may be payable in case of redemption, liquidation, dissolution or winding up.</w:t>
      </w:r>
    </w:p>
    <w:p>
      <w:pPr>
        <w:spacing w:after="0" w:line="246" w:lineRule="exact"/>
        <w:rPr>
          <w:rFonts w:ascii="Times New Roman" w:cs="Times New Roman" w:eastAsia="Times New Roman" w:hAnsi="Times New Roman"/>
          <w:sz w:val="18"/>
          <w:szCs w:val="18"/>
          <w:i w:val="1"/>
          <w:iCs w:val="1"/>
          <w:color w:val="auto"/>
        </w:rPr>
      </w:pPr>
    </w:p>
    <w:p>
      <w:pPr>
        <w:ind w:left="660" w:right="60" w:firstLine="1293"/>
        <w:spacing w:after="0" w:line="261" w:lineRule="auto"/>
        <w:tabs>
          <w:tab w:leader="none" w:pos="2382"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liquidation, dissolution or winding up (whether voluntary or involuntary) of the corporation,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shares of Preferred Stock shall be entitled to be paid the full amount payable on such shares upon the liquidation, dissolution or winding up of the corporation fixed by the Board of Directors with respect to such shares as provided in subparagraph (d) of paragraph (1) of this Section B, above, before any amount shall be paid to the holders of the Common Stock.</w:t>
      </w:r>
    </w:p>
    <w:p>
      <w:pPr>
        <w:spacing w:after="0" w:line="234" w:lineRule="exact"/>
        <w:rPr>
          <w:rFonts w:ascii="Times New Roman" w:cs="Times New Roman" w:eastAsia="Times New Roman" w:hAnsi="Times New Roman"/>
          <w:sz w:val="18"/>
          <w:szCs w:val="18"/>
          <w:i w:val="1"/>
          <w:iCs w:val="1"/>
          <w:color w:val="auto"/>
        </w:rPr>
      </w:pPr>
    </w:p>
    <w:p>
      <w:pPr>
        <w:ind w:left="660" w:right="40" w:firstLine="1293"/>
        <w:spacing w:after="0" w:line="267" w:lineRule="auto"/>
        <w:tabs>
          <w:tab w:leader="none" w:pos="2382"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Reissue of Shares</w:t>
      </w:r>
      <w:r>
        <w:rPr>
          <w:rFonts w:ascii="Times New Roman" w:cs="Times New Roman" w:eastAsia="Times New Roman" w:hAnsi="Times New Roman"/>
          <w:sz w:val="18"/>
          <w:szCs w:val="18"/>
          <w:color w:val="auto"/>
        </w:rPr>
        <w:t>. Shares of the Preferred Stock which shall have been converted, redeemed, purchased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by the corporation, whether through the operation of a sinking fund or otherwise, shall be retired and restored to the status of authorized but unissued shares, but may be reissued only as a part of the Preferred Stock other than the series of which they were originally a part.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No holder of any stock of the corporation shall have any pre-emptive or subscription rights nor be entitled, as of right, to purchase or subscribe for any part of the unissued stock of this corporation or of any additional stock issued by reason of any increase of authorized capital stock of this corporation or other securities whether or not convertible into stock of this corporation.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56"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A dividend payable in shares of any class of stock of the corporation may be paid in shares of any other class without authorization by the shareholders of the class of stock to be issued.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is 8040 Excelsior Drive, Suite 200, Madison, Wisconsin 53717 in Dane County. The name of its registered agent at such address is CT Corporation System.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number of directors (exclusive of directors, if any, elected by the holders of one or more series of Preferred Stock, voting separately as a series pursuant to the provisions of these Articles of Incorporation applicable thereto) shall not be less than 3 nor more than 15 directors, the exact number of directors to be determined from time to time by resolution adopted by the affirmative vote of a majority of the entire Board of Directors then in office.</w:t>
      </w:r>
    </w:p>
    <w:p>
      <w:pPr>
        <w:spacing w:after="0" w:line="20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At the 2014 annual meeting of shareholders of the corporation, the successors of the directors whose terms expire at that meeting shall be elected for a term expiring at the 2015 annual meeting of shareholders of the corporation and until their successors shall be elected and shall qualify; at the 2015 annual meeting of shareholders of the corporation, the successors of the directors whose terms expire at that meeting shall be elected for a term expiring at the 2016 annual meeting of shareholders of the corporation and until their successors shall be elected and shall qualify; and at each annual meeting of shareholders of the corporation thereafter, the successors of the directors whose terms expire at that meeting shall be elected for terms expiring at the next annual meeting of shareholders of the corporation and until their successors shall be elected and shall qualify.</w:t>
      </w:r>
    </w:p>
    <w:p>
      <w:pPr>
        <w:sectPr>
          <w:pgSz w:w="11900" w:h="16880" w:orient="portrait"/>
          <w:cols w:equalWidth="0" w:num="1">
            <w:col w:w="11420"/>
          </w:cols>
          <w:pgMar w:left="240" w:top="148" w:right="239" w:bottom="0" w:gutter="0" w:footer="0" w:header="0"/>
        </w:sectPr>
      </w:pPr>
    </w:p>
    <w:bookmarkStart w:id="34" w:name="page35"/>
    <w:bookmarkEnd w:id="34"/>
    <w:p>
      <w:pPr>
        <w:ind w:firstLine="648"/>
        <w:spacing w:after="0" w:line="255" w:lineRule="auto"/>
        <w:rPr>
          <w:sz w:val="20"/>
          <w:szCs w:val="20"/>
          <w:color w:val="auto"/>
        </w:rPr>
      </w:pPr>
      <w:r>
        <w:rPr>
          <w:rFonts w:ascii="Times New Roman" w:cs="Times New Roman" w:eastAsia="Times New Roman" w:hAnsi="Times New Roman"/>
          <w:sz w:val="18"/>
          <w:szCs w:val="18"/>
          <w:color w:val="auto"/>
        </w:rPr>
        <w:t>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Article VIII,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 The shareholders of the corporation are hereby authorized to adopt or amend a by-law of the corporation that fixes the foregoing voting standard.</w:t>
      </w:r>
    </w:p>
    <w:p>
      <w:pPr>
        <w:spacing w:after="0" w:line="21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Any newly created directorship resulting from an increase in the number of directors and any other vacancy on the Board of Directors, however caused,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until the next annual meeting of shareholders and until his or her successor shall be elected and shall qualify.</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Exclusive of directors, if any, elected by the holders of one or more series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Article VIII, the term “Cause” shall mean solely malfeasance arising from the performance of a director’s duties which has a materially adverse effect on the business of the corporation.</w:t>
      </w:r>
    </w:p>
    <w:p>
      <w:pPr>
        <w:spacing w:after="0" w:line="2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 person, except those nominated by or at the direction of the Board of Directors, shall be eligible for election as a director at any annual or special meeting of shareholders unless a written request, in the form established by the corporation’s by-laws, that a person’s name be placed in nomination is received from a shareholder of record by the Secretary of the corporation, together with the written consent of such person to serve as a director, (i) with respect to an election held at an annual meeting of shareholders, not less than 90 nor more than 150 days prior to the meeting date fixed pursuant to the corporation’s by-laws, or (ii) with respect to an election held at a special meeting of shareholders for the election of directors, not less than the close of business on the eighth day following the date on which notice of such meeting is given to shareholders.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provision of these Articles of Incorporation, these Articles of Incorporation may be amended, altered or repealed, and new Articles of Incorporation may be enacted, only by the affirmative vote of the holders of not less than two-thirds of the outstanding total shares of stock of the corporation entitled to vote at a meeting of shareholders duly called for such purpose and by the affirmative vote of the holders of not less than two-thirds of the shares of each class or series, if any, entitled to vote thereon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Article IX shall not limit the power of the corporation’s Board of Directors to make certain amendments to the Articles of Incorporation under Chapter 180 of the Wisconsin Statutes and any successor provisions without shareholder approval.</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these Articles of Incorporation or the corporation’s By-Laws, the corporation’s By-Laws may be amended, altered or repealed, and new By-Laws may be enacted, only by the affirmative vote of the holders of not less than two-thirds of the outstanding shares of stock of the corporation entitled to vote at a meeting of shareholders duly called for such purpose and by the affirmative vote of the holders of not less than two-thirds of the shares of each class or series, if any, entitled to vote thereon at such meeting, or by a vote of not less than three-quarters of the entire Board of Directors then in office.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on behalf of the corporation this 31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8"/>
          <w:szCs w:val="18"/>
          <w:color w:val="auto"/>
        </w:rPr>
        <w:t xml:space="preserve"> day of July, 2013.</w:t>
      </w:r>
    </w:p>
    <w:p>
      <w:pPr>
        <w:spacing w:after="0" w:line="200" w:lineRule="exact"/>
        <w:rPr>
          <w:sz w:val="20"/>
          <w:szCs w:val="20"/>
          <w:color w:val="auto"/>
        </w:rPr>
      </w:pPr>
    </w:p>
    <w:p>
      <w:pPr>
        <w:spacing w:after="0" w:line="21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u w:val="single" w:color="auto"/>
          <w:color w:val="auto"/>
        </w:rPr>
        <w:t>/s/ Richard Buchband</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Richard Buchband</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instrument was drafted by: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Dennis F. Connolly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Godfrey &amp; Kahn, S.C.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780 North Water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 53202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ManpowerGroup Inc.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July 30, 2013)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 OFFICES</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Principal and Other Offices</w:t>
      </w:r>
      <w:r>
        <w:rPr>
          <w:rFonts w:ascii="Times New Roman" w:cs="Times New Roman" w:eastAsia="Times New Roman" w:hAnsi="Times New Roman"/>
          <w:sz w:val="18"/>
          <w:szCs w:val="18"/>
          <w:color w:val="auto"/>
        </w:rPr>
        <w:t>. The principal office of the Corporation shall be located at any place either within or outside the State of Wisconsin as designated in the Corporation’s most current Annual Report filed with the Wisconsin Secretary of State. The Corporation may have such other offices, either within or outside the State of Wisconsin as the Board of Directors may designate or as the business of the Corporation may require from time to time.</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required by the Wisconsin business corporation law to be maintained in the State of Wisconsin may, but need not, be the same as any of its places of business. The registered office may be changed from time to time.</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Registered Agent</w:t>
      </w:r>
      <w:r>
        <w:rPr>
          <w:rFonts w:ascii="Times New Roman" w:cs="Times New Roman" w:eastAsia="Times New Roman" w:hAnsi="Times New Roman"/>
          <w:sz w:val="18"/>
          <w:szCs w:val="18"/>
          <w:color w:val="auto"/>
        </w:rPr>
        <w:t>. The registered agent of the Corporation required by the Wisconsin business corporation law to maintain a business office in the State of Wisconsin may, but need not, be an officer or employee of the Corporation as long as such agent’s business office is identical with the registered office. The registered agent may be changed from time to time.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 SHAREHOLDERS</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shareholders shall be held on the third Tuesday in the month of April for each year at 10:00 a.m. (local time) or at such other date and time as shall be fixed by, or at the direction of, the Board of Directors, for the purpose of electing directors and for the transaction of such other business as may have been properly brought before the meeting in compliance with the provisions of Section 2.5. If the day fixed for the annual meeting shall be a legal holiday in the State of Wisconsin, such meeting shall be held on the next succeeding business day.</w:t>
      </w:r>
    </w:p>
    <w:p>
      <w:pPr>
        <w:spacing w:after="0" w:line="20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applicable law, special meetings of shareholders of the Corporation may only be called by the Chairman of the Board or the Chief Executive Officer pursuant to a resolution approved by not less than three-quarters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hold a special meeting of shareholders of the Corporation if a signed and dated written demand or demands by the holders of at least 10% of all the votes entitled to be cast on any issue proposed to be considered at the proposed special meeting is delivered to the Corporation as required under the Wisconsin business corporation law, which demand or demands must describe one or more identical purposes for which the shareholders demand a meeting be called.</w:t>
      </w:r>
    </w:p>
    <w:p>
      <w:pPr>
        <w:spacing w:after="0" w:line="21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Place of Meeting</w:t>
      </w:r>
      <w:r>
        <w:rPr>
          <w:rFonts w:ascii="Times New Roman" w:cs="Times New Roman" w:eastAsia="Times New Roman" w:hAnsi="Times New Roman"/>
          <w:sz w:val="18"/>
          <w:szCs w:val="18"/>
          <w:color w:val="auto"/>
        </w:rPr>
        <w:t>. The Board of Directors, the Chairman of the Board or the Chief Executive Officer may designate any place, within or outside the State of Wisconsin, as the place of meeting for the annual meeting or for any special meeting. If no designation is made the place of meeting shall be the principal office of the Corporation, but any meeting may be adjourned to reconvene at any place designated by vote of a majority of the shares represented thereat.</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The Corporation shall notify shareholders of the date, time and place of each annual and special shareholders meeting. Notice of a special meeting shall include a description of each purpose for which the meeting is called. Notice of all meetings need be given only to shareholders entitled to vote, unless otherwise required by the Wisconsin business corporation law, and shall be given not less than ten nor more than sixty days before the meeting date. The Corporation may give notice in person, by mail or other method of delivery, by telephone, including voice mail, answering machine or answering service or by any other electronic means and, if these forms of personal notice are impracticable, notice may be communicated by a newspaper of general circulation in the area where published, or by radio, television or other form of public broadcast communication. Written notice, which includes notice by electronic transmission, shall be effective when mailed postpaid and addressed to the shareholder’s address shown in the Corporation’s current record of shareholders, or when electronically transmitted to the shareholder in a manner authorized by the shareholder. Oral notice shall be deemed to be effective when communicated. Notice by newspaper, radio, television or other form of public broadcast communication shall be deemed to be effective the date of publication or broadcast.</w:t>
      </w:r>
    </w:p>
    <w:p>
      <w:pPr>
        <w:spacing w:after="0" w:line="21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Advance Notice Shareholder-Proposed Business at Annual Meeting</w:t>
      </w:r>
      <w:r>
        <w:rPr>
          <w:rFonts w:ascii="Times New Roman" w:cs="Times New Roman" w:eastAsia="Times New Roman" w:hAnsi="Times New Roman"/>
          <w:sz w:val="18"/>
          <w:szCs w:val="18"/>
          <w:color w:val="auto"/>
        </w:rPr>
        <w:t>. At an annual meeting of shareholders, only such business shall be conducted as shall have been properly brought before the meeting. To be properly brought before an annual meeting, business must be: (a) specified in the notice of meeting (or any amendment or supplement thereto) given in accordance with Section 2.4, (b) otherwise properly brought before the meeting by or at the direction of the Board of Directors, the Chairman of the Board or the Chief Executive Officer, or (c) otherwise properly brought before the meeting by a shareholder. In addition to any other requirements under applicable law, the Articles of Incorporation or the By-Laws for business to be properly brought before an annual meeting by a shareholder, the shareholder must have given timely notice thereof in writing to the Secretary of the Corporation. To be timely, a shareholder’s notice must be delivered to or mailed and received at the principal office of the Corporation, not less than 90 days prior to the anniversary of the annual meeting of shareholders held in the prior year.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address, as they appear on the Corporation’s books, of the shareholder proposing such business, (iii) (A) the class and number of shares of the Corporation which are owned of record and shares of the Corporation which are owned beneficially but not of record by such shareholder as well as by any Associated Person (as defined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w:t>
      </w:r>
    </w:p>
    <w:p>
      <w:pPr>
        <w:sectPr>
          <w:pgSz w:w="11900" w:h="16838" w:orient="portrait"/>
          <w:cols w:equalWidth="0" w:num="1">
            <w:col w:w="11420"/>
          </w:cols>
          <w:pgMar w:left="240" w:top="117" w:right="239" w:bottom="0" w:gutter="0" w:footer="0" w:header="0"/>
        </w:sectPr>
      </w:pPr>
    </w:p>
    <w:bookmarkStart w:id="37" w:name="page38"/>
    <w:bookmarkEnd w:id="37"/>
    <w:p>
      <w:pPr>
        <w:ind w:right="240"/>
        <w:spacing w:after="0" w:line="272" w:lineRule="auto"/>
        <w:rPr>
          <w:sz w:val="20"/>
          <w:szCs w:val="20"/>
          <w:color w:val="auto"/>
        </w:rPr>
      </w:pPr>
      <w:r>
        <w:rPr>
          <w:rFonts w:ascii="Times New Roman" w:cs="Times New Roman" w:eastAsia="Times New Roman" w:hAnsi="Times New Roman"/>
          <w:sz w:val="17"/>
          <w:szCs w:val="17"/>
          <w:color w:val="auto"/>
        </w:rPr>
        <w:t>Corporation,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w:t>
      </w:r>
    </w:p>
    <w:p>
      <w:pPr>
        <w:spacing w:after="0" w:line="2" w:lineRule="exact"/>
        <w:rPr>
          <w:sz w:val="20"/>
          <w:szCs w:val="20"/>
          <w:color w:val="auto"/>
        </w:rPr>
      </w:pPr>
    </w:p>
    <w:p>
      <w:pPr>
        <w:ind w:right="20" w:firstLine="8"/>
        <w:spacing w:after="0" w:line="251" w:lineRule="auto"/>
        <w:tabs>
          <w:tab w:leader="none" w:pos="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ten days after the record date for the meeting to disclose such ownership as of the record date); (iv) any other information relating to such shareholder and beneficial owner, if any, that would be required to be disclosed in a proxy statement or other filings that would be required to be made in connection with solicitations of proxies for the proposal pursuant to Section 14 of the Securities Exchange Act of 1934, as amended, and the rules and regulations promulgated thereunder; (v) a representation that the shareholder is a holder of record of stock of the Corporation entitled to vote at such meeting and intends to appear in person or by proxy at the meeting to present the proposed business specified in the notice; and (vi) any interest of the shareholder in such business. In addition, any such shareholder shall be required to provide such further information as may be requested by the Corporation. The Corporation may require evidence by any person giving notice under this Section 2.5 that such person is a bona fide beneficial owner of the Corporation’s shares.</w:t>
      </w:r>
    </w:p>
    <w:p>
      <w:pPr>
        <w:spacing w:after="0" w:line="2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in the By-Laws to the contrary, no business shall be conducted at the annual meeting except in accordance with the procedures set forth in this Section 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2.5 shall be deemed to preclude discussion by any shareholder of any business properly brought before the annual meeting in accordance with said procedure.</w:t>
      </w:r>
    </w:p>
    <w:p>
      <w:pPr>
        <w:spacing w:after="0" w:line="20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presiding officer at an annual meeting shall, if the facts warrant, determine and declare to the meeting that business was not properly brought before the meeting in accordance with the provisions of this Section 2.5, and if he should so determine, he shall so declare to the meeting and any such business not properly brought before the meeting shall not be transacted.</w:t>
      </w:r>
    </w:p>
    <w:p>
      <w:pPr>
        <w:spacing w:after="0" w:line="203"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For purposes of Sections 2.5 and 2.6, “Associated Person” of any shareholder means any person controlling, directly or indirectly, or acting in concert with, such shareholder; any beneficial owner of shares of stock of the Corporation owned of record or beneficially by such shareholder; and any person controlling, controlled by, or under common control with such shareholder.</w:t>
      </w:r>
    </w:p>
    <w:p>
      <w:pPr>
        <w:spacing w:after="0" w:line="20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this Section 2.5, any shareholder-proposed business that relates to the nomination of directors may only be properly brought before a meeting of shareholders in accordance with the procedures set forth in Section 2.6.</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Procedure for Nomination of Directors</w:t>
      </w:r>
      <w:r>
        <w:rPr>
          <w:rFonts w:ascii="Times New Roman" w:cs="Times New Roman" w:eastAsia="Times New Roman" w:hAnsi="Times New Roman"/>
          <w:sz w:val="18"/>
          <w:szCs w:val="18"/>
          <w:color w:val="auto"/>
        </w:rPr>
        <w:t>. Only persons nominated in accordance with all of the procedures set forth in the Corporation’s Articles of Incorporation and By-Laws shall be eligible for election as directors. Nominations of persons for election to the Board of Directors of the Corporation may be made at a meeting of shareholders by or at the direction of the Board of Directors, by any nominating committee or persons appointed by the Board, or by any shareholder of the Corporation entitled to vote for election of directors at the meeting who complies with all of the notice procedures set forth in this Section 2.6.</w:t>
      </w:r>
    </w:p>
    <w:p>
      <w:pPr>
        <w:spacing w:after="0" w:line="21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Nominations other than those made by or at the direction of the Board of Directors or any nominating committee or person appointed by the Board shall be made pursuant to timely notice in proper written form to the Secretary of the Corporation. To be timely, a shareholder’s request to nominate a person for director, together with the written consent of such person to serve as a director, must be received by the Secretary of the Corporation at the Corporation’s principal office (i) with respect to an election held at an annual meeting of shareholders, not less than 90 days nor more than 150 days prior to the anniversary of the annual meeting of shareholders held in the prior year, or (ii) with respect to an election held at a special meeting of shareholders for the election of directors, not later than the close of business on the eighth day following the date on which notice of such meeting is given to shareholders. To be in proper written form, such shareholder’s notice shall set forth in writing (a) as to each person whom the shareholder proposes to nominate for election or reelection as a director (i) the name, age, business address and residence address of such person, (ii) the principal occupation or employment of such person, (iii) the class and number of shares of stock of the Corporation which are beneficially owned by such person, and (iv) such other information relating to such person as is required to be disclosed in solicitations of proxies for election of directors, or as otherwise required, in each case pursuant to Regulation 14A under the Securities Exchange Act of 1934, as amended, and any successor to such Regulation; and (b) as to the shareholder giving the notice (i) the name and address, as they appear on the Corporation’s books, of such shareholder, (ii) (A) the class and number of shares of the Corporation which are owned of record and shares of the Corporation which are owned beneficially but not of record by such shareholder as well as by any Associated Person,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ten days after the record date for the meeting to disclose such ownership as of the record date); (iii) any other information relating to such shareholder and beneficial owner, if any, that would be required to be disclosed in a proxy statement or other filings that would be required to be made in connection with solicitations of proxies for the election of directors in a contested election pursuant to Section 14 of the Securities Exchange Act of 1934, as amended, and the rules and regulations promulgated thereunder; (iv) a representation that the shareholder is a holder of record of stock of the Corporation entitled to vote at such meeting and intends to appear in person or by proxy at the meeting to nominate the person or persons specified in the notice; and (v) any interest of the shareholder in such nomination. The Corporation may require any proposed nominee to furnish such other information as may reasonably be required by the Corporation to determine the eligibility of such proposed nominee to serve as a director of the Corporation or the shareholder to nominate the proposed nominee. The presiding officer at the meeting shall, if the facts so warrant, determine and declare to the meeting that a nomination was not made in accordance with the procedures or other requirements prescribed by the Corporation’s Articles of Incorporation and By-Laws; and if he should so determine, such presiding officer shall so declare to the meeting and the defective nomination(s) shall be disregarded.</w:t>
      </w:r>
    </w:p>
    <w:p>
      <w:pPr>
        <w:sectPr>
          <w:pgSz w:w="11900" w:h="16838" w:orient="portrait"/>
          <w:cols w:equalWidth="0" w:num="1">
            <w:col w:w="11420"/>
          </w:cols>
          <w:pgMar w:left="240" w:top="121" w:right="239" w:bottom="0" w:gutter="0" w:footer="0" w:header="0"/>
        </w:sectPr>
      </w:pPr>
    </w:p>
    <w:bookmarkStart w:id="38" w:name="page39"/>
    <w:bookmarkEnd w:id="38"/>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For the purpose of determining shareholders of any voting group entitled to notice of or to vote at any meeting of shareholders or any adjournment thereof, or shareholders entitled to receive payment of any distribution or dividend, or in order to make a determination of shareholders for any other proper purpose, the Board of Directors may fix in advance a date as the record date for any such determination of shareholders. Such record date shall not be more than 70 days prior to the date on which the particular action, requiring such determination of shareholders, is to be taken; provided that for the purpose of determining shareholders of any voting group entitled to notice of or to vote at the annual meeting of shareholders or any adjournment thereof, the record date shall be 70 days prior to the date of the annual meeting of shareholders, unless otherwise determined by the Board of Directors. If no record date is so fixed for the determination of shareholders entitled to notice of, or to vote at a meeting of shareholders, or shareholders entitled to receive a share dividend or distribution, the record date for determination of such shareholders shall be at the close of business on:</w:t>
      </w:r>
    </w:p>
    <w:p>
      <w:pPr>
        <w:spacing w:after="0" w:line="239" w:lineRule="exact"/>
        <w:rPr>
          <w:sz w:val="20"/>
          <w:szCs w:val="20"/>
          <w:color w:val="auto"/>
        </w:rPr>
      </w:pPr>
    </w:p>
    <w:p>
      <w:pPr>
        <w:jc w:val="both"/>
        <w:ind w:left="660" w:right="160" w:firstLine="1293"/>
        <w:spacing w:after="0" w:line="313" w:lineRule="auto"/>
        <w:tabs>
          <w:tab w:leader="none" w:pos="237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annual shareholders meeting or any special shareholders meeting called by the Board of Directors or any person specifically authorized by the Board of Directors or these By-Laws to call a meeting, the day before the first notice is given to shareholders;</w:t>
      </w:r>
    </w:p>
    <w:p>
      <w:pPr>
        <w:spacing w:after="0" w:line="192" w:lineRule="exact"/>
        <w:rPr>
          <w:rFonts w:ascii="Times New Roman" w:cs="Times New Roman" w:eastAsia="Times New Roman" w:hAnsi="Times New Roman"/>
          <w:sz w:val="17"/>
          <w:szCs w:val="17"/>
          <w:color w:val="auto"/>
        </w:rPr>
      </w:pPr>
    </w:p>
    <w:p>
      <w:pPr>
        <w:ind w:left="2380" w:hanging="427"/>
        <w:spacing w:after="0"/>
        <w:tabs>
          <w:tab w:leader="none" w:pos="2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special shareholders meeting demanded by the shareholders, the date the first shareholder signs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w:t>
      </w:r>
    </w:p>
    <w:p>
      <w:pPr>
        <w:spacing w:after="0" w:line="260"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payment of a share dividend, the date the Board of Directors authorizes the share dividend; and</w:t>
      </w:r>
    </w:p>
    <w:p>
      <w:pPr>
        <w:spacing w:after="0" w:line="279" w:lineRule="exact"/>
        <w:rPr>
          <w:rFonts w:ascii="Times New Roman" w:cs="Times New Roman" w:eastAsia="Times New Roman" w:hAnsi="Times New Roman"/>
          <w:sz w:val="18"/>
          <w:szCs w:val="18"/>
          <w:color w:val="auto"/>
        </w:rPr>
      </w:pPr>
    </w:p>
    <w:p>
      <w:pPr>
        <w:ind w:left="660" w:right="160" w:firstLine="1293"/>
        <w:spacing w:after="0" w:line="282" w:lineRule="auto"/>
        <w:tabs>
          <w:tab w:leader="none" w:pos="23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distribution to shareholders (other than one involving a repurchase or reacquisition of shares), the date the Board of Directors authorizes the distribution.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Voting Lists</w:t>
      </w:r>
      <w:r>
        <w:rPr>
          <w:rFonts w:ascii="Times New Roman" w:cs="Times New Roman" w:eastAsia="Times New Roman" w:hAnsi="Times New Roman"/>
          <w:sz w:val="18"/>
          <w:szCs w:val="18"/>
          <w:color w:val="auto"/>
        </w:rPr>
        <w:t>. After fixing a record date for a meeting, the Corporation shall prepare a list of the names of all its shareholders who are entitled to notice of a shareholders meeting. The list shall be arranged by class or series of shares and show the address of and the number of shares held by each shareholder. The shareholders list must be available for inspection by any shareholder, beginning two business days after notice of the meeting is given for which the list was prepared and continuing to the date of the meeting. The list shall be available at the Corporation’s principal office or at a place identified in the meeting notice in the city where the meeting is to be held. Subject to the provisions of the Wisconsin business corporation law, a shareholder or his or her agent or attorney may, on written demand, inspect and copy the list during regular business hours and at his or her expense, during the period it is available for inspection. The Corporation shall make the shareholders list available at the meeting, and any shareholder or his or her agent or attorney may inspect the list at any time during the meeting or any adjournment thereof. Refusal or failure to prepare or make available the shareholders list shall not affect the validity of any action taken at such meeting.</w:t>
      </w:r>
    </w:p>
    <w:p>
      <w:pPr>
        <w:spacing w:after="0" w:line="2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Shareholder Quorum and Voting Requirements</w:t>
      </w:r>
      <w:r>
        <w:rPr>
          <w:rFonts w:ascii="Times New Roman" w:cs="Times New Roman" w:eastAsia="Times New Roman" w:hAnsi="Times New Roman"/>
          <w:sz w:val="18"/>
          <w:szCs w:val="18"/>
          <w:color w:val="auto"/>
        </w:rPr>
        <w:t>. Shares entitled to vote as a separate voting group may take action on a matter at a meeting only if a quorum of those shares exists with respect to that matter. Unless the Articles of Incorporation, By-Laws adopted under authority granted in the Articles of Incorporation or the Wisconsin business corporation law provide otherwise, a majority of the votes entitled to be cast on the matter by the voting group constitutes a quorum of that voting group for action on that matter.</w:t>
      </w:r>
    </w:p>
    <w:p>
      <w:pPr>
        <w:spacing w:after="0" w:line="20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If the Articles of Incorporation or the Wisconsin business corporation law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20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Once a share is represented for any purpose at a meeting, other than for the purpose of objecting to holding the meeting or transacting business at the meeting, it is deemed present for purposes of determining whether a quorum exists, for the remainder of the meeting and for any adjournment of that meeting to the extent provided in Section 2.14.</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 quorum exists, action on a matter by a voting group is approved if the votes cast within the voting group favoring the action exceed the votes cast opposing the action, unless the Articles of Incorporation, the By-Laws or the Wisconsin business corporation law require a greater number of affirmative votes;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electing directors, unless otherwise provided in the Articles of Incorporation, directors are elected by a plurality of the votes cast by the shares entitled to vote in the election at a meeting at which a quorum is present. For purposes of electing directors, (i) a “plurality” means that the individuals with the largest number of votes are elected as directors up to the maximum number of directors to be chosen at the election, and</w:t>
      </w:r>
    </w:p>
    <w:p>
      <w:pPr>
        <w:spacing w:after="0" w:line="3" w:lineRule="exact"/>
        <w:rPr>
          <w:sz w:val="20"/>
          <w:szCs w:val="20"/>
          <w:color w:val="auto"/>
        </w:rPr>
      </w:pPr>
    </w:p>
    <w:p>
      <w:pPr>
        <w:ind w:right="40" w:firstLine="8"/>
        <w:spacing w:after="0" w:line="261"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against a candidate are not given legal effect and are not counted as votes cast in an election of directors. The voting requirements for the election of directors shall be governed by Section 3.2(d) of these By-Laws.</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For all meetings of shareholders, a shareholder may authorize another person to act for the shareholder by appointing the person as proxy. A shareholder or the shareholder’s authorized officer, director, employee, agent or attorney-in-fact may use any of the following means to appoint a proxy:</w:t>
      </w:r>
    </w:p>
    <w:p>
      <w:pPr>
        <w:spacing w:after="0" w:line="230" w:lineRule="exact"/>
        <w:rPr>
          <w:sz w:val="20"/>
          <w:szCs w:val="20"/>
          <w:color w:val="auto"/>
        </w:rPr>
      </w:pPr>
    </w:p>
    <w:p>
      <w:pPr>
        <w:ind w:left="660" w:right="180" w:firstLine="1293"/>
        <w:spacing w:after="0" w:line="282" w:lineRule="auto"/>
        <w:tabs>
          <w:tab w:leader="none" w:pos="2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by signing or causing the shareholder’s signature to be affixed to an appointment form by any reasonable means, including, but not limited to, by facsimile signature;</w:t>
      </w:r>
    </w:p>
    <w:p>
      <w:pPr>
        <w:spacing w:after="0" w:line="215" w:lineRule="exact"/>
        <w:rPr>
          <w:rFonts w:ascii="Times New Roman" w:cs="Times New Roman" w:eastAsia="Times New Roman" w:hAnsi="Times New Roman"/>
          <w:sz w:val="18"/>
          <w:szCs w:val="18"/>
          <w:color w:val="auto"/>
        </w:rPr>
      </w:pPr>
    </w:p>
    <w:p>
      <w:pPr>
        <w:ind w:left="660" w:right="240" w:firstLine="1293"/>
        <w:spacing w:after="0" w:line="266" w:lineRule="auto"/>
        <w:tabs>
          <w:tab w:leader="none" w:pos="23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transmitting or authorizing the transmission of an electronic transmission of the appointment to the person who will be appointed as proxy or to a proxy solicitation firm, proxy support service organization or like agent authorized to receive the transmission by the person who will be appointed as proxy; or</w:t>
      </w:r>
    </w:p>
    <w:p>
      <w:pPr>
        <w:spacing w:after="0" w:line="230"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means permitted by the Wisconsin business corporation law.</w:t>
      </w:r>
    </w:p>
    <w:p>
      <w:pPr>
        <w:spacing w:after="0" w:line="25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An appointment of a proxy shall be effective when a signed appointment form or an electronic transmission of the appointment is received by the inspector of election or the officer or agent authorized to tabulate votes. No appointment shall be valid after eleven months, unless otherwise provided in the appointment.</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Voting of Shares</w:t>
      </w:r>
      <w:r>
        <w:rPr>
          <w:rFonts w:ascii="Times New Roman" w:cs="Times New Roman" w:eastAsia="Times New Roman" w:hAnsi="Times New Roman"/>
          <w:sz w:val="18"/>
          <w:szCs w:val="18"/>
          <w:color w:val="auto"/>
        </w:rPr>
        <w:t>. Unless otherwise provided in the Articles of Incorporation, each outstanding share entitled to vote shall be entitled to one vote upon each matter submitted to a vote at a meeting of shareholders.</w:t>
      </w:r>
    </w:p>
    <w:p>
      <w:pPr>
        <w:spacing w:after="0" w:line="189"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No shares in the Corporation held by another corporation may be voted if the Corporation owns, directly or indirectly, a sufficient number of shares entitled to elect a majority of the directors of such other corporation; provided, however, that the Corporation shall not be limited in its power to vote any</w:t>
      </w:r>
    </w:p>
    <w:p>
      <w:pPr>
        <w:sectPr>
          <w:pgSz w:w="11900" w:h="16838" w:orient="portrait"/>
          <w:cols w:equalWidth="0" w:num="1">
            <w:col w:w="11420"/>
          </w:cols>
          <w:pgMar w:left="240" w:top="364" w:right="239" w:bottom="0" w:gutter="0" w:footer="0" w:header="0"/>
        </w:sectPr>
      </w:pPr>
    </w:p>
    <w:bookmarkStart w:id="39" w:name="page40"/>
    <w:bookmarkEnd w:id="39"/>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including its own shares, held by it in a fiduciary capacity.</w:t>
      </w:r>
    </w:p>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Voting Shares Owned by the Corporation</w:t>
      </w:r>
      <w:r>
        <w:rPr>
          <w:rFonts w:ascii="Times New Roman" w:cs="Times New Roman" w:eastAsia="Times New Roman" w:hAnsi="Times New Roman"/>
          <w:sz w:val="18"/>
          <w:szCs w:val="18"/>
          <w:color w:val="auto"/>
        </w:rPr>
        <w:t>. Shares of the Corporation belonging to it shall not be voted directly or indirectly at any meeting and shall not be counted in determining the total number of outstanding shares at any given time, but shares held by the Corporation in a fiduciary capacity may be voted and shall be counted in determining the total number of outstanding shares at any given 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Acceptance of Instruments Showing Shareholder Action</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660" w:right="540" w:firstLine="1293"/>
        <w:spacing w:after="0" w:line="313" w:lineRule="auto"/>
        <w:tabs>
          <w:tab w:leader="none" w:pos="237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name signed on a vote, consent, waiver or proxy appointment corresponds to the name of a shareholder, the Corporation, if acting in good faith, may accept the vote, consent, waiver or proxy appointment and give it effect as the act of the shareholder.</w:t>
      </w:r>
    </w:p>
    <w:p>
      <w:pPr>
        <w:spacing w:after="0" w:line="192" w:lineRule="exact"/>
        <w:rPr>
          <w:rFonts w:ascii="Times New Roman" w:cs="Times New Roman" w:eastAsia="Times New Roman" w:hAnsi="Times New Roman"/>
          <w:sz w:val="17"/>
          <w:szCs w:val="17"/>
          <w:color w:val="auto"/>
        </w:rPr>
      </w:pPr>
    </w:p>
    <w:p>
      <w:pPr>
        <w:ind w:left="660" w:right="120" w:firstLine="1293"/>
        <w:spacing w:after="0" w:line="266" w:lineRule="auto"/>
        <w:tabs>
          <w:tab w:leader="none" w:pos="238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name signed on a vote, consent, waiver or proxy appointment does not correspond to the name of its shareholder, the Corporation, if acting in good faith, may accept the vote, consent, waiver or proxy appointment and give it effect as the act of the shareholder if any of the following apply:</w:t>
      </w:r>
    </w:p>
    <w:p>
      <w:pPr>
        <w:spacing w:after="0" w:line="230" w:lineRule="exact"/>
        <w:rPr>
          <w:rFonts w:ascii="Times New Roman" w:cs="Times New Roman" w:eastAsia="Times New Roman" w:hAnsi="Times New Roman"/>
          <w:sz w:val="18"/>
          <w:szCs w:val="18"/>
          <w:color w:val="auto"/>
        </w:rPr>
      </w:pPr>
    </w:p>
    <w:p>
      <w:pPr>
        <w:ind w:left="1300" w:right="200" w:firstLine="1949"/>
        <w:spacing w:after="0" w:line="282" w:lineRule="auto"/>
        <w:tabs>
          <w:tab w:leader="none" w:pos="3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is an entity, within the meaning of the Wisconsin business corporation law, and the name signed purports to be that of an officer or agent of the entity;</w:t>
      </w:r>
    </w:p>
    <w:p>
      <w:pPr>
        <w:spacing w:after="0" w:line="215" w:lineRule="exact"/>
        <w:rPr>
          <w:rFonts w:ascii="Times New Roman" w:cs="Times New Roman" w:eastAsia="Times New Roman" w:hAnsi="Times New Roman"/>
          <w:sz w:val="18"/>
          <w:szCs w:val="18"/>
          <w:color w:val="auto"/>
        </w:rPr>
      </w:pPr>
    </w:p>
    <w:p>
      <w:pPr>
        <w:ind w:left="1300" w:right="520" w:firstLine="1949"/>
        <w:spacing w:after="0" w:line="266" w:lineRule="auto"/>
        <w:tabs>
          <w:tab w:leader="none" w:pos="3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signed purports to be that of a personal representative, administrator, executor, guardian or conservator representing the shareholder and, if the Corporation or its agent request, evidence of fiduciary status acceptable to the Corporation is presented with respect to the vote, consent, waiver or proxy appointment;</w:t>
      </w:r>
    </w:p>
    <w:p>
      <w:pPr>
        <w:spacing w:after="0" w:line="230" w:lineRule="exact"/>
        <w:rPr>
          <w:rFonts w:ascii="Times New Roman" w:cs="Times New Roman" w:eastAsia="Times New Roman" w:hAnsi="Times New Roman"/>
          <w:sz w:val="18"/>
          <w:szCs w:val="18"/>
          <w:color w:val="auto"/>
        </w:rPr>
      </w:pPr>
    </w:p>
    <w:p>
      <w:pPr>
        <w:ind w:left="1300" w:right="140" w:firstLine="1949"/>
        <w:spacing w:after="0" w:line="266" w:lineRule="auto"/>
        <w:tabs>
          <w:tab w:leader="none" w:pos="3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signed purports to be that of a receiver or trustee in bankruptcy of the shareholder and, if the Corporation or its agent request, evidence of this status acceptable to the Corporation is presented with respect to the vote, consent, waiver or proxy appointment;</w:t>
      </w:r>
    </w:p>
    <w:p>
      <w:pPr>
        <w:spacing w:after="0" w:line="230" w:lineRule="exact"/>
        <w:rPr>
          <w:rFonts w:ascii="Times New Roman" w:cs="Times New Roman" w:eastAsia="Times New Roman" w:hAnsi="Times New Roman"/>
          <w:sz w:val="18"/>
          <w:szCs w:val="18"/>
          <w:color w:val="auto"/>
        </w:rPr>
      </w:pPr>
    </w:p>
    <w:p>
      <w:pPr>
        <w:ind w:left="1300" w:right="80" w:firstLine="1949"/>
        <w:spacing w:after="0" w:line="266" w:lineRule="auto"/>
        <w:tabs>
          <w:tab w:leader="none" w:pos="3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signed purports to be that of a pledgee, beneficial owner, or attorney-in-fact of the shareholder and, if the Corporation or its agent request, evidence acceptable to the Corporation of the signatory’s authority to sign for the shareholder is presented with respect to the vote, consent, waiver or proxy appointment; or</w:t>
      </w:r>
    </w:p>
    <w:p>
      <w:pPr>
        <w:spacing w:after="0" w:line="230" w:lineRule="exact"/>
        <w:rPr>
          <w:rFonts w:ascii="Times New Roman" w:cs="Times New Roman" w:eastAsia="Times New Roman" w:hAnsi="Times New Roman"/>
          <w:sz w:val="18"/>
          <w:szCs w:val="18"/>
          <w:color w:val="auto"/>
        </w:rPr>
      </w:pPr>
    </w:p>
    <w:p>
      <w:pPr>
        <w:ind w:left="1300" w:right="40" w:firstLine="1949"/>
        <w:spacing w:after="0" w:line="282" w:lineRule="auto"/>
        <w:tabs>
          <w:tab w:leader="none" w:pos="36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persons are the shareholders as cotenants or fiduciaries and the name signed purports to be the name of at least one of the co-owners and the persons signing appears to be acting on behalf of all co-owners.</w:t>
      </w:r>
    </w:p>
    <w:p>
      <w:pPr>
        <w:spacing w:after="0" w:line="215" w:lineRule="exact"/>
        <w:rPr>
          <w:rFonts w:ascii="Times New Roman" w:cs="Times New Roman" w:eastAsia="Times New Roman" w:hAnsi="Times New Roman"/>
          <w:sz w:val="18"/>
          <w:szCs w:val="18"/>
          <w:color w:val="auto"/>
        </w:rPr>
      </w:pPr>
    </w:p>
    <w:p>
      <w:pPr>
        <w:ind w:left="660" w:right="120" w:firstLine="1293"/>
        <w:spacing w:after="0" w:line="266" w:lineRule="auto"/>
        <w:tabs>
          <w:tab w:leader="none" w:pos="23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An annual or special meeting of shareholders may be adjourned at any time, including after action on one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by a majority of shares represented, even if less than a quorum. An annual or special meeting may also be adjourned at any time, including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on one or more matters, by the Chairman of the Board, by the presiding officer of such meeting or by any duly authorized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The meeting may be adjourned for any purpose, including, but not limited to, allowing additional time to solicit votes on one or more matters,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disseminate additional information to shareholders or to count votes. Upon being reconvened, the adjourned meeting shall be deemed to be a continuation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meeting.</w:t>
      </w:r>
    </w:p>
    <w:p>
      <w:pPr>
        <w:spacing w:after="0" w:line="261" w:lineRule="exact"/>
        <w:rPr>
          <w:sz w:val="20"/>
          <w:szCs w:val="20"/>
          <w:color w:val="auto"/>
        </w:rPr>
      </w:pPr>
    </w:p>
    <w:p>
      <w:pPr>
        <w:ind w:left="660" w:right="40" w:firstLine="1293"/>
        <w:spacing w:after="0" w:line="266" w:lineRule="auto"/>
        <w:tabs>
          <w:tab w:leader="none" w:pos="23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Once a share is represented for any purpose at the original meeting, other than for the purpose of objecting to holding the meeting or transacting business at a meeting, it is considered present for purposes of determining if a quorum exists, for the remainder of the meeting and for any adjournment of that meeting unless a new record date is or must be set for that adjourned meeting.</w:t>
      </w:r>
    </w:p>
    <w:p>
      <w:pPr>
        <w:spacing w:after="0" w:line="230" w:lineRule="exact"/>
        <w:rPr>
          <w:rFonts w:ascii="Times New Roman" w:cs="Times New Roman" w:eastAsia="Times New Roman" w:hAnsi="Times New Roman"/>
          <w:sz w:val="18"/>
          <w:szCs w:val="18"/>
          <w:color w:val="auto"/>
        </w:rPr>
      </w:pPr>
    </w:p>
    <w:p>
      <w:pPr>
        <w:ind w:left="660" w:right="180" w:firstLine="1293"/>
        <w:spacing w:after="0" w:line="266" w:lineRule="auto"/>
        <w:tabs>
          <w:tab w:leader="none" w:pos="23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When a determination of shareholders entitled to notice of or to vote at any meeting of shareholders has been made as provided in Section 2.7, such determination shall be applied to any adjournment thereof unless the Board of Directors fixes a new record date, which it shall do if the meeting is adjourned to a date more than 120 days after the date fixed for the original meeting.</w:t>
      </w:r>
    </w:p>
    <w:p>
      <w:pPr>
        <w:spacing w:after="0" w:line="230" w:lineRule="exact"/>
        <w:rPr>
          <w:rFonts w:ascii="Times New Roman" w:cs="Times New Roman" w:eastAsia="Times New Roman" w:hAnsi="Times New Roman"/>
          <w:sz w:val="18"/>
          <w:szCs w:val="18"/>
          <w:color w:val="auto"/>
        </w:rPr>
      </w:pPr>
    </w:p>
    <w:p>
      <w:pPr>
        <w:ind w:left="660" w:right="40" w:firstLine="1293"/>
        <w:spacing w:after="0" w:line="282" w:lineRule="auto"/>
        <w:tabs>
          <w:tab w:leader="none" w:pos="23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Unless a new record date for an adjourned meeting is or must be fixed pursuant to Section 2.14(b), the Corporation is not required to give notice of the new date, time or place if the new date, time or place is announced at the meeting before adjournment.</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Polling</w:t>
      </w:r>
      <w:r>
        <w:rPr>
          <w:rFonts w:ascii="Times New Roman" w:cs="Times New Roman" w:eastAsia="Times New Roman" w:hAnsi="Times New Roman"/>
          <w:sz w:val="18"/>
          <w:szCs w:val="18"/>
          <w:color w:val="auto"/>
        </w:rPr>
        <w:t>. In the sole discretion of the presiding officer of an annual or special meeting of shareholders, polls may be closed at any time after commencement of any annual or special meeting. When there are several matters to be considered at a meeting, the polls may remain open during the meeting as to any or all matters to be considered, as the presiding officer may declare. Polls will remain open as to matters to be considered at any adjournment of the meeting unless the presiding officer declares otherwise. At the sole discretion of the presiding officer, the polls may remain open after adjournment of a meeting for not more than 72 hours for the purpose of collecting proxies and counting votes. All votes submitted prior to the announcement of the results of the balloting shall be valid and counted. The results of balloting shall be final and binding after announcement of such results.</w:t>
      </w:r>
    </w:p>
    <w:p>
      <w:pPr>
        <w:spacing w:after="0" w:line="21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Waiver of Notice by Shareholders</w:t>
      </w:r>
      <w:r>
        <w:rPr>
          <w:rFonts w:ascii="Times New Roman" w:cs="Times New Roman" w:eastAsia="Times New Roman" w:hAnsi="Times New Roman"/>
          <w:sz w:val="18"/>
          <w:szCs w:val="18"/>
          <w:color w:val="auto"/>
        </w:rPr>
        <w:t>. A shareholder may waive any notice required by the Wisconsin business corporation law, the Articles of Incorporation or the By-Laws before or after the date and time stated in the notice. The waiver shall be in writing and signed by the shareholder entitled to the notice, contain the same information that would have been required in the notice under any applicable provisions of the Wisconsin business corporation law, except that the time and place of the meeting need not be stated, and be delivered to the Corporation for inclusion in the Corporation’s records. A shareholder’s attendance at a meeting, in person or by proxy, waives objection to (i) lack of notice or defective notice of the meeting, unless the shareholder at the beginning of the meeting or promptly upon arrival objects to the holding of the meeting or transacting business at the meeting, and (ii) consideration of a particular matter at the meeting that is not within the purpose described in the meeting notice, unless the shareholder objects to considering the matter when it is presented.</w:t>
      </w:r>
    </w:p>
    <w:p>
      <w:pPr>
        <w:spacing w:after="0" w:line="21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Unanimous Consent without Meeting</w:t>
      </w:r>
      <w:r>
        <w:rPr>
          <w:rFonts w:ascii="Times New Roman" w:cs="Times New Roman" w:eastAsia="Times New Roman" w:hAnsi="Times New Roman"/>
          <w:sz w:val="18"/>
          <w:szCs w:val="18"/>
          <w:color w:val="auto"/>
        </w:rPr>
        <w:t>. Any action required or permitted to be taken at a meeting of shareholders may be taken without a meeting only by unanimous written consent or consents signed by all of the shareholders of the Corporation and delivered to the Corporation for</w:t>
      </w:r>
    </w:p>
    <w:p>
      <w:pPr>
        <w:sectPr>
          <w:pgSz w:w="11900" w:h="16906" w:orient="portrait"/>
          <w:cols w:equalWidth="0" w:num="1">
            <w:col w:w="11420"/>
          </w:cols>
          <w:pgMar w:left="240" w:top="121" w:right="239" w:bottom="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inclusion in the Corporation’s records.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 BOARD OF DIRECTORS</w:t>
      </w:r>
    </w:p>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All corporate powers shall be exercised by or under the authority of, and the business and affairs of the Corporation managed under the direction of, its Board of Directors, subject to any limitations set forth in the Articles of Incorporation.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Tenure and, Qualifications and Election</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660" w:right="340" w:firstLine="1293"/>
        <w:spacing w:after="0" w:line="261" w:lineRule="auto"/>
        <w:tabs>
          <w:tab w:leader="none" w:pos="23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Except as otherwise provided in the Articles of Incorporation, the number of directors (exclusive of directors, if any, elected by the holders of one or more series of preferred stock, voting separately as a series pursuant to the provisions of the Articles of Incorporation) shall be not less than 3 nor more than 15 directors, the exact number of directors to be determined from time to time by resolution adopted by affirmative vote of a majority of the entire Board of Directors then in office.</w:t>
      </w:r>
    </w:p>
    <w:p>
      <w:pPr>
        <w:spacing w:after="0" w:line="234" w:lineRule="exact"/>
        <w:rPr>
          <w:rFonts w:ascii="Times New Roman" w:cs="Times New Roman" w:eastAsia="Times New Roman" w:hAnsi="Times New Roman"/>
          <w:sz w:val="18"/>
          <w:szCs w:val="18"/>
          <w:color w:val="auto"/>
        </w:rPr>
      </w:pPr>
    </w:p>
    <w:p>
      <w:pPr>
        <w:ind w:left="660" w:firstLine="1293"/>
        <w:spacing w:after="0" w:line="256" w:lineRule="auto"/>
        <w:tabs>
          <w:tab w:leader="none" w:pos="23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xml:space="preserve"> At the 2014 annual meeting of shareholders, the successors of the directors whose terms expire at the meeting shall be elected for a term expiring at the 2015 annual meeting of shareholders and until their successors shall be elected and shall qualify; at the 2015 annual meeting of shareholders, the successors of the directors whose terms expire at that meeting shall be elected for a term expiring at the 2016 annual meeting of shareholders and until their successors shall be elected and shall qualify; and at each annual meeting of shareholders thereafter, the successors of the directors whose terms expire at that meeting shall be elected for terms expiring at the next annual meeting of shareholders and until the successors of such directors shall be duly and shall qualify, until such director resigns or until there is a decrease in the number of directors.</w:t>
      </w:r>
    </w:p>
    <w:p>
      <w:pPr>
        <w:spacing w:after="0" w:line="241" w:lineRule="exact"/>
        <w:rPr>
          <w:rFonts w:ascii="Times New Roman" w:cs="Times New Roman" w:eastAsia="Times New Roman" w:hAnsi="Times New Roman"/>
          <w:sz w:val="18"/>
          <w:szCs w:val="18"/>
          <w:color w:val="auto"/>
        </w:rPr>
      </w:pPr>
    </w:p>
    <w:p>
      <w:pPr>
        <w:ind w:left="660" w:right="480" w:firstLine="1293"/>
        <w:spacing w:after="0" w:line="261" w:lineRule="auto"/>
        <w:tabs>
          <w:tab w:leader="none" w:pos="24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Qualifications</w:t>
      </w:r>
      <w:r>
        <w:rPr>
          <w:rFonts w:ascii="Times New Roman" w:cs="Times New Roman" w:eastAsia="Times New Roman" w:hAnsi="Times New Roman"/>
          <w:sz w:val="18"/>
          <w:szCs w:val="18"/>
          <w:color w:val="auto"/>
        </w:rPr>
        <w:t>. A director need not be a resident of the state of Wisconsin or a shareholder of the Corporation except if required by the Articles of Incorporation. The Board of Directors, at its discretion, may establish any qualifications for directors, which qualifications, if any, shall only be applied for determining qualifications of a nominee for director as of the date of the meeting at which such nominee is to be elected or appointed.</w:t>
      </w:r>
    </w:p>
    <w:p>
      <w:pPr>
        <w:spacing w:after="0" w:line="234" w:lineRule="exact"/>
        <w:rPr>
          <w:rFonts w:ascii="Times New Roman" w:cs="Times New Roman" w:eastAsia="Times New Roman" w:hAnsi="Times New Roman"/>
          <w:sz w:val="18"/>
          <w:szCs w:val="18"/>
          <w:color w:val="auto"/>
        </w:rPr>
      </w:pPr>
    </w:p>
    <w:p>
      <w:pPr>
        <w:ind w:left="660" w:right="20" w:firstLine="1293"/>
        <w:spacing w:after="0" w:line="255" w:lineRule="auto"/>
        <w:tabs>
          <w:tab w:leader="none" w:pos="23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Section 3.2(d),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w:t>
      </w:r>
    </w:p>
    <w:p>
      <w:pPr>
        <w:spacing w:after="0" w:line="216" w:lineRule="exact"/>
        <w:rPr>
          <w:sz w:val="20"/>
          <w:szCs w:val="20"/>
          <w:color w:val="auto"/>
        </w:rPr>
      </w:pPr>
    </w:p>
    <w:p>
      <w:pPr>
        <w:ind w:left="660" w:right="240"/>
        <w:spacing w:after="0" w:line="256" w:lineRule="auto"/>
        <w:rPr>
          <w:sz w:val="20"/>
          <w:szCs w:val="20"/>
          <w:color w:val="auto"/>
        </w:rPr>
      </w:pPr>
      <w:r>
        <w:rPr>
          <w:rFonts w:ascii="Times New Roman" w:cs="Times New Roman" w:eastAsia="Times New Roman" w:hAnsi="Times New Roman"/>
          <w:sz w:val="18"/>
          <w:szCs w:val="18"/>
          <w:color w:val="auto"/>
        </w:rPr>
        <w:t>If an incumbent director fails to receive the affirmative vote of a majority of the votes cast in a non-contested election, then following the announcement of the final results of balloting for the election, such director shall promptly tender his or her resignation to the Nominating and Governance Committee. Any such resignation shall be effective only upon its acceptance by the Board of Directors. The Nominating and Governance Committee shall recommend to the Board of Directors whether to accept or reject the tendered resignation,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215"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director who has tendered his or her resignation in accordance with this By-Law shall not participate in the Nominating and Governance Committee’s or the Board of Directors’ deliberations or decision with respect to the tendered resignation. If one or more directors’ resignations are accepted by the Board, the Nominating and Governance Committee shall recommend to the Board of Directors whether to fill such vacancy or vacancies or to reduce the size of the Board.</w:t>
      </w:r>
    </w:p>
    <w:p>
      <w:pPr>
        <w:spacing w:after="0" w:line="207"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color w:val="auto"/>
        </w:rPr>
        <w:t>In the event that a director does not promptly tender his or her resignation pursuant to the requirements of this Section, the Nominating and Governance Committee shall recommend to the Board of Directors whether to take such actions as may be necessary to reduce the size of the Board to eliminate such director’s position,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 If all the members of the Nominating and Governance Committee are required under this By-Law to resign, then the Board of Directors shall make its decision with respect to the tendered resignations, the size of the Board or any vacancy, as the case may be, without the recommendation of the Nominating and Governance Committee.</w:t>
      </w:r>
    </w:p>
    <w:p>
      <w:pPr>
        <w:spacing w:after="0" w:line="21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of vacancies and other features of such directorships shall be governed by the terms of the Articles of Incorporation applicable thereto. Directors so elected shall not be divided into classes unless expressly provided by such Articles, and during the prescribed terms of office of such directors, the Board of Directors shall consist of such directors in addition to the number of directors determined as provided in Section 3.2(a).</w:t>
      </w:r>
    </w:p>
    <w:p>
      <w:pPr>
        <w:spacing w:after="0" w:line="211"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Exclusive of directors, if any, elected by the holders of one or more classes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Section 3.3, the term “Cause” shall mean solely malfeasance arising from the performance of a director’s duties which has a materially adverse effect on the business of the Corporation.</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delivering written notice to the Board of Directors, the Chairman of the Board or to the Corporation (which shall be directed to the Secretary). Notwithstanding the foregoing, however, in the event of the tender of a resignation by a director pursuant to the requirements of Section 3.2(d), such director and the Board of Directors shall proceed in accordance with the requirements of Section 3.2(d) with respect to such resignation.</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Exclusive of a vacancy in directors, if any, elected by the holders of one or more classes of preferred stock,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until the next annual meeting of shareholders</w:t>
      </w:r>
    </w:p>
    <w:p>
      <w:pPr>
        <w:sectPr>
          <w:pgSz w:w="11900" w:h="16838" w:orient="portrait"/>
          <w:cols w:equalWidth="0" w:num="1">
            <w:col w:w="11420"/>
          </w:cols>
          <w:pgMar w:left="240" w:top="121" w:right="239" w:bottom="0" w:gutter="0" w:footer="0" w:header="0"/>
        </w:sectPr>
      </w:pPr>
    </w:p>
    <w:bookmarkStart w:id="41" w:name="page42"/>
    <w:bookmarkEnd w:id="41"/>
    <w:p>
      <w:pPr>
        <w:ind w:right="200"/>
        <w:spacing w:after="0" w:line="282" w:lineRule="auto"/>
        <w:rPr>
          <w:sz w:val="20"/>
          <w:szCs w:val="20"/>
          <w:color w:val="auto"/>
        </w:rPr>
      </w:pPr>
      <w:r>
        <w:rPr>
          <w:rFonts w:ascii="Times New Roman" w:cs="Times New Roman" w:eastAsia="Times New Roman" w:hAnsi="Times New Roman"/>
          <w:sz w:val="18"/>
          <w:szCs w:val="18"/>
          <w:color w:val="auto"/>
        </w:rPr>
        <w:t>and until such director’s successor shall be duly elected and shall qualify. A vacancy that will occur at a specific later date may be filled before the vacancy occurs, but the new director will not take office until the vacancy occurs.</w:t>
      </w:r>
    </w:p>
    <w:p>
      <w:pPr>
        <w:spacing w:after="0" w:line="18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by resolution adopted by the affirmative vote of a majority of the number of directors fixed by Section 3.2(a) then in office may create one or more committees, appoint members of the Board of Directors to serve on the committees and designate other members of the Board of Directors to serve as alternates. Each committee shall consist of one or more members of the Board of Directors. Unless otherwise provided by the Board of Directors, members of the committee shall serve at the pleasure of the Board of Directors. The committee may exercise those aspects of the authority of the Board of Directors which are within the scope of the committee’s assigned responsibilities or which the Board of Directors otherwise confers upon such committee; provided, however, a committee may not do any of the following:</w:t>
      </w:r>
    </w:p>
    <w:p>
      <w:pPr>
        <w:spacing w:after="0" w:line="242" w:lineRule="exact"/>
        <w:rPr>
          <w:sz w:val="20"/>
          <w:szCs w:val="20"/>
          <w:color w:val="auto"/>
        </w:rPr>
      </w:pPr>
    </w:p>
    <w:p>
      <w:pPr>
        <w:ind w:left="660" w:right="520" w:firstLine="1293"/>
        <w:spacing w:after="0" w:line="282" w:lineRule="auto"/>
        <w:tabs>
          <w:tab w:leader="none" w:pos="23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recommend to shareholders for approval any action or matter expressly required by the Wisconsin business corporation law to be submitted to shareholders for approval; or</w:t>
      </w:r>
    </w:p>
    <w:p>
      <w:pPr>
        <w:spacing w:after="0" w:line="215" w:lineRule="exact"/>
        <w:rPr>
          <w:rFonts w:ascii="Times New Roman" w:cs="Times New Roman" w:eastAsia="Times New Roman" w:hAnsi="Times New Roman"/>
          <w:sz w:val="18"/>
          <w:szCs w:val="18"/>
          <w:color w:val="auto"/>
        </w:rPr>
      </w:pPr>
    </w:p>
    <w:p>
      <w:pPr>
        <w:ind w:left="2380" w:hanging="427"/>
        <w:spacing w:after="0"/>
        <w:tabs>
          <w:tab w:leader="none" w:pos="2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or repeal any by-law of the Corporation.</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as required or limited by the Articles of Incorporation, the By-Laws, the Wisconsin business corporation law, or resolution of the Board of Directors, each committee shall be authorized to fix its own rules governing the conduct of its activities. Each committee shall make such reports to the Board of Directors of its activities as the Board of Directors may request.</w:t>
      </w:r>
    </w:p>
    <w:p>
      <w:pPr>
        <w:spacing w:after="0" w:line="20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Except as provided in the Articles of Incorporation, the Board of Directors, irrespective of any personal interest of any of its members, may fix the compensation of directors.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Regular Meeting</w:t>
      </w:r>
      <w:r>
        <w:rPr>
          <w:rFonts w:ascii="Times New Roman" w:cs="Times New Roman" w:eastAsia="Times New Roman" w:hAnsi="Times New Roman"/>
          <w:sz w:val="18"/>
          <w:szCs w:val="18"/>
          <w:color w:val="auto"/>
        </w:rPr>
        <w:t>. A regular meeting of the Board of Directors shall be held without other notice than this By-Law immediately after, and at the same place as, the annual meeting of shareholders, and each adjourned session thereof. A regular meeting of a committee, if any, shall be at such date, place, either within or outside the state of Wisconsin, and time as such committee determines. Other regular meetings of the Board of Directors shall be held at such dates, times and places, either within or without the State of Wisconsin, as the Board of Directors may provide by resolution, which resolution shall constitute exclusive notice of such meeting.</w:t>
      </w:r>
    </w:p>
    <w:p>
      <w:pPr>
        <w:spacing w:after="0" w:line="21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or at the request of the Chairman of the Board, the Chief Executive Officer or three-quarters of the members of the Board of Directors. Special meetings of a committee may be called by or at the request of the Chairman of a committee or a majority of the committee members. The person or persons authorized to call special meetings of the Board of Directors or a committee may fix any date, time and place, either within or outside the State of Wisconsin, for any special meeting of the Board of Directors or committee called by them.</w:t>
      </w:r>
    </w:p>
    <w:p>
      <w:pPr>
        <w:spacing w:after="0" w:line="21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Notice; Waiver</w:t>
      </w:r>
      <w:r>
        <w:rPr>
          <w:rFonts w:ascii="Times New Roman" w:cs="Times New Roman" w:eastAsia="Times New Roman" w:hAnsi="Times New Roman"/>
          <w:sz w:val="18"/>
          <w:szCs w:val="18"/>
          <w:color w:val="auto"/>
        </w:rPr>
        <w:t>. Notice of meetings, except for regular meetings, shall be given at least five days previously thereto and shall state the date, time and place of the meeting of the Board of Directors or committee. Neither the business to be transacted at, nor the purpose of, any regular or special meeting of the Board of Directors or committee need be specified in the notice of such meeting. Notice may be communicated in person, by mail or other method of delivery, by telephone, including voice mail, answering machine or answering service or by any other electronic means. Written notice, which includes notice by electronic transmission, is effective at the earliest of the following: (1) when received; (2) on the date shown on the return receipt, if sent by registered or certified mail, return receipt requested, and the receipt is signed by or on behalf of the addressee; (3) two days after it is deposited with a private carrier; or (4) when electronically transmitted. Oral notice is deemed effective when communicated. Facsimile notice is deemed effective when sent.</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director may waive any notice required by the Wisconsin business corporation law, the Articles of Incorporation or the By-Laws before or after the date and time stated in the notice. The waiver shall be in writing, signed by the director entitled to the notice and retained by the Corporation. Notwithstanding the foregoing, a director’s attendance at or participation in a meeting waives any required notice to such director of the meeting unless the director at the beginning of the meeting or promptly upon such director’s arrival objects to holding the meeting or transacting business at the meeting and does not thereafter vote for or assent to action taken at the meeting.</w:t>
      </w:r>
    </w:p>
    <w:p>
      <w:pPr>
        <w:spacing w:after="0" w:line="21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Quorum; Voting</w:t>
      </w:r>
      <w:r>
        <w:rPr>
          <w:rFonts w:ascii="Times New Roman" w:cs="Times New Roman" w:eastAsia="Times New Roman" w:hAnsi="Times New Roman"/>
          <w:sz w:val="18"/>
          <w:szCs w:val="18"/>
          <w:color w:val="auto"/>
        </w:rPr>
        <w:t xml:space="preserve">. Unless otherwise provided in the Articles of Incorporation or the Wisconsin business corporation law, a majority of the number of directors fixed by Section 3.2(a) or appointed by the Board of Directors to a committee shall constitute a quorum for the transaction of business at any meeting of the Board of Directors or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even though less than such quorum is present at a meeting, a majority of the directors present may adjourn the meeting from time to time without further notice. Except as otherwise provided in the Articles of Incorporation, the By-Laws or the Wisconsin business corporation law, if a quorum is present when a vote is taken, the affirmative vote of a majority of directors present is the act of the Board of Directors or committee.</w:t>
      </w:r>
    </w:p>
    <w:p>
      <w:pPr>
        <w:spacing w:after="0" w:line="21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Presumption of Assent</w:t>
      </w:r>
      <w:r>
        <w:rPr>
          <w:rFonts w:ascii="Times New Roman" w:cs="Times New Roman" w:eastAsia="Times New Roman" w:hAnsi="Times New Roman"/>
          <w:sz w:val="18"/>
          <w:szCs w:val="18"/>
          <w:color w:val="auto"/>
        </w:rPr>
        <w:t>. A director of the Corporation who is present and is announced as present at a meeting of the Board of Directors or a committee thereof at which action on any corporate matter is taken is deemed to have assented to the action taken unless (i) such director objects at the beginning of the meeting or promptly upon arrival to holding the meeting or transacting business at the meeting, (ii) such director dissents or abstains from an action taken and minutes of the meeting are prepared that show the director’s dissent or abstention from the action taken, (iii) such director delivers written notice of his dissent or abstention to the presiding officer of the meeting before its adjournment or to the Corporation (directed to the Secretary) immediately after adjournment of the meeting, or (iv) such director dissents or abstains from an action taken, minutes of the meeting are prepared that fail to show the director’s dissent or abstention from the action taken and the director delivers to the Corporation (directed to the Secretary) a written notice of that failure promptly after receiving the minutes. A director who votes in favor of action taken may not dissent or abstain from that action.</w:t>
      </w:r>
    </w:p>
    <w:p>
      <w:pPr>
        <w:spacing w:after="0" w:line="212"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 xml:space="preserve">SECTION 3.13. </w:t>
      </w:r>
      <w:r>
        <w:rPr>
          <w:rFonts w:ascii="Times New Roman" w:cs="Times New Roman" w:eastAsia="Times New Roman" w:hAnsi="Times New Roman"/>
          <w:sz w:val="17"/>
          <w:szCs w:val="17"/>
          <w:u w:val="single" w:color="auto"/>
          <w:color w:val="auto"/>
        </w:rPr>
        <w:t>Informal Action Without Meeting</w:t>
      </w:r>
      <w:r>
        <w:rPr>
          <w:rFonts w:ascii="Times New Roman" w:cs="Times New Roman" w:eastAsia="Times New Roman" w:hAnsi="Times New Roman"/>
          <w:sz w:val="17"/>
          <w:szCs w:val="17"/>
          <w:color w:val="auto"/>
        </w:rPr>
        <w:t>. Any action required or permitted by the Articles of Incorporation, the By-Laws or any provision of law to be taken by the Board of Directors or a committee at a meeting may be taken without a meeting if the action is taken by all of the directors or committee members then in office. The action shall be evidenced by one or more written consents describing the action taken, signed by each director and retained by the Corporation. Any such consent is effective when the last director signs the consent, unless the consent specifies a different effective date.</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Telephonic or Other Meetings</w:t>
      </w:r>
      <w:r>
        <w:rPr>
          <w:rFonts w:ascii="Times New Roman" w:cs="Times New Roman" w:eastAsia="Times New Roman" w:hAnsi="Times New Roman"/>
          <w:sz w:val="18"/>
          <w:szCs w:val="18"/>
          <w:color w:val="auto"/>
        </w:rPr>
        <w:t>. Unless the Articles of Incorporation provide otherwise, any or all directors may participate in a regular or special meeting of the Board of Directors or any committee thereof by, or conduct the meeting through the use of, any means of communication by which (i) all directors participating may simultaneously hear each other during the meeting, (ii) all communication during the meeting is immediately transmitted to each participating director and (iii) each participating director is able to immediately send messages to all other participating directors. If the meeting is to be conducted through the use of any such means of communication all participating directors shall be informed that a meeting is taking place at</w:t>
      </w:r>
    </w:p>
    <w:p>
      <w:pPr>
        <w:sectPr>
          <w:pgSz w:w="11900" w:h="16838" w:orient="portrait"/>
          <w:cols w:equalWidth="0" w:num="1">
            <w:col w:w="11420"/>
          </w:cols>
          <w:pgMar w:left="240" w:top="121" w:right="239" w:bottom="0" w:gutter="0" w:footer="0" w:header="0"/>
        </w:sectPr>
      </w:pPr>
    </w:p>
    <w:bookmarkStart w:id="42" w:name="page43"/>
    <w:bookmarkEnd w:id="42"/>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which official business may be transacted. A director participating in a meeting by this means is deemed to be present in person at the meeting. Notwithstanding the foregoing, the Chairman of the Board, or other presiding officer, shall, at any time, have the authority to deem any business or resolution not appropriate for meetings held pursuant to this Section 3.14.</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of Directors shall have a Chairman of the Board, who shall be one of its members, to serve as its leader with respect to its activities. The Chairman of the Board shall be elected by the Board of Directors. The Board of Directors may remove and replace the Chairman of the Board at any time with or without cause. The Chairman of the Board shall not be an officer or employee of the Corporation by virtue of such position. The Chairman of the Board shall preside at all annual and special meetings of shareholders and all regular and special meetings of the Board of Directors, in each case except as he delegates to the Chief Executive Officer or as otherwise may be determined by the Board of Directors.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IV. OFFICERS</w:t>
      </w:r>
    </w:p>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Principal Officers</w:t>
      </w:r>
      <w:r>
        <w:rPr>
          <w:rFonts w:ascii="Times New Roman" w:cs="Times New Roman" w:eastAsia="Times New Roman" w:hAnsi="Times New Roman"/>
          <w:sz w:val="18"/>
          <w:szCs w:val="18"/>
          <w:color w:val="auto"/>
        </w:rPr>
        <w:t>. The principal officers of the Corporation shall be appointed by the Board of Directors and shall be comprised of a Chief Executive Officer, a President or two or more Presidents, as determined by the Board of Directors, and an Executive Vice President and Chief Financial Officer. The Chief Executive Officer shall have the authority, subject to such requirements, terms and conditions as may be prescribed by the Board of Directors, to appoint such other officers of the Corporation as the Chief Executive Officer deems necessary or appropriate, to prescribe their powers and duties, and to delegate authority to them. Each of the officers shall hold office until a successor for such office is appointed or until his or her earlier death or removal by the Board of Directors or by the Chief Executive Officer if such officer was initially appointed by him. At the end of the term of a President where there is no successor, his or her responsibilities and authority shall revert to the Chief Executive Officer.</w:t>
      </w:r>
    </w:p>
    <w:p>
      <w:pPr>
        <w:spacing w:after="0" w:line="21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Duties of Principal Officers</w:t>
      </w:r>
      <w:r>
        <w:rPr>
          <w:rFonts w:ascii="Times New Roman" w:cs="Times New Roman" w:eastAsia="Times New Roman" w:hAnsi="Times New Roman"/>
          <w:sz w:val="18"/>
          <w:szCs w:val="18"/>
          <w:color w:val="auto"/>
        </w:rPr>
        <w:t>. Subject to such requirements, terms and conditions as may be prescribed by the Board of Directors and the duties established by the Board of Directors for the President or Presidents, the Chief Executive Officer shall have overall responsibility for the business and affairs of the Corporation including such duties as are regularly and customarily performed by the chief executive officer of a corporation. Without limiting the foregoing, the Chief Executive Officer shall have authority to see that all orders and resolutions of the Board of Directors are carried into effect and shall, subject to the control vested in the Board of Directors by the Wisconsin Business Corporation Law, administer and be responsible for the management of the business and affairs of the Corporation. In the absence of the Chairman of the Board, the Chief Executive Officer shall preside at annual and special meetings of shareholders. The Chief Executive Officer shall have authority, including the authority to delegate to any officer of the Corporation,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21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President shall have such authority as is assigned to the person holding that office by the Board of Directors or the Chief Executive Officer. In the absence of the Chief Executive Officer or in the event of his death, inability or refusal to act, a President will have the authority to perform the duties of the Chief Executive Officer and when so acting shall have all the powers of and be subject to all the restrictions upon the Chief Executive Officer. Without limiting the foregoing, the President shall be responsible for the management of the business and affairs of the Corporation within the area of responsibility assigned to him. Within such area of responsibility, the President shall have the authority, including the authority to delegate to any officer of the Corporation,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w:t>
      </w:r>
    </w:p>
    <w:p>
      <w:pPr>
        <w:spacing w:after="0" w:line="2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Executive Vice President and Chief Financial Officer shall be the chief financial officer of the Corporation and perform such duties as are regularly and customarily performed by individuals generally holding the position of chief financial officer of a corporation.</w:t>
      </w:r>
    </w:p>
    <w:p>
      <w:pPr>
        <w:spacing w:after="0" w:line="18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of the Corporation may be removed by the Board of Directors, and any officer of the Corporation appointed by the Chief Executive Officer may be removed by the Chief Executive Officer whenever in his or her judgment the best interests of the Corporation will be served thereby, but such removal shall be without prejudice to the contract rights, if any, of the person so removed. Election or appointment shall not in and of itself create contract rights.</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One or more of the Vice Presidents may be designated as Executive Vice President or Senior Vice President. The Chief Executive Officer or a President may appoint one or more Vice Presidents who shall have such duties and responsibilities as are designated by the Chief Executive Officer or President, whoever makes such appointment. Any Vice President shall perform such duties as are incident to the area of responsibility assigned in the appointment of Vice President or as may be prescribed from time to time by the Board of Directors, a President, or the Chief Executive Officer.</w:t>
      </w:r>
    </w:p>
    <w:p>
      <w:pPr>
        <w:spacing w:after="0" w:line="21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(i) keep the minutes of the shareholders and Board of Directors meetings in one or more books provided for that purpose, (ii) see that all notices are duly given in accordance with the provisions of the By-Laws or as required by law, (iii) be custodian of the Corporation’s records and of the seal of the Corporation, (iv) see that the seal of the Corporation is affixed to all appropriate documents the execution of which on behalf of the Corporation under its seal is duly authorized, (v) keep a register of the address of each shareholder which shall be furnished to the Secretary by such shareholder and (vi) perform all duties incident to the office of Secretary and such other duties as may be prescribed from time to time by the Board of Directors or the President and Chief Executive Officer.</w:t>
      </w:r>
    </w:p>
    <w:p>
      <w:pPr>
        <w:spacing w:after="0" w:line="21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(i) have charge and custody of and be responsible for all funds and securities of the Corporation, (ii) receive and give receipts for moneys due and payable to the Corporation from any source whatsoever, and deposit all such moneys in the name of the Corporation, and (iii) in general perform all of the duties incident to the office of Treasurer and have such other duties and exercise such other authority as from time to time may be delegated or assigned by the Board of Directors or the Chief Executive Officer.</w:t>
      </w:r>
    </w:p>
    <w:p>
      <w:pPr>
        <w:spacing w:after="0" w:line="20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Assistant Secretaries and Assistant Treasurers</w:t>
      </w:r>
      <w:r>
        <w:rPr>
          <w:rFonts w:ascii="Times New Roman" w:cs="Times New Roman" w:eastAsia="Times New Roman" w:hAnsi="Times New Roman"/>
          <w:sz w:val="18"/>
          <w:szCs w:val="18"/>
          <w:color w:val="auto"/>
        </w:rPr>
        <w:t>. An Assistant Secretary, if any, when authorized by the Board of Directors, may sign with the Chief Executive Officer or any Vice President certificates for shares of the Corporation, the issuance of which shall have been authorized by a resolution of the Board of Directors. An Assistant Treasurer, if any, shall, if required by the Board of Directors, give bonds for the faithful discharge of his duties in such sums and with such sureties as the Board of Directors shall determine. The Assistant Secretaries and Assistant Treasurers, in general, shall perform such duties as shall be assigned to them by the Board of Directors, the Chief Executive Officer or the Secretary or the Treasurer, respectively.</w:t>
      </w:r>
    </w:p>
    <w:p>
      <w:pPr>
        <w:spacing w:after="0" w:line="211"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Salaries</w:t>
      </w:r>
      <w:r>
        <w:rPr>
          <w:rFonts w:ascii="Times New Roman" w:cs="Times New Roman" w:eastAsia="Times New Roman" w:hAnsi="Times New Roman"/>
          <w:sz w:val="18"/>
          <w:szCs w:val="18"/>
          <w:color w:val="auto"/>
        </w:rPr>
        <w:t>. The salaries of the officers shall be fixed from time to time by the Board of Directors or a committee authorized by the Board to fix the same, and no officer shall be prevented from receiving such salary by reason of the fact that he is also a director of the Corporation or a member of such committee.</w:t>
      </w:r>
    </w:p>
    <w:p>
      <w:pPr>
        <w:sectPr>
          <w:pgSz w:w="11900" w:h="16892" w:orient="portrait"/>
          <w:cols w:equalWidth="0" w:num="1">
            <w:col w:w="11400"/>
          </w:cols>
          <w:pgMar w:left="240" w:top="121" w:right="259" w:bottom="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 CONTRACTS; VOTING OF STOCK IN OTHER CORPORATIONS</w:t>
      </w:r>
    </w:p>
    <w:p>
      <w:pPr>
        <w:spacing w:after="0" w:line="25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of Directors may authorize any officer or officers, committee, or any agent or agents to enter into any contract or execute and deliver any instrument in the name of and on behalf of the Corporation, and such authorization may be general or confined to specific instances.</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Voting of Stock in Other Corporations</w:t>
      </w:r>
      <w:r>
        <w:rPr>
          <w:rFonts w:ascii="Times New Roman" w:cs="Times New Roman" w:eastAsia="Times New Roman" w:hAnsi="Times New Roman"/>
          <w:sz w:val="18"/>
          <w:szCs w:val="18"/>
          <w:color w:val="auto"/>
        </w:rPr>
        <w:t>. The Board of Directors by resolution shall from time to time designate one or more persons to vote all stock held by this Corporation in any other corporation or entity, may designate such persons in the alternative and may empower them to execute proxies to vote in their stead. In the absence of any such designation by the Board of Directors, the Chief Executive Officer shall be authorized to vote any stock held by the Corporation or execute proxies to vote such stock.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VI. CERTIFICATES FOR SHARES AND THEIR TRANSFER</w:t>
      </w:r>
    </w:p>
    <w:p>
      <w:pPr>
        <w:spacing w:after="0" w:line="25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Certificates for Shares</w:t>
      </w:r>
      <w:r>
        <w:rPr>
          <w:rFonts w:ascii="Times New Roman" w:cs="Times New Roman" w:eastAsia="Times New Roman" w:hAnsi="Times New Roman"/>
          <w:sz w:val="18"/>
          <w:szCs w:val="18"/>
          <w:color w:val="auto"/>
        </w:rPr>
        <w:t>. Shares of the Corporation may be issued in certificated or uncertificated form. Such shares shall be in the form determined by, or under the authority of a resolution of, the Board of Directors, which shall be consistent with the requirements of the Wisconsin business corporation law.</w:t>
      </w:r>
    </w:p>
    <w:p>
      <w:pPr>
        <w:spacing w:after="0" w:line="230" w:lineRule="exact"/>
        <w:rPr>
          <w:sz w:val="20"/>
          <w:szCs w:val="20"/>
          <w:color w:val="auto"/>
        </w:rPr>
      </w:pPr>
    </w:p>
    <w:p>
      <w:pPr>
        <w:ind w:left="660" w:right="60" w:firstLine="1293"/>
        <w:spacing w:after="0" w:line="255" w:lineRule="auto"/>
        <w:tabs>
          <w:tab w:leader="none" w:pos="23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Certificated Shares</w:t>
      </w:r>
      <w:r>
        <w:rPr>
          <w:rFonts w:ascii="Times New Roman" w:cs="Times New Roman" w:eastAsia="Times New Roman" w:hAnsi="Times New Roman"/>
          <w:sz w:val="18"/>
          <w:szCs w:val="18"/>
          <w:color w:val="auto"/>
        </w:rPr>
        <w:t>. Shares represented by certificates shall be signed by the Chief Executive Officer, President or a Vice President and by the Secretary or an Assistant Secretary. The validity of a share certificate is not affected if a person who signed the certificate no longer holds office when the certificate is issued. All certificates for shares shall be consecutively numbered or otherwise identified. The name and address of the person to whom shares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upon such terms and indemnity to the Corporation as the Board of Directors may prescribe.</w:t>
      </w:r>
    </w:p>
    <w:p>
      <w:pPr>
        <w:spacing w:after="0" w:line="243" w:lineRule="exact"/>
        <w:rPr>
          <w:rFonts w:ascii="Times New Roman" w:cs="Times New Roman" w:eastAsia="Times New Roman" w:hAnsi="Times New Roman"/>
          <w:sz w:val="18"/>
          <w:szCs w:val="18"/>
          <w:color w:val="auto"/>
        </w:rPr>
      </w:pPr>
    </w:p>
    <w:p>
      <w:pPr>
        <w:ind w:left="660" w:firstLine="1293"/>
        <w:spacing w:after="0" w:line="255" w:lineRule="auto"/>
        <w:tabs>
          <w:tab w:leader="none" w:pos="238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Shares may also be issued in uncertificated form. Within a reasonable time after issuance or transfer of such shares, the Corporation shall send the shareholder a written statement of the information required on share certificates under the Wisconsin business corporation law, including: (1) the name of the Corporation; (2) the name of person to whom shares were issued; (3) the number and class of shares and the designation of the series, if any, of the shares issued; and (4) either a summary of the designations, relative rights, preferences and limitations, applicable to each class, and the variations in rights, preferences and limitations determined for each series and the authority of the Board of Directors to determine variations for future series, or a conspicuous statement that the Corporation will furnish the information specified in this subsection without charge upon the written request of the shareholder.</w:t>
      </w:r>
    </w:p>
    <w:p>
      <w:pPr>
        <w:spacing w:after="0" w:line="21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Transfer of shares of the Corporation shall be made only on the stock transfer books of the Corporation by the holder of record of such shares, or his or her legal representative, who shall furnish proper evidence of authority to transfer or by an attorney thereunto authorized by power of attorney duly executed and filed with the Secretary of the Corporation, and on surrender for cancellation of the certificate for such shares, if any. The person in whose name shares stand on the books and records of the Corporation shall be deemed by the Corporation to be the owner thereof for all purposes, except as otherwise required by the Wisconsin business corporation law.</w:t>
      </w:r>
    </w:p>
    <w:p>
      <w:pPr>
        <w:spacing w:after="0" w:line="21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Stock Regulations</w:t>
      </w:r>
      <w:r>
        <w:rPr>
          <w:rFonts w:ascii="Times New Roman" w:cs="Times New Roman" w:eastAsia="Times New Roman" w:hAnsi="Times New Roman"/>
          <w:sz w:val="18"/>
          <w:szCs w:val="18"/>
          <w:color w:val="auto"/>
        </w:rPr>
        <w:t>. The Board of Directors shall have the power and authority to make all such further rules and regulations not inconsistent with the statutes of the State of Wisconsin as they may deem expedient concerning the issue, transfer and registration of shares of the Corporation represented in certificated or uncertificated form, including the appointment or designation of one or more stock transfer agents and one or more stock registrars.</w:t>
      </w:r>
    </w:p>
    <w:p>
      <w:pPr>
        <w:spacing w:after="0" w:line="20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u w:val="single" w:color="auto"/>
          <w:color w:val="auto"/>
        </w:rPr>
        <w:t>ARTICLE VII. INDEMNIFICATION; INSURANCE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Indemnity of Directors, Officers, Employees and Designated Agents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2360" w:hanging="407"/>
        <w:spacing w:after="0"/>
        <w:tabs>
          <w:tab w:leader="none" w:pos="2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to Indemnification and Insurance Provisions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1300" w:right="60" w:firstLine="1949"/>
        <w:spacing w:after="0" w:line="254" w:lineRule="auto"/>
        <w:tabs>
          <w:tab w:leader="none" w:pos="371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Officer, Employee or Agent” means any of the following: (i) A natural person who is or was a director, officer, employee or agent of the Corporation; (ii) A natural person who, while a director, officer, employee or agent of the Corporation, is or was serving either pursuant to the Corporation’s specific request or as a result of the nature of such person’s duties to the Corporation as a director, officer, partner, trustee, member of any governing or decision making committee, employee or agent of another corporation or foreign corporation, partnership, joint venture, trust or other enterprise; (iii) A natural person who, while a director, officer, employee or agent of the Corporation, is or was serving an employee benefit plan because his or her duties to the Corporation also impose duties on, or otherwise involve services by, the person to the plan or to participants in or beneficiaries of the plan; or (iv) Unless the context requires otherwise, the estate or personal representative of a director, officer, employee or agent. Notwithstanding the foregoing, an agent falls within the foregoing definition only upon a resolution of the Board of Directors or committee appointed thereby that such agent shall be entitled to the indemnification provided herein.</w:t>
      </w:r>
    </w:p>
    <w:p>
      <w:pPr>
        <w:spacing w:after="0" w:line="240" w:lineRule="exact"/>
        <w:rPr>
          <w:rFonts w:ascii="Times New Roman" w:cs="Times New Roman" w:eastAsia="Times New Roman" w:hAnsi="Times New Roman"/>
          <w:sz w:val="18"/>
          <w:szCs w:val="18"/>
          <w:color w:val="auto"/>
        </w:rPr>
      </w:pPr>
    </w:p>
    <w:p>
      <w:pPr>
        <w:jc w:val="both"/>
        <w:ind w:left="1300" w:right="280" w:firstLine="1949"/>
        <w:spacing w:after="0" w:line="266" w:lineRule="auto"/>
        <w:tabs>
          <w:tab w:leader="none" w:pos="36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means the obligation to pay a judgment, penalty, assessment, forfeiture or fine, including an excise tax assessed with respect to an employee benefit plan, the agreement to pay any amount in settlement of a Proceeding (whether or not approved by a court order), and reasonable expenses and interest related to the foregoing.</w:t>
      </w:r>
    </w:p>
    <w:p>
      <w:pPr>
        <w:spacing w:after="0" w:line="230" w:lineRule="exact"/>
        <w:rPr>
          <w:rFonts w:ascii="Times New Roman" w:cs="Times New Roman" w:eastAsia="Times New Roman" w:hAnsi="Times New Roman"/>
          <w:sz w:val="18"/>
          <w:szCs w:val="18"/>
          <w:color w:val="auto"/>
        </w:rPr>
      </w:pPr>
    </w:p>
    <w:p>
      <w:pPr>
        <w:ind w:left="3680" w:hanging="431"/>
        <w:spacing w:after="0"/>
        <w:tabs>
          <w:tab w:leader="none" w:pos="36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means a natural person who was or is, or who is threatened to be made, a named defendant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respondent in a Proceeding.</w:t>
      </w:r>
    </w:p>
    <w:p>
      <w:pPr>
        <w:spacing w:after="0" w:line="260" w:lineRule="exact"/>
        <w:rPr>
          <w:rFonts w:ascii="Times New Roman" w:cs="Times New Roman" w:eastAsia="Times New Roman" w:hAnsi="Times New Roman"/>
          <w:sz w:val="18"/>
          <w:szCs w:val="18"/>
          <w:color w:val="auto"/>
        </w:rPr>
      </w:pPr>
    </w:p>
    <w:p>
      <w:pPr>
        <w:ind w:left="1300" w:right="180" w:firstLine="1949"/>
        <w:spacing w:after="0" w:line="281" w:lineRule="auto"/>
        <w:tabs>
          <w:tab w:leader="none" w:pos="367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“Proceeding” means any threatened, pending or completed civil, criminal, administrative or investigative action, suit, arbitration or other proceeding, whether formal or informal (including but not limited to any act or failure to act alleged or determined to have been negligent, to have violated the Employee Retirement Income Security Act of 1974, or to have violated Section 180.0833 of the Wisconsin Statutes, or any successor thereto, regarding improper dividends, distributions of assets, purchases of shares of</w:t>
      </w:r>
    </w:p>
    <w:p>
      <w:pPr>
        <w:sectPr>
          <w:pgSz w:w="11900" w:h="16838" w:orient="portrait"/>
          <w:cols w:equalWidth="0" w:num="1">
            <w:col w:w="11420"/>
          </w:cols>
          <w:pgMar w:left="240" w:top="364" w:right="239" w:bottom="0" w:gutter="0" w:footer="0" w:header="0"/>
        </w:sectPr>
      </w:pPr>
    </w:p>
    <w:bookmarkStart w:id="44" w:name="page45"/>
    <w:bookmarkEnd w:id="44"/>
    <w:p>
      <w:pPr>
        <w:ind w:left="100" w:right="560"/>
        <w:spacing w:after="0" w:line="282" w:lineRule="auto"/>
        <w:rPr>
          <w:sz w:val="20"/>
          <w:szCs w:val="20"/>
          <w:color w:val="auto"/>
        </w:rPr>
      </w:pPr>
      <w:r>
        <w:rPr>
          <w:rFonts w:ascii="Times New Roman" w:cs="Times New Roman" w:eastAsia="Times New Roman" w:hAnsi="Times New Roman"/>
          <w:sz w:val="18"/>
          <w:szCs w:val="18"/>
          <w:color w:val="auto"/>
        </w:rPr>
        <w:t>the Corporation, or loans to officers), which involves foreign, federal, state or local law and which is brought by or in the right of the Corporation or by any other person or entity.</w:t>
      </w:r>
    </w:p>
    <w:p>
      <w:pPr>
        <w:spacing w:after="0" w:line="216" w:lineRule="exact"/>
        <w:rPr>
          <w:sz w:val="20"/>
          <w:szCs w:val="20"/>
          <w:color w:val="auto"/>
        </w:rPr>
      </w:pPr>
    </w:p>
    <w:p>
      <w:pPr>
        <w:ind w:left="100" w:right="660" w:firstLine="1949"/>
        <w:spacing w:after="0" w:line="282" w:lineRule="auto"/>
        <w:tabs>
          <w:tab w:leader="none" w:pos="24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reasonable fees, costs, charges, disbursements, attorneys’ fees and any other expenses incurred in connection with a Proceeding.</w:t>
      </w:r>
    </w:p>
    <w:p>
      <w:pPr>
        <w:spacing w:after="0" w:line="215" w:lineRule="exact"/>
        <w:rPr>
          <w:rFonts w:ascii="Times New Roman" w:cs="Times New Roman" w:eastAsia="Times New Roman" w:hAnsi="Times New Roman"/>
          <w:sz w:val="18"/>
          <w:szCs w:val="18"/>
          <w:color w:val="auto"/>
        </w:rPr>
      </w:pPr>
    </w:p>
    <w:p>
      <w:pPr>
        <w:ind w:left="1180" w:hanging="427"/>
        <w:spacing w:after="0"/>
        <w:tabs>
          <w:tab w:leader="none" w:pos="1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Officers, Directors, Employees and Agents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100" w:right="120" w:firstLine="1949"/>
        <w:spacing w:after="0" w:line="266" w:lineRule="auto"/>
        <w:tabs>
          <w:tab w:leader="none" w:pos="24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indemnify a Director, Officer, Employee or Agent to the extent he or she has been successful on the merits or otherwise in the defense of any Proceeding, for all reasonable Expenses in a Proceeding if the Director, Officer, Employee or Agent was a Party because he or she is a Director, Officer, Employee or Agent of the Corporation.</w:t>
      </w:r>
    </w:p>
    <w:p>
      <w:pPr>
        <w:spacing w:after="0" w:line="230" w:lineRule="exact"/>
        <w:rPr>
          <w:rFonts w:ascii="Times New Roman" w:cs="Times New Roman" w:eastAsia="Times New Roman" w:hAnsi="Times New Roman"/>
          <w:sz w:val="18"/>
          <w:szCs w:val="18"/>
          <w:color w:val="auto"/>
        </w:rPr>
      </w:pPr>
    </w:p>
    <w:p>
      <w:pPr>
        <w:ind w:left="100" w:right="40" w:firstLine="1949"/>
        <w:spacing w:after="0" w:line="261" w:lineRule="auto"/>
        <w:tabs>
          <w:tab w:leader="none" w:pos="24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not included under subsection (1), the Corporation shall indemnify a Director, Officer, Employee or Agent against Liability and Expenses incurred in a Proceeding to which the Director, Officer, Employee or Agent was a Party because he or she is a Director, Officer, Employee or Agent of the Corporation, unless it is determined by final judicial adjudication that such person breached or failed to perform a duty owed to the Corporation which constituted any of the following:</w:t>
      </w:r>
    </w:p>
    <w:p>
      <w:pPr>
        <w:spacing w:after="0" w:line="234" w:lineRule="exact"/>
        <w:rPr>
          <w:rFonts w:ascii="Times New Roman" w:cs="Times New Roman" w:eastAsia="Times New Roman" w:hAnsi="Times New Roman"/>
          <w:sz w:val="18"/>
          <w:szCs w:val="18"/>
          <w:color w:val="auto"/>
        </w:rPr>
      </w:pPr>
    </w:p>
    <w:p>
      <w:pPr>
        <w:ind w:left="3740" w:hanging="394"/>
        <w:spacing w:after="0"/>
        <w:tabs>
          <w:tab w:leader="none" w:pos="37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failure to deal fairly with the Corporation or its shareholders in connection with</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in which the Director, Officer, Employee or Agent has a material conflict of interest;</w:t>
      </w:r>
    </w:p>
    <w:p>
      <w:pPr>
        <w:spacing w:after="0" w:line="260" w:lineRule="exact"/>
        <w:rPr>
          <w:rFonts w:ascii="Times New Roman" w:cs="Times New Roman" w:eastAsia="Times New Roman" w:hAnsi="Times New Roman"/>
          <w:sz w:val="18"/>
          <w:szCs w:val="18"/>
          <w:color w:val="auto"/>
        </w:rPr>
      </w:pPr>
    </w:p>
    <w:p>
      <w:pPr>
        <w:ind w:left="760" w:right="500" w:firstLine="2586"/>
        <w:spacing w:after="0" w:line="313" w:lineRule="auto"/>
        <w:tabs>
          <w:tab w:leader="none" w:pos="3789"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violation of criminal law, unless the Director, Officer, Employee or Agent had reasonable cause to believe his or her conduct was lawful or no reasonable cause to believe his or her conduct was unlawful;</w:t>
      </w:r>
    </w:p>
    <w:p>
      <w:pPr>
        <w:spacing w:after="0" w:line="192" w:lineRule="exact"/>
        <w:rPr>
          <w:rFonts w:ascii="Times New Roman" w:cs="Times New Roman" w:eastAsia="Times New Roman" w:hAnsi="Times New Roman"/>
          <w:sz w:val="17"/>
          <w:szCs w:val="17"/>
          <w:color w:val="auto"/>
        </w:rPr>
      </w:pPr>
    </w:p>
    <w:p>
      <w:pPr>
        <w:ind w:left="3840" w:hanging="494"/>
        <w:spacing w:after="0"/>
        <w:tabs>
          <w:tab w:leader="none" w:pos="38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Director, Officer, Employee or Agent derived an improper</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profit; or</w:t>
      </w:r>
    </w:p>
    <w:p>
      <w:pPr>
        <w:spacing w:after="0" w:line="260" w:lineRule="exact"/>
        <w:rPr>
          <w:rFonts w:ascii="Times New Roman" w:cs="Times New Roman" w:eastAsia="Times New Roman" w:hAnsi="Times New Roman"/>
          <w:sz w:val="18"/>
          <w:szCs w:val="18"/>
          <w:color w:val="auto"/>
        </w:rPr>
      </w:pPr>
    </w:p>
    <w:p>
      <w:pPr>
        <w:ind w:left="3820" w:hanging="474"/>
        <w:spacing w:after="0"/>
        <w:tabs>
          <w:tab w:leader="none" w:pos="38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w:t>
      </w:r>
    </w:p>
    <w:p>
      <w:pPr>
        <w:spacing w:after="0" w:line="279" w:lineRule="exact"/>
        <w:rPr>
          <w:rFonts w:ascii="Times New Roman" w:cs="Times New Roman" w:eastAsia="Times New Roman" w:hAnsi="Times New Roman"/>
          <w:sz w:val="18"/>
          <w:szCs w:val="18"/>
          <w:color w:val="auto"/>
        </w:rPr>
      </w:pPr>
    </w:p>
    <w:p>
      <w:pPr>
        <w:ind w:left="100" w:firstLine="1949"/>
        <w:spacing w:after="0" w:line="266" w:lineRule="auto"/>
        <w:tabs>
          <w:tab w:leader="none" w:pos="24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under this Section 7.1 is not required to the extent the Director, Officer, Employee or Agent has previously received indemnification or allowance of expenses from any person or entity, including the Corporation, in connection with the same Proceeding.</w:t>
      </w:r>
    </w:p>
    <w:p>
      <w:pPr>
        <w:spacing w:after="0" w:line="230" w:lineRule="exact"/>
        <w:rPr>
          <w:rFonts w:ascii="Times New Roman" w:cs="Times New Roman" w:eastAsia="Times New Roman" w:hAnsi="Times New Roman"/>
          <w:sz w:val="18"/>
          <w:szCs w:val="18"/>
          <w:color w:val="auto"/>
        </w:rPr>
      </w:pPr>
    </w:p>
    <w:p>
      <w:pPr>
        <w:ind w:left="100" w:right="100" w:firstLine="1949"/>
        <w:spacing w:after="0" w:line="266" w:lineRule="auto"/>
        <w:tabs>
          <w:tab w:leader="none" w:pos="24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required under subsection (b) (1) shall be made within 10 days of receipt of a written demand for indemnification. Indemnification required under subsection (b) (2) shall be made within 30 days of receipt of a written demand for indemnification.</w:t>
      </w:r>
    </w:p>
    <w:p>
      <w:pPr>
        <w:spacing w:after="0" w:line="230" w:lineRule="exact"/>
        <w:rPr>
          <w:rFonts w:ascii="Times New Roman" w:cs="Times New Roman" w:eastAsia="Times New Roman" w:hAnsi="Times New Roman"/>
          <w:sz w:val="18"/>
          <w:szCs w:val="18"/>
          <w:color w:val="auto"/>
        </w:rPr>
      </w:pPr>
    </w:p>
    <w:p>
      <w:pPr>
        <w:ind w:left="100" w:right="400" w:firstLine="1949"/>
        <w:spacing w:after="0" w:line="266" w:lineRule="auto"/>
        <w:tabs>
          <w:tab w:leader="none" w:pos="24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a Director, Officer, Employee or Agent who is a Party to a Proceeding, the Corporation shall pay or reimburse his or her reasonable Expenses as incurred if the Director, Officer, Employee or Agent provides the Corporation with all of the following:</w:t>
      </w:r>
    </w:p>
    <w:p>
      <w:pPr>
        <w:spacing w:after="0" w:line="230" w:lineRule="exact"/>
        <w:rPr>
          <w:rFonts w:ascii="Times New Roman" w:cs="Times New Roman" w:eastAsia="Times New Roman" w:hAnsi="Times New Roman"/>
          <w:sz w:val="18"/>
          <w:szCs w:val="18"/>
          <w:color w:val="auto"/>
        </w:rPr>
      </w:pPr>
    </w:p>
    <w:p>
      <w:pPr>
        <w:ind w:left="3740" w:hanging="394"/>
        <w:spacing w:after="0"/>
        <w:tabs>
          <w:tab w:leader="none" w:pos="37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of his or her good faith belief that he or she is entitled to</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under Section 7.1; and</w:t>
      </w:r>
    </w:p>
    <w:p>
      <w:pPr>
        <w:spacing w:after="0" w:line="260" w:lineRule="exact"/>
        <w:rPr>
          <w:rFonts w:ascii="Times New Roman" w:cs="Times New Roman" w:eastAsia="Times New Roman" w:hAnsi="Times New Roman"/>
          <w:sz w:val="18"/>
          <w:szCs w:val="18"/>
          <w:color w:val="auto"/>
        </w:rPr>
      </w:pPr>
    </w:p>
    <w:p>
      <w:pPr>
        <w:ind w:left="760" w:right="140" w:firstLine="2586"/>
        <w:spacing w:after="0" w:line="261" w:lineRule="auto"/>
        <w:tabs>
          <w:tab w:leader="none" w:pos="3789"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executed personally or on his or her behalf, to repay all amounts advanced without interest to the extent that it is ultimately determined that indemnification under Section 7.1(b)(2) is prohibited. The undertaking under this subsection shall be accepted without reference to the ability of the Director, Officer, Employee or Agent to repay the allowance. The undertaking shall be unsecured.</w:t>
      </w:r>
    </w:p>
    <w:p>
      <w:pPr>
        <w:spacing w:after="0" w:line="234" w:lineRule="exact"/>
        <w:rPr>
          <w:rFonts w:ascii="Times New Roman" w:cs="Times New Roman" w:eastAsia="Times New Roman" w:hAnsi="Times New Roman"/>
          <w:sz w:val="18"/>
          <w:szCs w:val="18"/>
          <w:color w:val="auto"/>
        </w:rPr>
      </w:pPr>
    </w:p>
    <w:p>
      <w:pPr>
        <w:ind w:left="1160" w:hanging="407"/>
        <w:spacing w:after="0"/>
        <w:tabs>
          <w:tab w:leader="none" w:pos="1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that Indemnification is Proper</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100" w:right="20" w:firstLine="1949"/>
        <w:spacing w:after="0" w:line="252" w:lineRule="auto"/>
        <w:tabs>
          <w:tab w:leader="none" w:pos="24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provided otherwise by a written agreement between the Director, Officer, Employee or Agent and the Corporation, determination of whether indemnification is required under subsection (b) shall be made by one of the following methods, which in the case of a Director or Officer seeking indemnification shall be selected by such Director or Officer: (i) by a majority vote of a quorum of the Board of Directors consisting of directors who are not at the time parties to the same or related proceedings or, if a quorum of disinterested directors cannot be obtained, by a majority vote of a committee duly appointed by the Board of Directors (which appointment by the Board may be made by directors who are parties to the proceeding) consisting solely of two or more directors who are not at the time parties to the same or related proceedings, (ii) by a panel of three arbitrators consisting of (a) one arbitrator selected by a quorum of the Board of Directors or its committee constituted as required under (i), above, or, if unable to obtain such a quorum or committee, by a majority vote of the full Board of Directors, including directors who are parties to the same or related proceedings, (b) one arbitrator selected by the person seeking indemnification and (c) one arbitrator selected by the other two arbitrators, (iii) by an affirmative vote of shareholders as provided under Section 2.9, except that shares owned by, or voted under the control of, persons who are at the time parties to the same or related proceedings, whether as plaintiffs or defendants or in any other capacity, may not be voted in making the determination, or (iv) by a court of competent jurisdiction as permitted under the Wisconsin business corporation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additional right to indemnification permissible under the Wisconsin business corporation law and granted by the Corporation, the determination of whether such additional right of indemnification is required shall be made by any method permissible under the Wisconsin business corporation law, as such methods may be limited by the grant of such additional right to indemnification.</w:t>
      </w:r>
    </w:p>
    <w:p>
      <w:pPr>
        <w:spacing w:after="0" w:line="250" w:lineRule="exact"/>
        <w:rPr>
          <w:rFonts w:ascii="Times New Roman" w:cs="Times New Roman" w:eastAsia="Times New Roman" w:hAnsi="Times New Roman"/>
          <w:sz w:val="18"/>
          <w:szCs w:val="18"/>
          <w:color w:val="auto"/>
        </w:rPr>
      </w:pPr>
    </w:p>
    <w:p>
      <w:pPr>
        <w:ind w:left="100" w:right="160" w:firstLine="1949"/>
        <w:spacing w:after="0" w:line="261" w:lineRule="auto"/>
        <w:tabs>
          <w:tab w:leader="none" w:pos="24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Employee or Agent who seeks indemnification under this Section 7.1 shall make a written request to the Corporation. As a further precondition to any right to receive indemnification, the writing shall contain a declaration that the Corporation shall have the right to exercise all rights and remedies available to such Director, Officer, Employee or Agent against any other person, corporation, foreign corporation, partnership, joint venture, trust or other enterprise, arising out of, or related to, the</w:t>
      </w:r>
    </w:p>
    <w:p>
      <w:pPr>
        <w:sectPr>
          <w:pgSz w:w="11900" w:h="16838" w:orient="portrait"/>
          <w:cols w:equalWidth="0" w:num="1">
            <w:col w:w="10220"/>
          </w:cols>
          <w:pgMar w:left="1440" w:top="121" w:right="239" w:bottom="0" w:gutter="0" w:footer="0" w:header="0"/>
        </w:sectPr>
      </w:pPr>
    </w:p>
    <w:bookmarkStart w:id="45" w:name="page46"/>
    <w:bookmarkEnd w:id="45"/>
    <w:p>
      <w:pPr>
        <w:ind w:left="1300" w:right="20"/>
        <w:spacing w:after="0" w:line="313" w:lineRule="auto"/>
        <w:rPr>
          <w:sz w:val="20"/>
          <w:szCs w:val="20"/>
          <w:color w:val="auto"/>
        </w:rPr>
      </w:pPr>
      <w:r>
        <w:rPr>
          <w:rFonts w:ascii="Times New Roman" w:cs="Times New Roman" w:eastAsia="Times New Roman" w:hAnsi="Times New Roman"/>
          <w:sz w:val="17"/>
          <w:szCs w:val="17"/>
          <w:color w:val="auto"/>
        </w:rPr>
        <w:t>Proceeding which resulted in the Liability and the Expense for which such Director, Officer, Employee or Agent is seeking indemnification, and that the Director, Officer, Employee or Agent is hereby deemed to have assigned to the Corporation all such rights and remedies.</w:t>
      </w:r>
    </w:p>
    <w:p>
      <w:pPr>
        <w:spacing w:after="0" w:line="192" w:lineRule="exact"/>
        <w:rPr>
          <w:sz w:val="20"/>
          <w:szCs w:val="20"/>
          <w:color w:val="auto"/>
        </w:rPr>
      </w:pPr>
    </w:p>
    <w:p>
      <w:pPr>
        <w:ind w:left="660" w:firstLine="1293"/>
        <w:spacing w:after="0" w:line="261" w:lineRule="auto"/>
        <w:tabs>
          <w:tab w:leader="none" w:pos="23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shall have the power to purchase and maintain insurance on behalf of any person who is a Director, Officer, Employee or Agent against any Liability asserted against or incurred by the individual in any such capacity or arising out of his or her status as such, regardless of whether the Corporation is required or authorized to indemnify or allow expenses to the individual under this Section 7.1.</w:t>
      </w:r>
    </w:p>
    <w:p>
      <w:pPr>
        <w:spacing w:after="0" w:line="234" w:lineRule="exact"/>
        <w:rPr>
          <w:rFonts w:ascii="Times New Roman" w:cs="Times New Roman" w:eastAsia="Times New Roman" w:hAnsi="Times New Roman"/>
          <w:sz w:val="18"/>
          <w:szCs w:val="18"/>
          <w:color w:val="auto"/>
        </w:rPr>
      </w:pPr>
    </w:p>
    <w:p>
      <w:pPr>
        <w:ind w:left="660" w:right="120" w:firstLine="1293"/>
        <w:spacing w:after="0" w:line="266" w:lineRule="auto"/>
        <w:tabs>
          <w:tab w:leader="none" w:pos="23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Section 7.1 shall not apply in any circumstance where a court of competent jurisdiction determines that indemnification would be invalid as against public policy, but such provisions shall not apply only to the extent that they are invalid as against public policy and shall otherwise remain in full force and effect.</w:t>
      </w:r>
    </w:p>
    <w:p>
      <w:pPr>
        <w:spacing w:after="0" w:line="230" w:lineRule="exact"/>
        <w:rPr>
          <w:rFonts w:ascii="Times New Roman" w:cs="Times New Roman" w:eastAsia="Times New Roman" w:hAnsi="Times New Roman"/>
          <w:sz w:val="18"/>
          <w:szCs w:val="18"/>
          <w:color w:val="auto"/>
        </w:rPr>
      </w:pPr>
    </w:p>
    <w:p>
      <w:pPr>
        <w:ind w:left="660" w:right="220" w:firstLine="1293"/>
        <w:spacing w:after="0" w:line="258" w:lineRule="auto"/>
        <w:tabs>
          <w:tab w:leader="none" w:pos="23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or Expansion of Indemnification</w:t>
      </w:r>
      <w:r>
        <w:rPr>
          <w:rFonts w:ascii="Times New Roman" w:cs="Times New Roman" w:eastAsia="Times New Roman" w:hAnsi="Times New Roman"/>
          <w:sz w:val="18"/>
          <w:szCs w:val="18"/>
          <w:color w:val="auto"/>
        </w:rPr>
        <w:t>. The right to indemnification under this Section 7.1 may be limited or reduced only by subsequent affirmative vote of not less than two-thirds of the Corporation’s outstanding capital stock entitled to vote on such matters. Any limitation or reduction in the right to indemnification may only be prospective from the date of such vote. The Board of Directors, however, shall have the authority to expand the indemnification permitted under this Section 7.1 to the fullest extent permissible under the Wisconsin business corporation law as in effect on the date of any such resolution with or without further amendment to this Section 7.1.</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VIII. AMENDMENTS</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Amendment by the Board of Directors</w:t>
      </w:r>
      <w:r>
        <w:rPr>
          <w:rFonts w:ascii="Times New Roman" w:cs="Times New Roman" w:eastAsia="Times New Roman" w:hAnsi="Times New Roman"/>
          <w:sz w:val="18"/>
          <w:szCs w:val="18"/>
          <w:color w:val="auto"/>
        </w:rPr>
        <w:t>. The Board of Directors may amend or repeal the By-Laws of the Corporation or adopt new by-laws except to the extent any of the following apply:</w:t>
      </w:r>
    </w:p>
    <w:p>
      <w:pPr>
        <w:spacing w:after="0" w:line="216" w:lineRule="exact"/>
        <w:rPr>
          <w:sz w:val="20"/>
          <w:szCs w:val="20"/>
          <w:color w:val="auto"/>
        </w:rPr>
      </w:pPr>
    </w:p>
    <w:p>
      <w:pPr>
        <w:ind w:left="2360" w:hanging="407"/>
        <w:spacing w:after="0"/>
        <w:tabs>
          <w:tab w:leader="none" w:pos="2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or the Wisconsin business corporation law reserve that power exclusively to the shareholders;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w:t>
      </w:r>
    </w:p>
    <w:p>
      <w:pPr>
        <w:spacing w:after="0" w:line="261" w:lineRule="exact"/>
        <w:rPr>
          <w:sz w:val="20"/>
          <w:szCs w:val="20"/>
          <w:color w:val="auto"/>
        </w:rPr>
      </w:pPr>
    </w:p>
    <w:p>
      <w:pPr>
        <w:ind w:left="660" w:right="80" w:firstLine="1293"/>
        <w:spacing w:after="0" w:line="282" w:lineRule="auto"/>
        <w:tabs>
          <w:tab w:leader="none" w:pos="23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in adopting, amending, or repealing a particular by-law provide expressly within the by-law that the Board of Directors may not amend, repeal or readopt that by-law.</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8.2 . </w:t>
      </w:r>
      <w:r>
        <w:rPr>
          <w:rFonts w:ascii="Times New Roman" w:cs="Times New Roman" w:eastAsia="Times New Roman" w:hAnsi="Times New Roman"/>
          <w:sz w:val="18"/>
          <w:szCs w:val="18"/>
          <w:u w:val="single" w:color="auto"/>
          <w:color w:val="auto"/>
        </w:rPr>
        <w:t>Amendment by the Corporation’s Shareholders</w:t>
      </w:r>
      <w:r>
        <w:rPr>
          <w:rFonts w:ascii="Times New Roman" w:cs="Times New Roman" w:eastAsia="Times New Roman" w:hAnsi="Times New Roman"/>
          <w:sz w:val="18"/>
          <w:szCs w:val="18"/>
          <w:color w:val="auto"/>
        </w:rPr>
        <w:t>. The Corporation’s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IX. CORPORATE SEAL</w:t>
      </w:r>
    </w:p>
    <w:p>
      <w:pPr>
        <w:spacing w:after="0" w:line="25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Board of Directors may provide for a corporate seal which may be circular in form and have inscribed thereon any designation including the name of the Corporation, Wisconsin as the state of incorporation, and the words “Corporate Seal.” Any instrument executed in the corporate name by the proper officers of the Corporation under any seal, including the words “Seal,” “Corporate Seal” or similar designation, is sealed even though the corporate seal is not used.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X. EMERGENCY BY-LAWS</w:t>
      </w:r>
    </w:p>
    <w:p>
      <w:pPr>
        <w:spacing w:after="0" w:line="252"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Emergency By-Laws</w:t>
      </w:r>
      <w:r>
        <w:rPr>
          <w:rFonts w:ascii="Times New Roman" w:cs="Times New Roman" w:eastAsia="Times New Roman" w:hAnsi="Times New Roman"/>
          <w:sz w:val="17"/>
          <w:szCs w:val="17"/>
          <w:color w:val="auto"/>
        </w:rPr>
        <w:t>. Unless the Articles of Incorporation provide otherwise, the following provisions of this Article X shall be effective during an “Emergency,” which is defined as a catastrophic event that prevents a quorum of the Corporation’s directors from being readily assembled.</w:t>
      </w:r>
    </w:p>
    <w:p>
      <w:pPr>
        <w:spacing w:after="0" w:line="16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 of Board Meetings</w:t>
      </w:r>
      <w:r>
        <w:rPr>
          <w:rFonts w:ascii="Times New Roman" w:cs="Times New Roman" w:eastAsia="Times New Roman" w:hAnsi="Times New Roman"/>
          <w:sz w:val="18"/>
          <w:szCs w:val="18"/>
          <w:color w:val="auto"/>
        </w:rPr>
        <w:t>. During an Emergency, any one member of the Board of Directors or any one of the following officers: Chairman of the Board, Chief Executive Officer, President, any Vice-President or Secretary, may call a meeting of the Board of Directors. Notice of such meeting need be given only to those directors whom it is practicable to reach, and may be given in any practical manner, including by publication or radio. Such notice shall be given at least six hours prior to commencement of the meeting.</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Temporary Directors and Quorum</w:t>
      </w:r>
      <w:r>
        <w:rPr>
          <w:rFonts w:ascii="Times New Roman" w:cs="Times New Roman" w:eastAsia="Times New Roman" w:hAnsi="Times New Roman"/>
          <w:sz w:val="18"/>
          <w:szCs w:val="18"/>
          <w:color w:val="auto"/>
        </w:rPr>
        <w:t>. One or more officers of the Corporation present at the Emergency meeting of the Board of Directors, as is necessary to achieve a quorum, shall be considered to be directors for the meeting, and shall so serve in order of rank, and within the same rank, in order of seniority. In the event that less than a quorum (as determined by Section 3.11) of the directors are present (including any officers who are to serve as directors for the meeting), those directors present (including the officers serving as directors) shall constitute a quorum.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Actions Permitted To Be Taken</w:t>
      </w:r>
      <w:r>
        <w:rPr>
          <w:rFonts w:ascii="Times New Roman" w:cs="Times New Roman" w:eastAsia="Times New Roman" w:hAnsi="Times New Roman"/>
          <w:sz w:val="18"/>
          <w:szCs w:val="18"/>
          <w:color w:val="auto"/>
        </w:rPr>
        <w:t>. The board as constituted in Section 10.3, and after notice as set forth in Section 10.2 may:</w:t>
      </w:r>
    </w:p>
    <w:p>
      <w:pPr>
        <w:spacing w:after="0" w:line="279" w:lineRule="exact"/>
        <w:rPr>
          <w:sz w:val="20"/>
          <w:szCs w:val="20"/>
          <w:color w:val="auto"/>
        </w:rPr>
      </w:pPr>
    </w:p>
    <w:p>
      <w:pPr>
        <w:ind w:left="2360" w:hanging="407"/>
        <w:spacing w:after="0"/>
        <w:tabs>
          <w:tab w:leader="none" w:pos="2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Powers</w:t>
      </w:r>
      <w:r>
        <w:rPr>
          <w:rFonts w:ascii="Times New Roman" w:cs="Times New Roman" w:eastAsia="Times New Roman" w:hAnsi="Times New Roman"/>
          <w:sz w:val="18"/>
          <w:szCs w:val="18"/>
          <w:color w:val="auto"/>
        </w:rPr>
        <w:t>. Prescribe emergency powers to any officers of the Corporation;</w:t>
      </w:r>
    </w:p>
    <w:p>
      <w:pPr>
        <w:spacing w:after="0" w:line="279" w:lineRule="exact"/>
        <w:rPr>
          <w:rFonts w:ascii="Times New Roman" w:cs="Times New Roman" w:eastAsia="Times New Roman" w:hAnsi="Times New Roman"/>
          <w:sz w:val="18"/>
          <w:szCs w:val="18"/>
          <w:color w:val="auto"/>
        </w:rPr>
      </w:pPr>
    </w:p>
    <w:p>
      <w:pPr>
        <w:ind w:left="2380" w:hanging="427"/>
        <w:spacing w:after="0"/>
        <w:tabs>
          <w:tab w:leader="none" w:pos="2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Any Power</w:t>
      </w:r>
      <w:r>
        <w:rPr>
          <w:rFonts w:ascii="Times New Roman" w:cs="Times New Roman" w:eastAsia="Times New Roman" w:hAnsi="Times New Roman"/>
          <w:sz w:val="18"/>
          <w:szCs w:val="18"/>
          <w:color w:val="auto"/>
        </w:rPr>
        <w:t>. Delegate to any officer or director, any of the powers of the Board of Directors;</w:t>
      </w:r>
    </w:p>
    <w:p>
      <w:pPr>
        <w:spacing w:after="0" w:line="279"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Lines of Succession</w:t>
      </w:r>
      <w:r>
        <w:rPr>
          <w:rFonts w:ascii="Times New Roman" w:cs="Times New Roman" w:eastAsia="Times New Roman" w:hAnsi="Times New Roman"/>
          <w:sz w:val="18"/>
          <w:szCs w:val="18"/>
          <w:color w:val="auto"/>
        </w:rPr>
        <w:t>. Designate lines of succession of officers and agents, in the event that any of them are unable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their duties;</w:t>
      </w:r>
    </w:p>
    <w:p>
      <w:pPr>
        <w:spacing w:after="0" w:line="260" w:lineRule="exact"/>
        <w:rPr>
          <w:rFonts w:ascii="Times New Roman" w:cs="Times New Roman" w:eastAsia="Times New Roman" w:hAnsi="Times New Roman"/>
          <w:sz w:val="18"/>
          <w:szCs w:val="18"/>
          <w:color w:val="auto"/>
        </w:rPr>
      </w:pPr>
    </w:p>
    <w:p>
      <w:pPr>
        <w:ind w:left="660" w:right="500" w:firstLine="1293"/>
        <w:spacing w:after="0" w:line="282" w:lineRule="auto"/>
        <w:tabs>
          <w:tab w:leader="none" w:pos="23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Relocate Principal Place of Business</w:t>
      </w:r>
      <w:r>
        <w:rPr>
          <w:rFonts w:ascii="Times New Roman" w:cs="Times New Roman" w:eastAsia="Times New Roman" w:hAnsi="Times New Roman"/>
          <w:sz w:val="18"/>
          <w:szCs w:val="18"/>
          <w:color w:val="auto"/>
        </w:rPr>
        <w:t>. Relocate the principal place of business, or designate successive or simultaneous principal places of business; and</w:t>
      </w:r>
    </w:p>
    <w:p>
      <w:pPr>
        <w:spacing w:after="0" w:line="215"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Action</w:t>
      </w:r>
      <w:r>
        <w:rPr>
          <w:rFonts w:ascii="Times New Roman" w:cs="Times New Roman" w:eastAsia="Times New Roman" w:hAnsi="Times New Roman"/>
          <w:sz w:val="18"/>
          <w:szCs w:val="18"/>
          <w:color w:val="auto"/>
        </w:rPr>
        <w:t>. Take any and all other action, convenient, helpful, or necessary to carry on the business of the Corporation.</w:t>
      </w:r>
    </w:p>
    <w:p>
      <w:pPr>
        <w:sectPr>
          <w:pgSz w:w="11900" w:h="16838" w:orient="portrait"/>
          <w:cols w:equalWidth="0" w:num="1">
            <w:col w:w="11420"/>
          </w:cols>
          <w:pgMar w:left="240" w:top="121" w:right="239" w:bottom="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Corporate action taken in good faith in accordance with the emergency by-laws binds the Corporation and may not be used to impose liability on any of the Corporation’s directors, officers, employees or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364"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COMPUTATION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RATIO OF EARNINGS TO FIXED CHARGES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6 Months</w:t>
            </w:r>
          </w:p>
        </w:tc>
      </w:tr>
      <w:tr>
        <w:trPr>
          <w:trHeight w:val="238"/>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23"/>
        </w:trPr>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gridSpan w:val="3"/>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June 30, 2013</w:t>
            </w: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Times New Roman" w:cs="Times New Roman" w:eastAsia="Times New Roman" w:hAnsi="Times New Roman"/>
                <w:sz w:val="18"/>
                <w:szCs w:val="18"/>
                <w:color w:val="auto"/>
              </w:rPr>
              <w:t>160.7</w:t>
            </w:r>
          </w:p>
        </w:tc>
      </w:tr>
      <w:tr>
        <w:trPr>
          <w:trHeight w:val="216"/>
        </w:trPr>
        <w:tc>
          <w:tcPr>
            <w:tcW w:w="67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Times New Roman" w:cs="Times New Roman" w:eastAsia="Times New Roman" w:hAnsi="Times New Roman"/>
                <w:sz w:val="18"/>
                <w:szCs w:val="18"/>
                <w:color w:val="auto"/>
              </w:rPr>
              <w:t>82.9</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0" w:type="dxa"/>
            <w:vAlign w:val="bottom"/>
            <w:gridSpan w:val="2"/>
            <w:shd w:val="clear" w:color="auto" w:fill="CCEEFF"/>
          </w:tcPr>
          <w:p>
            <w:pPr>
              <w:jc w:val="right"/>
              <w:ind w:right="3420"/>
              <w:spacing w:after="0"/>
              <w:rPr>
                <w:sz w:val="20"/>
                <w:szCs w:val="20"/>
                <w:color w:val="auto"/>
              </w:rPr>
            </w:pPr>
            <w:r>
              <w:rPr>
                <w:rFonts w:ascii="Times New Roman" w:cs="Times New Roman" w:eastAsia="Times New Roman" w:hAnsi="Times New Roman"/>
                <w:sz w:val="18"/>
                <w:szCs w:val="18"/>
                <w:color w:val="auto"/>
              </w:rPr>
              <w:t>243.6</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gridSpan w:val="2"/>
          </w:tcPr>
          <w:p>
            <w:pPr>
              <w:jc w:val="right"/>
              <w:ind w:right="342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74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Times New Roman" w:cs="Times New Roman" w:eastAsia="Times New Roman" w:hAnsi="Times New Roman"/>
                <w:sz w:val="18"/>
                <w:szCs w:val="18"/>
                <w:color w:val="auto"/>
              </w:rPr>
              <w:t>61.4</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0" w:type="dxa"/>
            <w:vAlign w:val="bottom"/>
            <w:gridSpan w:val="2"/>
          </w:tcPr>
          <w:p>
            <w:pPr>
              <w:jc w:val="right"/>
              <w:ind w:right="3420"/>
              <w:spacing w:after="0"/>
              <w:rPr>
                <w:sz w:val="20"/>
                <w:szCs w:val="20"/>
                <w:color w:val="auto"/>
              </w:rPr>
            </w:pPr>
            <w:r>
              <w:rPr>
                <w:rFonts w:ascii="Times New Roman" w:cs="Times New Roman" w:eastAsia="Times New Roman" w:hAnsi="Times New Roman"/>
                <w:sz w:val="18"/>
                <w:szCs w:val="18"/>
                <w:color w:val="auto"/>
              </w:rPr>
              <w:t>82.9</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Times New Roman" w:cs="Times New Roman" w:eastAsia="Times New Roman" w:hAnsi="Times New Roman"/>
                <w:sz w:val="18"/>
                <w:szCs w:val="18"/>
                <w:color w:val="auto"/>
              </w:rPr>
              <w:t>2.9</w:t>
            </w: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20" w:right="560" w:hanging="619"/>
        <w:spacing w:after="0" w:line="266"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17"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A. Joerres, Chairman and Chief Executive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98" w:lineRule="exact"/>
        <w:rPr>
          <w:rFonts w:ascii="Times New Roman" w:cs="Times New Roman" w:eastAsia="Times New Roman" w:hAnsi="Times New Roman"/>
          <w:sz w:val="18"/>
          <w:szCs w:val="18"/>
          <w:color w:val="auto"/>
        </w:rPr>
      </w:pPr>
    </w:p>
    <w:p>
      <w:pPr>
        <w:jc w:val="both"/>
        <w:ind w:left="920" w:right="20" w:hanging="480"/>
        <w:spacing w:after="0" w:line="250" w:lineRule="auto"/>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920" w:right="260" w:hanging="480"/>
        <w:spacing w:after="0" w:line="266" w:lineRule="auto"/>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920" w:right="20" w:hanging="480"/>
        <w:spacing w:after="0" w:line="250" w:lineRule="auto"/>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1920" w:right="100" w:hanging="480"/>
        <w:spacing w:after="0" w:line="250" w:lineRule="auto"/>
        <w:tabs>
          <w:tab w:leader="none" w:pos="1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8"/>
          <w:szCs w:val="18"/>
          <w:color w:val="auto"/>
        </w:rPr>
      </w:pPr>
    </w:p>
    <w:p>
      <w:pPr>
        <w:ind w:left="1920" w:right="420" w:hanging="480"/>
        <w:spacing w:after="0" w:line="250" w:lineRule="auto"/>
        <w:tabs>
          <w:tab w:leader="none" w:pos="1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8"/>
          <w:szCs w:val="18"/>
          <w:color w:val="auto"/>
        </w:rPr>
      </w:pPr>
    </w:p>
    <w:p>
      <w:pPr>
        <w:ind w:left="1920" w:right="60" w:hanging="480"/>
        <w:spacing w:after="0" w:line="250" w:lineRule="auto"/>
        <w:tabs>
          <w:tab w:leader="none" w:pos="1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1920" w:right="180" w:hanging="480"/>
        <w:spacing w:after="0" w:line="250" w:lineRule="auto"/>
        <w:tabs>
          <w:tab w:leader="none" w:pos="1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8"/>
          <w:szCs w:val="18"/>
          <w:color w:val="auto"/>
        </w:rPr>
      </w:pPr>
    </w:p>
    <w:p>
      <w:pPr>
        <w:ind w:left="920" w:right="180" w:hanging="480"/>
        <w:spacing w:after="0" w:line="296" w:lineRule="auto"/>
        <w:tabs>
          <w:tab w:leader="none" w:pos="9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920" w:hanging="480"/>
        <w:spacing w:after="0" w:line="266" w:lineRule="auto"/>
        <w:tabs>
          <w:tab w:leader="none" w:pos="1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20" w:right="300" w:hanging="480"/>
        <w:spacing w:after="0" w:line="266" w:lineRule="auto"/>
        <w:tabs>
          <w:tab w:leader="none" w:pos="19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August 2, 2013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951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Chairman and Chief Executive Officer</w:t>
      </w:r>
    </w:p>
    <w:p>
      <w:pPr>
        <w:sectPr>
          <w:pgSz w:w="11900" w:h="16838" w:orient="portrait"/>
          <w:cols w:equalWidth="0" w:num="1">
            <w:col w:w="11420"/>
          </w:cols>
          <w:pgMar w:left="240" w:top="11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Van Handel, Executive Vice President and Chief Financial Officer of ManpowerGroup Inc., certify that:</w:t>
      </w:r>
    </w:p>
    <w:p>
      <w:pPr>
        <w:spacing w:after="0" w:line="252" w:lineRule="exact"/>
        <w:rPr>
          <w:sz w:val="20"/>
          <w:szCs w:val="20"/>
          <w:color w:val="auto"/>
        </w:rPr>
      </w:pPr>
    </w:p>
    <w:p>
      <w:pPr>
        <w:ind w:left="700" w:hanging="341"/>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252" w:lineRule="exact"/>
        <w:rPr>
          <w:rFonts w:ascii="Times New Roman" w:cs="Times New Roman" w:eastAsia="Times New Roman" w:hAnsi="Times New Roman"/>
          <w:sz w:val="18"/>
          <w:szCs w:val="18"/>
          <w:color w:val="auto"/>
        </w:rPr>
      </w:pPr>
    </w:p>
    <w:p>
      <w:pPr>
        <w:jc w:val="both"/>
        <w:ind w:left="700" w:right="260" w:hanging="341"/>
        <w:spacing w:after="0" w:line="266"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00" w:right="220" w:hanging="341"/>
        <w:spacing w:after="0" w:line="282"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700" w:right="240" w:hanging="341"/>
        <w:spacing w:after="0" w:line="266"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500" w:right="100" w:hanging="452"/>
        <w:spacing w:after="0" w:line="266"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500" w:right="20" w:hanging="452"/>
        <w:spacing w:after="0" w:line="266"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500" w:right="200" w:hanging="452"/>
        <w:spacing w:after="0" w:line="313" w:lineRule="auto"/>
        <w:tabs>
          <w:tab w:leader="none" w:pos="150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1500" w:right="200" w:hanging="452"/>
        <w:spacing w:after="0" w:line="266"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700" w:right="220" w:hanging="341"/>
        <w:spacing w:after="0" w:line="282"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500" w:right="440" w:hanging="452"/>
        <w:spacing w:after="0" w:line="282"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500" w:right="120" w:hanging="452"/>
        <w:spacing w:after="0" w:line="282"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005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11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89" w:lineRule="exact"/>
        <w:rPr>
          <w:sz w:val="20"/>
          <w:szCs w:val="20"/>
          <w:color w:val="auto"/>
        </w:rPr>
      </w:pPr>
    </w:p>
    <w:p>
      <w:pPr>
        <w:ind w:left="820" w:right="480" w:hanging="582"/>
        <w:spacing w:after="0" w:line="282" w:lineRule="auto"/>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2013 fully complies with the requirements of Section 13(a) or 15(d), as applicable, of the Securities Exchange Act of 1934, and</w:t>
      </w:r>
    </w:p>
    <w:p>
      <w:pPr>
        <w:spacing w:after="0" w:line="188" w:lineRule="exact"/>
        <w:rPr>
          <w:rFonts w:ascii="Times New Roman" w:cs="Times New Roman" w:eastAsia="Times New Roman" w:hAnsi="Times New Roman"/>
          <w:sz w:val="18"/>
          <w:szCs w:val="18"/>
          <w:color w:val="auto"/>
        </w:rPr>
      </w:pPr>
    </w:p>
    <w:p>
      <w:pPr>
        <w:ind w:left="820" w:hanging="582"/>
        <w:spacing w:after="0"/>
        <w:tabs>
          <w:tab w:leader="none" w:pos="8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804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A. Joerres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7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17"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89" w:lineRule="exact"/>
        <w:rPr>
          <w:sz w:val="20"/>
          <w:szCs w:val="20"/>
          <w:color w:val="auto"/>
        </w:rPr>
      </w:pPr>
    </w:p>
    <w:p>
      <w:pPr>
        <w:ind w:left="820" w:right="480" w:hanging="461"/>
        <w:spacing w:after="0" w:line="282"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2013 fully complies with the requirements of Section 13(a) or 15(d), as applicable, of the Securities Exchange Act of 1934, and</w:t>
      </w:r>
    </w:p>
    <w:p>
      <w:pPr>
        <w:spacing w:after="0" w:line="188" w:lineRule="exact"/>
        <w:rPr>
          <w:rFonts w:ascii="Times New Roman" w:cs="Times New Roman" w:eastAsia="Times New Roman" w:hAnsi="Times New Roman"/>
          <w:sz w:val="18"/>
          <w:szCs w:val="18"/>
          <w:color w:val="auto"/>
        </w:rPr>
      </w:pPr>
    </w:p>
    <w:p>
      <w:pPr>
        <w:ind w:left="820" w:hanging="461"/>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72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75" w:lineRule="exact"/>
        <w:rPr>
          <w:sz w:val="20"/>
          <w:szCs w:val="20"/>
          <w:color w:val="auto"/>
        </w:rPr>
      </w:pPr>
    </w:p>
    <w:p>
      <w:pPr>
        <w:ind w:right="80"/>
        <w:spacing w:after="0" w:line="236" w:lineRule="exact"/>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decimal"/>
      <w:start w:val="3"/>
    </w:lvl>
  </w:abstractNum>
  <w:abstractNum w:abstractNumId="5">
    <w:nsid w:val="8138641"/>
    <w:multiLevelType w:val="hybridMultilevel"/>
    <w:lvl w:ilvl="0">
      <w:lvlJc w:val="left"/>
      <w:lvlText w:val="(%1)"/>
      <w:numFmt w:val="decimal"/>
      <w:start w:val="4"/>
    </w:lvl>
  </w:abstractNum>
  <w:abstractNum w:abstractNumId="6">
    <w:nsid w:val="1E7FF521"/>
    <w:multiLevelType w:val="hybridMultilevel"/>
    <w:lvl w:ilvl="0">
      <w:lvlJc w:val="left"/>
      <w:lvlText w:val="(%1)"/>
      <w:numFmt w:val="decimal"/>
      <w:start w:val="5"/>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6"/>
    </w:lvl>
  </w:abstractNum>
  <w:abstractNum w:abstractNumId="9">
    <w:nsid w:val="6CEAF087"/>
    <w:multiLevelType w:val="hybridMultilevel"/>
    <w:lvl w:ilvl="0">
      <w:lvlJc w:val="left"/>
      <w:lvlText w:val="(%1)"/>
      <w:numFmt w:val="decimal"/>
      <w:start w:val="7"/>
    </w:lvl>
  </w:abstractNum>
  <w:abstractNum w:abstractNumId="10">
    <w:nsid w:val="22221A70"/>
    <w:multiLevelType w:val="hybridMultilevel"/>
    <w:lvl w:ilvl="0">
      <w:lvlJc w:val="left"/>
      <w:lvlText w:val="(%1)"/>
      <w:numFmt w:val="decimal"/>
      <w:start w:val="8"/>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9"/>
    </w:lvl>
  </w:abstractNum>
  <w:abstractNum w:abstractNumId="14">
    <w:nsid w:val="419AC241"/>
    <w:multiLevelType w:val="hybridMultilevel"/>
    <w:lvl w:ilvl="0">
      <w:lvlJc w:val="left"/>
      <w:lvlText w:val="(%1)"/>
      <w:numFmt w:val="decimal"/>
      <w:start w:val="12"/>
    </w:lvl>
  </w:abstractNum>
  <w:abstractNum w:abstractNumId="15">
    <w:nsid w:val="5577F8E1"/>
    <w:multiLevelType w:val="hybridMultilevel"/>
    <w:lvl w:ilvl="0">
      <w:lvlJc w:val="left"/>
      <w:lvlText w:val="(%1)"/>
      <w:numFmt w:val="decimal"/>
      <w:start w:val="13"/>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decimal"/>
      <w:start w:val="14"/>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lowerLetter"/>
      <w:start w:val="1"/>
    </w:lvl>
  </w:abstractNum>
  <w:abstractNum w:abstractNumId="29">
    <w:nsid w:val="70A64E2A"/>
    <w:multiLevelType w:val="hybridMultilevel"/>
    <w:lvl w:ilvl="0">
      <w:lvlJc w:val="left"/>
      <w:lvlText w:val="%1"/>
      <w:numFmt w:val="decimal"/>
      <w:start w:val="101"/>
    </w:lvl>
  </w:abstractNum>
  <w:abstractNum w:abstractNumId="30">
    <w:nsid w:val="6A2342EC"/>
    <w:multiLevelType w:val="hybridMultilevel"/>
    <w:lvl w:ilvl="0">
      <w:lvlJc w:val="left"/>
      <w:lvlText w:val="%1"/>
      <w:numFmt w:val="decimal"/>
      <w:start w:val="101"/>
    </w:lvl>
  </w:abstractNum>
  <w:abstractNum w:abstractNumId="31">
    <w:nsid w:val="2A487CB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2">
    <w:nsid w:val="1D4ED43B"/>
    <w:multiLevelType w:val="hybridMultilevel"/>
    <w:lvl w:ilvl="0">
      <w:lvlJc w:val="left"/>
      <w:lvlText w:val="%1"/>
      <w:numFmt w:val="decimal"/>
      <w:start w:val="1"/>
    </w:lvl>
    <w:lvl w:ilvl="1">
      <w:lvlJc w:val="left"/>
      <w:lvlText w:val="(%2)"/>
      <w:numFmt w:val="lowerLetter"/>
      <w:start w:val="4"/>
    </w:lvl>
  </w:abstractNum>
  <w:abstractNum w:abstractNumId="33">
    <w:nsid w:val="725A06FB"/>
    <w:multiLevelType w:val="hybridMultilevel"/>
    <w:lvl w:ilvl="0">
      <w:lvlJc w:val="left"/>
      <w:lvlText w:val="(%1)"/>
      <w:numFmt w:val="decimal"/>
      <w:start w:val="2"/>
    </w:lvl>
    <w:lvl w:ilvl="1">
      <w:lvlJc w:val="left"/>
      <w:lvlText w:val="%2"/>
      <w:numFmt w:val="lowerLetter"/>
      <w:start w:val="1"/>
    </w:lvl>
  </w:abstractNum>
  <w:abstractNum w:abstractNumId="34">
    <w:nsid w:val="2CD89A32"/>
    <w:multiLevelType w:val="hybridMultilevel"/>
    <w:lvl w:ilvl="0">
      <w:lvlJc w:val="left"/>
      <w:lvlText w:val="(%1)"/>
      <w:numFmt w:val="upperLetter"/>
      <w:start w:val="7"/>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Roman"/>
      <w:start w:val="2"/>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1"/>
    </w:lvl>
    <w:lvl w:ilvl="1">
      <w:lvlJc w:val="left"/>
      <w:lvlText w:val="(%2)"/>
      <w:numFmt w:val="decimal"/>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lvl w:ilvl="1">
      <w:lvlJc w:val="left"/>
      <w:lvlText w:val="(%2)"/>
      <w:numFmt w:val="decimal"/>
      <w:start w:val="1"/>
    </w:lvl>
  </w:abstractNum>
  <w:abstractNum w:abstractNumId="44">
    <w:nsid w:val="579478F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5">
    <w:nsid w:val="749ABB4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6">
    <w:nsid w:val="3DC240FB"/>
    <w:multiLevelType w:val="hybridMultilevel"/>
    <w:lvl w:ilvl="0">
      <w:lvlJc w:val="left"/>
      <w:lvlText w:val="(%1)"/>
      <w:numFmt w:val="lowerLetter"/>
      <w:start w:val="4"/>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2019-12-06T05:13:46Z</dcterms:created>
  <dcterms:modified xsi:type="dcterms:W3CDTF">2019-12-06T05:13:46Z</dcterms:modified>
</cp:coreProperties>
</file>