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8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43"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3"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37"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Date of Report (Date of earliest event reported): October 16, 2025</w:t>
      </w:r>
    </w:p>
    <w:p>
      <w:pPr>
        <w:spacing w:after="0" w:line="10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MANPOWERGROUP INC.</w:t>
      </w:r>
    </w:p>
    <w:p>
      <w:pPr>
        <w:spacing w:after="0" w:line="4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1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6"/>
              </w:rPr>
              <w:t>Wisconsin</w:t>
            </w:r>
          </w:p>
        </w:tc>
        <w:tc>
          <w:tcPr>
            <w:tcW w:w="3080" w:type="dxa"/>
            <w:vAlign w:val="bottom"/>
            <w:gridSpan w:val="3"/>
          </w:tcPr>
          <w:p>
            <w:pPr>
              <w:jc w:val="right"/>
              <w:ind w:right="1540"/>
              <w:spacing w:after="0"/>
              <w:rPr>
                <w:sz w:val="20"/>
                <w:szCs w:val="20"/>
                <w:color w:val="auto"/>
              </w:rPr>
            </w:pPr>
            <w:r>
              <w:rPr>
                <w:rFonts w:ascii="Times New Roman" w:cs="Times New Roman" w:eastAsia="Times New Roman" w:hAnsi="Times New Roman"/>
                <w:sz w:val="16"/>
                <w:szCs w:val="16"/>
                <w:b w:val="1"/>
                <w:bCs w:val="1"/>
                <w:color w:val="auto"/>
              </w:rPr>
              <w:t>1-10686</w:t>
            </w:r>
          </w:p>
        </w:tc>
        <w:tc>
          <w:tcPr>
            <w:tcW w:w="3820" w:type="dxa"/>
            <w:vAlign w:val="bottom"/>
            <w:gridSpan w:val="2"/>
          </w:tcPr>
          <w:p>
            <w:pPr>
              <w:jc w:val="right"/>
              <w:ind w:right="1341"/>
              <w:spacing w:after="0"/>
              <w:rPr>
                <w:sz w:val="20"/>
                <w:szCs w:val="20"/>
                <w:color w:val="auto"/>
              </w:rPr>
            </w:pPr>
            <w:r>
              <w:rPr>
                <w:rFonts w:ascii="Times New Roman" w:cs="Times New Roman" w:eastAsia="Times New Roman" w:hAnsi="Times New Roman"/>
                <w:sz w:val="16"/>
                <w:szCs w:val="16"/>
                <w:b w:val="1"/>
                <w:bCs w:val="1"/>
                <w:color w:val="auto"/>
              </w:rPr>
              <w:t>39-1672779</w:t>
            </w:r>
          </w:p>
        </w:tc>
      </w:tr>
      <w:tr>
        <w:trPr>
          <w:trHeight w:val="200"/>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(State or other jurisdiction of incorporation)</w:t>
            </w:r>
          </w:p>
        </w:tc>
        <w:tc>
          <w:tcPr>
            <w:tcW w:w="2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(IRS Employer Identification No.)</w:t>
            </w:r>
          </w:p>
        </w:tc>
      </w:tr>
      <w:tr>
        <w:trPr>
          <w:trHeight w:val="282"/>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7"/>
              </w:rPr>
              <w:t>100 Manpower Place</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8"/>
        </w:trPr>
        <w:tc>
          <w:tcPr>
            <w:tcW w:w="4360" w:type="dxa"/>
            <w:vAlign w:val="bottom"/>
            <w:tcBorders>
              <w:bottom w:val="single" w:sz="8" w:color="auto"/>
            </w:tcBorders>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Milwaukee, Wisconsin</w:t>
            </w:r>
          </w:p>
        </w:tc>
        <w:tc>
          <w:tcPr>
            <w:tcW w:w="104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2"/>
          </w:tcPr>
          <w:p>
            <w:pPr>
              <w:jc w:val="right"/>
              <w:ind w:right="2421"/>
              <w:spacing w:after="0"/>
              <w:rPr>
                <w:sz w:val="20"/>
                <w:szCs w:val="20"/>
                <w:color w:val="auto"/>
              </w:rPr>
            </w:pPr>
            <w:r>
              <w:rPr>
                <w:rFonts w:ascii="Times New Roman" w:cs="Times New Roman" w:eastAsia="Times New Roman" w:hAnsi="Times New Roman"/>
                <w:sz w:val="16"/>
                <w:szCs w:val="16"/>
                <w:b w:val="1"/>
                <w:bCs w:val="1"/>
                <w:color w:val="auto"/>
              </w:rPr>
              <w:t>53212</w:t>
            </w:r>
          </w:p>
        </w:tc>
      </w:tr>
      <w:tr>
        <w:trPr>
          <w:trHeight w:val="200"/>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721"/>
              <w:spacing w:after="0"/>
              <w:rPr>
                <w:sz w:val="20"/>
                <w:szCs w:val="20"/>
                <w:color w:val="auto"/>
              </w:rPr>
            </w:pPr>
            <w:r>
              <w:rPr>
                <w:rFonts w:ascii="Times New Roman" w:cs="Times New Roman" w:eastAsia="Times New Roman" w:hAnsi="Times New Roman"/>
                <w:sz w:val="16"/>
                <w:szCs w:val="16"/>
                <w:b w:val="1"/>
                <w:bCs w:val="1"/>
                <w:color w:val="auto"/>
                <w:w w:val="96"/>
              </w:rPr>
              <w:t>(Zip Code)</w:t>
            </w:r>
          </w:p>
        </w:tc>
      </w:tr>
    </w:tbl>
    <w:p>
      <w:pPr>
        <w:spacing w:after="0" w:line="94" w:lineRule="exact"/>
        <w:rPr>
          <w:sz w:val="24"/>
          <w:szCs w:val="24"/>
          <w:color w:val="auto"/>
        </w:rPr>
      </w:pPr>
    </w:p>
    <w:p>
      <w:pPr>
        <w:ind w:left="3465"/>
        <w:spacing w:after="0"/>
        <w:rPr>
          <w:sz w:val="20"/>
          <w:szCs w:val="20"/>
          <w:color w:val="auto"/>
        </w:rPr>
      </w:pPr>
      <w:r>
        <w:rPr>
          <w:rFonts w:ascii="Times New Roman" w:cs="Times New Roman" w:eastAsia="Times New Roman" w:hAnsi="Times New Roman"/>
          <w:sz w:val="16"/>
          <w:szCs w:val="16"/>
          <w:color w:val="auto"/>
        </w:rPr>
        <w:t>Registrant's telephone number, including area code: (414) 961-1000</w:t>
      </w:r>
    </w:p>
    <w:p>
      <w:pPr>
        <w:spacing w:after="0" w:line="135" w:lineRule="exact"/>
        <w:rPr>
          <w:sz w:val="24"/>
          <w:szCs w:val="24"/>
          <w:color w:val="auto"/>
        </w:rPr>
      </w:pPr>
    </w:p>
    <w:p>
      <w:pPr>
        <w:ind w:left="3665"/>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3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3" w:lineRule="exact"/>
        <w:rPr>
          <w:sz w:val="24"/>
          <w:szCs w:val="24"/>
          <w:color w:val="auto"/>
        </w:rPr>
      </w:pPr>
    </w:p>
    <w:tbl>
      <w:tblPr>
        <w:tblLayout w:type="fixed"/>
        <w:tblInd w:w="15" w:type="dxa"/>
        <w:tblCellMar>
          <w:top w:w="0" w:type="dxa"/>
          <w:left w:w="0" w:type="dxa"/>
          <w:bottom w:w="0" w:type="dxa"/>
          <w:right w:w="0" w:type="dxa"/>
        </w:tblCellMar>
      </w:tblPr>
      <w:tr>
        <w:trPr>
          <w:trHeight w:val="206"/>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6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165"/>
        </w:trPr>
        <w:tc>
          <w:tcPr>
            <w:tcW w:w="374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r>
      <w:tr>
        <w:trPr>
          <w:trHeight w:val="161"/>
        </w:trPr>
        <w:tc>
          <w:tcPr>
            <w:tcW w:w="3740" w:type="dxa"/>
            <w:vAlign w:val="bottom"/>
            <w:tcBorders>
              <w:left w:val="single" w:sz="8" w:color="auto"/>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color w:val="auto"/>
                <w:w w:val="98"/>
              </w:rPr>
              <w:t>Title of each class</w:t>
            </w:r>
          </w:p>
        </w:tc>
        <w:tc>
          <w:tcPr>
            <w:tcW w:w="3760" w:type="dxa"/>
            <w:vAlign w:val="bottom"/>
            <w:tcBorders>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color w:val="auto"/>
                <w:w w:val="97"/>
              </w:rPr>
              <w:t>Trading Symbol(s)</w:t>
            </w:r>
          </w:p>
        </w:tc>
        <w:tc>
          <w:tcPr>
            <w:tcW w:w="3760" w:type="dxa"/>
            <w:vAlign w:val="bottom"/>
            <w:tcBorders>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165"/>
        </w:trPr>
        <w:tc>
          <w:tcPr>
            <w:tcW w:w="3740" w:type="dxa"/>
            <w:vAlign w:val="bottom"/>
            <w:tcBorders>
              <w:left w:val="single" w:sz="8" w:color="auto"/>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Common Stock, $.01 par value</w:t>
            </w:r>
          </w:p>
        </w:tc>
        <w:tc>
          <w:tcPr>
            <w:tcW w:w="376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MAN</w:t>
            </w:r>
          </w:p>
        </w:tc>
        <w:tc>
          <w:tcPr>
            <w:tcW w:w="376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161" w:lineRule="exact"/>
        <w:rPr>
          <w:sz w:val="24"/>
          <w:szCs w:val="24"/>
          <w:color w:val="auto"/>
        </w:rPr>
      </w:pPr>
    </w:p>
    <w:p>
      <w:pPr>
        <w:ind w:left="5"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633095</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4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8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6"/>
          <w:szCs w:val="16"/>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21" w:lineRule="exact"/>
        <w:rPr>
          <w:sz w:val="20"/>
          <w:szCs w:val="20"/>
          <w:color w:val="auto"/>
        </w:rPr>
      </w:pPr>
    </w:p>
    <w:p>
      <w:pPr>
        <w:ind w:right="400"/>
        <w:spacing w:after="0" w:line="276" w:lineRule="auto"/>
        <w:rPr>
          <w:sz w:val="20"/>
          <w:szCs w:val="20"/>
          <w:color w:val="auto"/>
        </w:rPr>
      </w:pPr>
      <w:r>
        <w:rPr>
          <w:rFonts w:ascii="Times New Roman" w:cs="Times New Roman" w:eastAsia="Times New Roman" w:hAnsi="Times New Roman"/>
          <w:sz w:val="16"/>
          <w:szCs w:val="16"/>
          <w:color w:val="auto"/>
        </w:rPr>
        <w:t>On October 16, 2025, we issued a press release announcing our results of operations for the three and nine months ended September 30, 2025 and 2024. A copy of the press release is attached hereto as Exhibit 99.1 and is incorporated herein by reference.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4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319"/>
        </w:trPr>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6"/>
        </w:trPr>
        <w:tc>
          <w:tcPr>
            <w:tcW w:w="20" w:type="dxa"/>
            <w:vAlign w:val="bottom"/>
          </w:tcPr>
          <w:p>
            <w:pPr>
              <w:spacing w:after="0"/>
              <w:rPr>
                <w:sz w:val="12"/>
                <w:szCs w:val="12"/>
                <w:color w:val="auto"/>
              </w:rPr>
            </w:pPr>
          </w:p>
        </w:tc>
        <w:tc>
          <w:tcPr>
            <w:tcW w:w="780" w:type="dxa"/>
            <w:vAlign w:val="bottom"/>
            <w:tcBorders>
              <w:top w:val="single" w:sz="8" w:color="auto"/>
            </w:tcBorders>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tcBorders>
              <w:top w:val="single" w:sz="8" w:color="auto"/>
              <w:bottom w:val="single" w:sz="8" w:color="0000EE"/>
            </w:tcBorders>
          </w:tcPr>
          <w:p>
            <w:pPr>
              <w:spacing w:after="0" w:line="145" w:lineRule="exact"/>
              <w:rPr>
                <w:sz w:val="20"/>
                <w:szCs w:val="20"/>
                <w:color w:val="auto"/>
              </w:rPr>
            </w:pPr>
            <w:r>
              <w:rPr>
                <w:rFonts w:ascii="Times New Roman" w:cs="Times New Roman" w:eastAsia="Times New Roman" w:hAnsi="Times New Roman"/>
                <w:sz w:val="16"/>
                <w:szCs w:val="16"/>
                <w:color w:val="0000FF"/>
                <w:w w:val="98"/>
              </w:rPr>
              <w:t>Press Release dated October 16, 2025</w:t>
            </w:r>
          </w:p>
        </w:tc>
        <w:tc>
          <w:tcPr>
            <w:tcW w:w="7480" w:type="dxa"/>
            <w:vAlign w:val="bottom"/>
            <w:tcBorders>
              <w:top w:val="single" w:sz="8" w:color="auto"/>
            </w:tcBorders>
            <w:gridSpan w:val="2"/>
          </w:tcPr>
          <w:p>
            <w:pPr>
              <w:spacing w:after="0"/>
              <w:rPr>
                <w:sz w:val="12"/>
                <w:szCs w:val="12"/>
                <w:color w:val="auto"/>
              </w:rPr>
            </w:pPr>
          </w:p>
        </w:tc>
      </w:tr>
      <w:tr>
        <w:trPr>
          <w:trHeight w:val="169"/>
        </w:trPr>
        <w:tc>
          <w:tcPr>
            <w:tcW w:w="80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8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Presentation materials for October 16, 2025 Conference Call</w:t>
            </w: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20" w:type="dxa"/>
            <w:vAlign w:val="bottom"/>
            <w:tcBorders>
              <w:right w:val="single" w:sz="8" w:color="0000EE"/>
            </w:tcBorders>
            <w:gridSpan w:val="2"/>
            <w:shd w:val="clear" w:color="auto" w:fill="0000FF"/>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05"/>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233"/>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6" w:lineRule="exact"/>
        <w:rPr>
          <w:sz w:val="20"/>
          <w:szCs w:val="20"/>
          <w:color w:val="auto"/>
        </w:rPr>
      </w:pPr>
    </w:p>
    <w:p>
      <w:pPr>
        <w:ind w:right="40" w:firstLine="51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60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MANPOWERGROUP INC.</w:t>
            </w:r>
          </w:p>
        </w:tc>
      </w:tr>
      <w:tr>
        <w:trPr>
          <w:trHeight w:val="398"/>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8"/>
              </w:rPr>
              <w:t>Dated:October 16, 2025</w:t>
            </w: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By:</w:t>
            </w: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 John T. McGinnis</w:t>
            </w:r>
          </w:p>
        </w:tc>
      </w:tr>
      <w:tr>
        <w:trPr>
          <w:trHeight w:val="156"/>
        </w:trPr>
        <w:tc>
          <w:tcPr>
            <w:tcW w:w="720" w:type="dxa"/>
            <w:vAlign w:val="bottom"/>
          </w:tcPr>
          <w:p>
            <w:pPr>
              <w:spacing w:after="0"/>
              <w:rPr>
                <w:sz w:val="13"/>
                <w:szCs w:val="13"/>
                <w:color w:val="auto"/>
              </w:rPr>
            </w:pPr>
          </w:p>
        </w:tc>
        <w:tc>
          <w:tcPr>
            <w:tcW w:w="4500" w:type="dxa"/>
            <w:vAlign w:val="bottom"/>
            <w:tcBorders>
              <w:top w:val="single" w:sz="8" w:color="auto"/>
            </w:tcBorders>
          </w:tcPr>
          <w:p>
            <w:pPr>
              <w:spacing w:after="0"/>
              <w:rPr>
                <w:sz w:val="13"/>
                <w:szCs w:val="13"/>
                <w:color w:val="auto"/>
              </w:rPr>
            </w:pPr>
          </w:p>
        </w:tc>
        <w:tc>
          <w:tcPr>
            <w:tcW w:w="860" w:type="dxa"/>
            <w:vAlign w:val="bottom"/>
          </w:tcPr>
          <w:p>
            <w:pPr>
              <w:ind w:left="260"/>
              <w:spacing w:after="0" w:line="156" w:lineRule="exact"/>
              <w:rPr>
                <w:sz w:val="20"/>
                <w:szCs w:val="20"/>
                <w:color w:val="auto"/>
              </w:rPr>
            </w:pPr>
            <w:r>
              <w:rPr>
                <w:rFonts w:ascii="Times New Roman" w:cs="Times New Roman" w:eastAsia="Times New Roman" w:hAnsi="Times New Roman"/>
                <w:sz w:val="16"/>
                <w:szCs w:val="16"/>
                <w:color w:val="auto"/>
              </w:rPr>
              <w:t>Name:</w:t>
            </w:r>
          </w:p>
        </w:tc>
        <w:tc>
          <w:tcPr>
            <w:tcW w:w="120" w:type="dxa"/>
            <w:vAlign w:val="bottom"/>
            <w:tcBorders>
              <w:top w:val="single" w:sz="8" w:color="auto"/>
            </w:tcBorders>
          </w:tcPr>
          <w:p>
            <w:pPr>
              <w:spacing w:after="0"/>
              <w:rPr>
                <w:sz w:val="13"/>
                <w:szCs w:val="13"/>
                <w:color w:val="auto"/>
              </w:rPr>
            </w:pPr>
          </w:p>
        </w:tc>
        <w:tc>
          <w:tcPr>
            <w:tcW w:w="506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6"/>
                <w:szCs w:val="16"/>
                <w:color w:val="auto"/>
              </w:rPr>
              <w:t>John T. McGinnis</w:t>
            </w:r>
          </w:p>
        </w:tc>
      </w:tr>
      <w:tr>
        <w:trPr>
          <w:trHeight w:val="189"/>
        </w:trPr>
        <w:tc>
          <w:tcPr>
            <w:tcW w:w="7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Title:</w:t>
            </w: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Executive Vice President and</w:t>
            </w:r>
          </w:p>
        </w:tc>
      </w:t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044"/>
        </w:trPr>
        <w:tc>
          <w:tcPr>
            <w:tcW w:w="7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344295" cy="720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4295" cy="72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
        <w:spacing w:after="0"/>
        <w:tabs>
          <w:tab w:leader="none" w:pos="6745"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5"/>
          <w:szCs w:val="15"/>
          <w:b w:val="1"/>
          <w:bCs w:val="1"/>
          <w:color w:val="auto"/>
        </w:rPr>
        <w:t>Contact:</w:t>
      </w:r>
    </w:p>
    <w:p>
      <w:pPr>
        <w:spacing w:after="0" w:line="192" w:lineRule="exact"/>
        <w:rPr>
          <w:sz w:val="20"/>
          <w:szCs w:val="20"/>
          <w:color w:val="auto"/>
        </w:rPr>
      </w:pPr>
    </w:p>
    <w:p>
      <w:pPr>
        <w:ind w:left="6765"/>
        <w:spacing w:after="0"/>
        <w:rPr>
          <w:sz w:val="20"/>
          <w:szCs w:val="20"/>
          <w:color w:val="auto"/>
        </w:rPr>
      </w:pPr>
      <w:r>
        <w:rPr>
          <w:rFonts w:ascii="Arial" w:cs="Arial" w:eastAsia="Arial" w:hAnsi="Arial"/>
          <w:sz w:val="15"/>
          <w:szCs w:val="15"/>
          <w:color w:val="auto"/>
        </w:rPr>
        <w:t>Haley Jones</w:t>
      </w:r>
    </w:p>
    <w:p>
      <w:pPr>
        <w:spacing w:after="0" w:line="25" w:lineRule="exact"/>
        <w:rPr>
          <w:sz w:val="20"/>
          <w:szCs w:val="20"/>
          <w:color w:val="auto"/>
        </w:rPr>
      </w:pPr>
    </w:p>
    <w:p>
      <w:pPr>
        <w:ind w:left="6765"/>
        <w:spacing w:after="0"/>
        <w:rPr>
          <w:sz w:val="20"/>
          <w:szCs w:val="20"/>
          <w:color w:val="auto"/>
        </w:rPr>
      </w:pPr>
      <w:r>
        <w:rPr>
          <w:rFonts w:ascii="Arial" w:cs="Arial" w:eastAsia="Arial" w:hAnsi="Arial"/>
          <w:sz w:val="15"/>
          <w:szCs w:val="15"/>
          <w:color w:val="auto"/>
        </w:rPr>
        <w:t>+1.414.906.6804</w:t>
      </w:r>
    </w:p>
    <w:p>
      <w:pPr>
        <w:spacing w:after="0" w:line="17" w:lineRule="exact"/>
        <w:rPr>
          <w:sz w:val="20"/>
          <w:szCs w:val="20"/>
          <w:color w:val="auto"/>
        </w:rPr>
      </w:pPr>
    </w:p>
    <w:p>
      <w:pPr>
        <w:ind w:left="6765"/>
        <w:spacing w:after="0"/>
        <w:rPr>
          <w:sz w:val="20"/>
          <w:szCs w:val="20"/>
          <w:color w:val="auto"/>
        </w:rPr>
      </w:pPr>
      <w:r>
        <w:rPr>
          <w:rFonts w:ascii="Arial" w:cs="Arial" w:eastAsia="Arial" w:hAnsi="Arial"/>
          <w:sz w:val="15"/>
          <w:szCs w:val="15"/>
          <w:u w:val="single" w:color="auto"/>
          <w:color w:val="0000FF"/>
        </w:rPr>
        <w:t>haley.jones@manpowergroup.com</w:t>
      </w:r>
    </w:p>
    <w:p>
      <w:pPr>
        <w:spacing w:after="0" w:line="229"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ManpowerGroup Reports 3</w:t>
      </w:r>
      <w:r>
        <w:rPr>
          <w:rFonts w:ascii="Arial" w:cs="Arial" w:eastAsia="Arial" w:hAnsi="Arial"/>
          <w:sz w:val="25"/>
          <w:szCs w:val="25"/>
          <w:b w:val="1"/>
          <w:bCs w:val="1"/>
          <w:color w:val="auto"/>
          <w:vertAlign w:val="superscript"/>
        </w:rPr>
        <w:t>rd</w:t>
      </w:r>
      <w:r>
        <w:rPr>
          <w:rFonts w:ascii="Arial" w:cs="Arial" w:eastAsia="Arial" w:hAnsi="Arial"/>
          <w:sz w:val="19"/>
          <w:szCs w:val="19"/>
          <w:b w:val="1"/>
          <w:bCs w:val="1"/>
          <w:color w:val="auto"/>
        </w:rPr>
        <w:t xml:space="preserve"> Quarter 2025 Results</w:t>
      </w:r>
    </w:p>
    <w:p>
      <w:pPr>
        <w:spacing w:after="0" w:line="41" w:lineRule="exact"/>
        <w:rPr>
          <w:sz w:val="20"/>
          <w:szCs w:val="20"/>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Revenues of $4.6 billion (2% as reported, -2% constant currency (CC), 1% organic CC)</w:t>
      </w:r>
    </w:p>
    <w:p>
      <w:pPr>
        <w:spacing w:after="0" w:line="83" w:lineRule="exact"/>
        <w:rPr>
          <w:rFonts w:ascii="Times New Roman" w:cs="Times New Roman" w:eastAsia="Times New Roman" w:hAnsi="Times New Roman"/>
          <w:sz w:val="17"/>
          <w:szCs w:val="17"/>
          <w:color w:val="auto"/>
        </w:rPr>
      </w:pPr>
    </w:p>
    <w:p>
      <w:pPr>
        <w:ind w:left="1125" w:hanging="375"/>
        <w:spacing w:after="0" w:line="272" w:lineRule="auto"/>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Ongoing stabilization across North America and Europe while Latin America and Asia Pacific continued to experience good demand during the quarter</w:t>
      </w:r>
    </w:p>
    <w:p>
      <w:pPr>
        <w:spacing w:after="0" w:line="29" w:lineRule="exact"/>
        <w:rPr>
          <w:rFonts w:ascii="Times New Roman" w:cs="Times New Roman" w:eastAsia="Times New Roman" w:hAnsi="Times New Roman"/>
          <w:sz w:val="17"/>
          <w:szCs w:val="17"/>
          <w:color w:val="auto"/>
        </w:rPr>
      </w:pPr>
    </w:p>
    <w:p>
      <w:pPr>
        <w:jc w:val="both"/>
        <w:ind w:left="1125" w:right="20" w:hanging="375"/>
        <w:spacing w:after="0" w:line="252" w:lineRule="auto"/>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Compared to the previous quarter, year over year revenue growth in Manpower increased and the rate of revenue decline in Experis also improved. Talent Solutions experienced a revenue decline during the quarter on lower RPO activity from select client programs and lower outplacement activity</w:t>
      </w:r>
    </w:p>
    <w:p>
      <w:pPr>
        <w:spacing w:after="0" w:line="45" w:lineRule="exact"/>
        <w:rPr>
          <w:rFonts w:ascii="Times New Roman" w:cs="Times New Roman" w:eastAsia="Times New Roman" w:hAnsi="Times New Roman"/>
          <w:sz w:val="17"/>
          <w:szCs w:val="17"/>
          <w:color w:val="auto"/>
        </w:rPr>
      </w:pPr>
    </w:p>
    <w:p>
      <w:pPr>
        <w:ind w:left="1125" w:right="20" w:hanging="375"/>
        <w:spacing w:after="0" w:line="272" w:lineRule="auto"/>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The gross profit margin of 16.6% reflects lower permanent recruitment activity, lower outplacement, and a business mix shift driven by enterprise clients</w:t>
      </w:r>
    </w:p>
    <w:p>
      <w:pPr>
        <w:spacing w:after="0" w:line="29" w:lineRule="exact"/>
        <w:rPr>
          <w:rFonts w:ascii="Times New Roman" w:cs="Times New Roman" w:eastAsia="Times New Roman" w:hAnsi="Times New Roman"/>
          <w:sz w:val="17"/>
          <w:szCs w:val="17"/>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SG&amp;A declined year over year with additional restructuring actions taken in the quarter</w:t>
      </w:r>
    </w:p>
    <w:p>
      <w:pPr>
        <w:spacing w:after="0" w:line="180" w:lineRule="exact"/>
        <w:rPr>
          <w:sz w:val="20"/>
          <w:szCs w:val="20"/>
          <w:color w:val="auto"/>
        </w:rPr>
      </w:pPr>
    </w:p>
    <w:p>
      <w:pPr>
        <w:ind w:left="5" w:right="120"/>
        <w:spacing w:after="0" w:line="237" w:lineRule="auto"/>
        <w:rPr>
          <w:sz w:val="20"/>
          <w:szCs w:val="20"/>
          <w:color w:val="auto"/>
        </w:rPr>
      </w:pPr>
      <w:r>
        <w:rPr>
          <w:rFonts w:ascii="Arial" w:cs="Arial" w:eastAsia="Arial" w:hAnsi="Arial"/>
          <w:sz w:val="17"/>
          <w:szCs w:val="17"/>
          <w:b w:val="1"/>
          <w:bCs w:val="1"/>
          <w:color w:val="auto"/>
        </w:rPr>
        <w:t xml:space="preserve">MILWAUKEE, October 16, 2025 – </w:t>
      </w:r>
      <w:r>
        <w:rPr>
          <w:rFonts w:ascii="Arial" w:cs="Arial" w:eastAsia="Arial" w:hAnsi="Arial"/>
          <w:sz w:val="17"/>
          <w:szCs w:val="17"/>
          <w:color w:val="auto"/>
        </w:rPr>
        <w:t>ManpowerGroup (NYSE: MAN) today reported net earnings of $0.38 per diluted share for the three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September 30, 2025 compared to net earnings of $0.47 per diluted share in the prior year period. Net earnings in the quarter were $18.0 million compared to net earnings of $22.8 million a year earlier. Revenues for the third quarter were $4.6 billion, a 2% increase from the prior year period.</w:t>
      </w:r>
    </w:p>
    <w:p>
      <w:pPr>
        <w:spacing w:after="0" w:line="3" w:lineRule="exact"/>
        <w:rPr>
          <w:sz w:val="20"/>
          <w:szCs w:val="20"/>
          <w:color w:val="auto"/>
        </w:rPr>
      </w:pPr>
    </w:p>
    <w:p>
      <w:pPr>
        <w:jc w:val="both"/>
        <w:ind w:left="5" w:right="20" w:firstLine="751"/>
        <w:spacing w:after="0" w:line="212" w:lineRule="auto"/>
        <w:rPr>
          <w:sz w:val="20"/>
          <w:szCs w:val="20"/>
          <w:color w:val="auto"/>
        </w:rPr>
      </w:pPr>
      <w:r>
        <w:rPr>
          <w:rFonts w:ascii="Arial" w:cs="Arial" w:eastAsia="Arial" w:hAnsi="Arial"/>
          <w:sz w:val="17"/>
          <w:szCs w:val="17"/>
          <w:color w:val="auto"/>
        </w:rPr>
        <w:t>The current year quarter included restructuring costs and Argentina hyperinflationary related non-cash currency translation losses which reduced earnings per share by $0.45 in the third quarter. Excluding these charges, earnings per share was $0.83 per diluted share in the quarter representing a decrease of 39% in constant currency.</w:t>
      </w:r>
      <w:r>
        <w:rPr>
          <w:rFonts w:ascii="Arial" w:cs="Arial" w:eastAsia="Arial" w:hAnsi="Arial"/>
          <w:sz w:val="23"/>
          <w:szCs w:val="23"/>
          <w:color w:val="auto"/>
          <w:vertAlign w:val="superscript"/>
        </w:rPr>
        <w:t>1</w:t>
      </w:r>
    </w:p>
    <w:p>
      <w:pPr>
        <w:spacing w:after="0" w:line="1" w:lineRule="exact"/>
        <w:rPr>
          <w:sz w:val="20"/>
          <w:szCs w:val="20"/>
          <w:color w:val="auto"/>
        </w:rPr>
      </w:pPr>
    </w:p>
    <w:p>
      <w:pPr>
        <w:jc w:val="both"/>
        <w:ind w:left="5" w:right="20" w:firstLine="751"/>
        <w:spacing w:after="0" w:line="243" w:lineRule="auto"/>
        <w:rPr>
          <w:sz w:val="20"/>
          <w:szCs w:val="20"/>
          <w:color w:val="auto"/>
        </w:rPr>
      </w:pPr>
      <w:r>
        <w:rPr>
          <w:rFonts w:ascii="Arial" w:cs="Arial" w:eastAsia="Arial" w:hAnsi="Arial"/>
          <w:sz w:val="17"/>
          <w:szCs w:val="17"/>
          <w:color w:val="auto"/>
        </w:rPr>
        <w:t>Financial results in the quarter were also impacted by the U.S. dollar relative to foreign currencies compared to the prior year period. On a constant currency basis, revenues decreased 2% compared to the prior year period and on an organic constant currency basis, revenues increased 1% compared to the prior year period.</w:t>
      </w:r>
    </w:p>
    <w:p>
      <w:pPr>
        <w:spacing w:after="0" w:line="200" w:lineRule="exact"/>
        <w:rPr>
          <w:sz w:val="20"/>
          <w:szCs w:val="20"/>
          <w:color w:val="auto"/>
        </w:rPr>
      </w:pPr>
    </w:p>
    <w:p>
      <w:pPr>
        <w:spacing w:after="0" w:line="331" w:lineRule="exact"/>
        <w:rPr>
          <w:sz w:val="20"/>
          <w:szCs w:val="20"/>
          <w:color w:val="auto"/>
        </w:rPr>
      </w:pPr>
    </w:p>
    <w:p>
      <w:pPr>
        <w:ind w:left="125" w:hanging="125"/>
        <w:spacing w:after="0"/>
        <w:tabs>
          <w:tab w:leader="none" w:pos="125"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The prior year period included various adjustments which reduced earnings per share by $0.82 which are also excluded when determining the year over year adjusted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472440</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80" w:right="319" w:bottom="1440" w:gutter="0" w:footer="0" w:header="0"/>
        </w:sectPr>
      </w:pPr>
    </w:p>
    <w:bookmarkStart w:id="4" w:name="page5"/>
    <w:bookmarkEnd w:id="4"/>
    <w:p>
      <w:pPr>
        <w:jc w:val="both"/>
        <w:ind w:left="5" w:firstLine="751"/>
        <w:spacing w:after="0" w:line="235" w:lineRule="auto"/>
        <w:rPr>
          <w:sz w:val="20"/>
          <w:szCs w:val="20"/>
          <w:color w:val="auto"/>
        </w:rPr>
      </w:pPr>
      <w:r>
        <w:rPr>
          <w:rFonts w:ascii="Arial" w:cs="Arial" w:eastAsia="Arial" w:hAnsi="Arial"/>
          <w:sz w:val="17"/>
          <w:szCs w:val="17"/>
          <w:color w:val="auto"/>
        </w:rPr>
        <w:t xml:space="preserve">Jonas Prising, ManpowerGroup Chair &amp; CEO, said “After 11 consecutive quarters of organic constant currency revenue declines, we crossed back over to growth during the third quarter. The stabilization of demand in recent quarters in North America and Europe, despite ongoing tariff uncertainty, has been a key factor in the revenue trend improvement. Currently our entire organization has a relentless focus on two main outcomes - </w:t>
      </w:r>
      <w:r>
        <w:rPr>
          <w:rFonts w:ascii="Arial" w:cs="Arial" w:eastAsia="Arial" w:hAnsi="Arial"/>
          <w:sz w:val="17"/>
          <w:szCs w:val="17"/>
          <w:i w:val="1"/>
          <w:iCs w:val="1"/>
          <w:color w:val="auto"/>
        </w:rPr>
        <w:t>Winning In The Market</w:t>
      </w:r>
      <w:r>
        <w:rPr>
          <w:rFonts w:ascii="Arial" w:cs="Arial" w:eastAsia="Arial" w:hAnsi="Arial"/>
          <w:sz w:val="17"/>
          <w:szCs w:val="17"/>
          <w:color w:val="auto"/>
        </w:rPr>
        <w:t xml:space="preserve"> to increase our market share </w:t>
      </w:r>
      <w:r>
        <w:rPr>
          <w:rFonts w:ascii="Arial" w:cs="Arial" w:eastAsia="Arial" w:hAnsi="Arial"/>
          <w:sz w:val="17"/>
          <w:szCs w:val="17"/>
          <w:i w:val="1"/>
          <w:iCs w:val="1"/>
          <w:color w:val="auto"/>
        </w:rPr>
        <w:t>and</w:t>
      </w:r>
      <w:r>
        <w:rPr>
          <w:rFonts w:ascii="Arial" w:cs="Arial" w:eastAsia="Arial" w:hAnsi="Arial"/>
          <w:sz w:val="17"/>
          <w:szCs w:val="17"/>
          <w:color w:val="auto"/>
        </w:rPr>
        <w:t xml:space="preserve"> the acceleration of initiatives to remove structural costs from the organization to drive a more efficient ManpowerGroup for the future. We are pleased with our progress in both and confident in our ability to deliver long-term value to all of our stakeholders.</w:t>
      </w:r>
    </w:p>
    <w:p>
      <w:pPr>
        <w:spacing w:after="0" w:line="3" w:lineRule="exact"/>
        <w:rPr>
          <w:sz w:val="20"/>
          <w:szCs w:val="20"/>
          <w:color w:val="auto"/>
        </w:rPr>
      </w:pPr>
    </w:p>
    <w:p>
      <w:pPr>
        <w:jc w:val="both"/>
        <w:ind w:left="5" w:firstLine="751"/>
        <w:spacing w:after="0" w:line="232" w:lineRule="auto"/>
        <w:rPr>
          <w:sz w:val="20"/>
          <w:szCs w:val="20"/>
          <w:color w:val="auto"/>
        </w:rPr>
      </w:pPr>
      <w:r>
        <w:rPr>
          <w:rFonts w:ascii="Arial" w:cs="Arial" w:eastAsia="Arial" w:hAnsi="Arial"/>
          <w:sz w:val="17"/>
          <w:szCs w:val="17"/>
          <w:color w:val="auto"/>
        </w:rPr>
        <w:t>“We anticipate diluted earnings per share in the fourth quarter will be between $0.78 and $0.88, which includes an estimated favorable currency impact of 8 cents and a 46.5% effective tax rate.”</w:t>
      </w:r>
    </w:p>
    <w:p>
      <w:pPr>
        <w:spacing w:after="0" w:line="1" w:lineRule="exact"/>
        <w:rPr>
          <w:sz w:val="20"/>
          <w:szCs w:val="20"/>
          <w:color w:val="auto"/>
        </w:rPr>
      </w:pPr>
    </w:p>
    <w:p>
      <w:pPr>
        <w:jc w:val="both"/>
        <w:ind w:left="5" w:firstLine="751"/>
        <w:spacing w:after="0" w:line="223" w:lineRule="auto"/>
        <w:rPr>
          <w:sz w:val="20"/>
          <w:szCs w:val="20"/>
          <w:color w:val="auto"/>
        </w:rPr>
      </w:pPr>
      <w:r>
        <w:rPr>
          <w:rFonts w:ascii="Arial" w:cs="Arial" w:eastAsia="Arial" w:hAnsi="Arial"/>
          <w:sz w:val="17"/>
          <w:szCs w:val="17"/>
          <w:color w:val="auto"/>
        </w:rPr>
        <w:t>Net losses for the nine months ended September 30, 2025 were $43.5 million, or net losses of $0.93 per basic share compared to net earnings of $122.6 million, or net earnings of $2.53 per diluted share in the prior year, respectively. The current year-to-date period included restructuring costs, net losses from the sale of businesses, which will operate as franchises going forward, a non-cash goodwill and intangible asset impairment charge, and Argentina hyperinflationary related non-cash currency translation losses which reduced earnings per share by $2.98. Excluding the net impact of these charges, earnings per share for the nine-month period was $ 2.05 per diluted share representing a decrease of 44%</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in constant currency. Revenues for the nine-month period were $13.2 billion, representing a decrease of 2% compared to the prior year or a decrease of 3% in constant currency.</w:t>
      </w:r>
    </w:p>
    <w:p>
      <w:pPr>
        <w:spacing w:after="0" w:line="1" w:lineRule="exact"/>
        <w:rPr>
          <w:sz w:val="20"/>
          <w:szCs w:val="20"/>
          <w:color w:val="auto"/>
        </w:rPr>
      </w:pPr>
    </w:p>
    <w:p>
      <w:pPr>
        <w:jc w:val="both"/>
        <w:ind w:left="5" w:firstLine="751"/>
        <w:spacing w:after="0" w:line="232" w:lineRule="auto"/>
        <w:rPr>
          <w:sz w:val="20"/>
          <w:szCs w:val="20"/>
          <w:color w:val="auto"/>
        </w:rPr>
      </w:pPr>
      <w:r>
        <w:rPr>
          <w:rFonts w:ascii="Arial" w:cs="Arial" w:eastAsia="Arial" w:hAnsi="Arial"/>
          <w:sz w:val="17"/>
          <w:szCs w:val="17"/>
          <w:color w:val="auto"/>
        </w:rPr>
        <w:t>In conjunction with its third quarter earnings release, ManpowerGroup will broadcast its conference call live over the Internet on October 16, 2025 at 7:30 a.m. central time (8:30 a.m. eastern time). Prepared remarks for the conference call, webcast details, presentation and recordings are included within the Investor Relations section of manpowergroup.com.</w:t>
      </w:r>
    </w:p>
    <w:p>
      <w:pPr>
        <w:spacing w:after="0" w:line="1" w:lineRule="exact"/>
        <w:rPr>
          <w:sz w:val="20"/>
          <w:szCs w:val="20"/>
          <w:color w:val="auto"/>
        </w:rPr>
      </w:pPr>
    </w:p>
    <w:p>
      <w:pPr>
        <w:ind w:left="745"/>
        <w:spacing w:after="0"/>
        <w:rPr>
          <w:sz w:val="20"/>
          <w:szCs w:val="20"/>
          <w:color w:val="auto"/>
        </w:rPr>
      </w:pPr>
      <w:r>
        <w:rPr>
          <w:rFonts w:ascii="Arial" w:cs="Arial" w:eastAsia="Arial" w:hAnsi="Arial"/>
          <w:sz w:val="17"/>
          <w:szCs w:val="17"/>
          <w:color w:val="auto"/>
        </w:rPr>
        <w:t>Supplemental financial information referenced in the conference call can be found at http://investor.manpowergroup.com/.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 w:right="380" w:hanging="5"/>
        <w:spacing w:after="0" w:line="214" w:lineRule="auto"/>
        <w:tabs>
          <w:tab w:leader="none" w:pos="134" w:val="left"/>
        </w:tabs>
        <w:numPr>
          <w:ilvl w:val="0"/>
          <w:numId w:val="4"/>
        </w:numPr>
        <w:rPr>
          <w:rFonts w:ascii="Arial" w:cs="Arial" w:eastAsia="Arial" w:hAnsi="Arial"/>
          <w:sz w:val="17"/>
          <w:szCs w:val="17"/>
          <w:color w:val="auto"/>
          <w:vertAlign w:val="superscript"/>
        </w:rPr>
      </w:pPr>
      <w:r>
        <w:rPr>
          <w:rFonts w:ascii="Arial" w:cs="Arial" w:eastAsia="Arial" w:hAnsi="Arial"/>
          <w:sz w:val="13"/>
          <w:szCs w:val="13"/>
          <w:color w:val="auto"/>
        </w:rPr>
        <w:t>The prior year period included restructuring costs, losses related to the Proservia Germany business, and Argentina hyperinflationary related non-cash currency translation losses which reduced earnings per share by $1.00 which are also excluded when determining the year over year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473075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77"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About ManpowerGroup</w:t>
      </w:r>
    </w:p>
    <w:p>
      <w:pPr>
        <w:spacing w:after="0" w:line="9" w:lineRule="exact"/>
        <w:rPr>
          <w:sz w:val="20"/>
          <w:szCs w:val="20"/>
          <w:color w:val="auto"/>
        </w:rPr>
      </w:pPr>
    </w:p>
    <w:p>
      <w:pPr>
        <w:jc w:val="both"/>
        <w:spacing w:after="0" w:line="226" w:lineRule="auto"/>
        <w:rPr>
          <w:sz w:val="20"/>
          <w:szCs w:val="20"/>
          <w:color w:val="auto"/>
        </w:rPr>
      </w:pPr>
      <w:r>
        <w:rPr>
          <w:rFonts w:ascii="Arial" w:cs="Arial" w:eastAsia="Arial" w:hAnsi="Arial"/>
          <w:sz w:val="16"/>
          <w:szCs w:val="16"/>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70 countries and territories and has done so for more than 75 years. We are recognized consistently for our diversity – as a best place to work for Women, Inclusion, Equality, and Disability, and in 2025 ManpowerGroup was named one of the World's Most Ethical Companies for the 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time – all confirming our position as the brand of choice for in-demand talent. For more information, visit www.manpowergroup.com.</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This press release contains statements, including statements regarding global economic and geopolitical uncertainty, trends in labor demand and the future strengthening of such demand, financial outlook, the outlook for our business in regions in which we operate as well as key countries within those regions, and the Company’s strategic initiatives and technology investments, including our ability to increase market share and the acceleration of transformation initiatives to remove structural costs from the organization to drive efficiencies, and the positioning of future growth for our brands that are forward-looking in nature and, accordingly, are subject to risks and uncertainties regarding the Company’s expected future results.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2024, which information is incorporated herein by reference.</w:t>
      </w:r>
    </w:p>
    <w:p>
      <w:pPr>
        <w:spacing w:after="0" w:line="154"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The Company assumes no obligation to update or revise any forward-looking statements. We reference certain non-GAAP financial measures, which we believe provide useful information for investors. We include a reconciliation of these measures, where appropriate, to GAAP on the Investor Relations section of our website at manpowergroup.com.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591185</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6" w:name="page7"/>
    <w:bookmarkEnd w:id="6"/>
    <w:p>
      <w:pPr>
        <w:jc w:val="center"/>
        <w:ind w:right="-4"/>
        <w:spacing w:after="0"/>
        <w:rPr>
          <w:sz w:val="20"/>
          <w:szCs w:val="20"/>
          <w:color w:val="auto"/>
        </w:rPr>
      </w:pPr>
      <w:r>
        <w:rPr>
          <w:rFonts w:ascii="Arial" w:cs="Arial" w:eastAsia="Arial" w:hAnsi="Arial"/>
          <w:sz w:val="16"/>
          <w:szCs w:val="16"/>
          <w:color w:val="auto"/>
        </w:rPr>
        <w:t>ManpowerGroup</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Results of Operations</w:t>
      </w:r>
    </w:p>
    <w:p>
      <w:pPr>
        <w:jc w:val="center"/>
        <w:ind w:right="-4"/>
        <w:spacing w:after="0"/>
        <w:rPr>
          <w:sz w:val="20"/>
          <w:szCs w:val="20"/>
          <w:color w:val="auto"/>
        </w:rPr>
      </w:pPr>
      <w:r>
        <w:rPr>
          <w:rFonts w:ascii="Arial" w:cs="Arial" w:eastAsia="Arial" w:hAnsi="Arial"/>
          <w:sz w:val="16"/>
          <w:szCs w:val="16"/>
          <w:color w:val="auto"/>
        </w:rPr>
        <w:t>(In millions, except per share data)</w:t>
      </w:r>
    </w:p>
    <w:p>
      <w:pPr>
        <w:spacing w:after="0" w:line="199"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8"/>
          </w:tcPr>
          <w:p>
            <w:pPr>
              <w:jc w:val="center"/>
              <w:ind w:right="700"/>
              <w:spacing w:after="0"/>
              <w:rPr>
                <w:sz w:val="20"/>
                <w:szCs w:val="20"/>
                <w:color w:val="auto"/>
              </w:rPr>
            </w:pPr>
            <w:r>
              <w:rPr>
                <w:rFonts w:ascii="Arial" w:cs="Arial" w:eastAsia="Arial" w:hAnsi="Arial"/>
                <w:sz w:val="13"/>
                <w:szCs w:val="13"/>
                <w:b w:val="1"/>
                <w:bCs w:val="1"/>
                <w:color w:val="auto"/>
                <w:w w:val="96"/>
              </w:rPr>
              <w:t>Three Months Ended September 30</w:t>
            </w:r>
          </w:p>
        </w:tc>
        <w:tc>
          <w:tcPr>
            <w:tcW w:w="10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b w:val="1"/>
                <w:bCs w:val="1"/>
                <w:color w:val="auto"/>
              </w:rPr>
              <w:t>% Variance</w:t>
            </w:r>
          </w:p>
        </w:tc>
        <w:tc>
          <w:tcPr>
            <w:tcW w:w="10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Amount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Constant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Reported</w:t>
            </w:r>
          </w:p>
        </w:tc>
        <w:tc>
          <w:tcPr>
            <w:tcW w:w="3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Currency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4"/>
          </w:tcPr>
          <w:p>
            <w:pPr>
              <w:jc w:val="center"/>
              <w:ind w:left="731"/>
              <w:spacing w:after="0"/>
              <w:rPr>
                <w:sz w:val="20"/>
                <w:szCs w:val="20"/>
                <w:color w:val="auto"/>
              </w:rPr>
            </w:pPr>
            <w:r>
              <w:rPr>
                <w:rFonts w:ascii="Arial" w:cs="Arial" w:eastAsia="Arial" w:hAnsi="Arial"/>
                <w:sz w:val="13"/>
                <w:szCs w:val="13"/>
                <w:color w:val="auto"/>
                <w:w w:val="97"/>
              </w:rPr>
              <w:t>(Unaudited)</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shd w:val="clear" w:color="auto" w:fill="E2E8F1"/>
          </w:tcPr>
          <w:p>
            <w:pPr>
              <w:spacing w:after="0" w:line="165" w:lineRule="exact"/>
              <w:rPr>
                <w:sz w:val="20"/>
                <w:szCs w:val="20"/>
                <w:color w:val="auto"/>
              </w:rPr>
            </w:pPr>
            <w:r>
              <w:rPr>
                <w:rFonts w:ascii="Arial" w:cs="Arial" w:eastAsia="Arial" w:hAnsi="Arial"/>
                <w:sz w:val="14"/>
                <w:szCs w:val="14"/>
                <w:color w:val="auto"/>
              </w:rPr>
              <w:t xml:space="preserve">Revenues from services </w:t>
            </w:r>
            <w:r>
              <w:rPr>
                <w:rFonts w:ascii="Arial" w:cs="Arial" w:eastAsia="Arial" w:hAnsi="Arial"/>
                <w:sz w:val="19"/>
                <w:szCs w:val="19"/>
                <w:color w:val="auto"/>
                <w:vertAlign w:val="superscript"/>
              </w:rPr>
              <w:t>(a)</w:t>
            </w:r>
          </w:p>
        </w:tc>
        <w:tc>
          <w:tcPr>
            <w:tcW w:w="1860" w:type="dxa"/>
            <w:vAlign w:val="bottom"/>
            <w:gridSpan w:val="2"/>
            <w:shd w:val="clear" w:color="auto" w:fill="E2E8F1"/>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4,634.4</w:t>
            </w:r>
          </w:p>
        </w:tc>
        <w:tc>
          <w:tcPr>
            <w:tcW w:w="460" w:type="dxa"/>
            <w:vAlign w:val="bottom"/>
            <w:gridSpan w:val="3"/>
            <w:shd w:val="clear" w:color="auto" w:fill="E2E8F1"/>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4,530.2</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600" w:type="dxa"/>
            <w:vAlign w:val="bottom"/>
            <w:shd w:val="clear" w:color="auto" w:fill="E2E8F1"/>
          </w:tcPr>
          <w:p>
            <w:pPr>
              <w:spacing w:after="0"/>
              <w:rPr>
                <w:sz w:val="14"/>
                <w:szCs w:val="14"/>
                <w:color w:val="auto"/>
              </w:rPr>
            </w:pPr>
          </w:p>
        </w:tc>
        <w:tc>
          <w:tcPr>
            <w:tcW w:w="5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2.3%</w:t>
            </w:r>
          </w:p>
        </w:tc>
        <w:tc>
          <w:tcPr>
            <w:tcW w:w="400" w:type="dxa"/>
            <w:vAlign w:val="bottom"/>
            <w:shd w:val="clear" w:color="auto" w:fill="E2E8F1"/>
          </w:tcPr>
          <w:p>
            <w:pPr>
              <w:spacing w:after="0"/>
              <w:rPr>
                <w:sz w:val="14"/>
                <w:szCs w:val="14"/>
                <w:color w:val="auto"/>
              </w:rPr>
            </w:pPr>
          </w:p>
        </w:tc>
        <w:tc>
          <w:tcPr>
            <w:tcW w:w="114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Cost of services</w:t>
            </w:r>
          </w:p>
        </w:tc>
        <w:tc>
          <w:tcPr>
            <w:tcW w:w="1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3,865.5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3.1%</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0" w:type="dxa"/>
            <w:vAlign w:val="bottom"/>
            <w:shd w:val="clear" w:color="auto" w:fill="E2E8F1"/>
          </w:tcPr>
          <w:p>
            <w:pPr>
              <w:ind w:left="60"/>
              <w:spacing w:after="0" w:line="157" w:lineRule="exact"/>
              <w:rPr>
                <w:sz w:val="20"/>
                <w:szCs w:val="20"/>
                <w:color w:val="auto"/>
              </w:rPr>
            </w:pPr>
            <w:r>
              <w:rPr>
                <w:rFonts w:ascii="Arial" w:cs="Arial" w:eastAsia="Arial" w:hAnsi="Arial"/>
                <w:sz w:val="14"/>
                <w:szCs w:val="14"/>
                <w:color w:val="auto"/>
              </w:rPr>
              <w:t>Gross profit</w:t>
            </w:r>
          </w:p>
        </w:tc>
        <w:tc>
          <w:tcPr>
            <w:tcW w:w="158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768.9</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10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782.1</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600" w:type="dxa"/>
            <w:vAlign w:val="bottom"/>
            <w:shd w:val="clear" w:color="auto" w:fill="E2E8F1"/>
          </w:tcPr>
          <w:p>
            <w:pPr>
              <w:spacing w:after="0"/>
              <w:rPr>
                <w:sz w:val="13"/>
                <w:szCs w:val="13"/>
                <w:color w:val="auto"/>
              </w:rPr>
            </w:pPr>
          </w:p>
        </w:tc>
        <w:tc>
          <w:tcPr>
            <w:tcW w:w="5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-1.7%</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Selling and administrative expenses</w:t>
            </w:r>
          </w:p>
        </w:tc>
        <w:tc>
          <w:tcPr>
            <w:tcW w:w="1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-1.3%</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0" w:type="dxa"/>
            <w:vAlign w:val="bottom"/>
            <w:shd w:val="clear" w:color="auto" w:fill="E2E8F1"/>
          </w:tcPr>
          <w:p>
            <w:pPr>
              <w:ind w:left="60"/>
              <w:spacing w:after="0" w:line="157" w:lineRule="exact"/>
              <w:rPr>
                <w:sz w:val="20"/>
                <w:szCs w:val="20"/>
                <w:color w:val="auto"/>
              </w:rPr>
            </w:pPr>
            <w:r>
              <w:rPr>
                <w:rFonts w:ascii="Arial" w:cs="Arial" w:eastAsia="Arial" w:hAnsi="Arial"/>
                <w:sz w:val="14"/>
                <w:szCs w:val="14"/>
                <w:color w:val="auto"/>
              </w:rPr>
              <w:t>Operating profit</w:t>
            </w:r>
          </w:p>
        </w:tc>
        <w:tc>
          <w:tcPr>
            <w:tcW w:w="158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66.6</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10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70.8</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600" w:type="dxa"/>
            <w:vAlign w:val="bottom"/>
            <w:shd w:val="clear" w:color="auto" w:fill="E2E8F1"/>
          </w:tcPr>
          <w:p>
            <w:pPr>
              <w:spacing w:after="0"/>
              <w:rPr>
                <w:sz w:val="13"/>
                <w:szCs w:val="13"/>
                <w:color w:val="auto"/>
              </w:rPr>
            </w:pPr>
          </w:p>
        </w:tc>
        <w:tc>
          <w:tcPr>
            <w:tcW w:w="5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-6.1%</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Interest and other expenses, net</w:t>
            </w:r>
          </w:p>
        </w:tc>
        <w:tc>
          <w:tcPr>
            <w:tcW w:w="1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17.4%</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0" w:type="dxa"/>
            <w:vAlign w:val="bottom"/>
            <w:shd w:val="clear" w:color="auto" w:fill="E2E8F1"/>
          </w:tcPr>
          <w:p>
            <w:pPr>
              <w:ind w:left="60"/>
              <w:spacing w:after="0" w:line="157" w:lineRule="exact"/>
              <w:rPr>
                <w:sz w:val="20"/>
                <w:szCs w:val="20"/>
                <w:color w:val="auto"/>
              </w:rPr>
            </w:pPr>
            <w:r>
              <w:rPr>
                <w:rFonts w:ascii="Arial" w:cs="Arial" w:eastAsia="Arial" w:hAnsi="Arial"/>
                <w:sz w:val="14"/>
                <w:szCs w:val="14"/>
                <w:color w:val="auto"/>
              </w:rPr>
              <w:t>Earnings before income taxes</w:t>
            </w:r>
          </w:p>
        </w:tc>
        <w:tc>
          <w:tcPr>
            <w:tcW w:w="158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52.9</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10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59.2</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600" w:type="dxa"/>
            <w:vAlign w:val="bottom"/>
            <w:shd w:val="clear" w:color="auto" w:fill="E2E8F1"/>
          </w:tcPr>
          <w:p>
            <w:pPr>
              <w:spacing w:after="0"/>
              <w:rPr>
                <w:sz w:val="13"/>
                <w:szCs w:val="13"/>
                <w:color w:val="auto"/>
              </w:rPr>
            </w:pPr>
          </w:p>
        </w:tc>
        <w:tc>
          <w:tcPr>
            <w:tcW w:w="5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-10.6%</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-4.2%</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00" w:type="dxa"/>
            <w:vAlign w:val="bottom"/>
            <w:shd w:val="clear" w:color="auto" w:fill="E2E8F1"/>
          </w:tcPr>
          <w:p>
            <w:pPr>
              <w:ind w:left="60"/>
              <w:spacing w:after="0" w:line="146" w:lineRule="exact"/>
              <w:rPr>
                <w:sz w:val="20"/>
                <w:szCs w:val="20"/>
                <w:color w:val="auto"/>
              </w:rPr>
            </w:pPr>
            <w:r>
              <w:rPr>
                <w:rFonts w:ascii="Arial" w:cs="Arial" w:eastAsia="Arial" w:hAnsi="Arial"/>
                <w:sz w:val="14"/>
                <w:szCs w:val="14"/>
                <w:color w:val="auto"/>
              </w:rPr>
              <w:t>Net earnings</w:t>
            </w:r>
          </w:p>
        </w:tc>
        <w:tc>
          <w:tcPr>
            <w:tcW w:w="1860" w:type="dxa"/>
            <w:vAlign w:val="bottom"/>
            <w:gridSpan w:val="2"/>
            <w:shd w:val="clear" w:color="auto" w:fill="E2E8F1"/>
          </w:tcPr>
          <w:p>
            <w:pPr>
              <w:jc w:val="right"/>
              <w:ind w:right="200"/>
              <w:spacing w:after="0" w:line="146" w:lineRule="exact"/>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spacing w:after="0" w:line="146" w:lineRule="exact"/>
              <w:rPr>
                <w:sz w:val="20"/>
                <w:szCs w:val="20"/>
                <w:color w:val="auto"/>
              </w:rPr>
            </w:pPr>
            <w:r>
              <w:rPr>
                <w:rFonts w:ascii="Arial" w:cs="Arial" w:eastAsia="Arial" w:hAnsi="Arial"/>
                <w:sz w:val="14"/>
                <w:szCs w:val="14"/>
                <w:color w:val="auto"/>
              </w:rPr>
              <w:t>18.0</w:t>
            </w:r>
          </w:p>
        </w:tc>
        <w:tc>
          <w:tcPr>
            <w:tcW w:w="460" w:type="dxa"/>
            <w:vAlign w:val="bottom"/>
            <w:gridSpan w:val="3"/>
            <w:shd w:val="clear" w:color="auto" w:fill="E2E8F1"/>
          </w:tcPr>
          <w:p>
            <w:pPr>
              <w:jc w:val="right"/>
              <w:ind w:right="120"/>
              <w:spacing w:after="0" w:line="146" w:lineRule="exact"/>
              <w:rPr>
                <w:sz w:val="20"/>
                <w:szCs w:val="20"/>
                <w:color w:val="auto"/>
              </w:rPr>
            </w:pPr>
            <w:r>
              <w:rPr>
                <w:rFonts w:ascii="Arial" w:cs="Arial" w:eastAsia="Arial" w:hAnsi="Arial"/>
                <w:sz w:val="14"/>
                <w:szCs w:val="14"/>
                <w:color w:val="auto"/>
              </w:rPr>
              <w:t>$</w:t>
            </w:r>
          </w:p>
        </w:tc>
        <w:tc>
          <w:tcPr>
            <w:tcW w:w="1020" w:type="dxa"/>
            <w:vAlign w:val="bottom"/>
            <w:shd w:val="clear" w:color="auto" w:fill="E2E8F1"/>
          </w:tcPr>
          <w:p>
            <w:pPr>
              <w:jc w:val="right"/>
              <w:spacing w:after="0" w:line="146" w:lineRule="exact"/>
              <w:rPr>
                <w:sz w:val="20"/>
                <w:szCs w:val="20"/>
                <w:color w:val="auto"/>
              </w:rPr>
            </w:pPr>
            <w:r>
              <w:rPr>
                <w:rFonts w:ascii="Arial" w:cs="Arial" w:eastAsia="Arial" w:hAnsi="Arial"/>
                <w:sz w:val="14"/>
                <w:szCs w:val="14"/>
                <w:color w:val="auto"/>
              </w:rPr>
              <w:t>22.8</w:t>
            </w:r>
          </w:p>
        </w:tc>
        <w:tc>
          <w:tcPr>
            <w:tcW w:w="1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320" w:type="dxa"/>
            <w:vAlign w:val="bottom"/>
            <w:shd w:val="clear" w:color="auto" w:fill="E2E8F1"/>
          </w:tcPr>
          <w:p>
            <w:pPr>
              <w:spacing w:after="0"/>
              <w:rPr>
                <w:sz w:val="15"/>
                <w:szCs w:val="15"/>
                <w:color w:val="auto"/>
              </w:rPr>
            </w:pPr>
          </w:p>
        </w:tc>
        <w:tc>
          <w:tcPr>
            <w:tcW w:w="600" w:type="dxa"/>
            <w:vAlign w:val="bottom"/>
            <w:shd w:val="clear" w:color="auto" w:fill="E2E8F1"/>
          </w:tcPr>
          <w:p>
            <w:pPr>
              <w:spacing w:after="0"/>
              <w:rPr>
                <w:sz w:val="15"/>
                <w:szCs w:val="15"/>
                <w:color w:val="auto"/>
              </w:rPr>
            </w:pPr>
          </w:p>
        </w:tc>
        <w:tc>
          <w:tcPr>
            <w:tcW w:w="500" w:type="dxa"/>
            <w:vAlign w:val="bottom"/>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-20.9%</w:t>
            </w:r>
          </w:p>
        </w:tc>
        <w:tc>
          <w:tcPr>
            <w:tcW w:w="400" w:type="dxa"/>
            <w:vAlign w:val="bottom"/>
            <w:shd w:val="clear" w:color="auto" w:fill="E2E8F1"/>
          </w:tcPr>
          <w:p>
            <w:pPr>
              <w:spacing w:after="0"/>
              <w:rPr>
                <w:sz w:val="15"/>
                <w:szCs w:val="15"/>
                <w:color w:val="auto"/>
              </w:rPr>
            </w:pPr>
          </w:p>
        </w:tc>
        <w:tc>
          <w:tcPr>
            <w:tcW w:w="1140" w:type="dxa"/>
            <w:vAlign w:val="bottom"/>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0" w:type="dxa"/>
            <w:vAlign w:val="bottom"/>
            <w:tcBorders>
              <w:top w:val="single" w:sz="8" w:color="E2E8F1"/>
            </w:tcBorders>
            <w:shd w:val="clear" w:color="auto" w:fill="E2E8F1"/>
          </w:tcPr>
          <w:p>
            <w:pPr>
              <w:spacing w:after="0" w:line="20" w:lineRule="exact"/>
              <w:rPr>
                <w:sz w:val="1"/>
                <w:szCs w:val="1"/>
                <w:color w:val="auto"/>
              </w:rPr>
            </w:pPr>
          </w:p>
        </w:tc>
        <w:tc>
          <w:tcPr>
            <w:tcW w:w="1580" w:type="dxa"/>
            <w:vAlign w:val="bottom"/>
            <w:tcBorders>
              <w:top w:val="single" w:sz="8" w:color="E2E8F1"/>
            </w:tcBorders>
            <w:shd w:val="clear" w:color="auto" w:fill="E2E8F1"/>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8F1"/>
            </w:tcBorders>
            <w:shd w:val="clear" w:color="auto" w:fill="E2E8F1"/>
          </w:tcPr>
          <w:p>
            <w:pPr>
              <w:spacing w:after="0" w:line="20" w:lineRule="exact"/>
              <w:rPr>
                <w:sz w:val="1"/>
                <w:szCs w:val="1"/>
                <w:color w:val="auto"/>
              </w:rPr>
            </w:pPr>
          </w:p>
        </w:tc>
        <w:tc>
          <w:tcPr>
            <w:tcW w:w="100" w:type="dxa"/>
            <w:vAlign w:val="bottom"/>
            <w:tcBorders>
              <w:top w:val="single" w:sz="8" w:color="E2E8F1"/>
            </w:tcBorders>
            <w:shd w:val="clear" w:color="auto" w:fill="E2E8F1"/>
          </w:tcPr>
          <w:p>
            <w:pPr>
              <w:spacing w:after="0" w:line="20" w:lineRule="exact"/>
              <w:rPr>
                <w:sz w:val="1"/>
                <w:szCs w:val="1"/>
                <w:color w:val="auto"/>
              </w:rPr>
            </w:pPr>
          </w:p>
        </w:tc>
        <w:tc>
          <w:tcPr>
            <w:tcW w:w="320" w:type="dxa"/>
            <w:vAlign w:val="bottom"/>
            <w:tcBorders>
              <w:top w:val="single" w:sz="8" w:color="E2E8F1"/>
            </w:tcBorders>
            <w:shd w:val="clear" w:color="auto" w:fill="E2E8F1"/>
          </w:tcPr>
          <w:p>
            <w:pPr>
              <w:spacing w:after="0" w:line="20" w:lineRule="exact"/>
              <w:rPr>
                <w:sz w:val="1"/>
                <w:szCs w:val="1"/>
                <w:color w:val="auto"/>
              </w:rPr>
            </w:pPr>
          </w:p>
        </w:tc>
        <w:tc>
          <w:tcPr>
            <w:tcW w:w="600" w:type="dxa"/>
            <w:vAlign w:val="bottom"/>
            <w:tcBorders>
              <w:top w:val="single" w:sz="8" w:color="E2E8F1"/>
            </w:tcBorders>
            <w:shd w:val="clear" w:color="auto" w:fill="E2E8F1"/>
          </w:tcPr>
          <w:p>
            <w:pPr>
              <w:spacing w:after="0" w:line="20" w:lineRule="exact"/>
              <w:rPr>
                <w:sz w:val="1"/>
                <w:szCs w:val="1"/>
                <w:color w:val="auto"/>
              </w:rPr>
            </w:pPr>
          </w:p>
        </w:tc>
        <w:tc>
          <w:tcPr>
            <w:tcW w:w="36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400" w:type="dxa"/>
            <w:vAlign w:val="bottom"/>
            <w:tcBorders>
              <w:top w:val="single" w:sz="8" w:color="E2E8F1"/>
            </w:tcBorders>
            <w:shd w:val="clear" w:color="auto" w:fill="E2E8F1"/>
          </w:tcPr>
          <w:p>
            <w:pPr>
              <w:spacing w:after="0" w:line="20" w:lineRule="exact"/>
              <w:rPr>
                <w:sz w:val="1"/>
                <w:szCs w:val="1"/>
                <w:color w:val="auto"/>
              </w:rPr>
            </w:pPr>
          </w:p>
        </w:tc>
        <w:tc>
          <w:tcPr>
            <w:tcW w:w="100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3800" w:type="dxa"/>
            <w:vAlign w:val="bottom"/>
          </w:tcPr>
          <w:p>
            <w:pPr>
              <w:spacing w:after="0" w:line="141" w:lineRule="exact"/>
              <w:rPr>
                <w:sz w:val="20"/>
                <w:szCs w:val="20"/>
                <w:color w:val="auto"/>
              </w:rPr>
            </w:pPr>
            <w:r>
              <w:rPr>
                <w:rFonts w:ascii="Arial" w:cs="Arial" w:eastAsia="Arial" w:hAnsi="Arial"/>
                <w:sz w:val="14"/>
                <w:szCs w:val="14"/>
                <w:color w:val="auto"/>
              </w:rPr>
              <w:t>Net earnings per share - basic</w:t>
            </w:r>
          </w:p>
        </w:tc>
        <w:tc>
          <w:tcPr>
            <w:tcW w:w="186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1" w:lineRule="exact"/>
              <w:rPr>
                <w:sz w:val="20"/>
                <w:szCs w:val="20"/>
                <w:color w:val="auto"/>
              </w:rPr>
            </w:pPr>
            <w:r>
              <w:rPr>
                <w:rFonts w:ascii="Arial" w:cs="Arial" w:eastAsia="Arial" w:hAnsi="Arial"/>
                <w:sz w:val="14"/>
                <w:szCs w:val="14"/>
                <w:color w:val="auto"/>
              </w:rPr>
              <w:t>0.39</w:t>
            </w:r>
          </w:p>
        </w:tc>
        <w:tc>
          <w:tcPr>
            <w:tcW w:w="460" w:type="dxa"/>
            <w:vAlign w:val="bottom"/>
            <w:gridSpan w:val="3"/>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1" w:lineRule="exact"/>
              <w:rPr>
                <w:sz w:val="20"/>
                <w:szCs w:val="20"/>
                <w:color w:val="auto"/>
              </w:rPr>
            </w:pPr>
            <w:r>
              <w:rPr>
                <w:rFonts w:ascii="Arial" w:cs="Arial" w:eastAsia="Arial" w:hAnsi="Arial"/>
                <w:sz w:val="14"/>
                <w:szCs w:val="14"/>
                <w:color w:val="auto"/>
              </w:rPr>
              <w:t>0.48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gridSpan w:val="2"/>
          </w:tcPr>
          <w:p>
            <w:pPr>
              <w:jc w:val="right"/>
              <w:ind w:right="20"/>
              <w:spacing w:after="0" w:line="141" w:lineRule="exact"/>
              <w:rPr>
                <w:sz w:val="20"/>
                <w:szCs w:val="20"/>
                <w:color w:val="auto"/>
              </w:rPr>
            </w:pPr>
            <w:r>
              <w:rPr>
                <w:rFonts w:ascii="Arial" w:cs="Arial" w:eastAsia="Arial" w:hAnsi="Arial"/>
                <w:sz w:val="14"/>
                <w:szCs w:val="14"/>
                <w:color w:val="auto"/>
              </w:rPr>
              <w:t>-19.1%</w:t>
            </w: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shd w:val="clear" w:color="auto" w:fill="E2E8F1"/>
          </w:tcPr>
          <w:p>
            <w:pPr>
              <w:spacing w:after="0" w:line="141" w:lineRule="exact"/>
              <w:rPr>
                <w:sz w:val="20"/>
                <w:szCs w:val="20"/>
                <w:color w:val="auto"/>
              </w:rPr>
            </w:pPr>
            <w:r>
              <w:rPr>
                <w:rFonts w:ascii="Arial" w:cs="Arial" w:eastAsia="Arial" w:hAnsi="Arial"/>
                <w:sz w:val="14"/>
                <w:szCs w:val="14"/>
                <w:color w:val="auto"/>
              </w:rPr>
              <w:t>Net earnings per share - diluted</w:t>
            </w:r>
          </w:p>
        </w:tc>
        <w:tc>
          <w:tcPr>
            <w:tcW w:w="1860" w:type="dxa"/>
            <w:vAlign w:val="bottom"/>
            <w:gridSpan w:val="2"/>
            <w:shd w:val="clear" w:color="auto" w:fill="E2E8F1"/>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spacing w:after="0" w:line="141" w:lineRule="exact"/>
              <w:rPr>
                <w:sz w:val="20"/>
                <w:szCs w:val="20"/>
                <w:color w:val="auto"/>
              </w:rPr>
            </w:pPr>
            <w:r>
              <w:rPr>
                <w:rFonts w:ascii="Arial" w:cs="Arial" w:eastAsia="Arial" w:hAnsi="Arial"/>
                <w:sz w:val="14"/>
                <w:szCs w:val="14"/>
                <w:color w:val="auto"/>
              </w:rPr>
              <w:t>0.38</w:t>
            </w:r>
          </w:p>
        </w:tc>
        <w:tc>
          <w:tcPr>
            <w:tcW w:w="460" w:type="dxa"/>
            <w:vAlign w:val="bottom"/>
            <w:gridSpan w:val="3"/>
            <w:shd w:val="clear" w:color="auto" w:fill="E2E8F1"/>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20" w:type="dxa"/>
            <w:vAlign w:val="bottom"/>
            <w:shd w:val="clear" w:color="auto" w:fill="E2E8F1"/>
          </w:tcPr>
          <w:p>
            <w:pPr>
              <w:jc w:val="right"/>
              <w:spacing w:after="0" w:line="141" w:lineRule="exact"/>
              <w:rPr>
                <w:sz w:val="20"/>
                <w:szCs w:val="20"/>
                <w:color w:val="auto"/>
              </w:rPr>
            </w:pPr>
            <w:r>
              <w:rPr>
                <w:rFonts w:ascii="Arial" w:cs="Arial" w:eastAsia="Arial" w:hAnsi="Arial"/>
                <w:sz w:val="14"/>
                <w:szCs w:val="14"/>
                <w:color w:val="auto"/>
              </w:rPr>
              <w:t>0.47</w:t>
            </w:r>
          </w:p>
        </w:tc>
        <w:tc>
          <w:tcPr>
            <w:tcW w:w="1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320" w:type="dxa"/>
            <w:vAlign w:val="bottom"/>
            <w:shd w:val="clear" w:color="auto" w:fill="E2E8F1"/>
          </w:tcPr>
          <w:p>
            <w:pPr>
              <w:spacing w:after="0"/>
              <w:rPr>
                <w:sz w:val="15"/>
                <w:szCs w:val="15"/>
                <w:color w:val="auto"/>
              </w:rPr>
            </w:pPr>
          </w:p>
        </w:tc>
        <w:tc>
          <w:tcPr>
            <w:tcW w:w="600" w:type="dxa"/>
            <w:vAlign w:val="bottom"/>
            <w:shd w:val="clear" w:color="auto" w:fill="E2E8F1"/>
          </w:tcPr>
          <w:p>
            <w:pPr>
              <w:spacing w:after="0"/>
              <w:rPr>
                <w:sz w:val="15"/>
                <w:szCs w:val="15"/>
                <w:color w:val="auto"/>
              </w:rPr>
            </w:pPr>
          </w:p>
        </w:tc>
        <w:tc>
          <w:tcPr>
            <w:tcW w:w="500" w:type="dxa"/>
            <w:vAlign w:val="bottom"/>
            <w:gridSpan w:val="2"/>
            <w:shd w:val="clear" w:color="auto" w:fill="E2E8F1"/>
          </w:tcPr>
          <w:p>
            <w:pPr>
              <w:jc w:val="right"/>
              <w:ind w:right="20"/>
              <w:spacing w:after="0" w:line="141" w:lineRule="exact"/>
              <w:rPr>
                <w:sz w:val="20"/>
                <w:szCs w:val="20"/>
                <w:color w:val="auto"/>
              </w:rPr>
            </w:pPr>
            <w:r>
              <w:rPr>
                <w:rFonts w:ascii="Arial" w:cs="Arial" w:eastAsia="Arial" w:hAnsi="Arial"/>
                <w:sz w:val="14"/>
                <w:szCs w:val="14"/>
                <w:color w:val="auto"/>
              </w:rPr>
              <w:t>-18.8%</w:t>
            </w:r>
          </w:p>
        </w:tc>
        <w:tc>
          <w:tcPr>
            <w:tcW w:w="400" w:type="dxa"/>
            <w:vAlign w:val="bottom"/>
            <w:shd w:val="clear" w:color="auto" w:fill="E2E8F1"/>
          </w:tcPr>
          <w:p>
            <w:pPr>
              <w:spacing w:after="0"/>
              <w:rPr>
                <w:sz w:val="15"/>
                <w:szCs w:val="15"/>
                <w:color w:val="auto"/>
              </w:rPr>
            </w:pPr>
          </w:p>
        </w:tc>
        <w:tc>
          <w:tcPr>
            <w:tcW w:w="1140" w:type="dxa"/>
            <w:vAlign w:val="bottom"/>
            <w:gridSpan w:val="2"/>
            <w:shd w:val="clear" w:color="auto" w:fill="E2E8F1"/>
          </w:tcPr>
          <w:p>
            <w:pPr>
              <w:jc w:val="right"/>
              <w:ind w:right="20"/>
              <w:spacing w:after="0" w:line="141"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00" w:type="dxa"/>
            <w:vAlign w:val="bottom"/>
            <w:tcBorders>
              <w:top w:val="single" w:sz="8" w:color="E2E8F1"/>
            </w:tcBorders>
          </w:tcPr>
          <w:p>
            <w:pPr>
              <w:spacing w:after="0" w:line="141" w:lineRule="exact"/>
              <w:rPr>
                <w:sz w:val="20"/>
                <w:szCs w:val="20"/>
                <w:color w:val="auto"/>
              </w:rPr>
            </w:pPr>
            <w:r>
              <w:rPr>
                <w:rFonts w:ascii="Arial" w:cs="Arial" w:eastAsia="Arial" w:hAnsi="Arial"/>
                <w:sz w:val="14"/>
                <w:szCs w:val="14"/>
                <w:color w:val="auto"/>
              </w:rPr>
              <w:t>Weighted average shares - basic</w:t>
            </w:r>
          </w:p>
        </w:tc>
        <w:tc>
          <w:tcPr>
            <w:tcW w:w="1580" w:type="dxa"/>
            <w:vAlign w:val="bottom"/>
            <w:tcBorders>
              <w:top w:val="single" w:sz="8" w:color="E2E8F1"/>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46.5</w:t>
            </w:r>
          </w:p>
        </w:tc>
        <w:tc>
          <w:tcPr>
            <w:tcW w:w="120" w:type="dxa"/>
            <w:vAlign w:val="bottom"/>
            <w:tcBorders>
              <w:top w:val="single" w:sz="8" w:color="E2E8F1"/>
            </w:tcBorders>
          </w:tcPr>
          <w:p>
            <w:pPr>
              <w:spacing w:after="0"/>
              <w:rPr>
                <w:sz w:val="12"/>
                <w:szCs w:val="12"/>
                <w:color w:val="auto"/>
              </w:rPr>
            </w:pPr>
          </w:p>
        </w:tc>
        <w:tc>
          <w:tcPr>
            <w:tcW w:w="140" w:type="dxa"/>
            <w:vAlign w:val="bottom"/>
            <w:tcBorders>
              <w:top w:val="single" w:sz="8" w:color="E2E8F1"/>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47.6</w:t>
            </w:r>
          </w:p>
        </w:tc>
        <w:tc>
          <w:tcPr>
            <w:tcW w:w="100" w:type="dxa"/>
            <w:vAlign w:val="bottom"/>
            <w:tcBorders>
              <w:top w:val="single" w:sz="8" w:color="E2E8F1"/>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320" w:type="dxa"/>
            <w:vAlign w:val="bottom"/>
            <w:tcBorders>
              <w:top w:val="single" w:sz="8" w:color="E2E8F1"/>
            </w:tcBorders>
          </w:tcPr>
          <w:p>
            <w:pPr>
              <w:spacing w:after="0"/>
              <w:rPr>
                <w:sz w:val="12"/>
                <w:szCs w:val="12"/>
                <w:color w:val="auto"/>
              </w:rPr>
            </w:pPr>
          </w:p>
        </w:tc>
        <w:tc>
          <w:tcPr>
            <w:tcW w:w="600" w:type="dxa"/>
            <w:vAlign w:val="bottom"/>
            <w:tcBorders>
              <w:top w:val="single" w:sz="8" w:color="E2E8F1"/>
            </w:tcBorders>
          </w:tcPr>
          <w:p>
            <w:pPr>
              <w:spacing w:after="0"/>
              <w:rPr>
                <w:sz w:val="12"/>
                <w:szCs w:val="12"/>
                <w:color w:val="auto"/>
              </w:rPr>
            </w:pPr>
          </w:p>
        </w:tc>
        <w:tc>
          <w:tcPr>
            <w:tcW w:w="500" w:type="dxa"/>
            <w:vAlign w:val="bottom"/>
            <w:tcBorders>
              <w:top w:val="single" w:sz="8" w:color="E2E8F1"/>
            </w:tcBorders>
            <w:gridSpan w:val="2"/>
          </w:tcPr>
          <w:p>
            <w:pPr>
              <w:jc w:val="right"/>
              <w:ind w:right="20"/>
              <w:spacing w:after="0" w:line="141" w:lineRule="exact"/>
              <w:rPr>
                <w:sz w:val="20"/>
                <w:szCs w:val="20"/>
                <w:color w:val="auto"/>
              </w:rPr>
            </w:pPr>
            <w:r>
              <w:rPr>
                <w:rFonts w:ascii="Arial" w:cs="Arial" w:eastAsia="Arial" w:hAnsi="Arial"/>
                <w:sz w:val="14"/>
                <w:szCs w:val="14"/>
                <w:color w:val="auto"/>
              </w:rPr>
              <w:t>-2.3%</w:t>
            </w:r>
          </w:p>
        </w:tc>
        <w:tc>
          <w:tcPr>
            <w:tcW w:w="400" w:type="dxa"/>
            <w:vAlign w:val="bottom"/>
            <w:tcBorders>
              <w:top w:val="single" w:sz="8" w:color="E2E8F1"/>
            </w:tcBorders>
          </w:tcPr>
          <w:p>
            <w:pPr>
              <w:spacing w:after="0"/>
              <w:rPr>
                <w:sz w:val="12"/>
                <w:szCs w:val="12"/>
                <w:color w:val="auto"/>
              </w:rPr>
            </w:pPr>
          </w:p>
        </w:tc>
        <w:tc>
          <w:tcPr>
            <w:tcW w:w="1000" w:type="dxa"/>
            <w:vAlign w:val="bottom"/>
            <w:tcBorders>
              <w:top w:val="single" w:sz="8" w:color="E2E8F1"/>
            </w:tcBorders>
          </w:tcPr>
          <w:p>
            <w:pPr>
              <w:spacing w:after="0"/>
              <w:rPr>
                <w:sz w:val="12"/>
                <w:szCs w:val="12"/>
                <w:color w:val="auto"/>
              </w:rPr>
            </w:pPr>
          </w:p>
        </w:tc>
        <w:tc>
          <w:tcPr>
            <w:tcW w:w="140" w:type="dxa"/>
            <w:vAlign w:val="bottom"/>
            <w:tcBorders>
              <w:top w:val="single" w:sz="8" w:color="E2E8F1"/>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tcBorders>
              <w:bottom w:val="single" w:sz="8" w:color="E2E8F1"/>
            </w:tcBorders>
            <w:shd w:val="clear" w:color="auto" w:fill="E2E8F1"/>
          </w:tcPr>
          <w:p>
            <w:pPr>
              <w:spacing w:after="0" w:line="141" w:lineRule="exact"/>
              <w:rPr>
                <w:sz w:val="20"/>
                <w:szCs w:val="20"/>
                <w:color w:val="auto"/>
              </w:rPr>
            </w:pPr>
            <w:r>
              <w:rPr>
                <w:rFonts w:ascii="Arial" w:cs="Arial" w:eastAsia="Arial" w:hAnsi="Arial"/>
                <w:sz w:val="14"/>
                <w:szCs w:val="14"/>
                <w:color w:val="auto"/>
              </w:rPr>
              <w:t>Weighted average shares - diluted</w:t>
            </w:r>
          </w:p>
        </w:tc>
        <w:tc>
          <w:tcPr>
            <w:tcW w:w="1580" w:type="dxa"/>
            <w:vAlign w:val="bottom"/>
            <w:tcBorders>
              <w:bottom w:val="single" w:sz="8" w:color="E2E8F1"/>
            </w:tcBorders>
            <w:shd w:val="clear" w:color="auto" w:fill="E2E8F1"/>
          </w:tcPr>
          <w:p>
            <w:pPr>
              <w:spacing w:after="0"/>
              <w:rPr>
                <w:sz w:val="15"/>
                <w:szCs w:val="15"/>
                <w:color w:val="auto"/>
              </w:rPr>
            </w:pPr>
          </w:p>
        </w:tc>
        <w:tc>
          <w:tcPr>
            <w:tcW w:w="280" w:type="dxa"/>
            <w:vAlign w:val="bottom"/>
            <w:tcBorders>
              <w:bottom w:val="single" w:sz="8" w:color="auto"/>
            </w:tcBorders>
            <w:shd w:val="clear" w:color="auto" w:fill="E2E8F1"/>
          </w:tcPr>
          <w:p>
            <w:pPr>
              <w:spacing w:after="0"/>
              <w:rPr>
                <w:sz w:val="15"/>
                <w:szCs w:val="15"/>
                <w:color w:val="auto"/>
              </w:rPr>
            </w:pPr>
          </w:p>
        </w:tc>
        <w:tc>
          <w:tcPr>
            <w:tcW w:w="940" w:type="dxa"/>
            <w:vAlign w:val="bottom"/>
            <w:tcBorders>
              <w:bottom w:val="single" w:sz="8" w:color="auto"/>
            </w:tcBorders>
            <w:shd w:val="clear" w:color="auto" w:fill="E2E8F1"/>
          </w:tcPr>
          <w:p>
            <w:pPr>
              <w:jc w:val="right"/>
              <w:spacing w:after="0" w:line="141" w:lineRule="exact"/>
              <w:rPr>
                <w:sz w:val="20"/>
                <w:szCs w:val="20"/>
                <w:color w:val="auto"/>
              </w:rPr>
            </w:pPr>
            <w:r>
              <w:rPr>
                <w:rFonts w:ascii="Arial" w:cs="Arial" w:eastAsia="Arial" w:hAnsi="Arial"/>
                <w:sz w:val="14"/>
                <w:szCs w:val="14"/>
                <w:color w:val="auto"/>
              </w:rPr>
              <w:t>46.9</w:t>
            </w:r>
          </w:p>
        </w:tc>
        <w:tc>
          <w:tcPr>
            <w:tcW w:w="120" w:type="dxa"/>
            <w:vAlign w:val="bottom"/>
            <w:tcBorders>
              <w:bottom w:val="single" w:sz="8" w:color="E2E8F1"/>
            </w:tcBorders>
            <w:shd w:val="clear" w:color="auto" w:fill="E2E8F1"/>
          </w:tcPr>
          <w:p>
            <w:pPr>
              <w:spacing w:after="0"/>
              <w:rPr>
                <w:sz w:val="15"/>
                <w:szCs w:val="15"/>
                <w:color w:val="auto"/>
              </w:rPr>
            </w:pPr>
          </w:p>
        </w:tc>
        <w:tc>
          <w:tcPr>
            <w:tcW w:w="140" w:type="dxa"/>
            <w:vAlign w:val="bottom"/>
            <w:tcBorders>
              <w:bottom w:val="single" w:sz="8" w:color="E2E8F1"/>
            </w:tcBorders>
            <w:shd w:val="clear" w:color="auto" w:fill="E2E8F1"/>
          </w:tcPr>
          <w:p>
            <w:pPr>
              <w:spacing w:after="0"/>
              <w:rPr>
                <w:sz w:val="15"/>
                <w:szCs w:val="15"/>
                <w:color w:val="auto"/>
              </w:rPr>
            </w:pPr>
          </w:p>
        </w:tc>
        <w:tc>
          <w:tcPr>
            <w:tcW w:w="200" w:type="dxa"/>
            <w:vAlign w:val="bottom"/>
            <w:tcBorders>
              <w:bottom w:val="single" w:sz="8" w:color="auto"/>
            </w:tcBorders>
            <w:shd w:val="clear" w:color="auto" w:fill="E2E8F1"/>
          </w:tcPr>
          <w:p>
            <w:pPr>
              <w:spacing w:after="0"/>
              <w:rPr>
                <w:sz w:val="15"/>
                <w:szCs w:val="15"/>
                <w:color w:val="auto"/>
              </w:rPr>
            </w:pPr>
          </w:p>
        </w:tc>
        <w:tc>
          <w:tcPr>
            <w:tcW w:w="1020" w:type="dxa"/>
            <w:vAlign w:val="bottom"/>
            <w:tcBorders>
              <w:bottom w:val="single" w:sz="8" w:color="auto"/>
            </w:tcBorders>
            <w:shd w:val="clear" w:color="auto" w:fill="E2E8F1"/>
          </w:tcPr>
          <w:p>
            <w:pPr>
              <w:jc w:val="right"/>
              <w:spacing w:after="0" w:line="141" w:lineRule="exact"/>
              <w:rPr>
                <w:sz w:val="20"/>
                <w:szCs w:val="20"/>
                <w:color w:val="auto"/>
              </w:rPr>
            </w:pPr>
            <w:r>
              <w:rPr>
                <w:rFonts w:ascii="Arial" w:cs="Arial" w:eastAsia="Arial" w:hAnsi="Arial"/>
                <w:sz w:val="14"/>
                <w:szCs w:val="14"/>
                <w:color w:val="auto"/>
              </w:rPr>
              <w:t>48.1</w:t>
            </w:r>
          </w:p>
        </w:tc>
        <w:tc>
          <w:tcPr>
            <w:tcW w:w="100" w:type="dxa"/>
            <w:vAlign w:val="bottom"/>
            <w:tcBorders>
              <w:bottom w:val="single" w:sz="8" w:color="E2E8F1"/>
            </w:tcBorders>
            <w:shd w:val="clear" w:color="auto" w:fill="E2E8F1"/>
          </w:tcPr>
          <w:p>
            <w:pPr>
              <w:spacing w:after="0"/>
              <w:rPr>
                <w:sz w:val="15"/>
                <w:szCs w:val="15"/>
                <w:color w:val="auto"/>
              </w:rPr>
            </w:pPr>
          </w:p>
        </w:tc>
        <w:tc>
          <w:tcPr>
            <w:tcW w:w="100" w:type="dxa"/>
            <w:vAlign w:val="bottom"/>
            <w:tcBorders>
              <w:bottom w:val="single" w:sz="8" w:color="E2E8F1"/>
            </w:tcBorders>
            <w:shd w:val="clear" w:color="auto" w:fill="E2E8F1"/>
          </w:tcPr>
          <w:p>
            <w:pPr>
              <w:spacing w:after="0"/>
              <w:rPr>
                <w:sz w:val="15"/>
                <w:szCs w:val="15"/>
                <w:color w:val="auto"/>
              </w:rPr>
            </w:pPr>
          </w:p>
        </w:tc>
        <w:tc>
          <w:tcPr>
            <w:tcW w:w="320" w:type="dxa"/>
            <w:vAlign w:val="bottom"/>
            <w:tcBorders>
              <w:bottom w:val="single" w:sz="8" w:color="E2E8F1"/>
            </w:tcBorders>
            <w:shd w:val="clear" w:color="auto" w:fill="E2E8F1"/>
          </w:tcPr>
          <w:p>
            <w:pPr>
              <w:spacing w:after="0"/>
              <w:rPr>
                <w:sz w:val="15"/>
                <w:szCs w:val="15"/>
                <w:color w:val="auto"/>
              </w:rPr>
            </w:pPr>
          </w:p>
        </w:tc>
        <w:tc>
          <w:tcPr>
            <w:tcW w:w="600" w:type="dxa"/>
            <w:vAlign w:val="bottom"/>
            <w:tcBorders>
              <w:bottom w:val="single" w:sz="8" w:color="E2E8F1"/>
            </w:tcBorders>
            <w:shd w:val="clear" w:color="auto" w:fill="E2E8F1"/>
          </w:tcPr>
          <w:p>
            <w:pPr>
              <w:spacing w:after="0"/>
              <w:rPr>
                <w:sz w:val="15"/>
                <w:szCs w:val="15"/>
                <w:color w:val="auto"/>
              </w:rPr>
            </w:pPr>
          </w:p>
        </w:tc>
        <w:tc>
          <w:tcPr>
            <w:tcW w:w="500" w:type="dxa"/>
            <w:vAlign w:val="bottom"/>
            <w:tcBorders>
              <w:bottom w:val="single" w:sz="8" w:color="E2E8F1"/>
            </w:tcBorders>
            <w:gridSpan w:val="2"/>
            <w:shd w:val="clear" w:color="auto" w:fill="E2E8F1"/>
          </w:tcPr>
          <w:p>
            <w:pPr>
              <w:jc w:val="right"/>
              <w:ind w:right="20"/>
              <w:spacing w:after="0" w:line="141" w:lineRule="exact"/>
              <w:rPr>
                <w:sz w:val="20"/>
                <w:szCs w:val="20"/>
                <w:color w:val="auto"/>
              </w:rPr>
            </w:pPr>
            <w:r>
              <w:rPr>
                <w:rFonts w:ascii="Arial" w:cs="Arial" w:eastAsia="Arial" w:hAnsi="Arial"/>
                <w:sz w:val="14"/>
                <w:szCs w:val="14"/>
                <w:color w:val="auto"/>
              </w:rPr>
              <w:t>-2.6%</w:t>
            </w:r>
          </w:p>
        </w:tc>
        <w:tc>
          <w:tcPr>
            <w:tcW w:w="400" w:type="dxa"/>
            <w:vAlign w:val="bottom"/>
            <w:tcBorders>
              <w:bottom w:val="single" w:sz="8" w:color="E2E8F1"/>
            </w:tcBorders>
            <w:shd w:val="clear" w:color="auto" w:fill="E2E8F1"/>
          </w:tcPr>
          <w:p>
            <w:pPr>
              <w:spacing w:after="0"/>
              <w:rPr>
                <w:sz w:val="15"/>
                <w:szCs w:val="15"/>
                <w:color w:val="auto"/>
              </w:rPr>
            </w:pPr>
          </w:p>
        </w:tc>
        <w:tc>
          <w:tcPr>
            <w:tcW w:w="1000" w:type="dxa"/>
            <w:vAlign w:val="bottom"/>
            <w:tcBorders>
              <w:bottom w:val="single" w:sz="8" w:color="E2E8F1"/>
            </w:tcBorders>
            <w:shd w:val="clear" w:color="auto" w:fill="E2E8F1"/>
          </w:tcPr>
          <w:p>
            <w:pPr>
              <w:spacing w:after="0"/>
              <w:rPr>
                <w:sz w:val="15"/>
                <w:szCs w:val="15"/>
                <w:color w:val="auto"/>
              </w:rPr>
            </w:pPr>
          </w:p>
        </w:tc>
        <w:tc>
          <w:tcPr>
            <w:tcW w:w="140" w:type="dxa"/>
            <w:vAlign w:val="bottom"/>
            <w:tcBorders>
              <w:bottom w:val="single" w:sz="8" w:color="E2E8F1"/>
            </w:tcBorders>
            <w:shd w:val="clear" w:color="auto" w:fill="E2E8F1"/>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-532765</wp:posOffset>
            </wp:positionV>
            <wp:extent cx="6731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-517525</wp:posOffset>
            </wp:positionV>
            <wp:extent cx="6731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-532765</wp:posOffset>
            </wp:positionV>
            <wp:extent cx="6731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-517525</wp:posOffset>
            </wp:positionV>
            <wp:extent cx="6731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-277495</wp:posOffset>
            </wp:positionV>
            <wp:extent cx="6731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-262255</wp:posOffset>
            </wp:positionV>
            <wp:extent cx="673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-277495</wp:posOffset>
            </wp:positionV>
            <wp:extent cx="6731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-262255</wp:posOffset>
            </wp:positionV>
            <wp:extent cx="6731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-21590</wp:posOffset>
            </wp:positionV>
            <wp:extent cx="6731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-6985</wp:posOffset>
            </wp:positionV>
            <wp:extent cx="6731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-21590</wp:posOffset>
            </wp:positionV>
            <wp:extent cx="6731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-6985</wp:posOffset>
            </wp:positionV>
            <wp:extent cx="6731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33" w:lineRule="exact"/>
        <w:rPr>
          <w:sz w:val="20"/>
          <w:szCs w:val="20"/>
          <w:color w:val="auto"/>
        </w:rPr>
      </w:pPr>
    </w:p>
    <w:p>
      <w:pPr>
        <w:jc w:val="both"/>
        <w:ind w:left="505" w:hanging="505"/>
        <w:spacing w:after="0" w:line="229" w:lineRule="auto"/>
        <w:tabs>
          <w:tab w:leader="none" w:pos="505"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Revenues from services include fees received from our franchise offices of $4.3 million and $3.3 million for the three months ended September 30, 2025 and 2024, respectively. These fees are primarily based on revenues generated by the franchise offices, which were $300.3 million and $282.5 million for the three months ended September 30,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598805</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82" w:right="319" w:bottom="1440" w:gutter="0" w:footer="0" w:header="0"/>
        </w:sectPr>
      </w:pPr>
    </w:p>
    <w:bookmarkStart w:id="7" w:name="page8"/>
    <w:bookmarkEnd w:id="7"/>
    <w:p>
      <w:pPr>
        <w:ind w:left="5045"/>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845"/>
        <w:spacing w:after="0"/>
        <w:rPr>
          <w:sz w:val="20"/>
          <w:szCs w:val="20"/>
          <w:color w:val="auto"/>
        </w:rPr>
      </w:pPr>
      <w:r>
        <w:rPr>
          <w:rFonts w:ascii="Arial" w:cs="Arial" w:eastAsia="Arial" w:hAnsi="Arial"/>
          <w:sz w:val="16"/>
          <w:szCs w:val="16"/>
          <w:color w:val="auto"/>
        </w:rPr>
        <w:t>Operating Unit Results</w:t>
      </w:r>
    </w:p>
    <w:p>
      <w:pPr>
        <w:spacing w:after="0" w:line="2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(In millions)</w:t>
      </w:r>
    </w:p>
    <w:p>
      <w:pPr>
        <w:spacing w:after="0" w:line="172"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7"/>
          </w:tcPr>
          <w:p>
            <w:pPr>
              <w:jc w:val="center"/>
              <w:ind w:right="700"/>
              <w:spacing w:after="0"/>
              <w:rPr>
                <w:sz w:val="20"/>
                <w:szCs w:val="20"/>
                <w:color w:val="auto"/>
              </w:rPr>
            </w:pPr>
            <w:r>
              <w:rPr>
                <w:rFonts w:ascii="Arial" w:cs="Arial" w:eastAsia="Arial" w:hAnsi="Arial"/>
                <w:sz w:val="13"/>
                <w:szCs w:val="13"/>
                <w:b w:val="1"/>
                <w:bCs w:val="1"/>
                <w:color w:val="auto"/>
                <w:w w:val="96"/>
              </w:rPr>
              <w:t>Three Months Ended September 30</w:t>
            </w:r>
          </w:p>
        </w:tc>
        <w:tc>
          <w:tcPr>
            <w:tcW w:w="10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ind w:left="740"/>
              <w:spacing w:after="0" w:line="134" w:lineRule="exact"/>
              <w:rPr>
                <w:sz w:val="20"/>
                <w:szCs w:val="20"/>
                <w:color w:val="auto"/>
              </w:rPr>
            </w:pPr>
            <w:r>
              <w:rPr>
                <w:rFonts w:ascii="Arial" w:cs="Arial" w:eastAsia="Arial" w:hAnsi="Arial"/>
                <w:sz w:val="13"/>
                <w:szCs w:val="13"/>
                <w:b w:val="1"/>
                <w:bCs w:val="1"/>
                <w:color w:val="auto"/>
              </w:rPr>
              <w:t>% Variance</w:t>
            </w:r>
          </w:p>
        </w:tc>
        <w:tc>
          <w:tcPr>
            <w:tcW w:w="10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6"/>
                <w:szCs w:val="16"/>
                <w:b w:val="1"/>
                <w:bCs w:val="1"/>
                <w:color w:val="auto"/>
                <w:vertAlign w:val="superscript"/>
              </w:rPr>
              <w:t>(a)</w:t>
            </w:r>
          </w:p>
        </w:tc>
        <w:tc>
          <w:tcPr>
            <w:tcW w:w="100" w:type="dxa"/>
            <w:vAlign w:val="bottom"/>
            <w:vMerge w:val="restart"/>
          </w:tcPr>
          <w:p>
            <w:pPr>
              <w:spacing w:after="0"/>
              <w:rPr>
                <w:sz w:val="10"/>
                <w:szCs w:val="10"/>
                <w:color w:val="auto"/>
              </w:rPr>
            </w:pPr>
          </w:p>
        </w:tc>
        <w:tc>
          <w:tcPr>
            <w:tcW w:w="420" w:type="dxa"/>
            <w:vAlign w:val="bottom"/>
            <w:gridSpan w:val="2"/>
            <w:vMerge w:val="restart"/>
          </w:tcPr>
          <w:p>
            <w:pPr>
              <w:spacing w:after="0"/>
              <w:rPr>
                <w:sz w:val="10"/>
                <w:szCs w:val="10"/>
                <w:color w:val="auto"/>
              </w:rPr>
            </w:pPr>
          </w:p>
        </w:tc>
        <w:tc>
          <w:tcPr>
            <w:tcW w:w="1500" w:type="dxa"/>
            <w:vAlign w:val="bottom"/>
            <w:gridSpan w:val="3"/>
          </w:tcPr>
          <w:p>
            <w:pPr>
              <w:jc w:val="center"/>
              <w:ind w:right="860"/>
              <w:spacing w:after="0" w:line="126" w:lineRule="exact"/>
              <w:rPr>
                <w:sz w:val="20"/>
                <w:szCs w:val="20"/>
                <w:color w:val="auto"/>
              </w:rPr>
            </w:pPr>
            <w:r>
              <w:rPr>
                <w:rFonts w:ascii="Arial" w:cs="Arial" w:eastAsia="Arial" w:hAnsi="Arial"/>
                <w:sz w:val="13"/>
                <w:szCs w:val="13"/>
                <w:b w:val="1"/>
                <w:bCs w:val="1"/>
                <w:color w:val="auto"/>
                <w:w w:val="97"/>
              </w:rPr>
              <w:t>Amount</w:t>
            </w:r>
          </w:p>
        </w:tc>
        <w:tc>
          <w:tcPr>
            <w:tcW w:w="1000" w:type="dxa"/>
            <w:vAlign w:val="bottom"/>
          </w:tcPr>
          <w:p>
            <w:pPr>
              <w:ind w:left="60"/>
              <w:spacing w:after="0" w:line="126" w:lineRule="exact"/>
              <w:rPr>
                <w:sz w:val="20"/>
                <w:szCs w:val="20"/>
                <w:color w:val="auto"/>
              </w:rPr>
            </w:pPr>
            <w:r>
              <w:rPr>
                <w:rFonts w:ascii="Arial" w:cs="Arial" w:eastAsia="Arial" w:hAnsi="Arial"/>
                <w:sz w:val="13"/>
                <w:szCs w:val="13"/>
                <w:b w:val="1"/>
                <w:bCs w:val="1"/>
                <w:color w:val="auto"/>
              </w:rPr>
              <w:t>Constant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20" w:type="dxa"/>
            <w:vAlign w:val="bottom"/>
            <w:tcBorders>
              <w:bottom w:val="single" w:sz="8" w:color="auto"/>
            </w:tcBorders>
            <w:gridSpan w:val="2"/>
            <w:vMerge w:val="continue"/>
          </w:tcPr>
          <w:p>
            <w:pPr>
              <w:spacing w:after="0"/>
              <w:rPr>
                <w:sz w:val="13"/>
                <w:szCs w:val="13"/>
                <w:color w:val="auto"/>
              </w:rPr>
            </w:pPr>
          </w:p>
        </w:tc>
        <w:tc>
          <w:tcPr>
            <w:tcW w:w="960" w:type="dxa"/>
            <w:vAlign w:val="bottom"/>
            <w:tcBorders>
              <w:bottom w:val="single" w:sz="8" w:color="auto"/>
            </w:tcBorders>
          </w:tcPr>
          <w:p>
            <w:pPr>
              <w:jc w:val="center"/>
              <w:ind w:right="250"/>
              <w:spacing w:after="0"/>
              <w:rPr>
                <w:sz w:val="20"/>
                <w:szCs w:val="20"/>
                <w:color w:val="auto"/>
              </w:rPr>
            </w:pPr>
            <w:r>
              <w:rPr>
                <w:rFonts w:ascii="Arial" w:cs="Arial" w:eastAsia="Arial" w:hAnsi="Arial"/>
                <w:sz w:val="13"/>
                <w:szCs w:val="13"/>
                <w:b w:val="1"/>
                <w:bCs w:val="1"/>
                <w:color w:val="auto"/>
                <w:w w:val="98"/>
              </w:rPr>
              <w:t>Reported</w:t>
            </w: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Currency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4"/>
          </w:tcPr>
          <w:p>
            <w:pPr>
              <w:jc w:val="center"/>
              <w:ind w:left="730"/>
              <w:spacing w:after="0" w:line="134" w:lineRule="exact"/>
              <w:rPr>
                <w:sz w:val="20"/>
                <w:szCs w:val="20"/>
                <w:color w:val="auto"/>
              </w:rPr>
            </w:pPr>
            <w:r>
              <w:rPr>
                <w:rFonts w:ascii="Arial" w:cs="Arial" w:eastAsia="Arial" w:hAnsi="Arial"/>
                <w:sz w:val="13"/>
                <w:szCs w:val="13"/>
                <w:color w:val="auto"/>
                <w:w w:val="97"/>
              </w:rPr>
              <w:t>(Unaudited)</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920" w:type="dxa"/>
            <w:vAlign w:val="bottom"/>
            <w:shd w:val="clear" w:color="auto" w:fill="E2E8F1"/>
          </w:tcPr>
          <w:p>
            <w:pPr>
              <w:ind w:left="40"/>
              <w:spacing w:after="0"/>
              <w:rPr>
                <w:sz w:val="20"/>
                <w:szCs w:val="20"/>
                <w:color w:val="auto"/>
              </w:rPr>
            </w:pPr>
            <w:r>
              <w:rPr>
                <w:rFonts w:ascii="Arial" w:cs="Arial" w:eastAsia="Arial" w:hAnsi="Arial"/>
                <w:sz w:val="14"/>
                <w:szCs w:val="14"/>
                <w:color w:val="auto"/>
              </w:rPr>
              <w:t>Revenues from Services:</w:t>
            </w:r>
          </w:p>
        </w:tc>
        <w:tc>
          <w:tcPr>
            <w:tcW w:w="14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102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9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20" w:type="dxa"/>
            <w:vAlign w:val="bottom"/>
          </w:tcPr>
          <w:p>
            <w:pPr>
              <w:ind w:left="180"/>
              <w:spacing w:after="0"/>
              <w:rPr>
                <w:sz w:val="20"/>
                <w:szCs w:val="20"/>
                <w:color w:val="auto"/>
              </w:rPr>
            </w:pPr>
            <w:r>
              <w:rPr>
                <w:rFonts w:ascii="Arial" w:cs="Arial" w:eastAsia="Arial" w:hAnsi="Arial"/>
                <w:sz w:val="14"/>
                <w:szCs w:val="14"/>
                <w:color w:val="auto"/>
              </w:rPr>
              <w:t>Americas:</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20" w:type="dxa"/>
            <w:vAlign w:val="bottom"/>
            <w:shd w:val="clear" w:color="auto" w:fill="E2E8F1"/>
          </w:tcPr>
          <w:p>
            <w:pPr>
              <w:ind w:left="380"/>
              <w:spacing w:after="0" w:line="165" w:lineRule="exact"/>
              <w:rPr>
                <w:sz w:val="20"/>
                <w:szCs w:val="20"/>
                <w:color w:val="auto"/>
              </w:rPr>
            </w:pPr>
            <w:r>
              <w:rPr>
                <w:rFonts w:ascii="Arial" w:cs="Arial" w:eastAsia="Arial" w:hAnsi="Arial"/>
                <w:sz w:val="14"/>
                <w:szCs w:val="14"/>
                <w:color w:val="auto"/>
              </w:rPr>
              <w:t xml:space="preserve">United States </w:t>
            </w:r>
            <w:r>
              <w:rPr>
                <w:rFonts w:ascii="Arial" w:cs="Arial" w:eastAsia="Arial" w:hAnsi="Arial"/>
                <w:sz w:val="19"/>
                <w:szCs w:val="19"/>
                <w:color w:val="auto"/>
                <w:vertAlign w:val="superscript"/>
              </w:rPr>
              <w:t>(b)</w:t>
            </w:r>
          </w:p>
        </w:tc>
        <w:tc>
          <w:tcPr>
            <w:tcW w:w="1760" w:type="dxa"/>
            <w:vAlign w:val="bottom"/>
            <w:gridSpan w:val="2"/>
            <w:shd w:val="clear" w:color="auto" w:fill="E2E8F1"/>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690.8</w:t>
            </w:r>
          </w:p>
        </w:tc>
        <w:tc>
          <w:tcPr>
            <w:tcW w:w="120" w:type="dxa"/>
            <w:vAlign w:val="bottom"/>
            <w:shd w:val="clear" w:color="auto" w:fill="E2E8F1"/>
          </w:tcPr>
          <w:p>
            <w:pPr>
              <w:spacing w:after="0"/>
              <w:rPr>
                <w:sz w:val="14"/>
                <w:szCs w:val="14"/>
                <w:color w:val="auto"/>
              </w:rPr>
            </w:pPr>
          </w:p>
        </w:tc>
        <w:tc>
          <w:tcPr>
            <w:tcW w:w="340" w:type="dxa"/>
            <w:vAlign w:val="bottom"/>
            <w:gridSpan w:val="2"/>
            <w:shd w:val="clear" w:color="auto" w:fill="E2E8F1"/>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697.4</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-0.9%</w:t>
            </w:r>
          </w:p>
        </w:tc>
        <w:tc>
          <w:tcPr>
            <w:tcW w:w="400" w:type="dxa"/>
            <w:vAlign w:val="bottom"/>
            <w:shd w:val="clear" w:color="auto" w:fill="E2E8F1"/>
          </w:tcPr>
          <w:p>
            <w:pPr>
              <w:spacing w:after="0"/>
              <w:rPr>
                <w:sz w:val="14"/>
                <w:szCs w:val="14"/>
                <w:color w:val="auto"/>
              </w:rPr>
            </w:pPr>
          </w:p>
        </w:tc>
        <w:tc>
          <w:tcPr>
            <w:tcW w:w="114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6"/>
        </w:trPr>
        <w:tc>
          <w:tcPr>
            <w:tcW w:w="3920" w:type="dxa"/>
            <w:vAlign w:val="bottom"/>
          </w:tcPr>
          <w:p>
            <w:pPr>
              <w:ind w:left="380"/>
              <w:spacing w:after="0"/>
              <w:rPr>
                <w:sz w:val="20"/>
                <w:szCs w:val="20"/>
                <w:color w:val="auto"/>
              </w:rPr>
            </w:pPr>
            <w:r>
              <w:rPr>
                <w:rFonts w:ascii="Arial" w:cs="Arial" w:eastAsia="Arial" w:hAnsi="Arial"/>
                <w:sz w:val="14"/>
                <w:szCs w:val="14"/>
                <w:color w:val="auto"/>
              </w:rPr>
              <w:t>Other Americas</w:t>
            </w:r>
          </w:p>
        </w:tc>
        <w:tc>
          <w:tcPr>
            <w:tcW w:w="1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15.5%</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57"/>
        </w:trPr>
        <w:tc>
          <w:tcPr>
            <w:tcW w:w="3920" w:type="dxa"/>
            <w:vAlign w:val="bottom"/>
            <w:tcBorders>
              <w:bottom w:val="single" w:sz="8" w:color="E2E8F1"/>
            </w:tcBorders>
            <w:shd w:val="clear" w:color="auto" w:fill="E2E8F1"/>
          </w:tcPr>
          <w:p>
            <w:pPr>
              <w:spacing w:after="0"/>
              <w:rPr>
                <w:sz w:val="13"/>
                <w:szCs w:val="13"/>
                <w:color w:val="auto"/>
              </w:rPr>
            </w:pPr>
          </w:p>
        </w:tc>
        <w:tc>
          <w:tcPr>
            <w:tcW w:w="148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9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1,098.7</w:t>
            </w:r>
          </w:p>
        </w:tc>
        <w:tc>
          <w:tcPr>
            <w:tcW w:w="12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200" w:type="dxa"/>
            <w:vAlign w:val="bottom"/>
            <w:tcBorders>
              <w:bottom w:val="single" w:sz="8" w:color="auto"/>
            </w:tcBorders>
            <w:shd w:val="clear" w:color="auto" w:fill="E2E8F1"/>
          </w:tcPr>
          <w:p>
            <w:pPr>
              <w:spacing w:after="0"/>
              <w:rPr>
                <w:sz w:val="13"/>
                <w:szCs w:val="13"/>
                <w:color w:val="auto"/>
              </w:rPr>
            </w:pPr>
          </w:p>
        </w:tc>
        <w:tc>
          <w:tcPr>
            <w:tcW w:w="10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1,050.5</w:t>
            </w:r>
          </w:p>
        </w:tc>
        <w:tc>
          <w:tcPr>
            <w:tcW w:w="10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320" w:type="dxa"/>
            <w:vAlign w:val="bottom"/>
            <w:tcBorders>
              <w:bottom w:val="single" w:sz="8" w:color="E2E8F1"/>
            </w:tcBorders>
            <w:shd w:val="clear" w:color="auto" w:fill="E2E8F1"/>
          </w:tcPr>
          <w:p>
            <w:pPr>
              <w:spacing w:after="0"/>
              <w:rPr>
                <w:sz w:val="13"/>
                <w:szCs w:val="13"/>
                <w:color w:val="auto"/>
              </w:rPr>
            </w:pPr>
          </w:p>
        </w:tc>
        <w:tc>
          <w:tcPr>
            <w:tcW w:w="110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4.6%</w:t>
            </w:r>
          </w:p>
        </w:tc>
        <w:tc>
          <w:tcPr>
            <w:tcW w:w="400" w:type="dxa"/>
            <w:vAlign w:val="bottom"/>
            <w:tcBorders>
              <w:bottom w:val="single" w:sz="8" w:color="E2E8F1"/>
            </w:tcBorders>
            <w:shd w:val="clear" w:color="auto" w:fill="E2E8F1"/>
          </w:tcPr>
          <w:p>
            <w:pPr>
              <w:spacing w:after="0"/>
              <w:rPr>
                <w:sz w:val="13"/>
                <w:szCs w:val="13"/>
                <w:color w:val="auto"/>
              </w:rPr>
            </w:pPr>
          </w:p>
        </w:tc>
        <w:tc>
          <w:tcPr>
            <w:tcW w:w="114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57"/>
        </w:trPr>
        <w:tc>
          <w:tcPr>
            <w:tcW w:w="3920" w:type="dxa"/>
            <w:vAlign w:val="bottom"/>
          </w:tcPr>
          <w:p>
            <w:pPr>
              <w:ind w:left="180"/>
              <w:spacing w:after="0" w:line="157" w:lineRule="exact"/>
              <w:rPr>
                <w:sz w:val="20"/>
                <w:szCs w:val="20"/>
                <w:color w:val="auto"/>
              </w:rPr>
            </w:pPr>
            <w:r>
              <w:rPr>
                <w:rFonts w:ascii="Arial" w:cs="Arial" w:eastAsia="Arial" w:hAnsi="Arial"/>
                <w:sz w:val="14"/>
                <w:szCs w:val="14"/>
                <w:color w:val="auto"/>
              </w:rPr>
              <w:t>Southern Europe:</w:t>
            </w: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20" w:type="dxa"/>
            <w:vAlign w:val="bottom"/>
            <w:shd w:val="clear" w:color="auto" w:fill="E2E8F1"/>
          </w:tcPr>
          <w:p>
            <w:pPr>
              <w:ind w:left="380"/>
              <w:spacing w:after="0"/>
              <w:rPr>
                <w:sz w:val="20"/>
                <w:szCs w:val="20"/>
                <w:color w:val="auto"/>
              </w:rPr>
            </w:pPr>
            <w:r>
              <w:rPr>
                <w:rFonts w:ascii="Arial" w:cs="Arial" w:eastAsia="Arial" w:hAnsi="Arial"/>
                <w:sz w:val="14"/>
                <w:szCs w:val="14"/>
                <w:color w:val="auto"/>
              </w:rPr>
              <w:t>France</w:t>
            </w:r>
          </w:p>
        </w:tc>
        <w:tc>
          <w:tcPr>
            <w:tcW w:w="14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1,173.5</w:t>
            </w: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10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1,156.8</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1.4%</w:t>
            </w:r>
          </w:p>
        </w:tc>
        <w:tc>
          <w:tcPr>
            <w:tcW w:w="400" w:type="dxa"/>
            <w:vAlign w:val="bottom"/>
            <w:shd w:val="clear" w:color="auto" w:fill="E2E8F1"/>
          </w:tcPr>
          <w:p>
            <w:pPr>
              <w:spacing w:after="0"/>
              <w:rPr>
                <w:sz w:val="14"/>
                <w:szCs w:val="14"/>
                <w:color w:val="auto"/>
              </w:rPr>
            </w:pPr>
          </w:p>
        </w:tc>
        <w:tc>
          <w:tcPr>
            <w:tcW w:w="114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6"/>
        </w:trPr>
        <w:tc>
          <w:tcPr>
            <w:tcW w:w="3920" w:type="dxa"/>
            <w:vAlign w:val="bottom"/>
          </w:tcPr>
          <w:p>
            <w:pPr>
              <w:ind w:left="380"/>
              <w:spacing w:after="0"/>
              <w:rPr>
                <w:sz w:val="20"/>
                <w:szCs w:val="20"/>
                <w:color w:val="auto"/>
              </w:rPr>
            </w:pPr>
            <w:r>
              <w:rPr>
                <w:rFonts w:ascii="Arial" w:cs="Arial" w:eastAsia="Arial" w:hAnsi="Arial"/>
                <w:sz w:val="14"/>
                <w:szCs w:val="14"/>
                <w:color w:val="auto"/>
              </w:rPr>
              <w:t>Italy</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10.3%</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6"/>
        </w:trPr>
        <w:tc>
          <w:tcPr>
            <w:tcW w:w="3920" w:type="dxa"/>
            <w:vAlign w:val="bottom"/>
            <w:tcBorders>
              <w:bottom w:val="single" w:sz="8" w:color="E2E8F1"/>
            </w:tcBorders>
            <w:shd w:val="clear" w:color="auto" w:fill="E2E8F1"/>
          </w:tcPr>
          <w:p>
            <w:pPr>
              <w:ind w:left="380"/>
              <w:spacing w:after="0"/>
              <w:rPr>
                <w:sz w:val="20"/>
                <w:szCs w:val="20"/>
                <w:color w:val="auto"/>
              </w:rPr>
            </w:pPr>
            <w:r>
              <w:rPr>
                <w:rFonts w:ascii="Arial" w:cs="Arial" w:eastAsia="Arial" w:hAnsi="Arial"/>
                <w:sz w:val="14"/>
                <w:szCs w:val="14"/>
                <w:color w:val="auto"/>
              </w:rPr>
              <w:t>Other Southern Europe</w:t>
            </w:r>
          </w:p>
        </w:tc>
        <w:tc>
          <w:tcPr>
            <w:tcW w:w="148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9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569.5</w:t>
            </w:r>
          </w:p>
        </w:tc>
        <w:tc>
          <w:tcPr>
            <w:tcW w:w="12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auto"/>
            </w:tcBorders>
            <w:shd w:val="clear" w:color="auto" w:fill="E2E8F1"/>
          </w:tcPr>
          <w:p>
            <w:pPr>
              <w:spacing w:after="0"/>
              <w:rPr>
                <w:sz w:val="14"/>
                <w:szCs w:val="14"/>
                <w:color w:val="auto"/>
              </w:rPr>
            </w:pPr>
          </w:p>
        </w:tc>
        <w:tc>
          <w:tcPr>
            <w:tcW w:w="10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519.7</w:t>
            </w:r>
          </w:p>
        </w:tc>
        <w:tc>
          <w:tcPr>
            <w:tcW w:w="1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E2E8F1"/>
            </w:tcBorders>
            <w:shd w:val="clear" w:color="auto" w:fill="E2E8F1"/>
          </w:tcPr>
          <w:p>
            <w:pPr>
              <w:spacing w:after="0"/>
              <w:rPr>
                <w:sz w:val="14"/>
                <w:szCs w:val="14"/>
                <w:color w:val="auto"/>
              </w:rPr>
            </w:pPr>
          </w:p>
        </w:tc>
        <w:tc>
          <w:tcPr>
            <w:tcW w:w="320" w:type="dxa"/>
            <w:vAlign w:val="bottom"/>
            <w:tcBorders>
              <w:bottom w:val="single" w:sz="8" w:color="E2E8F1"/>
            </w:tcBorders>
            <w:shd w:val="clear" w:color="auto" w:fill="E2E8F1"/>
          </w:tcPr>
          <w:p>
            <w:pPr>
              <w:spacing w:after="0"/>
              <w:rPr>
                <w:sz w:val="14"/>
                <w:szCs w:val="14"/>
                <w:color w:val="auto"/>
              </w:rPr>
            </w:pPr>
          </w:p>
        </w:tc>
        <w:tc>
          <w:tcPr>
            <w:tcW w:w="110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9.6%</w:t>
            </w:r>
          </w:p>
        </w:tc>
        <w:tc>
          <w:tcPr>
            <w:tcW w:w="400" w:type="dxa"/>
            <w:vAlign w:val="bottom"/>
            <w:tcBorders>
              <w:bottom w:val="single" w:sz="8" w:color="E2E8F1"/>
            </w:tcBorders>
            <w:shd w:val="clear" w:color="auto" w:fill="E2E8F1"/>
          </w:tcPr>
          <w:p>
            <w:pPr>
              <w:spacing w:after="0"/>
              <w:rPr>
                <w:sz w:val="14"/>
                <w:szCs w:val="14"/>
                <w:color w:val="auto"/>
              </w:rPr>
            </w:pPr>
          </w:p>
        </w:tc>
        <w:tc>
          <w:tcPr>
            <w:tcW w:w="114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7"/>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2,205.5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2,095.6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5.2%</w:t>
            </w:r>
          </w:p>
        </w:tc>
        <w:tc>
          <w:tcPr>
            <w:tcW w:w="400" w:type="dxa"/>
            <w:vAlign w:val="bottom"/>
          </w:tcPr>
          <w:p>
            <w:pPr>
              <w:spacing w:after="0"/>
              <w:rPr>
                <w:sz w:val="13"/>
                <w:szCs w:val="13"/>
                <w:color w:val="auto"/>
              </w:rPr>
            </w:pP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7"/>
        </w:trPr>
        <w:tc>
          <w:tcPr>
            <w:tcW w:w="3920" w:type="dxa"/>
            <w:vAlign w:val="bottom"/>
            <w:shd w:val="clear" w:color="auto" w:fill="E2E8F1"/>
          </w:tcPr>
          <w:p>
            <w:pPr>
              <w:ind w:left="180"/>
              <w:spacing w:after="0" w:line="157" w:lineRule="exact"/>
              <w:rPr>
                <w:sz w:val="20"/>
                <w:szCs w:val="20"/>
                <w:color w:val="auto"/>
              </w:rPr>
            </w:pPr>
            <w:r>
              <w:rPr>
                <w:rFonts w:ascii="Arial" w:cs="Arial" w:eastAsia="Arial" w:hAnsi="Arial"/>
                <w:sz w:val="14"/>
                <w:szCs w:val="14"/>
                <w:color w:val="auto"/>
              </w:rPr>
              <w:t>Northern Europe</w:t>
            </w:r>
          </w:p>
        </w:tc>
        <w:tc>
          <w:tcPr>
            <w:tcW w:w="148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816.8</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10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828.3</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-1.4%</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66"/>
        </w:trPr>
        <w:tc>
          <w:tcPr>
            <w:tcW w:w="3920" w:type="dxa"/>
            <w:vAlign w:val="bottom"/>
          </w:tcPr>
          <w:p>
            <w:pPr>
              <w:ind w:left="180"/>
              <w:spacing w:after="0"/>
              <w:rPr>
                <w:sz w:val="20"/>
                <w:szCs w:val="20"/>
                <w:color w:val="auto"/>
              </w:rPr>
            </w:pPr>
            <w:r>
              <w:rPr>
                <w:rFonts w:ascii="Arial" w:cs="Arial" w:eastAsia="Arial" w:hAnsi="Arial"/>
                <w:sz w:val="14"/>
                <w:szCs w:val="14"/>
                <w:color w:val="auto"/>
              </w:rPr>
              <w:t>APME</w:t>
            </w:r>
          </w:p>
        </w:tc>
        <w:tc>
          <w:tcPr>
            <w:tcW w:w="1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-7.5%</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57"/>
        </w:trPr>
        <w:tc>
          <w:tcPr>
            <w:tcW w:w="3920" w:type="dxa"/>
            <w:vAlign w:val="bottom"/>
            <w:tcBorders>
              <w:bottom w:val="single" w:sz="8" w:color="E2E8F1"/>
            </w:tcBorders>
            <w:shd w:val="clear" w:color="auto" w:fill="E2E8F1"/>
          </w:tcPr>
          <w:p>
            <w:pPr>
              <w:spacing w:after="0"/>
              <w:rPr>
                <w:sz w:val="13"/>
                <w:szCs w:val="13"/>
                <w:color w:val="auto"/>
              </w:rPr>
            </w:pPr>
          </w:p>
        </w:tc>
        <w:tc>
          <w:tcPr>
            <w:tcW w:w="148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9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4,641.5</w:t>
            </w:r>
          </w:p>
        </w:tc>
        <w:tc>
          <w:tcPr>
            <w:tcW w:w="12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200" w:type="dxa"/>
            <w:vAlign w:val="bottom"/>
            <w:tcBorders>
              <w:bottom w:val="single" w:sz="8" w:color="auto"/>
            </w:tcBorders>
            <w:shd w:val="clear" w:color="auto" w:fill="E2E8F1"/>
          </w:tcPr>
          <w:p>
            <w:pPr>
              <w:spacing w:after="0"/>
              <w:rPr>
                <w:sz w:val="13"/>
                <w:szCs w:val="13"/>
                <w:color w:val="auto"/>
              </w:rPr>
            </w:pPr>
          </w:p>
        </w:tc>
        <w:tc>
          <w:tcPr>
            <w:tcW w:w="10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4,537.2</w:t>
            </w:r>
          </w:p>
        </w:tc>
        <w:tc>
          <w:tcPr>
            <w:tcW w:w="10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320" w:type="dxa"/>
            <w:vAlign w:val="bottom"/>
            <w:tcBorders>
              <w:bottom w:val="single" w:sz="8" w:color="E2E8F1"/>
            </w:tcBorders>
            <w:shd w:val="clear" w:color="auto" w:fill="E2E8F1"/>
          </w:tcPr>
          <w:p>
            <w:pPr>
              <w:spacing w:after="0"/>
              <w:rPr>
                <w:sz w:val="13"/>
                <w:szCs w:val="13"/>
                <w:color w:val="auto"/>
              </w:rPr>
            </w:pPr>
          </w:p>
        </w:tc>
        <w:tc>
          <w:tcPr>
            <w:tcW w:w="96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400" w:type="dxa"/>
            <w:vAlign w:val="bottom"/>
            <w:tcBorders>
              <w:bottom w:val="single" w:sz="8" w:color="E2E8F1"/>
            </w:tcBorders>
            <w:shd w:val="clear" w:color="auto" w:fill="E2E8F1"/>
          </w:tcPr>
          <w:p>
            <w:pPr>
              <w:spacing w:after="0"/>
              <w:rPr>
                <w:sz w:val="13"/>
                <w:szCs w:val="13"/>
                <w:color w:val="auto"/>
              </w:rPr>
            </w:pPr>
          </w:p>
        </w:tc>
        <w:tc>
          <w:tcPr>
            <w:tcW w:w="100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20" w:type="dxa"/>
            <w:vAlign w:val="bottom"/>
          </w:tcPr>
          <w:p>
            <w:pPr>
              <w:ind w:left="180"/>
              <w:spacing w:after="0" w:line="157" w:lineRule="exact"/>
              <w:rPr>
                <w:sz w:val="20"/>
                <w:szCs w:val="20"/>
                <w:color w:val="auto"/>
              </w:rPr>
            </w:pPr>
            <w:r>
              <w:rPr>
                <w:rFonts w:ascii="Arial" w:cs="Arial" w:eastAsia="Arial" w:hAnsi="Arial"/>
                <w:sz w:val="14"/>
                <w:szCs w:val="14"/>
                <w:color w:val="auto"/>
              </w:rPr>
              <w:t>Intercompany Eliminations</w:t>
            </w: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(7.1)</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(7.0)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shd w:val="clear" w:color="auto" w:fill="E2E8F1"/>
          </w:tcPr>
          <w:p>
            <w:pPr>
              <w:spacing w:after="0"/>
              <w:rPr>
                <w:sz w:val="17"/>
                <w:szCs w:val="17"/>
                <w:color w:val="auto"/>
              </w:rPr>
            </w:pPr>
          </w:p>
        </w:tc>
        <w:tc>
          <w:tcPr>
            <w:tcW w:w="1760" w:type="dxa"/>
            <w:vAlign w:val="bottom"/>
            <w:gridSpan w:val="2"/>
            <w:shd w:val="clear" w:color="auto" w:fill="E2E8F1"/>
          </w:tcPr>
          <w:p>
            <w:pPr>
              <w:jc w:val="right"/>
              <w:ind w:right="200"/>
              <w:spacing w:after="0" w:line="146" w:lineRule="exact"/>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spacing w:after="0" w:line="146" w:lineRule="exact"/>
              <w:rPr>
                <w:sz w:val="20"/>
                <w:szCs w:val="20"/>
                <w:color w:val="auto"/>
              </w:rPr>
            </w:pPr>
            <w:r>
              <w:rPr>
                <w:rFonts w:ascii="Arial" w:cs="Arial" w:eastAsia="Arial" w:hAnsi="Arial"/>
                <w:sz w:val="14"/>
                <w:szCs w:val="14"/>
                <w:color w:val="auto"/>
              </w:rPr>
              <w:t>4,634.4</w:t>
            </w:r>
          </w:p>
        </w:tc>
        <w:tc>
          <w:tcPr>
            <w:tcW w:w="120" w:type="dxa"/>
            <w:vAlign w:val="bottom"/>
            <w:shd w:val="clear" w:color="auto" w:fill="E2E8F1"/>
          </w:tcPr>
          <w:p>
            <w:pPr>
              <w:spacing w:after="0"/>
              <w:rPr>
                <w:sz w:val="17"/>
                <w:szCs w:val="17"/>
                <w:color w:val="auto"/>
              </w:rPr>
            </w:pPr>
          </w:p>
        </w:tc>
        <w:tc>
          <w:tcPr>
            <w:tcW w:w="340" w:type="dxa"/>
            <w:vAlign w:val="bottom"/>
            <w:gridSpan w:val="2"/>
            <w:shd w:val="clear" w:color="auto" w:fill="E2E8F1"/>
          </w:tcPr>
          <w:p>
            <w:pPr>
              <w:jc w:val="right"/>
              <w:ind w:right="120"/>
              <w:spacing w:after="0" w:line="146" w:lineRule="exact"/>
              <w:rPr>
                <w:sz w:val="20"/>
                <w:szCs w:val="20"/>
                <w:color w:val="auto"/>
              </w:rPr>
            </w:pPr>
            <w:r>
              <w:rPr>
                <w:rFonts w:ascii="Arial" w:cs="Arial" w:eastAsia="Arial" w:hAnsi="Arial"/>
                <w:sz w:val="14"/>
                <w:szCs w:val="14"/>
                <w:color w:val="auto"/>
              </w:rPr>
              <w:t>$</w:t>
            </w:r>
          </w:p>
        </w:tc>
        <w:tc>
          <w:tcPr>
            <w:tcW w:w="1020" w:type="dxa"/>
            <w:vAlign w:val="bottom"/>
            <w:shd w:val="clear" w:color="auto" w:fill="E2E8F1"/>
          </w:tcPr>
          <w:p>
            <w:pPr>
              <w:jc w:val="right"/>
              <w:spacing w:after="0" w:line="146" w:lineRule="exact"/>
              <w:rPr>
                <w:sz w:val="20"/>
                <w:szCs w:val="20"/>
                <w:color w:val="auto"/>
              </w:rPr>
            </w:pPr>
            <w:r>
              <w:rPr>
                <w:rFonts w:ascii="Arial" w:cs="Arial" w:eastAsia="Arial" w:hAnsi="Arial"/>
                <w:sz w:val="14"/>
                <w:szCs w:val="14"/>
                <w:color w:val="auto"/>
              </w:rPr>
              <w:t>4,530.2</w:t>
            </w:r>
          </w:p>
        </w:tc>
        <w:tc>
          <w:tcPr>
            <w:tcW w:w="10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32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2.3%</w:t>
            </w:r>
          </w:p>
        </w:tc>
        <w:tc>
          <w:tcPr>
            <w:tcW w:w="400" w:type="dxa"/>
            <w:vAlign w:val="bottom"/>
            <w:shd w:val="clear" w:color="auto" w:fill="E2E8F1"/>
          </w:tcPr>
          <w:p>
            <w:pPr>
              <w:spacing w:after="0"/>
              <w:rPr>
                <w:sz w:val="17"/>
                <w:szCs w:val="17"/>
                <w:color w:val="auto"/>
              </w:rPr>
            </w:pPr>
          </w:p>
        </w:tc>
        <w:tc>
          <w:tcPr>
            <w:tcW w:w="1140" w:type="dxa"/>
            <w:vAlign w:val="bottom"/>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1"/>
        </w:trPr>
        <w:tc>
          <w:tcPr>
            <w:tcW w:w="3920" w:type="dxa"/>
            <w:vAlign w:val="bottom"/>
            <w:tcBorders>
              <w:top w:val="single" w:sz="8" w:color="E2E8F1"/>
            </w:tcBorders>
          </w:tcPr>
          <w:p>
            <w:pPr>
              <w:ind w:left="40"/>
              <w:spacing w:after="0" w:line="141" w:lineRule="exact"/>
              <w:rPr>
                <w:sz w:val="20"/>
                <w:szCs w:val="20"/>
                <w:color w:val="auto"/>
              </w:rPr>
            </w:pPr>
            <w:r>
              <w:rPr>
                <w:rFonts w:ascii="Arial" w:cs="Arial" w:eastAsia="Arial" w:hAnsi="Arial"/>
                <w:sz w:val="14"/>
                <w:szCs w:val="14"/>
                <w:color w:val="auto"/>
              </w:rPr>
              <w:t>Operating Unit Profit (Loss):</w:t>
            </w:r>
          </w:p>
        </w:tc>
        <w:tc>
          <w:tcPr>
            <w:tcW w:w="1480" w:type="dxa"/>
            <w:vAlign w:val="bottom"/>
            <w:tcBorders>
              <w:top w:val="single" w:sz="8" w:color="E2E8F1"/>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E2E8F1"/>
            </w:tcBorders>
          </w:tcPr>
          <w:p>
            <w:pPr>
              <w:spacing w:after="0"/>
              <w:rPr>
                <w:sz w:val="12"/>
                <w:szCs w:val="12"/>
                <w:color w:val="auto"/>
              </w:rPr>
            </w:pPr>
          </w:p>
        </w:tc>
        <w:tc>
          <w:tcPr>
            <w:tcW w:w="140" w:type="dxa"/>
            <w:vAlign w:val="bottom"/>
            <w:tcBorders>
              <w:top w:val="single" w:sz="8" w:color="E2E8F1"/>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320" w:type="dxa"/>
            <w:vAlign w:val="bottom"/>
            <w:tcBorders>
              <w:top w:val="single" w:sz="8" w:color="E2E8F1"/>
            </w:tcBorders>
          </w:tcPr>
          <w:p>
            <w:pPr>
              <w:spacing w:after="0"/>
              <w:rPr>
                <w:sz w:val="12"/>
                <w:szCs w:val="12"/>
                <w:color w:val="auto"/>
              </w:rPr>
            </w:pPr>
          </w:p>
        </w:tc>
        <w:tc>
          <w:tcPr>
            <w:tcW w:w="960" w:type="dxa"/>
            <w:vAlign w:val="bottom"/>
            <w:tcBorders>
              <w:top w:val="single" w:sz="8" w:color="E2E8F1"/>
            </w:tcBorders>
          </w:tcPr>
          <w:p>
            <w:pPr>
              <w:spacing w:after="0"/>
              <w:rPr>
                <w:sz w:val="12"/>
                <w:szCs w:val="12"/>
                <w:color w:val="auto"/>
              </w:rPr>
            </w:pPr>
          </w:p>
        </w:tc>
        <w:tc>
          <w:tcPr>
            <w:tcW w:w="140" w:type="dxa"/>
            <w:vAlign w:val="bottom"/>
            <w:tcBorders>
              <w:top w:val="single" w:sz="8" w:color="E2E8F1"/>
            </w:tcBorders>
          </w:tcPr>
          <w:p>
            <w:pPr>
              <w:spacing w:after="0"/>
              <w:rPr>
                <w:sz w:val="12"/>
                <w:szCs w:val="12"/>
                <w:color w:val="auto"/>
              </w:rPr>
            </w:pPr>
          </w:p>
        </w:tc>
        <w:tc>
          <w:tcPr>
            <w:tcW w:w="400" w:type="dxa"/>
            <w:vAlign w:val="bottom"/>
            <w:tcBorders>
              <w:top w:val="single" w:sz="8" w:color="E2E8F1"/>
            </w:tcBorders>
          </w:tcPr>
          <w:p>
            <w:pPr>
              <w:spacing w:after="0"/>
              <w:rPr>
                <w:sz w:val="12"/>
                <w:szCs w:val="12"/>
                <w:color w:val="auto"/>
              </w:rPr>
            </w:pPr>
          </w:p>
        </w:tc>
        <w:tc>
          <w:tcPr>
            <w:tcW w:w="1000" w:type="dxa"/>
            <w:vAlign w:val="bottom"/>
            <w:tcBorders>
              <w:top w:val="single" w:sz="8" w:color="E2E8F1"/>
            </w:tcBorders>
          </w:tcPr>
          <w:p>
            <w:pPr>
              <w:spacing w:after="0"/>
              <w:rPr>
                <w:sz w:val="12"/>
                <w:szCs w:val="12"/>
                <w:color w:val="auto"/>
              </w:rPr>
            </w:pPr>
          </w:p>
        </w:tc>
        <w:tc>
          <w:tcPr>
            <w:tcW w:w="140" w:type="dxa"/>
            <w:vAlign w:val="bottom"/>
            <w:tcBorders>
              <w:top w:val="single" w:sz="8" w:color="E2E8F1"/>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Americas:</w:t>
            </w:r>
          </w:p>
        </w:tc>
        <w:tc>
          <w:tcPr>
            <w:tcW w:w="14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102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9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20" w:type="dxa"/>
            <w:vAlign w:val="bottom"/>
          </w:tcPr>
          <w:p>
            <w:pPr>
              <w:ind w:left="380"/>
              <w:spacing w:after="0"/>
              <w:rPr>
                <w:sz w:val="20"/>
                <w:szCs w:val="20"/>
                <w:color w:val="auto"/>
              </w:rPr>
            </w:pPr>
            <w:r>
              <w:rPr>
                <w:rFonts w:ascii="Arial" w:cs="Arial" w:eastAsia="Arial" w:hAnsi="Arial"/>
                <w:sz w:val="14"/>
                <w:szCs w:val="14"/>
                <w:color w:val="auto"/>
              </w:rPr>
              <w:t>United States</w:t>
            </w: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-7.6%</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66"/>
        </w:trPr>
        <w:tc>
          <w:tcPr>
            <w:tcW w:w="3920" w:type="dxa"/>
            <w:vAlign w:val="bottom"/>
            <w:tcBorders>
              <w:bottom w:val="single" w:sz="8" w:color="E2E8F1"/>
            </w:tcBorders>
            <w:shd w:val="clear" w:color="auto" w:fill="E2E8F1"/>
          </w:tcPr>
          <w:p>
            <w:pPr>
              <w:ind w:left="380"/>
              <w:spacing w:after="0"/>
              <w:rPr>
                <w:sz w:val="20"/>
                <w:szCs w:val="20"/>
                <w:color w:val="auto"/>
              </w:rPr>
            </w:pPr>
            <w:r>
              <w:rPr>
                <w:rFonts w:ascii="Arial" w:cs="Arial" w:eastAsia="Arial" w:hAnsi="Arial"/>
                <w:sz w:val="14"/>
                <w:szCs w:val="14"/>
                <w:color w:val="auto"/>
              </w:rPr>
              <w:t>Other Americas</w:t>
            </w:r>
          </w:p>
        </w:tc>
        <w:tc>
          <w:tcPr>
            <w:tcW w:w="148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9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auto"/>
            </w:tcBorders>
            <w:shd w:val="clear" w:color="auto" w:fill="E2E8F1"/>
          </w:tcPr>
          <w:p>
            <w:pPr>
              <w:spacing w:after="0"/>
              <w:rPr>
                <w:sz w:val="14"/>
                <w:szCs w:val="14"/>
                <w:color w:val="auto"/>
              </w:rPr>
            </w:pPr>
          </w:p>
        </w:tc>
        <w:tc>
          <w:tcPr>
            <w:tcW w:w="10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E2E8F1"/>
            </w:tcBorders>
            <w:shd w:val="clear" w:color="auto" w:fill="E2E8F1"/>
          </w:tcPr>
          <w:p>
            <w:pPr>
              <w:spacing w:after="0"/>
              <w:rPr>
                <w:sz w:val="14"/>
                <w:szCs w:val="14"/>
                <w:color w:val="auto"/>
              </w:rPr>
            </w:pPr>
          </w:p>
        </w:tc>
        <w:tc>
          <w:tcPr>
            <w:tcW w:w="320" w:type="dxa"/>
            <w:vAlign w:val="bottom"/>
            <w:tcBorders>
              <w:bottom w:val="single" w:sz="8" w:color="E2E8F1"/>
            </w:tcBorders>
            <w:shd w:val="clear" w:color="auto" w:fill="E2E8F1"/>
          </w:tcPr>
          <w:p>
            <w:pPr>
              <w:spacing w:after="0"/>
              <w:rPr>
                <w:sz w:val="14"/>
                <w:szCs w:val="14"/>
                <w:color w:val="auto"/>
              </w:rPr>
            </w:pPr>
          </w:p>
        </w:tc>
        <w:tc>
          <w:tcPr>
            <w:tcW w:w="110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25.4%</w:t>
            </w:r>
          </w:p>
        </w:tc>
        <w:tc>
          <w:tcPr>
            <w:tcW w:w="400" w:type="dxa"/>
            <w:vAlign w:val="bottom"/>
            <w:tcBorders>
              <w:bottom w:val="single" w:sz="8" w:color="E2E8F1"/>
            </w:tcBorders>
            <w:shd w:val="clear" w:color="auto" w:fill="E2E8F1"/>
          </w:tcPr>
          <w:p>
            <w:pPr>
              <w:spacing w:after="0"/>
              <w:rPr>
                <w:sz w:val="14"/>
                <w:szCs w:val="14"/>
                <w:color w:val="auto"/>
              </w:rPr>
            </w:pPr>
          </w:p>
        </w:tc>
        <w:tc>
          <w:tcPr>
            <w:tcW w:w="114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57"/>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37.9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5.1%</w:t>
            </w:r>
          </w:p>
        </w:tc>
        <w:tc>
          <w:tcPr>
            <w:tcW w:w="400" w:type="dxa"/>
            <w:vAlign w:val="bottom"/>
          </w:tcPr>
          <w:p>
            <w:pPr>
              <w:spacing w:after="0"/>
              <w:rPr>
                <w:sz w:val="13"/>
                <w:szCs w:val="13"/>
                <w:color w:val="auto"/>
              </w:rPr>
            </w:pP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57"/>
        </w:trPr>
        <w:tc>
          <w:tcPr>
            <w:tcW w:w="3920" w:type="dxa"/>
            <w:vAlign w:val="bottom"/>
            <w:shd w:val="clear" w:color="auto" w:fill="E2E8F1"/>
          </w:tcPr>
          <w:p>
            <w:pPr>
              <w:ind w:left="180"/>
              <w:spacing w:after="0" w:line="157" w:lineRule="exact"/>
              <w:rPr>
                <w:sz w:val="20"/>
                <w:szCs w:val="20"/>
                <w:color w:val="auto"/>
              </w:rPr>
            </w:pPr>
            <w:r>
              <w:rPr>
                <w:rFonts w:ascii="Arial" w:cs="Arial" w:eastAsia="Arial" w:hAnsi="Arial"/>
                <w:sz w:val="14"/>
                <w:szCs w:val="14"/>
                <w:color w:val="auto"/>
              </w:rPr>
              <w:t>Southern Europe:</w:t>
            </w:r>
          </w:p>
        </w:tc>
        <w:tc>
          <w:tcPr>
            <w:tcW w:w="148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102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96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400" w:type="dxa"/>
            <w:vAlign w:val="bottom"/>
            <w:shd w:val="clear" w:color="auto" w:fill="E2E8F1"/>
          </w:tcPr>
          <w:p>
            <w:pPr>
              <w:spacing w:after="0"/>
              <w:rPr>
                <w:sz w:val="13"/>
                <w:szCs w:val="13"/>
                <w:color w:val="auto"/>
              </w:rPr>
            </w:pPr>
          </w:p>
        </w:tc>
        <w:tc>
          <w:tcPr>
            <w:tcW w:w="10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20" w:type="dxa"/>
            <w:vAlign w:val="bottom"/>
          </w:tcPr>
          <w:p>
            <w:pPr>
              <w:ind w:left="380"/>
              <w:spacing w:after="0"/>
              <w:rPr>
                <w:sz w:val="20"/>
                <w:szCs w:val="20"/>
                <w:color w:val="auto"/>
              </w:rPr>
            </w:pPr>
            <w:r>
              <w:rPr>
                <w:rFonts w:ascii="Arial" w:cs="Arial" w:eastAsia="Arial" w:hAnsi="Arial"/>
                <w:sz w:val="14"/>
                <w:szCs w:val="14"/>
                <w:color w:val="auto"/>
              </w:rPr>
              <w:t>France</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-25.6%</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66"/>
        </w:trPr>
        <w:tc>
          <w:tcPr>
            <w:tcW w:w="3920" w:type="dxa"/>
            <w:vAlign w:val="bottom"/>
            <w:shd w:val="clear" w:color="auto" w:fill="E2E8F1"/>
          </w:tcPr>
          <w:p>
            <w:pPr>
              <w:ind w:left="380"/>
              <w:spacing w:after="0"/>
              <w:rPr>
                <w:sz w:val="20"/>
                <w:szCs w:val="20"/>
                <w:color w:val="auto"/>
              </w:rPr>
            </w:pPr>
            <w:r>
              <w:rPr>
                <w:rFonts w:ascii="Arial" w:cs="Arial" w:eastAsia="Arial" w:hAnsi="Arial"/>
                <w:sz w:val="14"/>
                <w:szCs w:val="14"/>
                <w:color w:val="auto"/>
              </w:rPr>
              <w:t>Italy</w:t>
            </w:r>
          </w:p>
        </w:tc>
        <w:tc>
          <w:tcPr>
            <w:tcW w:w="14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10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-2.8%</w:t>
            </w:r>
          </w:p>
        </w:tc>
        <w:tc>
          <w:tcPr>
            <w:tcW w:w="400" w:type="dxa"/>
            <w:vAlign w:val="bottom"/>
            <w:shd w:val="clear" w:color="auto" w:fill="E2E8F1"/>
          </w:tcPr>
          <w:p>
            <w:pPr>
              <w:spacing w:after="0"/>
              <w:rPr>
                <w:sz w:val="14"/>
                <w:szCs w:val="14"/>
                <w:color w:val="auto"/>
              </w:rPr>
            </w:pPr>
          </w:p>
        </w:tc>
        <w:tc>
          <w:tcPr>
            <w:tcW w:w="114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66"/>
        </w:trPr>
        <w:tc>
          <w:tcPr>
            <w:tcW w:w="3920" w:type="dxa"/>
            <w:vAlign w:val="bottom"/>
          </w:tcPr>
          <w:p>
            <w:pPr>
              <w:ind w:left="380"/>
              <w:spacing w:after="0"/>
              <w:rPr>
                <w:sz w:val="20"/>
                <w:szCs w:val="20"/>
                <w:color w:val="auto"/>
              </w:rPr>
            </w:pPr>
            <w:r>
              <w:rPr>
                <w:rFonts w:ascii="Arial" w:cs="Arial" w:eastAsia="Arial" w:hAnsi="Arial"/>
                <w:sz w:val="14"/>
                <w:szCs w:val="14"/>
                <w:color w:val="auto"/>
              </w:rPr>
              <w:t>Other Southern Europe</w:t>
            </w:r>
          </w:p>
        </w:tc>
        <w:tc>
          <w:tcPr>
            <w:tcW w:w="1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15.1%</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57"/>
        </w:trPr>
        <w:tc>
          <w:tcPr>
            <w:tcW w:w="3920" w:type="dxa"/>
            <w:vAlign w:val="bottom"/>
            <w:tcBorders>
              <w:bottom w:val="single" w:sz="8" w:color="E2E8F1"/>
            </w:tcBorders>
            <w:shd w:val="clear" w:color="auto" w:fill="E2E8F1"/>
          </w:tcPr>
          <w:p>
            <w:pPr>
              <w:spacing w:after="0"/>
              <w:rPr>
                <w:sz w:val="13"/>
                <w:szCs w:val="13"/>
                <w:color w:val="auto"/>
              </w:rPr>
            </w:pPr>
          </w:p>
        </w:tc>
        <w:tc>
          <w:tcPr>
            <w:tcW w:w="148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9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65.6</w:t>
            </w:r>
          </w:p>
        </w:tc>
        <w:tc>
          <w:tcPr>
            <w:tcW w:w="12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200" w:type="dxa"/>
            <w:vAlign w:val="bottom"/>
            <w:tcBorders>
              <w:bottom w:val="single" w:sz="8" w:color="auto"/>
            </w:tcBorders>
            <w:shd w:val="clear" w:color="auto" w:fill="E2E8F1"/>
          </w:tcPr>
          <w:p>
            <w:pPr>
              <w:spacing w:after="0"/>
              <w:rPr>
                <w:sz w:val="13"/>
                <w:szCs w:val="13"/>
                <w:color w:val="auto"/>
              </w:rPr>
            </w:pPr>
          </w:p>
        </w:tc>
        <w:tc>
          <w:tcPr>
            <w:tcW w:w="10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75.8</w:t>
            </w:r>
          </w:p>
        </w:tc>
        <w:tc>
          <w:tcPr>
            <w:tcW w:w="10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320" w:type="dxa"/>
            <w:vAlign w:val="bottom"/>
            <w:tcBorders>
              <w:bottom w:val="single" w:sz="8" w:color="E2E8F1"/>
            </w:tcBorders>
            <w:shd w:val="clear" w:color="auto" w:fill="E2E8F1"/>
          </w:tcPr>
          <w:p>
            <w:pPr>
              <w:spacing w:after="0"/>
              <w:rPr>
                <w:sz w:val="13"/>
                <w:szCs w:val="13"/>
                <w:color w:val="auto"/>
              </w:rPr>
            </w:pPr>
          </w:p>
        </w:tc>
        <w:tc>
          <w:tcPr>
            <w:tcW w:w="110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-13.4%</w:t>
            </w:r>
          </w:p>
        </w:tc>
        <w:tc>
          <w:tcPr>
            <w:tcW w:w="400" w:type="dxa"/>
            <w:vAlign w:val="bottom"/>
            <w:tcBorders>
              <w:bottom w:val="single" w:sz="8" w:color="E2E8F1"/>
            </w:tcBorders>
            <w:shd w:val="clear" w:color="auto" w:fill="E2E8F1"/>
          </w:tcPr>
          <w:p>
            <w:pPr>
              <w:spacing w:after="0"/>
              <w:rPr>
                <w:sz w:val="13"/>
                <w:szCs w:val="13"/>
                <w:color w:val="auto"/>
              </w:rPr>
            </w:pPr>
          </w:p>
        </w:tc>
        <w:tc>
          <w:tcPr>
            <w:tcW w:w="114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57"/>
        </w:trPr>
        <w:tc>
          <w:tcPr>
            <w:tcW w:w="3920" w:type="dxa"/>
            <w:vAlign w:val="bottom"/>
          </w:tcPr>
          <w:p>
            <w:pPr>
              <w:ind w:left="180"/>
              <w:spacing w:after="0" w:line="157" w:lineRule="exact"/>
              <w:rPr>
                <w:sz w:val="20"/>
                <w:szCs w:val="20"/>
                <w:color w:val="auto"/>
              </w:rPr>
            </w:pPr>
            <w:r>
              <w:rPr>
                <w:rFonts w:ascii="Arial" w:cs="Arial" w:eastAsia="Arial" w:hAnsi="Arial"/>
                <w:sz w:val="14"/>
                <w:szCs w:val="14"/>
                <w:color w:val="auto"/>
              </w:rPr>
              <w:t>Northern Europe</w:t>
            </w: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(14.9)</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(25.7)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42.3%</w:t>
            </w:r>
          </w:p>
        </w:tc>
        <w:tc>
          <w:tcPr>
            <w:tcW w:w="400" w:type="dxa"/>
            <w:vAlign w:val="bottom"/>
          </w:tcPr>
          <w:p>
            <w:pPr>
              <w:spacing w:after="0"/>
              <w:rPr>
                <w:sz w:val="13"/>
                <w:szCs w:val="13"/>
                <w:color w:val="auto"/>
              </w:rPr>
            </w:pP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166"/>
        </w:trPr>
        <w:tc>
          <w:tcPr>
            <w:tcW w:w="3920" w:type="dxa"/>
            <w:vAlign w:val="bottom"/>
            <w:tcBorders>
              <w:bottom w:val="single" w:sz="8" w:color="E2E8F1"/>
            </w:tcBorders>
            <w:shd w:val="clear" w:color="auto" w:fill="E2E8F1"/>
          </w:tcPr>
          <w:p>
            <w:pPr>
              <w:ind w:left="180"/>
              <w:spacing w:after="0"/>
              <w:rPr>
                <w:sz w:val="20"/>
                <w:szCs w:val="20"/>
                <w:color w:val="auto"/>
              </w:rPr>
            </w:pPr>
            <w:r>
              <w:rPr>
                <w:rFonts w:ascii="Arial" w:cs="Arial" w:eastAsia="Arial" w:hAnsi="Arial"/>
                <w:sz w:val="14"/>
                <w:szCs w:val="14"/>
                <w:color w:val="auto"/>
              </w:rPr>
              <w:t>APME</w:t>
            </w:r>
          </w:p>
        </w:tc>
        <w:tc>
          <w:tcPr>
            <w:tcW w:w="148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9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auto"/>
            </w:tcBorders>
            <w:shd w:val="clear" w:color="auto" w:fill="E2E8F1"/>
          </w:tcPr>
          <w:p>
            <w:pPr>
              <w:spacing w:after="0"/>
              <w:rPr>
                <w:sz w:val="14"/>
                <w:szCs w:val="14"/>
                <w:color w:val="auto"/>
              </w:rPr>
            </w:pPr>
          </w:p>
        </w:tc>
        <w:tc>
          <w:tcPr>
            <w:tcW w:w="10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E2E8F1"/>
            </w:tcBorders>
            <w:shd w:val="clear" w:color="auto" w:fill="E2E8F1"/>
          </w:tcPr>
          <w:p>
            <w:pPr>
              <w:spacing w:after="0"/>
              <w:rPr>
                <w:sz w:val="14"/>
                <w:szCs w:val="14"/>
                <w:color w:val="auto"/>
              </w:rPr>
            </w:pPr>
          </w:p>
        </w:tc>
        <w:tc>
          <w:tcPr>
            <w:tcW w:w="320" w:type="dxa"/>
            <w:vAlign w:val="bottom"/>
            <w:tcBorders>
              <w:bottom w:val="single" w:sz="8" w:color="E2E8F1"/>
            </w:tcBorders>
            <w:shd w:val="clear" w:color="auto" w:fill="E2E8F1"/>
          </w:tcPr>
          <w:p>
            <w:pPr>
              <w:spacing w:after="0"/>
              <w:rPr>
                <w:sz w:val="14"/>
                <w:szCs w:val="14"/>
                <w:color w:val="auto"/>
              </w:rPr>
            </w:pPr>
          </w:p>
        </w:tc>
        <w:tc>
          <w:tcPr>
            <w:tcW w:w="110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15.9%</w:t>
            </w:r>
          </w:p>
        </w:tc>
        <w:tc>
          <w:tcPr>
            <w:tcW w:w="400" w:type="dxa"/>
            <w:vAlign w:val="bottom"/>
            <w:tcBorders>
              <w:bottom w:val="single" w:sz="8" w:color="E2E8F1"/>
            </w:tcBorders>
            <w:shd w:val="clear" w:color="auto" w:fill="E2E8F1"/>
          </w:tcPr>
          <w:p>
            <w:pPr>
              <w:spacing w:after="0"/>
              <w:rPr>
                <w:sz w:val="14"/>
                <w:szCs w:val="14"/>
                <w:color w:val="auto"/>
              </w:rPr>
            </w:pPr>
          </w:p>
        </w:tc>
        <w:tc>
          <w:tcPr>
            <w:tcW w:w="114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57"/>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115.4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109.2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20" w:type="dxa"/>
            <w:vAlign w:val="bottom"/>
            <w:shd w:val="clear" w:color="auto" w:fill="E2E8F1"/>
          </w:tcPr>
          <w:p>
            <w:pPr>
              <w:ind w:left="40"/>
              <w:spacing w:after="0"/>
              <w:rPr>
                <w:sz w:val="20"/>
                <w:szCs w:val="20"/>
                <w:color w:val="auto"/>
              </w:rPr>
            </w:pPr>
            <w:r>
              <w:rPr>
                <w:rFonts w:ascii="Arial" w:cs="Arial" w:eastAsia="Arial" w:hAnsi="Arial"/>
                <w:sz w:val="14"/>
                <w:szCs w:val="14"/>
                <w:color w:val="auto"/>
              </w:rPr>
              <w:t>Corporate expenses</w:t>
            </w:r>
          </w:p>
        </w:tc>
        <w:tc>
          <w:tcPr>
            <w:tcW w:w="14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0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(40.9)</w:t>
            </w:r>
          </w:p>
        </w:tc>
        <w:tc>
          <w:tcPr>
            <w:tcW w:w="14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112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9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20" w:type="dxa"/>
            <w:vAlign w:val="bottom"/>
          </w:tcPr>
          <w:p>
            <w:pPr>
              <w:ind w:left="40"/>
              <w:spacing w:after="0"/>
              <w:rPr>
                <w:sz w:val="20"/>
                <w:szCs w:val="20"/>
                <w:color w:val="auto"/>
              </w:rPr>
            </w:pPr>
            <w:r>
              <w:rPr>
                <w:rFonts w:ascii="Arial" w:cs="Arial" w:eastAsia="Arial" w:hAnsi="Arial"/>
                <w:sz w:val="14"/>
                <w:szCs w:val="14"/>
                <w:color w:val="auto"/>
              </w:rPr>
              <w:t>Intangible asset amortization expense</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(7.9)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20" w:type="dxa"/>
            <w:vAlign w:val="bottom"/>
            <w:shd w:val="clear" w:color="auto" w:fill="E2E8F1"/>
          </w:tcPr>
          <w:p>
            <w:pPr>
              <w:ind w:left="240"/>
              <w:spacing w:after="0" w:line="157" w:lineRule="exact"/>
              <w:rPr>
                <w:sz w:val="20"/>
                <w:szCs w:val="20"/>
                <w:color w:val="auto"/>
              </w:rPr>
            </w:pPr>
            <w:r>
              <w:rPr>
                <w:rFonts w:ascii="Arial" w:cs="Arial" w:eastAsia="Arial" w:hAnsi="Arial"/>
                <w:sz w:val="14"/>
                <w:szCs w:val="14"/>
                <w:color w:val="auto"/>
              </w:rPr>
              <w:t>Operating profit</w:t>
            </w:r>
          </w:p>
        </w:tc>
        <w:tc>
          <w:tcPr>
            <w:tcW w:w="1480" w:type="dxa"/>
            <w:vAlign w:val="bottom"/>
            <w:shd w:val="clear" w:color="auto" w:fill="E2E8F1"/>
          </w:tcPr>
          <w:p>
            <w:pPr>
              <w:spacing w:after="0"/>
              <w:rPr>
                <w:sz w:val="13"/>
                <w:szCs w:val="13"/>
                <w:color w:val="auto"/>
              </w:rPr>
            </w:pPr>
          </w:p>
        </w:tc>
        <w:tc>
          <w:tcPr>
            <w:tcW w:w="280" w:type="dxa"/>
            <w:vAlign w:val="bottom"/>
            <w:tcBorders>
              <w:top w:val="single" w:sz="8" w:color="auto"/>
            </w:tcBorders>
            <w:shd w:val="clear" w:color="auto" w:fill="E2E8F1"/>
          </w:tcPr>
          <w:p>
            <w:pPr>
              <w:spacing w:after="0"/>
              <w:rPr>
                <w:sz w:val="13"/>
                <w:szCs w:val="13"/>
                <w:color w:val="auto"/>
              </w:rPr>
            </w:pPr>
          </w:p>
        </w:tc>
        <w:tc>
          <w:tcPr>
            <w:tcW w:w="940" w:type="dxa"/>
            <w:vAlign w:val="bottom"/>
            <w:tcBorders>
              <w:top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66.6</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00" w:type="dxa"/>
            <w:vAlign w:val="bottom"/>
            <w:tcBorders>
              <w:top w:val="single" w:sz="8" w:color="auto"/>
            </w:tcBorders>
            <w:shd w:val="clear" w:color="auto" w:fill="E2E8F1"/>
          </w:tcPr>
          <w:p>
            <w:pPr>
              <w:spacing w:after="0"/>
              <w:rPr>
                <w:sz w:val="13"/>
                <w:szCs w:val="13"/>
                <w:color w:val="auto"/>
              </w:rPr>
            </w:pPr>
          </w:p>
        </w:tc>
        <w:tc>
          <w:tcPr>
            <w:tcW w:w="1020" w:type="dxa"/>
            <w:vAlign w:val="bottom"/>
            <w:tcBorders>
              <w:top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70.8</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-6.1%</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6"/>
        </w:trPr>
        <w:tc>
          <w:tcPr>
            <w:tcW w:w="3920" w:type="dxa"/>
            <w:vAlign w:val="bottom"/>
          </w:tcPr>
          <w:p>
            <w:pPr>
              <w:ind w:left="40"/>
              <w:spacing w:after="0" w:line="165" w:lineRule="exact"/>
              <w:rPr>
                <w:sz w:val="20"/>
                <w:szCs w:val="20"/>
                <w:color w:val="auto"/>
              </w:rPr>
            </w:pPr>
            <w:r>
              <w:rPr>
                <w:rFonts w:ascii="Arial" w:cs="Arial" w:eastAsia="Arial" w:hAnsi="Arial"/>
                <w:sz w:val="14"/>
                <w:szCs w:val="14"/>
                <w:color w:val="auto"/>
              </w:rPr>
              <w:t xml:space="preserve">Interest and other expenses, net </w:t>
            </w:r>
            <w:r>
              <w:rPr>
                <w:rFonts w:ascii="Arial" w:cs="Arial" w:eastAsia="Arial" w:hAnsi="Arial"/>
                <w:sz w:val="19"/>
                <w:szCs w:val="19"/>
                <w:color w:val="auto"/>
                <w:vertAlign w:val="superscript"/>
              </w:rPr>
              <w:t>(c)</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(13.7)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920" w:type="dxa"/>
            <w:vAlign w:val="bottom"/>
            <w:shd w:val="clear" w:color="auto" w:fill="E2E8F1"/>
          </w:tcPr>
          <w:p>
            <w:pPr>
              <w:ind w:left="240"/>
              <w:spacing w:after="0" w:line="157" w:lineRule="exact"/>
              <w:rPr>
                <w:sz w:val="20"/>
                <w:szCs w:val="20"/>
                <w:color w:val="auto"/>
              </w:rPr>
            </w:pPr>
            <w:r>
              <w:rPr>
                <w:rFonts w:ascii="Arial" w:cs="Arial" w:eastAsia="Arial" w:hAnsi="Arial"/>
                <w:sz w:val="14"/>
                <w:szCs w:val="14"/>
                <w:color w:val="auto"/>
              </w:rPr>
              <w:t>Earnings before income taxes</w:t>
            </w:r>
          </w:p>
        </w:tc>
        <w:tc>
          <w:tcPr>
            <w:tcW w:w="1760" w:type="dxa"/>
            <w:vAlign w:val="bottom"/>
            <w:gridSpan w:val="2"/>
            <w:shd w:val="clear" w:color="auto" w:fill="E2E8F1"/>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52.9</w:t>
            </w:r>
          </w:p>
        </w:tc>
        <w:tc>
          <w:tcPr>
            <w:tcW w:w="120" w:type="dxa"/>
            <w:vAlign w:val="bottom"/>
            <w:shd w:val="clear" w:color="auto" w:fill="E2E8F1"/>
          </w:tcPr>
          <w:p>
            <w:pPr>
              <w:spacing w:after="0"/>
              <w:rPr>
                <w:sz w:val="15"/>
                <w:szCs w:val="15"/>
                <w:color w:val="auto"/>
              </w:rPr>
            </w:pPr>
          </w:p>
        </w:tc>
        <w:tc>
          <w:tcPr>
            <w:tcW w:w="340" w:type="dxa"/>
            <w:vAlign w:val="bottom"/>
            <w:gridSpan w:val="2"/>
            <w:shd w:val="clear" w:color="auto" w:fill="E2E8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59.2</w:t>
            </w:r>
          </w:p>
        </w:tc>
        <w:tc>
          <w:tcPr>
            <w:tcW w:w="1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320" w:type="dxa"/>
            <w:vAlign w:val="bottom"/>
            <w:shd w:val="clear" w:color="auto" w:fill="E2E8F1"/>
          </w:tcPr>
          <w:p>
            <w:pPr>
              <w:spacing w:after="0"/>
              <w:rPr>
                <w:sz w:val="15"/>
                <w:szCs w:val="15"/>
                <w:color w:val="auto"/>
              </w:rPr>
            </w:pPr>
          </w:p>
        </w:tc>
        <w:tc>
          <w:tcPr>
            <w:tcW w:w="960" w:type="dxa"/>
            <w:vAlign w:val="bottom"/>
            <w:shd w:val="clear" w:color="auto" w:fill="E2E8F1"/>
          </w:tcPr>
          <w:p>
            <w:pPr>
              <w:spacing w:after="0"/>
              <w:rPr>
                <w:sz w:val="15"/>
                <w:szCs w:val="15"/>
                <w:color w:val="auto"/>
              </w:rPr>
            </w:pPr>
          </w:p>
        </w:tc>
        <w:tc>
          <w:tcPr>
            <w:tcW w:w="140" w:type="dxa"/>
            <w:vAlign w:val="bottom"/>
            <w:shd w:val="clear" w:color="auto" w:fill="E2E8F1"/>
          </w:tcPr>
          <w:p>
            <w:pPr>
              <w:spacing w:after="0"/>
              <w:rPr>
                <w:sz w:val="15"/>
                <w:szCs w:val="15"/>
                <w:color w:val="auto"/>
              </w:rPr>
            </w:pPr>
          </w:p>
        </w:tc>
        <w:tc>
          <w:tcPr>
            <w:tcW w:w="400" w:type="dxa"/>
            <w:vAlign w:val="bottom"/>
            <w:shd w:val="clear" w:color="auto" w:fill="E2E8F1"/>
          </w:tcPr>
          <w:p>
            <w:pPr>
              <w:spacing w:after="0"/>
              <w:rPr>
                <w:sz w:val="15"/>
                <w:szCs w:val="15"/>
                <w:color w:val="auto"/>
              </w:rPr>
            </w:pPr>
          </w:p>
        </w:tc>
        <w:tc>
          <w:tcPr>
            <w:tcW w:w="1000" w:type="dxa"/>
            <w:vAlign w:val="bottom"/>
            <w:shd w:val="clear" w:color="auto" w:fill="E2E8F1"/>
          </w:tcPr>
          <w:p>
            <w:pPr>
              <w:spacing w:after="0"/>
              <w:rPr>
                <w:sz w:val="15"/>
                <w:szCs w:val="15"/>
                <w:color w:val="auto"/>
              </w:rPr>
            </w:pPr>
          </w:p>
        </w:tc>
        <w:tc>
          <w:tcPr>
            <w:tcW w:w="140" w:type="dxa"/>
            <w:vAlign w:val="bottom"/>
            <w:shd w:val="clear" w:color="auto" w:fill="E2E8F1"/>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E2E8F1"/>
            </w:tcBorders>
            <w:shd w:val="clear" w:color="auto" w:fill="E2E8F1"/>
          </w:tcPr>
          <w:p>
            <w:pPr>
              <w:spacing w:after="0" w:line="20" w:lineRule="exact"/>
              <w:rPr>
                <w:sz w:val="1"/>
                <w:szCs w:val="1"/>
                <w:color w:val="auto"/>
              </w:rPr>
            </w:pPr>
          </w:p>
        </w:tc>
        <w:tc>
          <w:tcPr>
            <w:tcW w:w="1480" w:type="dxa"/>
            <w:vAlign w:val="bottom"/>
            <w:tcBorders>
              <w:top w:val="single" w:sz="8" w:color="E2E8F1"/>
            </w:tcBorders>
            <w:shd w:val="clear" w:color="auto" w:fill="E2E8F1"/>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8F1"/>
            </w:tcBorders>
            <w:shd w:val="clear" w:color="auto" w:fill="E2E8F1"/>
          </w:tcPr>
          <w:p>
            <w:pPr>
              <w:spacing w:after="0" w:line="20" w:lineRule="exact"/>
              <w:rPr>
                <w:sz w:val="1"/>
                <w:szCs w:val="1"/>
                <w:color w:val="auto"/>
              </w:rPr>
            </w:pPr>
          </w:p>
        </w:tc>
        <w:tc>
          <w:tcPr>
            <w:tcW w:w="100" w:type="dxa"/>
            <w:vAlign w:val="bottom"/>
            <w:tcBorders>
              <w:top w:val="single" w:sz="8" w:color="E2E8F1"/>
            </w:tcBorders>
            <w:shd w:val="clear" w:color="auto" w:fill="E2E8F1"/>
          </w:tcPr>
          <w:p>
            <w:pPr>
              <w:spacing w:after="0" w:line="20" w:lineRule="exact"/>
              <w:rPr>
                <w:sz w:val="1"/>
                <w:szCs w:val="1"/>
                <w:color w:val="auto"/>
              </w:rPr>
            </w:pPr>
          </w:p>
        </w:tc>
        <w:tc>
          <w:tcPr>
            <w:tcW w:w="320" w:type="dxa"/>
            <w:vAlign w:val="bottom"/>
            <w:tcBorders>
              <w:top w:val="single" w:sz="8" w:color="E2E8F1"/>
            </w:tcBorders>
            <w:shd w:val="clear" w:color="auto" w:fill="E2E8F1"/>
          </w:tcPr>
          <w:p>
            <w:pPr>
              <w:spacing w:after="0" w:line="20" w:lineRule="exact"/>
              <w:rPr>
                <w:sz w:val="1"/>
                <w:szCs w:val="1"/>
                <w:color w:val="auto"/>
              </w:rPr>
            </w:pPr>
          </w:p>
        </w:tc>
        <w:tc>
          <w:tcPr>
            <w:tcW w:w="96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400" w:type="dxa"/>
            <w:vAlign w:val="bottom"/>
            <w:tcBorders>
              <w:top w:val="single" w:sz="8" w:color="E2E8F1"/>
            </w:tcBorders>
            <w:shd w:val="clear" w:color="auto" w:fill="E2E8F1"/>
          </w:tcPr>
          <w:p>
            <w:pPr>
              <w:spacing w:after="0" w:line="20" w:lineRule="exact"/>
              <w:rPr>
                <w:sz w:val="1"/>
                <w:szCs w:val="1"/>
                <w:color w:val="auto"/>
              </w:rPr>
            </w:pPr>
          </w:p>
        </w:tc>
        <w:tc>
          <w:tcPr>
            <w:tcW w:w="100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-3086100</wp:posOffset>
            </wp:positionV>
            <wp:extent cx="673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-3086100</wp:posOffset>
            </wp:positionV>
            <wp:extent cx="67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-2658110</wp:posOffset>
            </wp:positionV>
            <wp:extent cx="673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-2658110</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-2214880</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-2214880</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-1989455</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-1974215</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-1989455</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-1974215</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-1546225</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-1546225</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-892810</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-892810</wp:posOffset>
            </wp:positionV>
            <wp:extent cx="67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-675005</wp:posOffset>
            </wp:positionV>
            <wp:extent cx="673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-675005</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-21590</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-6985</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-21590</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-6985</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57" w:lineRule="exact"/>
        <w:rPr>
          <w:sz w:val="20"/>
          <w:szCs w:val="20"/>
          <w:color w:val="auto"/>
        </w:rPr>
      </w:pPr>
    </w:p>
    <w:p>
      <w:pPr>
        <w:ind w:left="505" w:hanging="505"/>
        <w:spacing w:after="0" w:line="218" w:lineRule="auto"/>
        <w:tabs>
          <w:tab w:leader="none" w:pos="505"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jc w:val="both"/>
        <w:ind w:left="505" w:right="20" w:hanging="505"/>
        <w:spacing w:after="0" w:line="220" w:lineRule="auto"/>
        <w:tabs>
          <w:tab w:leader="none" w:pos="505"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In the United States, revenues from services include fees received from our franchise offices of $2.7 million and $2.5 million for the three months ended September 30, 2025 and 2024, respectively. These fees are primarily based on revenues generated by the franchise offices, which were $83.5 million and $91.2 million for the three months ended September 30, 2025 and 2024, respectively.</w:t>
      </w:r>
    </w:p>
    <w:p>
      <w:pPr>
        <w:spacing w:after="0" w:line="1" w:lineRule="exact"/>
        <w:rPr>
          <w:rFonts w:ascii="Arial" w:cs="Arial" w:eastAsia="Arial" w:hAnsi="Arial"/>
          <w:sz w:val="19"/>
          <w:szCs w:val="19"/>
          <w:color w:val="auto"/>
          <w:vertAlign w:val="superscript"/>
        </w:rPr>
      </w:pPr>
    </w:p>
    <w:p>
      <w:pPr>
        <w:ind w:left="505" w:hanging="505"/>
        <w:spacing w:after="0" w:line="189" w:lineRule="auto"/>
        <w:tabs>
          <w:tab w:leader="none" w:pos="505"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The components of interest and other expenses, net were:</w:t>
      </w:r>
    </w:p>
    <w:p>
      <w:pPr>
        <w:spacing w:after="0" w:line="150"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4680" w:type="dxa"/>
            <w:vAlign w:val="bottom"/>
            <w:vMerge w:val="restart"/>
          </w:tcPr>
          <w:p>
            <w:pPr>
              <w:ind w:left="320"/>
              <w:spacing w:after="0"/>
              <w:rPr>
                <w:sz w:val="20"/>
                <w:szCs w:val="20"/>
                <w:color w:val="auto"/>
              </w:rPr>
            </w:pPr>
            <w:r>
              <w:rPr>
                <w:rFonts w:ascii="Arial" w:cs="Arial" w:eastAsia="Arial" w:hAnsi="Arial"/>
                <w:sz w:val="14"/>
                <w:szCs w:val="14"/>
                <w:color w:val="auto"/>
              </w:rPr>
              <w:t>Interest expense</w:t>
            </w:r>
          </w:p>
        </w:tc>
        <w:tc>
          <w:tcPr>
            <w:tcW w:w="3920" w:type="dxa"/>
            <w:vAlign w:val="bottom"/>
            <w:gridSpan w:val="2"/>
          </w:tcPr>
          <w:p>
            <w:pPr>
              <w:jc w:val="right"/>
              <w:ind w:right="149"/>
              <w:spacing w:after="0"/>
              <w:rPr>
                <w:sz w:val="20"/>
                <w:szCs w:val="20"/>
                <w:color w:val="auto"/>
              </w:rPr>
            </w:pPr>
            <w:r>
              <w:rPr>
                <w:rFonts w:ascii="Arial" w:cs="Arial" w:eastAsia="Arial" w:hAnsi="Arial"/>
                <w:sz w:val="13"/>
                <w:szCs w:val="13"/>
                <w:b w:val="1"/>
                <w:bCs w:val="1"/>
                <w:color w:val="auto"/>
              </w:rPr>
              <w:t>2025</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ind w:right="650"/>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8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1240" w:type="dxa"/>
            <w:vAlign w:val="bottom"/>
            <w:tcBorders>
              <w:top w:val="single" w:sz="8" w:color="auto"/>
            </w:tcBorders>
          </w:tcPr>
          <w:p>
            <w:pPr>
              <w:jc w:val="right"/>
              <w:ind w:right="1089"/>
              <w:spacing w:after="0" w:line="157"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24.0</w:t>
            </w:r>
          </w:p>
        </w:tc>
        <w:tc>
          <w:tcPr>
            <w:tcW w:w="100" w:type="dxa"/>
            <w:vAlign w:val="bottom"/>
          </w:tcPr>
          <w:p>
            <w:pPr>
              <w:spacing w:after="0"/>
              <w:rPr>
                <w:sz w:val="13"/>
                <w:szCs w:val="13"/>
                <w:color w:val="auto"/>
              </w:rPr>
            </w:pPr>
          </w:p>
        </w:tc>
        <w:tc>
          <w:tcPr>
            <w:tcW w:w="600" w:type="dxa"/>
            <w:vAlign w:val="bottom"/>
            <w:tcBorders>
              <w:top w:val="single" w:sz="8" w:color="auto"/>
            </w:tcBorders>
            <w:gridSpan w:val="2"/>
          </w:tcPr>
          <w:p>
            <w:pPr>
              <w:jc w:val="right"/>
              <w:ind w:right="249"/>
              <w:spacing w:after="0" w:line="157" w:lineRule="exact"/>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24.6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6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Interest income</w:t>
            </w:r>
          </w:p>
        </w:tc>
        <w:tc>
          <w:tcPr>
            <w:tcW w:w="2680" w:type="dxa"/>
            <w:vAlign w:val="bottom"/>
            <w:shd w:val="clear" w:color="auto" w:fill="E2E8F1"/>
          </w:tcPr>
          <w:p>
            <w:pPr>
              <w:spacing w:after="0"/>
              <w:rPr>
                <w:sz w:val="14"/>
                <w:szCs w:val="14"/>
                <w:color w:val="auto"/>
              </w:rPr>
            </w:pPr>
          </w:p>
        </w:tc>
        <w:tc>
          <w:tcPr>
            <w:tcW w:w="1240" w:type="dxa"/>
            <w:vAlign w:val="bottom"/>
            <w:shd w:val="clear" w:color="auto" w:fill="E2E8F1"/>
          </w:tcPr>
          <w:p>
            <w:pPr>
              <w:spacing w:after="0"/>
              <w:rPr>
                <w:sz w:val="14"/>
                <w:szCs w:val="14"/>
                <w:color w:val="auto"/>
              </w:rPr>
            </w:pPr>
          </w:p>
        </w:tc>
        <w:tc>
          <w:tcPr>
            <w:tcW w:w="62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(6.9)</w:t>
            </w:r>
          </w:p>
        </w:tc>
        <w:tc>
          <w:tcPr>
            <w:tcW w:w="20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44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66"/>
        </w:trPr>
        <w:tc>
          <w:tcPr>
            <w:tcW w:w="4680" w:type="dxa"/>
            <w:vAlign w:val="bottom"/>
          </w:tcPr>
          <w:p>
            <w:pPr>
              <w:ind w:left="320"/>
              <w:spacing w:after="0"/>
              <w:rPr>
                <w:sz w:val="20"/>
                <w:szCs w:val="20"/>
                <w:color w:val="auto"/>
              </w:rPr>
            </w:pPr>
            <w:r>
              <w:rPr>
                <w:rFonts w:ascii="Arial" w:cs="Arial" w:eastAsia="Arial" w:hAnsi="Arial"/>
                <w:sz w:val="14"/>
                <w:szCs w:val="14"/>
                <w:color w:val="auto"/>
              </w:rPr>
              <w:t>Foreign exchange loss</w:t>
            </w:r>
          </w:p>
        </w:tc>
        <w:tc>
          <w:tcPr>
            <w:tcW w:w="2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6"/>
        </w:trPr>
        <w:tc>
          <w:tcPr>
            <w:tcW w:w="46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Miscellaneous income, net</w:t>
            </w:r>
          </w:p>
        </w:tc>
        <w:tc>
          <w:tcPr>
            <w:tcW w:w="2680" w:type="dxa"/>
            <w:vAlign w:val="bottom"/>
            <w:shd w:val="clear" w:color="auto" w:fill="E2E8F1"/>
          </w:tcPr>
          <w:p>
            <w:pPr>
              <w:spacing w:after="0"/>
              <w:rPr>
                <w:sz w:val="14"/>
                <w:szCs w:val="14"/>
                <w:color w:val="auto"/>
              </w:rPr>
            </w:pPr>
          </w:p>
        </w:tc>
        <w:tc>
          <w:tcPr>
            <w:tcW w:w="1240" w:type="dxa"/>
            <w:vAlign w:val="bottom"/>
            <w:shd w:val="clear" w:color="auto" w:fill="E2E8F1"/>
          </w:tcPr>
          <w:p>
            <w:pPr>
              <w:spacing w:after="0"/>
              <w:rPr>
                <w:sz w:val="14"/>
                <w:szCs w:val="14"/>
                <w:color w:val="auto"/>
              </w:rPr>
            </w:pPr>
          </w:p>
        </w:tc>
        <w:tc>
          <w:tcPr>
            <w:tcW w:w="62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(5.8)</w:t>
            </w:r>
          </w:p>
        </w:tc>
        <w:tc>
          <w:tcPr>
            <w:tcW w:w="20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44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
        </w:trPr>
        <w:tc>
          <w:tcPr>
            <w:tcW w:w="4680" w:type="dxa"/>
            <w:vAlign w:val="bottom"/>
            <w:shd w:val="clear" w:color="auto" w:fill="E2E8F1"/>
          </w:tcPr>
          <w:p>
            <w:pPr>
              <w:spacing w:after="0" w:line="20" w:lineRule="exact"/>
              <w:rPr>
                <w:sz w:val="1"/>
                <w:szCs w:val="1"/>
                <w:color w:val="auto"/>
              </w:rPr>
            </w:pPr>
          </w:p>
        </w:tc>
        <w:tc>
          <w:tcPr>
            <w:tcW w:w="2680" w:type="dxa"/>
            <w:vAlign w:val="bottom"/>
            <w:shd w:val="clear" w:color="auto" w:fill="E2E8F1"/>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200" w:type="dxa"/>
            <w:vAlign w:val="bottom"/>
            <w:shd w:val="clear" w:color="auto" w:fill="E2E8F1"/>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40" w:type="dxa"/>
            <w:vAlign w:val="bottom"/>
          </w:tcPr>
          <w:p>
            <w:pPr>
              <w:jc w:val="right"/>
              <w:ind w:right="1089"/>
              <w:spacing w:after="0" w:line="157"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13.7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jc w:val="right"/>
              <w:ind w:right="249"/>
              <w:spacing w:after="0" w:line="157" w:lineRule="exact"/>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9"/>
        </w:trPr>
        <w:tc>
          <w:tcPr>
            <w:tcW w:w="46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-765175</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-765175</wp:posOffset>
            </wp:positionV>
            <wp:extent cx="673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5"/>
          </w:cols>
          <w:pgMar w:left="315" w:top="882" w:right="319" w:bottom="1440" w:gutter="0" w:footer="0" w:header="0"/>
        </w:sectPr>
      </w:pPr>
    </w:p>
    <w:bookmarkStart w:id="8" w:name="page9"/>
    <w:bookmarkEnd w:id="8"/>
    <w:p>
      <w:pPr>
        <w:jc w:val="center"/>
        <w:ind w:right="-4"/>
        <w:spacing w:after="0"/>
        <w:rPr>
          <w:sz w:val="20"/>
          <w:szCs w:val="20"/>
          <w:color w:val="auto"/>
        </w:rPr>
      </w:pPr>
      <w:r>
        <w:rPr>
          <w:rFonts w:ascii="Arial" w:cs="Arial" w:eastAsia="Arial" w:hAnsi="Arial"/>
          <w:sz w:val="16"/>
          <w:szCs w:val="16"/>
          <w:color w:val="auto"/>
        </w:rPr>
        <w:t>ManpowerGroup</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Results of Operations</w:t>
      </w:r>
    </w:p>
    <w:p>
      <w:pPr>
        <w:jc w:val="center"/>
        <w:ind w:right="-4"/>
        <w:spacing w:after="0"/>
        <w:rPr>
          <w:sz w:val="20"/>
          <w:szCs w:val="20"/>
          <w:color w:val="auto"/>
        </w:rPr>
      </w:pPr>
      <w:r>
        <w:rPr>
          <w:rFonts w:ascii="Arial" w:cs="Arial" w:eastAsia="Arial" w:hAnsi="Arial"/>
          <w:sz w:val="16"/>
          <w:szCs w:val="16"/>
          <w:color w:val="auto"/>
        </w:rPr>
        <w:t>(In millions, except per share data)</w:t>
      </w:r>
    </w:p>
    <w:p>
      <w:pPr>
        <w:spacing w:after="0" w:line="164"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7"/>
          </w:tcPr>
          <w:p>
            <w:pPr>
              <w:jc w:val="center"/>
              <w:ind w:right="720"/>
              <w:spacing w:after="0"/>
              <w:rPr>
                <w:sz w:val="20"/>
                <w:szCs w:val="20"/>
                <w:color w:val="auto"/>
              </w:rPr>
            </w:pPr>
            <w:r>
              <w:rPr>
                <w:rFonts w:ascii="Arial" w:cs="Arial" w:eastAsia="Arial" w:hAnsi="Arial"/>
                <w:sz w:val="13"/>
                <w:szCs w:val="13"/>
                <w:b w:val="1"/>
                <w:bCs w:val="1"/>
                <w:color w:val="auto"/>
                <w:w w:val="96"/>
              </w:rPr>
              <w:t>Nine Months Ended September 30</w:t>
            </w:r>
          </w:p>
        </w:tc>
        <w:tc>
          <w:tcPr>
            <w:tcW w:w="10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ind w:left="740"/>
              <w:spacing w:after="0" w:line="134" w:lineRule="exact"/>
              <w:rPr>
                <w:sz w:val="20"/>
                <w:szCs w:val="20"/>
                <w:color w:val="auto"/>
              </w:rPr>
            </w:pPr>
            <w:r>
              <w:rPr>
                <w:rFonts w:ascii="Arial" w:cs="Arial" w:eastAsia="Arial" w:hAnsi="Arial"/>
                <w:sz w:val="13"/>
                <w:szCs w:val="13"/>
                <w:b w:val="1"/>
                <w:bCs w:val="1"/>
                <w:color w:val="auto"/>
              </w:rPr>
              <w:t>% Variance</w:t>
            </w:r>
          </w:p>
        </w:tc>
        <w:tc>
          <w:tcPr>
            <w:tcW w:w="10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gridSpan w:val="3"/>
          </w:tcPr>
          <w:p>
            <w:pPr>
              <w:jc w:val="center"/>
              <w:ind w:right="860"/>
              <w:spacing w:after="0" w:line="126" w:lineRule="exact"/>
              <w:rPr>
                <w:sz w:val="20"/>
                <w:szCs w:val="20"/>
                <w:color w:val="auto"/>
              </w:rPr>
            </w:pPr>
            <w:r>
              <w:rPr>
                <w:rFonts w:ascii="Arial" w:cs="Arial" w:eastAsia="Arial" w:hAnsi="Arial"/>
                <w:sz w:val="13"/>
                <w:szCs w:val="13"/>
                <w:b w:val="1"/>
                <w:bCs w:val="1"/>
                <w:color w:val="auto"/>
                <w:w w:val="97"/>
              </w:rPr>
              <w:t>Amount</w:t>
            </w:r>
          </w:p>
        </w:tc>
        <w:tc>
          <w:tcPr>
            <w:tcW w:w="1000" w:type="dxa"/>
            <w:vAlign w:val="bottom"/>
          </w:tcPr>
          <w:p>
            <w:pPr>
              <w:ind w:left="60"/>
              <w:spacing w:after="0" w:line="126" w:lineRule="exact"/>
              <w:rPr>
                <w:sz w:val="20"/>
                <w:szCs w:val="20"/>
                <w:color w:val="auto"/>
              </w:rPr>
            </w:pPr>
            <w:r>
              <w:rPr>
                <w:rFonts w:ascii="Arial" w:cs="Arial" w:eastAsia="Arial" w:hAnsi="Arial"/>
                <w:sz w:val="13"/>
                <w:szCs w:val="13"/>
                <w:b w:val="1"/>
                <w:bCs w:val="1"/>
                <w:color w:val="auto"/>
              </w:rPr>
              <w:t>Constant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50"/>
              <w:spacing w:after="0"/>
              <w:rPr>
                <w:sz w:val="20"/>
                <w:szCs w:val="20"/>
                <w:color w:val="auto"/>
              </w:rPr>
            </w:pPr>
            <w:r>
              <w:rPr>
                <w:rFonts w:ascii="Arial" w:cs="Arial" w:eastAsia="Arial" w:hAnsi="Arial"/>
                <w:sz w:val="13"/>
                <w:szCs w:val="13"/>
                <w:b w:val="1"/>
                <w:bCs w:val="1"/>
                <w:color w:val="auto"/>
                <w:w w:val="98"/>
              </w:rPr>
              <w:t>Reported</w:t>
            </w: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Currency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gridSpan w:val="4"/>
          </w:tcPr>
          <w:p>
            <w:pPr>
              <w:jc w:val="center"/>
              <w:ind w:left="710"/>
              <w:spacing w:after="0" w:line="134" w:lineRule="exact"/>
              <w:rPr>
                <w:sz w:val="20"/>
                <w:szCs w:val="20"/>
                <w:color w:val="auto"/>
              </w:rPr>
            </w:pPr>
            <w:r>
              <w:rPr>
                <w:rFonts w:ascii="Arial" w:cs="Arial" w:eastAsia="Arial" w:hAnsi="Arial"/>
                <w:sz w:val="13"/>
                <w:szCs w:val="13"/>
                <w:color w:val="auto"/>
                <w:w w:val="97"/>
              </w:rPr>
              <w:t>(Unaudited)</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E2E8F1"/>
          </w:tcPr>
          <w:p>
            <w:pPr>
              <w:spacing w:after="0" w:line="165" w:lineRule="exact"/>
              <w:rPr>
                <w:sz w:val="20"/>
                <w:szCs w:val="20"/>
                <w:color w:val="auto"/>
              </w:rPr>
            </w:pPr>
            <w:r>
              <w:rPr>
                <w:rFonts w:ascii="Arial" w:cs="Arial" w:eastAsia="Arial" w:hAnsi="Arial"/>
                <w:sz w:val="14"/>
                <w:szCs w:val="14"/>
                <w:color w:val="auto"/>
              </w:rPr>
              <w:t xml:space="preserve">Revenues from services </w:t>
            </w:r>
            <w:r>
              <w:rPr>
                <w:rFonts w:ascii="Arial" w:cs="Arial" w:eastAsia="Arial" w:hAnsi="Arial"/>
                <w:sz w:val="19"/>
                <w:szCs w:val="19"/>
                <w:color w:val="auto"/>
                <w:vertAlign w:val="superscript"/>
              </w:rPr>
              <w:t>(a)</w:t>
            </w:r>
          </w:p>
        </w:tc>
        <w:tc>
          <w:tcPr>
            <w:tcW w:w="1800" w:type="dxa"/>
            <w:vAlign w:val="bottom"/>
            <w:gridSpan w:val="2"/>
            <w:shd w:val="clear" w:color="auto" w:fill="E2E8F1"/>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13,244.0</w:t>
            </w:r>
          </w:p>
        </w:tc>
        <w:tc>
          <w:tcPr>
            <w:tcW w:w="120" w:type="dxa"/>
            <w:vAlign w:val="bottom"/>
            <w:shd w:val="clear" w:color="auto" w:fill="E2E8F1"/>
          </w:tcPr>
          <w:p>
            <w:pPr>
              <w:spacing w:after="0"/>
              <w:rPr>
                <w:sz w:val="14"/>
                <w:szCs w:val="14"/>
                <w:color w:val="auto"/>
              </w:rPr>
            </w:pPr>
          </w:p>
        </w:tc>
        <w:tc>
          <w:tcPr>
            <w:tcW w:w="360" w:type="dxa"/>
            <w:vAlign w:val="bottom"/>
            <w:gridSpan w:val="2"/>
            <w:shd w:val="clear" w:color="auto" w:fill="E2E8F1"/>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13,454.2</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-1.6%</w:t>
            </w:r>
          </w:p>
        </w:tc>
        <w:tc>
          <w:tcPr>
            <w:tcW w:w="400" w:type="dxa"/>
            <w:vAlign w:val="bottom"/>
            <w:shd w:val="clear" w:color="auto" w:fill="E2E8F1"/>
          </w:tcPr>
          <w:p>
            <w:pPr>
              <w:spacing w:after="0"/>
              <w:rPr>
                <w:sz w:val="14"/>
                <w:szCs w:val="14"/>
                <w:color w:val="auto"/>
              </w:rPr>
            </w:pPr>
          </w:p>
        </w:tc>
        <w:tc>
          <w:tcPr>
            <w:tcW w:w="114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Cost of services</w:t>
            </w:r>
          </w:p>
        </w:tc>
        <w:tc>
          <w:tcPr>
            <w:tcW w:w="1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shd w:val="clear" w:color="auto" w:fill="E2E8F1"/>
          </w:tcPr>
          <w:p>
            <w:pPr>
              <w:ind w:left="60"/>
              <w:spacing w:after="0" w:line="157" w:lineRule="exact"/>
              <w:rPr>
                <w:sz w:val="20"/>
                <w:szCs w:val="20"/>
                <w:color w:val="auto"/>
              </w:rPr>
            </w:pPr>
            <w:r>
              <w:rPr>
                <w:rFonts w:ascii="Arial" w:cs="Arial" w:eastAsia="Arial" w:hAnsi="Arial"/>
                <w:sz w:val="14"/>
                <w:szCs w:val="14"/>
                <w:color w:val="auto"/>
              </w:rPr>
              <w:t>Gross profit</w:t>
            </w:r>
          </w:p>
        </w:tc>
        <w:tc>
          <w:tcPr>
            <w:tcW w:w="152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2,230.9</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20" w:type="dxa"/>
            <w:vAlign w:val="bottom"/>
            <w:shd w:val="clear" w:color="auto" w:fill="E2E8F1"/>
          </w:tcPr>
          <w:p>
            <w:pPr>
              <w:spacing w:after="0"/>
              <w:rPr>
                <w:sz w:val="13"/>
                <w:szCs w:val="13"/>
                <w:color w:val="auto"/>
              </w:rPr>
            </w:pPr>
          </w:p>
        </w:tc>
        <w:tc>
          <w:tcPr>
            <w:tcW w:w="100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2,331.7</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-4.3%</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60" w:type="dxa"/>
            <w:vAlign w:val="bottom"/>
          </w:tcPr>
          <w:p>
            <w:pPr>
              <w:spacing w:after="0" w:line="153" w:lineRule="exact"/>
              <w:rPr>
                <w:sz w:val="20"/>
                <w:szCs w:val="20"/>
                <w:color w:val="auto"/>
              </w:rPr>
            </w:pPr>
            <w:r>
              <w:rPr>
                <w:rFonts w:ascii="Arial" w:cs="Arial" w:eastAsia="Arial" w:hAnsi="Arial"/>
                <w:sz w:val="14"/>
                <w:szCs w:val="14"/>
                <w:color w:val="auto"/>
              </w:rPr>
              <w:t>Selling and administrative expenses,</w:t>
            </w: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60" w:type="dxa"/>
            <w:vAlign w:val="bottom"/>
          </w:tcPr>
          <w:p>
            <w:pPr>
              <w:ind w:left="100"/>
              <w:spacing w:after="0"/>
              <w:rPr>
                <w:sz w:val="20"/>
                <w:szCs w:val="20"/>
                <w:color w:val="auto"/>
              </w:rPr>
            </w:pPr>
            <w:r>
              <w:rPr>
                <w:rFonts w:ascii="Arial" w:cs="Arial" w:eastAsia="Arial" w:hAnsi="Arial"/>
                <w:sz w:val="14"/>
                <w:szCs w:val="14"/>
                <w:color w:val="auto"/>
              </w:rPr>
              <w:t>excluding impairment charges</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2,072.7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2,093.9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40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shd w:val="clear" w:color="auto" w:fill="E2E8F1"/>
          </w:tcPr>
          <w:p>
            <w:pPr>
              <w:spacing w:after="0" w:line="165" w:lineRule="exact"/>
              <w:rPr>
                <w:sz w:val="20"/>
                <w:szCs w:val="20"/>
                <w:color w:val="auto"/>
              </w:rPr>
            </w:pPr>
            <w:r>
              <w:rPr>
                <w:rFonts w:ascii="Arial" w:cs="Arial" w:eastAsia="Arial" w:hAnsi="Arial"/>
                <w:sz w:val="14"/>
                <w:szCs w:val="14"/>
                <w:color w:val="auto"/>
              </w:rPr>
              <w:t xml:space="preserve">Impairment charges </w:t>
            </w:r>
            <w:r>
              <w:rPr>
                <w:rFonts w:ascii="Arial" w:cs="Arial" w:eastAsia="Arial" w:hAnsi="Arial"/>
                <w:sz w:val="19"/>
                <w:szCs w:val="19"/>
                <w:color w:val="auto"/>
                <w:vertAlign w:val="superscript"/>
              </w:rPr>
              <w:t>(b)</w:t>
            </w:r>
          </w:p>
        </w:tc>
        <w:tc>
          <w:tcPr>
            <w:tcW w:w="152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88.7</w:t>
            </w: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20" w:type="dxa"/>
            <w:vAlign w:val="bottom"/>
            <w:shd w:val="clear" w:color="auto" w:fill="E2E8F1"/>
          </w:tcPr>
          <w:p>
            <w:pPr>
              <w:spacing w:after="0"/>
              <w:rPr>
                <w:sz w:val="14"/>
                <w:szCs w:val="14"/>
                <w:color w:val="auto"/>
              </w:rPr>
            </w:pPr>
          </w:p>
        </w:tc>
        <w:tc>
          <w:tcPr>
            <w:tcW w:w="1520" w:type="dxa"/>
            <w:vAlign w:val="bottom"/>
            <w:gridSpan w:val="4"/>
            <w:shd w:val="clear" w:color="auto" w:fill="E2E8F1"/>
          </w:tcPr>
          <w:p>
            <w:pPr>
              <w:jc w:val="right"/>
              <w:ind w:right="540"/>
              <w:spacing w:after="0"/>
              <w:rPr>
                <w:sz w:val="20"/>
                <w:szCs w:val="20"/>
                <w:color w:val="auto"/>
              </w:rPr>
            </w:pPr>
            <w:r>
              <w:rPr>
                <w:rFonts w:ascii="Arial" w:cs="Arial" w:eastAsia="Arial" w:hAnsi="Arial"/>
                <w:sz w:val="14"/>
                <w:szCs w:val="14"/>
                <w:color w:val="auto"/>
              </w:rPr>
              <w:t>—</w:t>
            </w:r>
          </w:p>
        </w:tc>
        <w:tc>
          <w:tcPr>
            <w:tcW w:w="1500" w:type="dxa"/>
            <w:vAlign w:val="bottom"/>
            <w:gridSpan w:val="3"/>
            <w:shd w:val="clear" w:color="auto" w:fill="E2E8F1"/>
          </w:tcPr>
          <w:p>
            <w:pPr>
              <w:ind w:left="700"/>
              <w:spacing w:after="0"/>
              <w:rPr>
                <w:sz w:val="20"/>
                <w:szCs w:val="20"/>
                <w:color w:val="auto"/>
              </w:rPr>
            </w:pPr>
            <w:r>
              <w:rPr>
                <w:rFonts w:ascii="Arial" w:cs="Arial" w:eastAsia="Arial" w:hAnsi="Arial"/>
                <w:sz w:val="14"/>
                <w:szCs w:val="14"/>
                <w:color w:val="auto"/>
              </w:rPr>
              <w:t>N/A</w:t>
            </w:r>
          </w:p>
        </w:tc>
        <w:tc>
          <w:tcPr>
            <w:tcW w:w="1140" w:type="dxa"/>
            <w:vAlign w:val="bottom"/>
            <w:gridSpan w:val="2"/>
            <w:shd w:val="clear" w:color="auto" w:fill="E2E8F1"/>
          </w:tcPr>
          <w:p>
            <w:pPr>
              <w:jc w:val="right"/>
              <w:ind w:right="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tcBorders>
              <w:top w:val="single" w:sz="8" w:color="E2E8F1"/>
            </w:tcBorders>
          </w:tcPr>
          <w:p>
            <w:pPr>
              <w:spacing w:after="0" w:line="157" w:lineRule="exact"/>
              <w:rPr>
                <w:sz w:val="20"/>
                <w:szCs w:val="20"/>
                <w:color w:val="auto"/>
              </w:rPr>
            </w:pPr>
            <w:r>
              <w:rPr>
                <w:rFonts w:ascii="Arial" w:cs="Arial" w:eastAsia="Arial" w:hAnsi="Arial"/>
                <w:sz w:val="14"/>
                <w:szCs w:val="14"/>
                <w:color w:val="auto"/>
              </w:rPr>
              <w:t>Selling and administrative expenses</w:t>
            </w:r>
          </w:p>
        </w:tc>
        <w:tc>
          <w:tcPr>
            <w:tcW w:w="1520" w:type="dxa"/>
            <w:vAlign w:val="bottom"/>
            <w:tcBorders>
              <w:top w:val="single" w:sz="8" w:color="E2E8F1"/>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2,161.4</w:t>
            </w:r>
          </w:p>
        </w:tc>
        <w:tc>
          <w:tcPr>
            <w:tcW w:w="120" w:type="dxa"/>
            <w:vAlign w:val="bottom"/>
            <w:tcBorders>
              <w:top w:val="single" w:sz="8" w:color="E2E8F1"/>
            </w:tcBorders>
          </w:tcPr>
          <w:p>
            <w:pPr>
              <w:spacing w:after="0"/>
              <w:rPr>
                <w:sz w:val="13"/>
                <w:szCs w:val="13"/>
                <w:color w:val="auto"/>
              </w:rPr>
            </w:pPr>
          </w:p>
        </w:tc>
        <w:tc>
          <w:tcPr>
            <w:tcW w:w="140" w:type="dxa"/>
            <w:vAlign w:val="bottom"/>
            <w:tcBorders>
              <w:top w:val="single" w:sz="8" w:color="E2E8F1"/>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2,093.9</w:t>
            </w:r>
          </w:p>
        </w:tc>
        <w:tc>
          <w:tcPr>
            <w:tcW w:w="100" w:type="dxa"/>
            <w:vAlign w:val="bottom"/>
            <w:tcBorders>
              <w:top w:val="single" w:sz="8" w:color="E2E8F1"/>
            </w:tcBorders>
          </w:tcPr>
          <w:p>
            <w:pPr>
              <w:spacing w:after="0"/>
              <w:rPr>
                <w:sz w:val="13"/>
                <w:szCs w:val="13"/>
                <w:color w:val="auto"/>
              </w:rPr>
            </w:pPr>
          </w:p>
        </w:tc>
        <w:tc>
          <w:tcPr>
            <w:tcW w:w="100" w:type="dxa"/>
            <w:vAlign w:val="bottom"/>
            <w:tcBorders>
              <w:top w:val="single" w:sz="8" w:color="E2E8F1"/>
            </w:tcBorders>
          </w:tcPr>
          <w:p>
            <w:pPr>
              <w:spacing w:after="0"/>
              <w:rPr>
                <w:sz w:val="13"/>
                <w:szCs w:val="13"/>
                <w:color w:val="auto"/>
              </w:rPr>
            </w:pPr>
          </w:p>
        </w:tc>
        <w:tc>
          <w:tcPr>
            <w:tcW w:w="320" w:type="dxa"/>
            <w:vAlign w:val="bottom"/>
            <w:tcBorders>
              <w:top w:val="single" w:sz="8" w:color="E2E8F1"/>
            </w:tcBorders>
          </w:tcPr>
          <w:p>
            <w:pPr>
              <w:spacing w:after="0"/>
              <w:rPr>
                <w:sz w:val="13"/>
                <w:szCs w:val="13"/>
                <w:color w:val="auto"/>
              </w:rPr>
            </w:pPr>
          </w:p>
        </w:tc>
        <w:tc>
          <w:tcPr>
            <w:tcW w:w="1100" w:type="dxa"/>
            <w:vAlign w:val="bottom"/>
            <w:tcBorders>
              <w:top w:val="single" w:sz="8" w:color="E2E8F1"/>
            </w:tcBorders>
            <w:gridSpan w:val="2"/>
          </w:tcPr>
          <w:p>
            <w:pPr>
              <w:jc w:val="right"/>
              <w:ind w:right="20"/>
              <w:spacing w:after="0" w:line="157" w:lineRule="exact"/>
              <w:rPr>
                <w:sz w:val="20"/>
                <w:szCs w:val="20"/>
                <w:color w:val="auto"/>
              </w:rPr>
            </w:pPr>
            <w:r>
              <w:rPr>
                <w:rFonts w:ascii="Arial" w:cs="Arial" w:eastAsia="Arial" w:hAnsi="Arial"/>
                <w:sz w:val="14"/>
                <w:szCs w:val="14"/>
                <w:color w:val="auto"/>
              </w:rPr>
              <w:t>3.2%</w:t>
            </w:r>
          </w:p>
        </w:tc>
        <w:tc>
          <w:tcPr>
            <w:tcW w:w="400" w:type="dxa"/>
            <w:vAlign w:val="bottom"/>
            <w:tcBorders>
              <w:top w:val="single" w:sz="8" w:color="E2E8F1"/>
            </w:tcBorders>
          </w:tcPr>
          <w:p>
            <w:pPr>
              <w:spacing w:after="0"/>
              <w:rPr>
                <w:sz w:val="13"/>
                <w:szCs w:val="13"/>
                <w:color w:val="auto"/>
              </w:rPr>
            </w:pPr>
          </w:p>
        </w:tc>
        <w:tc>
          <w:tcPr>
            <w:tcW w:w="1140" w:type="dxa"/>
            <w:vAlign w:val="bottom"/>
            <w:tcBorders>
              <w:top w:val="single" w:sz="8" w:color="E2E8F1"/>
            </w:tcBorders>
            <w:gridSpan w:val="2"/>
          </w:tcPr>
          <w:p>
            <w:pPr>
              <w:jc w:val="right"/>
              <w:ind w:right="20"/>
              <w:spacing w:after="0" w:line="157"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shd w:val="clear" w:color="auto" w:fill="E2E8F1"/>
          </w:tcPr>
          <w:p>
            <w:pPr>
              <w:ind w:left="60"/>
              <w:spacing w:after="0" w:line="157" w:lineRule="exact"/>
              <w:rPr>
                <w:sz w:val="20"/>
                <w:szCs w:val="20"/>
                <w:color w:val="auto"/>
              </w:rPr>
            </w:pPr>
            <w:r>
              <w:rPr>
                <w:rFonts w:ascii="Arial" w:cs="Arial" w:eastAsia="Arial" w:hAnsi="Arial"/>
                <w:sz w:val="14"/>
                <w:szCs w:val="14"/>
                <w:color w:val="auto"/>
              </w:rPr>
              <w:t>Operating profit</w:t>
            </w:r>
          </w:p>
        </w:tc>
        <w:tc>
          <w:tcPr>
            <w:tcW w:w="152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69.5</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20" w:type="dxa"/>
            <w:vAlign w:val="bottom"/>
            <w:shd w:val="clear" w:color="auto" w:fill="E2E8F1"/>
          </w:tcPr>
          <w:p>
            <w:pPr>
              <w:spacing w:after="0"/>
              <w:rPr>
                <w:sz w:val="13"/>
                <w:szCs w:val="13"/>
                <w:color w:val="auto"/>
              </w:rPr>
            </w:pPr>
          </w:p>
        </w:tc>
        <w:tc>
          <w:tcPr>
            <w:tcW w:w="100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237.8</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-70.8%</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Interest and other expenses, net</w:t>
            </w:r>
          </w:p>
        </w:tc>
        <w:tc>
          <w:tcPr>
            <w:tcW w:w="1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45.0%</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shd w:val="clear" w:color="auto" w:fill="E2E8F1"/>
          </w:tcPr>
          <w:p>
            <w:pPr>
              <w:ind w:left="20"/>
              <w:spacing w:after="0" w:line="157" w:lineRule="exact"/>
              <w:rPr>
                <w:sz w:val="20"/>
                <w:szCs w:val="20"/>
                <w:color w:val="auto"/>
              </w:rPr>
            </w:pPr>
            <w:r>
              <w:rPr>
                <w:rFonts w:ascii="Arial" w:cs="Arial" w:eastAsia="Arial" w:hAnsi="Arial"/>
                <w:sz w:val="14"/>
                <w:szCs w:val="14"/>
                <w:color w:val="auto"/>
              </w:rPr>
              <w:t>Earnings before income taxes</w:t>
            </w:r>
          </w:p>
        </w:tc>
        <w:tc>
          <w:tcPr>
            <w:tcW w:w="152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27.8</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20" w:type="dxa"/>
            <w:vAlign w:val="bottom"/>
            <w:shd w:val="clear" w:color="auto" w:fill="E2E8F1"/>
          </w:tcPr>
          <w:p>
            <w:pPr>
              <w:spacing w:after="0"/>
              <w:rPr>
                <w:sz w:val="13"/>
                <w:szCs w:val="13"/>
                <w:color w:val="auto"/>
              </w:rPr>
            </w:pPr>
          </w:p>
        </w:tc>
        <w:tc>
          <w:tcPr>
            <w:tcW w:w="100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209.1</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-86.7%</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-17.6%</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60" w:type="dxa"/>
            <w:vAlign w:val="bottom"/>
            <w:shd w:val="clear" w:color="auto" w:fill="E2E8F1"/>
          </w:tcPr>
          <w:p>
            <w:pPr>
              <w:ind w:left="60"/>
              <w:spacing w:after="0" w:line="146" w:lineRule="exact"/>
              <w:rPr>
                <w:sz w:val="20"/>
                <w:szCs w:val="20"/>
                <w:color w:val="auto"/>
              </w:rPr>
            </w:pPr>
            <w:r>
              <w:rPr>
                <w:rFonts w:ascii="Arial" w:cs="Arial" w:eastAsia="Arial" w:hAnsi="Arial"/>
                <w:sz w:val="14"/>
                <w:szCs w:val="14"/>
                <w:color w:val="auto"/>
              </w:rPr>
              <w:t>Net (loss) earnings</w:t>
            </w:r>
          </w:p>
        </w:tc>
        <w:tc>
          <w:tcPr>
            <w:tcW w:w="1800" w:type="dxa"/>
            <w:vAlign w:val="bottom"/>
            <w:gridSpan w:val="2"/>
            <w:shd w:val="clear" w:color="auto" w:fill="E2E8F1"/>
          </w:tcPr>
          <w:p>
            <w:pPr>
              <w:jc w:val="right"/>
              <w:ind w:right="200"/>
              <w:spacing w:after="0" w:line="146"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E2E8F1"/>
          </w:tcPr>
          <w:p>
            <w:pPr>
              <w:jc w:val="right"/>
              <w:ind w:right="60"/>
              <w:spacing w:after="0" w:line="146" w:lineRule="exact"/>
              <w:rPr>
                <w:sz w:val="20"/>
                <w:szCs w:val="20"/>
                <w:color w:val="auto"/>
              </w:rPr>
            </w:pPr>
            <w:r>
              <w:rPr>
                <w:rFonts w:ascii="Arial" w:cs="Arial" w:eastAsia="Arial" w:hAnsi="Arial"/>
                <w:sz w:val="14"/>
                <w:szCs w:val="14"/>
                <w:color w:val="auto"/>
              </w:rPr>
              <w:t>(43.5)</w:t>
            </w:r>
          </w:p>
        </w:tc>
        <w:tc>
          <w:tcPr>
            <w:tcW w:w="360" w:type="dxa"/>
            <w:vAlign w:val="bottom"/>
            <w:gridSpan w:val="2"/>
            <w:shd w:val="clear" w:color="auto" w:fill="E2E8F1"/>
          </w:tcPr>
          <w:p>
            <w:pPr>
              <w:jc w:val="right"/>
              <w:ind w:right="140"/>
              <w:spacing w:after="0" w:line="146" w:lineRule="exact"/>
              <w:rPr>
                <w:sz w:val="20"/>
                <w:szCs w:val="20"/>
                <w:color w:val="auto"/>
              </w:rPr>
            </w:pPr>
            <w:r>
              <w:rPr>
                <w:rFonts w:ascii="Arial" w:cs="Arial" w:eastAsia="Arial" w:hAnsi="Arial"/>
                <w:sz w:val="14"/>
                <w:szCs w:val="14"/>
                <w:color w:val="auto"/>
              </w:rPr>
              <w:t>$</w:t>
            </w:r>
          </w:p>
        </w:tc>
        <w:tc>
          <w:tcPr>
            <w:tcW w:w="1000" w:type="dxa"/>
            <w:vAlign w:val="bottom"/>
            <w:shd w:val="clear" w:color="auto" w:fill="E2E8F1"/>
          </w:tcPr>
          <w:p>
            <w:pPr>
              <w:jc w:val="right"/>
              <w:spacing w:after="0" w:line="146" w:lineRule="exact"/>
              <w:rPr>
                <w:sz w:val="20"/>
                <w:szCs w:val="20"/>
                <w:color w:val="auto"/>
              </w:rPr>
            </w:pPr>
            <w:r>
              <w:rPr>
                <w:rFonts w:ascii="Arial" w:cs="Arial" w:eastAsia="Arial" w:hAnsi="Arial"/>
                <w:sz w:val="14"/>
                <w:szCs w:val="14"/>
                <w:color w:val="auto"/>
              </w:rPr>
              <w:t>122.6</w:t>
            </w:r>
          </w:p>
        </w:tc>
        <w:tc>
          <w:tcPr>
            <w:tcW w:w="1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320" w:type="dxa"/>
            <w:vAlign w:val="bottom"/>
            <w:shd w:val="clear" w:color="auto" w:fill="E2E8F1"/>
          </w:tcPr>
          <w:p>
            <w:pPr>
              <w:spacing w:after="0"/>
              <w:rPr>
                <w:sz w:val="15"/>
                <w:szCs w:val="15"/>
                <w:color w:val="auto"/>
              </w:rPr>
            </w:pPr>
          </w:p>
        </w:tc>
        <w:tc>
          <w:tcPr>
            <w:tcW w:w="1100" w:type="dxa"/>
            <w:vAlign w:val="bottom"/>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-135.5%</w:t>
            </w:r>
          </w:p>
        </w:tc>
        <w:tc>
          <w:tcPr>
            <w:tcW w:w="400" w:type="dxa"/>
            <w:vAlign w:val="bottom"/>
            <w:shd w:val="clear" w:color="auto" w:fill="E2E8F1"/>
          </w:tcPr>
          <w:p>
            <w:pPr>
              <w:spacing w:after="0"/>
              <w:rPr>
                <w:sz w:val="15"/>
                <w:szCs w:val="15"/>
                <w:color w:val="auto"/>
              </w:rPr>
            </w:pPr>
          </w:p>
        </w:tc>
        <w:tc>
          <w:tcPr>
            <w:tcW w:w="1140" w:type="dxa"/>
            <w:vAlign w:val="bottom"/>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-138.6%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tcBorders>
              <w:top w:val="single" w:sz="8" w:color="E2E8F1"/>
            </w:tcBorders>
            <w:shd w:val="clear" w:color="auto" w:fill="E2E8F1"/>
          </w:tcPr>
          <w:p>
            <w:pPr>
              <w:spacing w:after="0" w:line="20" w:lineRule="exact"/>
              <w:rPr>
                <w:sz w:val="1"/>
                <w:szCs w:val="1"/>
                <w:color w:val="auto"/>
              </w:rPr>
            </w:pPr>
          </w:p>
        </w:tc>
        <w:tc>
          <w:tcPr>
            <w:tcW w:w="1520" w:type="dxa"/>
            <w:vAlign w:val="bottom"/>
            <w:tcBorders>
              <w:top w:val="single" w:sz="8" w:color="E2E8F1"/>
            </w:tcBorders>
            <w:shd w:val="clear" w:color="auto" w:fill="E2E8F1"/>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8F1"/>
            </w:tcBorders>
            <w:shd w:val="clear" w:color="auto" w:fill="E2E8F1"/>
          </w:tcPr>
          <w:p>
            <w:pPr>
              <w:spacing w:after="0" w:line="20" w:lineRule="exact"/>
              <w:rPr>
                <w:sz w:val="1"/>
                <w:szCs w:val="1"/>
                <w:color w:val="auto"/>
              </w:rPr>
            </w:pPr>
          </w:p>
        </w:tc>
        <w:tc>
          <w:tcPr>
            <w:tcW w:w="100" w:type="dxa"/>
            <w:vAlign w:val="bottom"/>
            <w:tcBorders>
              <w:top w:val="single" w:sz="8" w:color="E2E8F1"/>
            </w:tcBorders>
            <w:shd w:val="clear" w:color="auto" w:fill="E2E8F1"/>
          </w:tcPr>
          <w:p>
            <w:pPr>
              <w:spacing w:after="0" w:line="20" w:lineRule="exact"/>
              <w:rPr>
                <w:sz w:val="1"/>
                <w:szCs w:val="1"/>
                <w:color w:val="auto"/>
              </w:rPr>
            </w:pPr>
          </w:p>
        </w:tc>
        <w:tc>
          <w:tcPr>
            <w:tcW w:w="320" w:type="dxa"/>
            <w:vAlign w:val="bottom"/>
            <w:tcBorders>
              <w:top w:val="single" w:sz="8" w:color="E2E8F1"/>
            </w:tcBorders>
            <w:shd w:val="clear" w:color="auto" w:fill="E2E8F1"/>
          </w:tcPr>
          <w:p>
            <w:pPr>
              <w:spacing w:after="0" w:line="20" w:lineRule="exact"/>
              <w:rPr>
                <w:sz w:val="1"/>
                <w:szCs w:val="1"/>
                <w:color w:val="auto"/>
              </w:rPr>
            </w:pPr>
          </w:p>
        </w:tc>
        <w:tc>
          <w:tcPr>
            <w:tcW w:w="96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400" w:type="dxa"/>
            <w:vAlign w:val="bottom"/>
            <w:tcBorders>
              <w:top w:val="single" w:sz="8" w:color="E2E8F1"/>
            </w:tcBorders>
            <w:shd w:val="clear" w:color="auto" w:fill="E2E8F1"/>
          </w:tcPr>
          <w:p>
            <w:pPr>
              <w:spacing w:after="0" w:line="20" w:lineRule="exact"/>
              <w:rPr>
                <w:sz w:val="1"/>
                <w:szCs w:val="1"/>
                <w:color w:val="auto"/>
              </w:rPr>
            </w:pPr>
          </w:p>
        </w:tc>
        <w:tc>
          <w:tcPr>
            <w:tcW w:w="100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3860" w:type="dxa"/>
            <w:vAlign w:val="bottom"/>
          </w:tcPr>
          <w:p>
            <w:pPr>
              <w:spacing w:after="0" w:line="141" w:lineRule="exact"/>
              <w:rPr>
                <w:sz w:val="20"/>
                <w:szCs w:val="20"/>
                <w:color w:val="auto"/>
              </w:rPr>
            </w:pPr>
            <w:r>
              <w:rPr>
                <w:rFonts w:ascii="Arial" w:cs="Arial" w:eastAsia="Arial" w:hAnsi="Arial"/>
                <w:sz w:val="14"/>
                <w:szCs w:val="14"/>
                <w:color w:val="auto"/>
              </w:rPr>
              <w:t>Net (loss) earnings per share - basic</w:t>
            </w:r>
          </w:p>
        </w:tc>
        <w:tc>
          <w:tcPr>
            <w:tcW w:w="180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(0.93)</w:t>
            </w:r>
          </w:p>
        </w:tc>
        <w:tc>
          <w:tcPr>
            <w:tcW w:w="36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1" w:lineRule="exact"/>
              <w:rPr>
                <w:sz w:val="20"/>
                <w:szCs w:val="20"/>
                <w:color w:val="auto"/>
              </w:rPr>
            </w:pPr>
            <w:r>
              <w:rPr>
                <w:rFonts w:ascii="Arial" w:cs="Arial" w:eastAsia="Arial" w:hAnsi="Arial"/>
                <w:sz w:val="14"/>
                <w:szCs w:val="14"/>
                <w:color w:val="auto"/>
              </w:rPr>
              <w:t>2.56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right"/>
              <w:ind w:right="20"/>
              <w:spacing w:after="0" w:line="141" w:lineRule="exact"/>
              <w:rPr>
                <w:sz w:val="20"/>
                <w:szCs w:val="20"/>
                <w:color w:val="auto"/>
              </w:rPr>
            </w:pPr>
            <w:r>
              <w:rPr>
                <w:rFonts w:ascii="Arial" w:cs="Arial" w:eastAsia="Arial" w:hAnsi="Arial"/>
                <w:sz w:val="14"/>
                <w:szCs w:val="14"/>
                <w:color w:val="auto"/>
              </w:rPr>
              <w:t>-136.5%</w:t>
            </w: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shd w:val="clear" w:color="auto" w:fill="E2E8F1"/>
          </w:tcPr>
          <w:p>
            <w:pPr>
              <w:spacing w:after="0" w:line="141" w:lineRule="exact"/>
              <w:rPr>
                <w:sz w:val="20"/>
                <w:szCs w:val="20"/>
                <w:color w:val="auto"/>
              </w:rPr>
            </w:pPr>
            <w:r>
              <w:rPr>
                <w:rFonts w:ascii="Arial" w:cs="Arial" w:eastAsia="Arial" w:hAnsi="Arial"/>
                <w:sz w:val="14"/>
                <w:szCs w:val="14"/>
                <w:color w:val="auto"/>
              </w:rPr>
              <w:t>Net (loss) earnings per share - diluted</w:t>
            </w:r>
          </w:p>
        </w:tc>
        <w:tc>
          <w:tcPr>
            <w:tcW w:w="1800" w:type="dxa"/>
            <w:vAlign w:val="bottom"/>
            <w:gridSpan w:val="2"/>
            <w:shd w:val="clear" w:color="auto" w:fill="E2E8F1"/>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E2E8F1"/>
          </w:tcPr>
          <w:p>
            <w:pPr>
              <w:jc w:val="right"/>
              <w:ind w:right="60"/>
              <w:spacing w:after="0" w:line="141" w:lineRule="exact"/>
              <w:rPr>
                <w:sz w:val="20"/>
                <w:szCs w:val="20"/>
                <w:color w:val="auto"/>
              </w:rPr>
            </w:pPr>
            <w:r>
              <w:rPr>
                <w:rFonts w:ascii="Arial" w:cs="Arial" w:eastAsia="Arial" w:hAnsi="Arial"/>
                <w:sz w:val="14"/>
                <w:szCs w:val="14"/>
                <w:color w:val="auto"/>
              </w:rPr>
              <w:t>(0.93)</w:t>
            </w:r>
          </w:p>
        </w:tc>
        <w:tc>
          <w:tcPr>
            <w:tcW w:w="360" w:type="dxa"/>
            <w:vAlign w:val="bottom"/>
            <w:gridSpan w:val="2"/>
            <w:shd w:val="clear" w:color="auto" w:fill="E2E8F1"/>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000" w:type="dxa"/>
            <w:vAlign w:val="bottom"/>
            <w:shd w:val="clear" w:color="auto" w:fill="E2E8F1"/>
          </w:tcPr>
          <w:p>
            <w:pPr>
              <w:jc w:val="right"/>
              <w:spacing w:after="0" w:line="141" w:lineRule="exact"/>
              <w:rPr>
                <w:sz w:val="20"/>
                <w:szCs w:val="20"/>
                <w:color w:val="auto"/>
              </w:rPr>
            </w:pPr>
            <w:r>
              <w:rPr>
                <w:rFonts w:ascii="Arial" w:cs="Arial" w:eastAsia="Arial" w:hAnsi="Arial"/>
                <w:sz w:val="14"/>
                <w:szCs w:val="14"/>
                <w:color w:val="auto"/>
              </w:rPr>
              <w:t>2.53</w:t>
            </w:r>
          </w:p>
        </w:tc>
        <w:tc>
          <w:tcPr>
            <w:tcW w:w="1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320" w:type="dxa"/>
            <w:vAlign w:val="bottom"/>
            <w:shd w:val="clear" w:color="auto" w:fill="E2E8F1"/>
          </w:tcPr>
          <w:p>
            <w:pPr>
              <w:spacing w:after="0"/>
              <w:rPr>
                <w:sz w:val="15"/>
                <w:szCs w:val="15"/>
                <w:color w:val="auto"/>
              </w:rPr>
            </w:pPr>
          </w:p>
        </w:tc>
        <w:tc>
          <w:tcPr>
            <w:tcW w:w="1100" w:type="dxa"/>
            <w:vAlign w:val="bottom"/>
            <w:gridSpan w:val="2"/>
            <w:shd w:val="clear" w:color="auto" w:fill="E2E8F1"/>
          </w:tcPr>
          <w:p>
            <w:pPr>
              <w:jc w:val="right"/>
              <w:ind w:right="20"/>
              <w:spacing w:after="0" w:line="141" w:lineRule="exact"/>
              <w:rPr>
                <w:sz w:val="20"/>
                <w:szCs w:val="20"/>
                <w:color w:val="auto"/>
              </w:rPr>
            </w:pPr>
            <w:r>
              <w:rPr>
                <w:rFonts w:ascii="Arial" w:cs="Arial" w:eastAsia="Arial" w:hAnsi="Arial"/>
                <w:sz w:val="14"/>
                <w:szCs w:val="14"/>
                <w:color w:val="auto"/>
              </w:rPr>
              <w:t>-136.9%</w:t>
            </w:r>
          </w:p>
        </w:tc>
        <w:tc>
          <w:tcPr>
            <w:tcW w:w="400" w:type="dxa"/>
            <w:vAlign w:val="bottom"/>
            <w:shd w:val="clear" w:color="auto" w:fill="E2E8F1"/>
          </w:tcPr>
          <w:p>
            <w:pPr>
              <w:spacing w:after="0"/>
              <w:rPr>
                <w:sz w:val="15"/>
                <w:szCs w:val="15"/>
                <w:color w:val="auto"/>
              </w:rPr>
            </w:pPr>
          </w:p>
        </w:tc>
        <w:tc>
          <w:tcPr>
            <w:tcW w:w="1140" w:type="dxa"/>
            <w:vAlign w:val="bottom"/>
            <w:gridSpan w:val="2"/>
            <w:shd w:val="clear" w:color="auto" w:fill="E2E8F1"/>
          </w:tcPr>
          <w:p>
            <w:pPr>
              <w:jc w:val="right"/>
              <w:ind w:right="20"/>
              <w:spacing w:after="0" w:line="141" w:lineRule="exact"/>
              <w:rPr>
                <w:sz w:val="20"/>
                <w:szCs w:val="20"/>
                <w:color w:val="auto"/>
              </w:rPr>
            </w:pPr>
            <w:r>
              <w:rPr>
                <w:rFonts w:ascii="Arial" w:cs="Arial" w:eastAsia="Arial" w:hAnsi="Arial"/>
                <w:sz w:val="14"/>
                <w:szCs w:val="14"/>
                <w:color w:val="auto"/>
              </w:rPr>
              <w:t>-140.1%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60" w:type="dxa"/>
            <w:vAlign w:val="bottom"/>
            <w:tcBorders>
              <w:top w:val="single" w:sz="8" w:color="E2E8F1"/>
            </w:tcBorders>
          </w:tcPr>
          <w:p>
            <w:pPr>
              <w:spacing w:after="0" w:line="141" w:lineRule="exact"/>
              <w:rPr>
                <w:sz w:val="20"/>
                <w:szCs w:val="20"/>
                <w:color w:val="auto"/>
              </w:rPr>
            </w:pPr>
            <w:r>
              <w:rPr>
                <w:rFonts w:ascii="Arial" w:cs="Arial" w:eastAsia="Arial" w:hAnsi="Arial"/>
                <w:sz w:val="14"/>
                <w:szCs w:val="14"/>
                <w:color w:val="auto"/>
              </w:rPr>
              <w:t>Weighted average shares - basic</w:t>
            </w:r>
          </w:p>
        </w:tc>
        <w:tc>
          <w:tcPr>
            <w:tcW w:w="1520" w:type="dxa"/>
            <w:vAlign w:val="bottom"/>
            <w:tcBorders>
              <w:top w:val="single" w:sz="8" w:color="E2E8F1"/>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46.6</w:t>
            </w:r>
          </w:p>
        </w:tc>
        <w:tc>
          <w:tcPr>
            <w:tcW w:w="120" w:type="dxa"/>
            <w:vAlign w:val="bottom"/>
            <w:tcBorders>
              <w:top w:val="single" w:sz="8" w:color="E2E8F1"/>
            </w:tcBorders>
          </w:tcPr>
          <w:p>
            <w:pPr>
              <w:spacing w:after="0"/>
              <w:rPr>
                <w:sz w:val="12"/>
                <w:szCs w:val="12"/>
                <w:color w:val="auto"/>
              </w:rPr>
            </w:pPr>
          </w:p>
        </w:tc>
        <w:tc>
          <w:tcPr>
            <w:tcW w:w="140" w:type="dxa"/>
            <w:vAlign w:val="bottom"/>
            <w:tcBorders>
              <w:top w:val="single" w:sz="8" w:color="E2E8F1"/>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47.9</w:t>
            </w:r>
          </w:p>
        </w:tc>
        <w:tc>
          <w:tcPr>
            <w:tcW w:w="100" w:type="dxa"/>
            <w:vAlign w:val="bottom"/>
            <w:tcBorders>
              <w:top w:val="single" w:sz="8" w:color="E2E8F1"/>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320" w:type="dxa"/>
            <w:vAlign w:val="bottom"/>
            <w:tcBorders>
              <w:top w:val="single" w:sz="8" w:color="E2E8F1"/>
            </w:tcBorders>
          </w:tcPr>
          <w:p>
            <w:pPr>
              <w:spacing w:after="0"/>
              <w:rPr>
                <w:sz w:val="12"/>
                <w:szCs w:val="12"/>
                <w:color w:val="auto"/>
              </w:rPr>
            </w:pPr>
          </w:p>
        </w:tc>
        <w:tc>
          <w:tcPr>
            <w:tcW w:w="1100" w:type="dxa"/>
            <w:vAlign w:val="bottom"/>
            <w:tcBorders>
              <w:top w:val="single" w:sz="8" w:color="E2E8F1"/>
            </w:tcBorders>
            <w:gridSpan w:val="2"/>
          </w:tcPr>
          <w:p>
            <w:pPr>
              <w:jc w:val="right"/>
              <w:ind w:right="20"/>
              <w:spacing w:after="0" w:line="141" w:lineRule="exact"/>
              <w:rPr>
                <w:sz w:val="20"/>
                <w:szCs w:val="20"/>
                <w:color w:val="auto"/>
              </w:rPr>
            </w:pPr>
            <w:r>
              <w:rPr>
                <w:rFonts w:ascii="Arial" w:cs="Arial" w:eastAsia="Arial" w:hAnsi="Arial"/>
                <w:sz w:val="14"/>
                <w:szCs w:val="14"/>
                <w:color w:val="auto"/>
              </w:rPr>
              <w:t>-2.8%</w:t>
            </w:r>
          </w:p>
        </w:tc>
        <w:tc>
          <w:tcPr>
            <w:tcW w:w="400" w:type="dxa"/>
            <w:vAlign w:val="bottom"/>
            <w:tcBorders>
              <w:top w:val="single" w:sz="8" w:color="E2E8F1"/>
            </w:tcBorders>
          </w:tcPr>
          <w:p>
            <w:pPr>
              <w:spacing w:after="0"/>
              <w:rPr>
                <w:sz w:val="12"/>
                <w:szCs w:val="12"/>
                <w:color w:val="auto"/>
              </w:rPr>
            </w:pPr>
          </w:p>
        </w:tc>
        <w:tc>
          <w:tcPr>
            <w:tcW w:w="1000" w:type="dxa"/>
            <w:vAlign w:val="bottom"/>
            <w:tcBorders>
              <w:top w:val="single" w:sz="8" w:color="E2E8F1"/>
            </w:tcBorders>
          </w:tcPr>
          <w:p>
            <w:pPr>
              <w:spacing w:after="0"/>
              <w:rPr>
                <w:sz w:val="12"/>
                <w:szCs w:val="12"/>
                <w:color w:val="auto"/>
              </w:rPr>
            </w:pPr>
          </w:p>
        </w:tc>
        <w:tc>
          <w:tcPr>
            <w:tcW w:w="140" w:type="dxa"/>
            <w:vAlign w:val="bottom"/>
            <w:tcBorders>
              <w:top w:val="single" w:sz="8" w:color="E2E8F1"/>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tcBorders>
              <w:bottom w:val="single" w:sz="8" w:color="E2E8F1"/>
            </w:tcBorders>
            <w:shd w:val="clear" w:color="auto" w:fill="E2E8F1"/>
          </w:tcPr>
          <w:p>
            <w:pPr>
              <w:spacing w:after="0" w:line="141" w:lineRule="exact"/>
              <w:rPr>
                <w:sz w:val="20"/>
                <w:szCs w:val="20"/>
                <w:color w:val="auto"/>
              </w:rPr>
            </w:pPr>
            <w:r>
              <w:rPr>
                <w:rFonts w:ascii="Arial" w:cs="Arial" w:eastAsia="Arial" w:hAnsi="Arial"/>
                <w:sz w:val="14"/>
                <w:szCs w:val="14"/>
                <w:color w:val="auto"/>
              </w:rPr>
              <w:t>Weighted average shares - diluted</w:t>
            </w:r>
          </w:p>
        </w:tc>
        <w:tc>
          <w:tcPr>
            <w:tcW w:w="1520" w:type="dxa"/>
            <w:vAlign w:val="bottom"/>
            <w:tcBorders>
              <w:bottom w:val="single" w:sz="8" w:color="E2E8F1"/>
            </w:tcBorders>
            <w:shd w:val="clear" w:color="auto" w:fill="E2E8F1"/>
          </w:tcPr>
          <w:p>
            <w:pPr>
              <w:spacing w:after="0"/>
              <w:rPr>
                <w:sz w:val="15"/>
                <w:szCs w:val="15"/>
                <w:color w:val="auto"/>
              </w:rPr>
            </w:pPr>
          </w:p>
        </w:tc>
        <w:tc>
          <w:tcPr>
            <w:tcW w:w="280" w:type="dxa"/>
            <w:vAlign w:val="bottom"/>
            <w:tcBorders>
              <w:bottom w:val="single" w:sz="8" w:color="auto"/>
            </w:tcBorders>
            <w:shd w:val="clear" w:color="auto" w:fill="E2E8F1"/>
          </w:tcPr>
          <w:p>
            <w:pPr>
              <w:spacing w:after="0"/>
              <w:rPr>
                <w:sz w:val="15"/>
                <w:szCs w:val="15"/>
                <w:color w:val="auto"/>
              </w:rPr>
            </w:pPr>
          </w:p>
        </w:tc>
        <w:tc>
          <w:tcPr>
            <w:tcW w:w="940" w:type="dxa"/>
            <w:vAlign w:val="bottom"/>
            <w:tcBorders>
              <w:bottom w:val="single" w:sz="8" w:color="auto"/>
            </w:tcBorders>
            <w:shd w:val="clear" w:color="auto" w:fill="E2E8F1"/>
          </w:tcPr>
          <w:p>
            <w:pPr>
              <w:jc w:val="right"/>
              <w:spacing w:after="0" w:line="141" w:lineRule="exact"/>
              <w:rPr>
                <w:sz w:val="20"/>
                <w:szCs w:val="20"/>
                <w:color w:val="auto"/>
              </w:rPr>
            </w:pPr>
            <w:r>
              <w:rPr>
                <w:rFonts w:ascii="Arial" w:cs="Arial" w:eastAsia="Arial" w:hAnsi="Arial"/>
                <w:sz w:val="14"/>
                <w:szCs w:val="14"/>
                <w:color w:val="auto"/>
              </w:rPr>
              <w:t>46.6</w:t>
            </w:r>
          </w:p>
        </w:tc>
        <w:tc>
          <w:tcPr>
            <w:tcW w:w="120" w:type="dxa"/>
            <w:vAlign w:val="bottom"/>
            <w:tcBorders>
              <w:bottom w:val="single" w:sz="8" w:color="E2E8F1"/>
            </w:tcBorders>
            <w:shd w:val="clear" w:color="auto" w:fill="E2E8F1"/>
          </w:tcPr>
          <w:p>
            <w:pPr>
              <w:spacing w:after="0"/>
              <w:rPr>
                <w:sz w:val="15"/>
                <w:szCs w:val="15"/>
                <w:color w:val="auto"/>
              </w:rPr>
            </w:pPr>
          </w:p>
        </w:tc>
        <w:tc>
          <w:tcPr>
            <w:tcW w:w="140" w:type="dxa"/>
            <w:vAlign w:val="bottom"/>
            <w:tcBorders>
              <w:bottom w:val="single" w:sz="8" w:color="E2E8F1"/>
            </w:tcBorders>
            <w:shd w:val="clear" w:color="auto" w:fill="E2E8F1"/>
          </w:tcPr>
          <w:p>
            <w:pPr>
              <w:spacing w:after="0"/>
              <w:rPr>
                <w:sz w:val="15"/>
                <w:szCs w:val="15"/>
                <w:color w:val="auto"/>
              </w:rPr>
            </w:pPr>
          </w:p>
        </w:tc>
        <w:tc>
          <w:tcPr>
            <w:tcW w:w="220" w:type="dxa"/>
            <w:vAlign w:val="bottom"/>
            <w:tcBorders>
              <w:bottom w:val="single" w:sz="8" w:color="auto"/>
            </w:tcBorders>
            <w:shd w:val="clear" w:color="auto" w:fill="E2E8F1"/>
          </w:tcPr>
          <w:p>
            <w:pPr>
              <w:spacing w:after="0"/>
              <w:rPr>
                <w:sz w:val="15"/>
                <w:szCs w:val="15"/>
                <w:color w:val="auto"/>
              </w:rPr>
            </w:pPr>
          </w:p>
        </w:tc>
        <w:tc>
          <w:tcPr>
            <w:tcW w:w="1000" w:type="dxa"/>
            <w:vAlign w:val="bottom"/>
            <w:tcBorders>
              <w:bottom w:val="single" w:sz="8" w:color="auto"/>
            </w:tcBorders>
            <w:shd w:val="clear" w:color="auto" w:fill="E2E8F1"/>
          </w:tcPr>
          <w:p>
            <w:pPr>
              <w:jc w:val="right"/>
              <w:spacing w:after="0" w:line="141" w:lineRule="exact"/>
              <w:rPr>
                <w:sz w:val="20"/>
                <w:szCs w:val="20"/>
                <w:color w:val="auto"/>
              </w:rPr>
            </w:pPr>
            <w:r>
              <w:rPr>
                <w:rFonts w:ascii="Arial" w:cs="Arial" w:eastAsia="Arial" w:hAnsi="Arial"/>
                <w:sz w:val="14"/>
                <w:szCs w:val="14"/>
                <w:color w:val="auto"/>
              </w:rPr>
              <w:t>48.5</w:t>
            </w:r>
          </w:p>
        </w:tc>
        <w:tc>
          <w:tcPr>
            <w:tcW w:w="100" w:type="dxa"/>
            <w:vAlign w:val="bottom"/>
            <w:tcBorders>
              <w:bottom w:val="single" w:sz="8" w:color="E2E8F1"/>
            </w:tcBorders>
            <w:shd w:val="clear" w:color="auto" w:fill="E2E8F1"/>
          </w:tcPr>
          <w:p>
            <w:pPr>
              <w:spacing w:after="0"/>
              <w:rPr>
                <w:sz w:val="15"/>
                <w:szCs w:val="15"/>
                <w:color w:val="auto"/>
              </w:rPr>
            </w:pPr>
          </w:p>
        </w:tc>
        <w:tc>
          <w:tcPr>
            <w:tcW w:w="100" w:type="dxa"/>
            <w:vAlign w:val="bottom"/>
            <w:tcBorders>
              <w:bottom w:val="single" w:sz="8" w:color="E2E8F1"/>
            </w:tcBorders>
            <w:shd w:val="clear" w:color="auto" w:fill="E2E8F1"/>
          </w:tcPr>
          <w:p>
            <w:pPr>
              <w:spacing w:after="0"/>
              <w:rPr>
                <w:sz w:val="15"/>
                <w:szCs w:val="15"/>
                <w:color w:val="auto"/>
              </w:rPr>
            </w:pPr>
          </w:p>
        </w:tc>
        <w:tc>
          <w:tcPr>
            <w:tcW w:w="320" w:type="dxa"/>
            <w:vAlign w:val="bottom"/>
            <w:tcBorders>
              <w:bottom w:val="single" w:sz="8" w:color="E2E8F1"/>
            </w:tcBorders>
            <w:shd w:val="clear" w:color="auto" w:fill="E2E8F1"/>
          </w:tcPr>
          <w:p>
            <w:pPr>
              <w:spacing w:after="0"/>
              <w:rPr>
                <w:sz w:val="15"/>
                <w:szCs w:val="15"/>
                <w:color w:val="auto"/>
              </w:rPr>
            </w:pPr>
          </w:p>
        </w:tc>
        <w:tc>
          <w:tcPr>
            <w:tcW w:w="1100" w:type="dxa"/>
            <w:vAlign w:val="bottom"/>
            <w:tcBorders>
              <w:bottom w:val="single" w:sz="8" w:color="E2E8F1"/>
            </w:tcBorders>
            <w:gridSpan w:val="2"/>
            <w:shd w:val="clear" w:color="auto" w:fill="E2E8F1"/>
          </w:tcPr>
          <w:p>
            <w:pPr>
              <w:jc w:val="right"/>
              <w:ind w:right="20"/>
              <w:spacing w:after="0" w:line="141" w:lineRule="exact"/>
              <w:rPr>
                <w:sz w:val="20"/>
                <w:szCs w:val="20"/>
                <w:color w:val="auto"/>
              </w:rPr>
            </w:pPr>
            <w:r>
              <w:rPr>
                <w:rFonts w:ascii="Arial" w:cs="Arial" w:eastAsia="Arial" w:hAnsi="Arial"/>
                <w:sz w:val="14"/>
                <w:szCs w:val="14"/>
                <w:color w:val="auto"/>
              </w:rPr>
              <w:t>-3.9%</w:t>
            </w:r>
          </w:p>
        </w:tc>
        <w:tc>
          <w:tcPr>
            <w:tcW w:w="400" w:type="dxa"/>
            <w:vAlign w:val="bottom"/>
            <w:tcBorders>
              <w:bottom w:val="single" w:sz="8" w:color="E2E8F1"/>
            </w:tcBorders>
            <w:shd w:val="clear" w:color="auto" w:fill="E2E8F1"/>
          </w:tcPr>
          <w:p>
            <w:pPr>
              <w:spacing w:after="0"/>
              <w:rPr>
                <w:sz w:val="15"/>
                <w:szCs w:val="15"/>
                <w:color w:val="auto"/>
              </w:rPr>
            </w:pPr>
          </w:p>
        </w:tc>
        <w:tc>
          <w:tcPr>
            <w:tcW w:w="1000" w:type="dxa"/>
            <w:vAlign w:val="bottom"/>
            <w:tcBorders>
              <w:bottom w:val="single" w:sz="8" w:color="E2E8F1"/>
            </w:tcBorders>
            <w:shd w:val="clear" w:color="auto" w:fill="E2E8F1"/>
          </w:tcPr>
          <w:p>
            <w:pPr>
              <w:spacing w:after="0"/>
              <w:rPr>
                <w:sz w:val="15"/>
                <w:szCs w:val="15"/>
                <w:color w:val="auto"/>
              </w:rPr>
            </w:pPr>
          </w:p>
        </w:tc>
        <w:tc>
          <w:tcPr>
            <w:tcW w:w="140" w:type="dxa"/>
            <w:vAlign w:val="bottom"/>
            <w:tcBorders>
              <w:bottom w:val="single" w:sz="8" w:color="E2E8F1"/>
            </w:tcBorders>
            <w:shd w:val="clear" w:color="auto" w:fill="E2E8F1"/>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-1193165</wp:posOffset>
            </wp:positionV>
            <wp:extent cx="673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-1193165</wp:posOffset>
            </wp:positionV>
            <wp:extent cx="673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-532765</wp:posOffset>
            </wp:positionV>
            <wp:extent cx="673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-517525</wp:posOffset>
            </wp:positionV>
            <wp:extent cx="6731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-532765</wp:posOffset>
            </wp:positionV>
            <wp:extent cx="6731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-517525</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-277495</wp:posOffset>
            </wp:positionV>
            <wp:extent cx="673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-262255</wp:posOffset>
            </wp:positionV>
            <wp:extent cx="673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-277495</wp:posOffset>
            </wp:positionV>
            <wp:extent cx="673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-262255</wp:posOffset>
            </wp:positionV>
            <wp:extent cx="673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-21590</wp:posOffset>
            </wp:positionV>
            <wp:extent cx="673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-6985</wp:posOffset>
            </wp:positionV>
            <wp:extent cx="673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-21590</wp:posOffset>
            </wp:positionV>
            <wp:extent cx="673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-6985</wp:posOffset>
            </wp:positionV>
            <wp:extent cx="673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62" w:lineRule="exact"/>
        <w:rPr>
          <w:sz w:val="20"/>
          <w:szCs w:val="20"/>
          <w:color w:val="auto"/>
        </w:rPr>
      </w:pPr>
    </w:p>
    <w:p>
      <w:pPr>
        <w:jc w:val="both"/>
        <w:ind w:left="505" w:right="20" w:hanging="505"/>
        <w:spacing w:after="0" w:line="226" w:lineRule="auto"/>
        <w:tabs>
          <w:tab w:leader="none" w:pos="505"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Revenues from services include fees received from our franchise offices of $12.5 million and $10.6 million for the nine months ended September 30, 2025 and 2024, respectively. These fees are primarily based on revenues generated by the franchise offices, which were $1,147.4 million and $847.4 million for the nine months ended September 30, 2025 and 2024, respectively.</w:t>
      </w:r>
    </w:p>
    <w:p>
      <w:pPr>
        <w:spacing w:after="0" w:line="1" w:lineRule="exact"/>
        <w:rPr>
          <w:rFonts w:ascii="Arial" w:cs="Arial" w:eastAsia="Arial" w:hAnsi="Arial"/>
          <w:sz w:val="19"/>
          <w:szCs w:val="19"/>
          <w:color w:val="auto"/>
          <w:vertAlign w:val="superscript"/>
        </w:rPr>
      </w:pPr>
    </w:p>
    <w:p>
      <w:pPr>
        <w:ind w:left="505" w:hanging="505"/>
        <w:spacing w:after="0" w:line="213" w:lineRule="auto"/>
        <w:tabs>
          <w:tab w:leader="none" w:pos="505"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Impairment charges for the nine months ended September 30, 2025 consist of a goodwill impairment related to our investments in Switzerland and the United Kingdom and an impairment of an indefinite lived intangible asset in our Switzerland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7486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82" w:right="319" w:bottom="1440" w:gutter="0" w:footer="0" w:header="0"/>
        </w:sectPr>
      </w:pPr>
    </w:p>
    <w:bookmarkStart w:id="9" w:name="page10"/>
    <w:bookmarkEnd w:id="9"/>
    <w:p>
      <w:pPr>
        <w:ind w:left="5045"/>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845"/>
        <w:spacing w:after="0"/>
        <w:rPr>
          <w:sz w:val="20"/>
          <w:szCs w:val="20"/>
          <w:color w:val="auto"/>
        </w:rPr>
      </w:pPr>
      <w:r>
        <w:rPr>
          <w:rFonts w:ascii="Arial" w:cs="Arial" w:eastAsia="Arial" w:hAnsi="Arial"/>
          <w:sz w:val="16"/>
          <w:szCs w:val="16"/>
          <w:color w:val="auto"/>
        </w:rPr>
        <w:t>Operating Unit Results</w:t>
      </w:r>
    </w:p>
    <w:p>
      <w:pPr>
        <w:spacing w:after="0" w:line="2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7"/>
          </w:tcPr>
          <w:p>
            <w:pPr>
              <w:jc w:val="center"/>
              <w:ind w:right="720"/>
              <w:spacing w:after="0"/>
              <w:rPr>
                <w:sz w:val="20"/>
                <w:szCs w:val="20"/>
                <w:color w:val="auto"/>
              </w:rPr>
            </w:pPr>
            <w:r>
              <w:rPr>
                <w:rFonts w:ascii="Arial" w:cs="Arial" w:eastAsia="Arial" w:hAnsi="Arial"/>
                <w:sz w:val="13"/>
                <w:szCs w:val="13"/>
                <w:b w:val="1"/>
                <w:bCs w:val="1"/>
                <w:color w:val="auto"/>
                <w:w w:val="96"/>
              </w:rPr>
              <w:t>Nine Months Ended September 30</w:t>
            </w:r>
          </w:p>
        </w:tc>
        <w:tc>
          <w:tcPr>
            <w:tcW w:w="10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ind w:left="740"/>
              <w:spacing w:after="0" w:line="134" w:lineRule="exact"/>
              <w:rPr>
                <w:sz w:val="20"/>
                <w:szCs w:val="20"/>
                <w:color w:val="auto"/>
              </w:rPr>
            </w:pPr>
            <w:r>
              <w:rPr>
                <w:rFonts w:ascii="Arial" w:cs="Arial" w:eastAsia="Arial" w:hAnsi="Arial"/>
                <w:sz w:val="13"/>
                <w:szCs w:val="13"/>
                <w:b w:val="1"/>
                <w:bCs w:val="1"/>
                <w:color w:val="auto"/>
              </w:rPr>
              <w:t>% Variance</w:t>
            </w:r>
          </w:p>
        </w:tc>
        <w:tc>
          <w:tcPr>
            <w:tcW w:w="10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restart"/>
          </w:tcPr>
          <w:p>
            <w:pPr>
              <w:jc w:val="right"/>
              <w:ind w:right="33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6"/>
                <w:szCs w:val="16"/>
                <w:b w:val="1"/>
                <w:bCs w:val="1"/>
                <w:color w:val="auto"/>
                <w:vertAlign w:val="superscript"/>
              </w:rPr>
              <w:t>(a)</w:t>
            </w:r>
          </w:p>
        </w:tc>
        <w:tc>
          <w:tcPr>
            <w:tcW w:w="100" w:type="dxa"/>
            <w:vAlign w:val="bottom"/>
            <w:vMerge w:val="restart"/>
          </w:tcPr>
          <w:p>
            <w:pPr>
              <w:spacing w:after="0"/>
              <w:rPr>
                <w:sz w:val="10"/>
                <w:szCs w:val="10"/>
                <w:color w:val="auto"/>
              </w:rPr>
            </w:pPr>
          </w:p>
        </w:tc>
        <w:tc>
          <w:tcPr>
            <w:tcW w:w="420" w:type="dxa"/>
            <w:vAlign w:val="bottom"/>
            <w:gridSpan w:val="2"/>
            <w:vMerge w:val="restart"/>
          </w:tcPr>
          <w:p>
            <w:pPr>
              <w:spacing w:after="0"/>
              <w:rPr>
                <w:sz w:val="10"/>
                <w:szCs w:val="10"/>
                <w:color w:val="auto"/>
              </w:rPr>
            </w:pPr>
          </w:p>
        </w:tc>
        <w:tc>
          <w:tcPr>
            <w:tcW w:w="1500" w:type="dxa"/>
            <w:vAlign w:val="bottom"/>
            <w:gridSpan w:val="3"/>
          </w:tcPr>
          <w:p>
            <w:pPr>
              <w:jc w:val="center"/>
              <w:ind w:right="860"/>
              <w:spacing w:after="0" w:line="126" w:lineRule="exact"/>
              <w:rPr>
                <w:sz w:val="20"/>
                <w:szCs w:val="20"/>
                <w:color w:val="auto"/>
              </w:rPr>
            </w:pPr>
            <w:r>
              <w:rPr>
                <w:rFonts w:ascii="Arial" w:cs="Arial" w:eastAsia="Arial" w:hAnsi="Arial"/>
                <w:sz w:val="13"/>
                <w:szCs w:val="13"/>
                <w:b w:val="1"/>
                <w:bCs w:val="1"/>
                <w:color w:val="auto"/>
                <w:w w:val="97"/>
              </w:rPr>
              <w:t>Amount</w:t>
            </w:r>
          </w:p>
        </w:tc>
        <w:tc>
          <w:tcPr>
            <w:tcW w:w="1000" w:type="dxa"/>
            <w:vAlign w:val="bottom"/>
          </w:tcPr>
          <w:p>
            <w:pPr>
              <w:ind w:left="60"/>
              <w:spacing w:after="0" w:line="126" w:lineRule="exact"/>
              <w:rPr>
                <w:sz w:val="20"/>
                <w:szCs w:val="20"/>
                <w:color w:val="auto"/>
              </w:rPr>
            </w:pPr>
            <w:r>
              <w:rPr>
                <w:rFonts w:ascii="Arial" w:cs="Arial" w:eastAsia="Arial" w:hAnsi="Arial"/>
                <w:sz w:val="13"/>
                <w:szCs w:val="13"/>
                <w:b w:val="1"/>
                <w:bCs w:val="1"/>
                <w:color w:val="auto"/>
              </w:rPr>
              <w:t>Constant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20" w:type="dxa"/>
            <w:vAlign w:val="bottom"/>
            <w:tcBorders>
              <w:bottom w:val="single" w:sz="8" w:color="auto"/>
            </w:tcBorders>
            <w:gridSpan w:val="2"/>
            <w:vMerge w:val="continue"/>
          </w:tcPr>
          <w:p>
            <w:pPr>
              <w:spacing w:after="0"/>
              <w:rPr>
                <w:sz w:val="13"/>
                <w:szCs w:val="13"/>
                <w:color w:val="auto"/>
              </w:rPr>
            </w:pPr>
          </w:p>
        </w:tc>
        <w:tc>
          <w:tcPr>
            <w:tcW w:w="960" w:type="dxa"/>
            <w:vAlign w:val="bottom"/>
            <w:tcBorders>
              <w:bottom w:val="single" w:sz="8" w:color="auto"/>
            </w:tcBorders>
          </w:tcPr>
          <w:p>
            <w:pPr>
              <w:jc w:val="center"/>
              <w:ind w:right="250"/>
              <w:spacing w:after="0"/>
              <w:rPr>
                <w:sz w:val="20"/>
                <w:szCs w:val="20"/>
                <w:color w:val="auto"/>
              </w:rPr>
            </w:pPr>
            <w:r>
              <w:rPr>
                <w:rFonts w:ascii="Arial" w:cs="Arial" w:eastAsia="Arial" w:hAnsi="Arial"/>
                <w:sz w:val="13"/>
                <w:szCs w:val="13"/>
                <w:b w:val="1"/>
                <w:bCs w:val="1"/>
                <w:color w:val="auto"/>
                <w:w w:val="98"/>
              </w:rPr>
              <w:t>Reported</w:t>
            </w: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Currency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20" w:type="dxa"/>
            <w:vAlign w:val="bottom"/>
            <w:vMerge w:val="restart"/>
          </w:tcPr>
          <w:p>
            <w:pPr>
              <w:ind w:left="40"/>
              <w:spacing w:after="0"/>
              <w:rPr>
                <w:sz w:val="20"/>
                <w:szCs w:val="20"/>
                <w:color w:val="auto"/>
              </w:rPr>
            </w:pPr>
            <w:r>
              <w:rPr>
                <w:rFonts w:ascii="Arial" w:cs="Arial" w:eastAsia="Arial" w:hAnsi="Arial"/>
                <w:sz w:val="14"/>
                <w:szCs w:val="14"/>
                <w:color w:val="auto"/>
              </w:rPr>
              <w:t>Revenues from Services:</w:t>
            </w: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4"/>
          </w:tcPr>
          <w:p>
            <w:pPr>
              <w:jc w:val="center"/>
              <w:ind w:left="710"/>
              <w:spacing w:after="0"/>
              <w:rPr>
                <w:sz w:val="20"/>
                <w:szCs w:val="20"/>
                <w:color w:val="auto"/>
              </w:rPr>
            </w:pPr>
            <w:r>
              <w:rPr>
                <w:rFonts w:ascii="Arial" w:cs="Arial" w:eastAsia="Arial" w:hAnsi="Arial"/>
                <w:sz w:val="13"/>
                <w:szCs w:val="13"/>
                <w:color w:val="auto"/>
                <w:w w:val="97"/>
              </w:rPr>
              <w:t>(Unaudited)</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92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Americas:</w:t>
            </w:r>
          </w:p>
        </w:tc>
        <w:tc>
          <w:tcPr>
            <w:tcW w:w="14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2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9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20" w:type="dxa"/>
            <w:vAlign w:val="bottom"/>
          </w:tcPr>
          <w:p>
            <w:pPr>
              <w:ind w:left="380"/>
              <w:spacing w:after="0" w:line="165" w:lineRule="exact"/>
              <w:rPr>
                <w:sz w:val="20"/>
                <w:szCs w:val="20"/>
                <w:color w:val="auto"/>
              </w:rPr>
            </w:pPr>
            <w:r>
              <w:rPr>
                <w:rFonts w:ascii="Arial" w:cs="Arial" w:eastAsia="Arial" w:hAnsi="Arial"/>
                <w:sz w:val="14"/>
                <w:szCs w:val="14"/>
                <w:color w:val="auto"/>
              </w:rPr>
              <w:t xml:space="preserve">United States </w:t>
            </w:r>
            <w:r>
              <w:rPr>
                <w:rFonts w:ascii="Arial" w:cs="Arial" w:eastAsia="Arial" w:hAnsi="Arial"/>
                <w:sz w:val="19"/>
                <w:szCs w:val="19"/>
                <w:color w:val="auto"/>
                <w:vertAlign w:val="superscript"/>
              </w:rPr>
              <w:t>(b)</w:t>
            </w: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2,053.7</w:t>
            </w:r>
          </w:p>
        </w:tc>
        <w:tc>
          <w:tcPr>
            <w:tcW w:w="12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2,074.8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6"/>
        </w:trPr>
        <w:tc>
          <w:tcPr>
            <w:tcW w:w="3920" w:type="dxa"/>
            <w:vAlign w:val="bottom"/>
            <w:tcBorders>
              <w:bottom w:val="single" w:sz="8" w:color="E2E8F1"/>
            </w:tcBorders>
            <w:shd w:val="clear" w:color="auto" w:fill="E2E8F1"/>
          </w:tcPr>
          <w:p>
            <w:pPr>
              <w:ind w:left="380"/>
              <w:spacing w:after="0"/>
              <w:rPr>
                <w:sz w:val="20"/>
                <w:szCs w:val="20"/>
                <w:color w:val="auto"/>
              </w:rPr>
            </w:pPr>
            <w:r>
              <w:rPr>
                <w:rFonts w:ascii="Arial" w:cs="Arial" w:eastAsia="Arial" w:hAnsi="Arial"/>
                <w:sz w:val="14"/>
                <w:szCs w:val="14"/>
                <w:color w:val="auto"/>
              </w:rPr>
              <w:t>Other Americas</w:t>
            </w:r>
          </w:p>
        </w:tc>
        <w:tc>
          <w:tcPr>
            <w:tcW w:w="148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9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1,161.7</w:t>
            </w:r>
          </w:p>
        </w:tc>
        <w:tc>
          <w:tcPr>
            <w:tcW w:w="12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220" w:type="dxa"/>
            <w:vAlign w:val="bottom"/>
            <w:tcBorders>
              <w:bottom w:val="single" w:sz="8" w:color="auto"/>
            </w:tcBorders>
            <w:shd w:val="clear" w:color="auto" w:fill="E2E8F1"/>
          </w:tcPr>
          <w:p>
            <w:pPr>
              <w:spacing w:after="0"/>
              <w:rPr>
                <w:sz w:val="14"/>
                <w:szCs w:val="14"/>
                <w:color w:val="auto"/>
              </w:rPr>
            </w:pPr>
          </w:p>
        </w:tc>
        <w:tc>
          <w:tcPr>
            <w:tcW w:w="10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1,076.5</w:t>
            </w:r>
          </w:p>
        </w:tc>
        <w:tc>
          <w:tcPr>
            <w:tcW w:w="1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E2E8F1"/>
            </w:tcBorders>
            <w:shd w:val="clear" w:color="auto" w:fill="E2E8F1"/>
          </w:tcPr>
          <w:p>
            <w:pPr>
              <w:spacing w:after="0"/>
              <w:rPr>
                <w:sz w:val="14"/>
                <w:szCs w:val="14"/>
                <w:color w:val="auto"/>
              </w:rPr>
            </w:pPr>
          </w:p>
        </w:tc>
        <w:tc>
          <w:tcPr>
            <w:tcW w:w="320" w:type="dxa"/>
            <w:vAlign w:val="bottom"/>
            <w:tcBorders>
              <w:bottom w:val="single" w:sz="8" w:color="E2E8F1"/>
            </w:tcBorders>
            <w:shd w:val="clear" w:color="auto" w:fill="E2E8F1"/>
          </w:tcPr>
          <w:p>
            <w:pPr>
              <w:spacing w:after="0"/>
              <w:rPr>
                <w:sz w:val="14"/>
                <w:szCs w:val="14"/>
                <w:color w:val="auto"/>
              </w:rPr>
            </w:pPr>
          </w:p>
        </w:tc>
        <w:tc>
          <w:tcPr>
            <w:tcW w:w="110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7.9%</w:t>
            </w:r>
          </w:p>
        </w:tc>
        <w:tc>
          <w:tcPr>
            <w:tcW w:w="400" w:type="dxa"/>
            <w:vAlign w:val="bottom"/>
            <w:tcBorders>
              <w:bottom w:val="single" w:sz="8" w:color="E2E8F1"/>
            </w:tcBorders>
            <w:shd w:val="clear" w:color="auto" w:fill="E2E8F1"/>
          </w:tcPr>
          <w:p>
            <w:pPr>
              <w:spacing w:after="0"/>
              <w:rPr>
                <w:sz w:val="14"/>
                <w:szCs w:val="14"/>
                <w:color w:val="auto"/>
              </w:rPr>
            </w:pPr>
          </w:p>
        </w:tc>
        <w:tc>
          <w:tcPr>
            <w:tcW w:w="114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57"/>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3,215.4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3,151.3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2.0%</w:t>
            </w:r>
          </w:p>
        </w:tc>
        <w:tc>
          <w:tcPr>
            <w:tcW w:w="400" w:type="dxa"/>
            <w:vAlign w:val="bottom"/>
          </w:tcPr>
          <w:p>
            <w:pPr>
              <w:spacing w:after="0"/>
              <w:rPr>
                <w:sz w:val="13"/>
                <w:szCs w:val="13"/>
                <w:color w:val="auto"/>
              </w:rPr>
            </w:pP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57"/>
        </w:trPr>
        <w:tc>
          <w:tcPr>
            <w:tcW w:w="3920" w:type="dxa"/>
            <w:vAlign w:val="bottom"/>
            <w:shd w:val="clear" w:color="auto" w:fill="E2E8F1"/>
          </w:tcPr>
          <w:p>
            <w:pPr>
              <w:ind w:left="180"/>
              <w:spacing w:after="0" w:line="157" w:lineRule="exact"/>
              <w:rPr>
                <w:sz w:val="20"/>
                <w:szCs w:val="20"/>
                <w:color w:val="auto"/>
              </w:rPr>
            </w:pPr>
            <w:r>
              <w:rPr>
                <w:rFonts w:ascii="Arial" w:cs="Arial" w:eastAsia="Arial" w:hAnsi="Arial"/>
                <w:sz w:val="14"/>
                <w:szCs w:val="14"/>
                <w:color w:val="auto"/>
              </w:rPr>
              <w:t>Southern Europe:</w:t>
            </w:r>
          </w:p>
        </w:tc>
        <w:tc>
          <w:tcPr>
            <w:tcW w:w="148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20" w:type="dxa"/>
            <w:vAlign w:val="bottom"/>
            <w:shd w:val="clear" w:color="auto" w:fill="E2E8F1"/>
          </w:tcPr>
          <w:p>
            <w:pPr>
              <w:spacing w:after="0"/>
              <w:rPr>
                <w:sz w:val="13"/>
                <w:szCs w:val="13"/>
                <w:color w:val="auto"/>
              </w:rPr>
            </w:pPr>
          </w:p>
        </w:tc>
        <w:tc>
          <w:tcPr>
            <w:tcW w:w="10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96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400" w:type="dxa"/>
            <w:vAlign w:val="bottom"/>
            <w:shd w:val="clear" w:color="auto" w:fill="E2E8F1"/>
          </w:tcPr>
          <w:p>
            <w:pPr>
              <w:spacing w:after="0"/>
              <w:rPr>
                <w:sz w:val="13"/>
                <w:szCs w:val="13"/>
                <w:color w:val="auto"/>
              </w:rPr>
            </w:pPr>
          </w:p>
        </w:tc>
        <w:tc>
          <w:tcPr>
            <w:tcW w:w="10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20" w:type="dxa"/>
            <w:vAlign w:val="bottom"/>
          </w:tcPr>
          <w:p>
            <w:pPr>
              <w:ind w:left="380"/>
              <w:spacing w:after="0"/>
              <w:rPr>
                <w:sz w:val="20"/>
                <w:szCs w:val="20"/>
                <w:color w:val="auto"/>
              </w:rPr>
            </w:pPr>
            <w:r>
              <w:rPr>
                <w:rFonts w:ascii="Arial" w:cs="Arial" w:eastAsia="Arial" w:hAnsi="Arial"/>
                <w:sz w:val="14"/>
                <w:szCs w:val="14"/>
                <w:color w:val="auto"/>
              </w:rPr>
              <w:t>France</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3,288.5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3,420.2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-3.9%</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66"/>
        </w:trPr>
        <w:tc>
          <w:tcPr>
            <w:tcW w:w="3920" w:type="dxa"/>
            <w:vAlign w:val="bottom"/>
            <w:shd w:val="clear" w:color="auto" w:fill="E2E8F1"/>
          </w:tcPr>
          <w:p>
            <w:pPr>
              <w:ind w:left="380"/>
              <w:spacing w:after="0"/>
              <w:rPr>
                <w:sz w:val="20"/>
                <w:szCs w:val="20"/>
                <w:color w:val="auto"/>
              </w:rPr>
            </w:pPr>
            <w:r>
              <w:rPr>
                <w:rFonts w:ascii="Arial" w:cs="Arial" w:eastAsia="Arial" w:hAnsi="Arial"/>
                <w:sz w:val="14"/>
                <w:szCs w:val="14"/>
                <w:color w:val="auto"/>
              </w:rPr>
              <w:t>Italy</w:t>
            </w:r>
          </w:p>
        </w:tc>
        <w:tc>
          <w:tcPr>
            <w:tcW w:w="14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1,336.2</w:t>
            </w: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20" w:type="dxa"/>
            <w:vAlign w:val="bottom"/>
            <w:shd w:val="clear" w:color="auto" w:fill="E2E8F1"/>
          </w:tcPr>
          <w:p>
            <w:pPr>
              <w:spacing w:after="0"/>
              <w:rPr>
                <w:sz w:val="14"/>
                <w:szCs w:val="14"/>
                <w:color w:val="auto"/>
              </w:rPr>
            </w:pPr>
          </w:p>
        </w:tc>
        <w:tc>
          <w:tcPr>
            <w:tcW w:w="10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1,258.3</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6.2%</w:t>
            </w:r>
          </w:p>
        </w:tc>
        <w:tc>
          <w:tcPr>
            <w:tcW w:w="400" w:type="dxa"/>
            <w:vAlign w:val="bottom"/>
            <w:shd w:val="clear" w:color="auto" w:fill="E2E8F1"/>
          </w:tcPr>
          <w:p>
            <w:pPr>
              <w:spacing w:after="0"/>
              <w:rPr>
                <w:sz w:val="14"/>
                <w:szCs w:val="14"/>
                <w:color w:val="auto"/>
              </w:rPr>
            </w:pPr>
          </w:p>
        </w:tc>
        <w:tc>
          <w:tcPr>
            <w:tcW w:w="114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6"/>
        </w:trPr>
        <w:tc>
          <w:tcPr>
            <w:tcW w:w="3920" w:type="dxa"/>
            <w:vAlign w:val="bottom"/>
          </w:tcPr>
          <w:p>
            <w:pPr>
              <w:ind w:left="380"/>
              <w:spacing w:after="0"/>
              <w:rPr>
                <w:sz w:val="20"/>
                <w:szCs w:val="20"/>
                <w:color w:val="auto"/>
              </w:rPr>
            </w:pPr>
            <w:r>
              <w:rPr>
                <w:rFonts w:ascii="Arial" w:cs="Arial" w:eastAsia="Arial" w:hAnsi="Arial"/>
                <w:sz w:val="14"/>
                <w:szCs w:val="14"/>
                <w:color w:val="auto"/>
              </w:rPr>
              <w:t>Other Southern Europe</w:t>
            </w:r>
          </w:p>
        </w:tc>
        <w:tc>
          <w:tcPr>
            <w:tcW w:w="1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1,564.1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4.5%</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57"/>
        </w:trPr>
        <w:tc>
          <w:tcPr>
            <w:tcW w:w="3920" w:type="dxa"/>
            <w:vAlign w:val="bottom"/>
            <w:tcBorders>
              <w:bottom w:val="single" w:sz="8" w:color="E2E8F1"/>
            </w:tcBorders>
            <w:shd w:val="clear" w:color="auto" w:fill="E2E8F1"/>
          </w:tcPr>
          <w:p>
            <w:pPr>
              <w:spacing w:after="0"/>
              <w:rPr>
                <w:sz w:val="13"/>
                <w:szCs w:val="13"/>
                <w:color w:val="auto"/>
              </w:rPr>
            </w:pPr>
          </w:p>
        </w:tc>
        <w:tc>
          <w:tcPr>
            <w:tcW w:w="148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9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6,188.8</w:t>
            </w:r>
          </w:p>
        </w:tc>
        <w:tc>
          <w:tcPr>
            <w:tcW w:w="12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220" w:type="dxa"/>
            <w:vAlign w:val="bottom"/>
            <w:tcBorders>
              <w:bottom w:val="single" w:sz="8" w:color="auto"/>
            </w:tcBorders>
            <w:shd w:val="clear" w:color="auto" w:fill="E2E8F1"/>
          </w:tcPr>
          <w:p>
            <w:pPr>
              <w:spacing w:after="0"/>
              <w:rPr>
                <w:sz w:val="13"/>
                <w:szCs w:val="13"/>
                <w:color w:val="auto"/>
              </w:rPr>
            </w:pPr>
          </w:p>
        </w:tc>
        <w:tc>
          <w:tcPr>
            <w:tcW w:w="100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6,174.9</w:t>
            </w:r>
          </w:p>
        </w:tc>
        <w:tc>
          <w:tcPr>
            <w:tcW w:w="10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320" w:type="dxa"/>
            <w:vAlign w:val="bottom"/>
            <w:tcBorders>
              <w:bottom w:val="single" w:sz="8" w:color="E2E8F1"/>
            </w:tcBorders>
            <w:shd w:val="clear" w:color="auto" w:fill="E2E8F1"/>
          </w:tcPr>
          <w:p>
            <w:pPr>
              <w:spacing w:after="0"/>
              <w:rPr>
                <w:sz w:val="13"/>
                <w:szCs w:val="13"/>
                <w:color w:val="auto"/>
              </w:rPr>
            </w:pPr>
          </w:p>
        </w:tc>
        <w:tc>
          <w:tcPr>
            <w:tcW w:w="110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0.2%</w:t>
            </w:r>
          </w:p>
        </w:tc>
        <w:tc>
          <w:tcPr>
            <w:tcW w:w="400" w:type="dxa"/>
            <w:vAlign w:val="bottom"/>
            <w:tcBorders>
              <w:bottom w:val="single" w:sz="8" w:color="E2E8F1"/>
            </w:tcBorders>
            <w:shd w:val="clear" w:color="auto" w:fill="E2E8F1"/>
          </w:tcPr>
          <w:p>
            <w:pPr>
              <w:spacing w:after="0"/>
              <w:rPr>
                <w:sz w:val="13"/>
                <w:szCs w:val="13"/>
                <w:color w:val="auto"/>
              </w:rPr>
            </w:pPr>
          </w:p>
        </w:tc>
        <w:tc>
          <w:tcPr>
            <w:tcW w:w="114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7"/>
        </w:trPr>
        <w:tc>
          <w:tcPr>
            <w:tcW w:w="3920" w:type="dxa"/>
            <w:vAlign w:val="bottom"/>
          </w:tcPr>
          <w:p>
            <w:pPr>
              <w:ind w:left="180"/>
              <w:spacing w:after="0" w:line="157" w:lineRule="exact"/>
              <w:rPr>
                <w:sz w:val="20"/>
                <w:szCs w:val="20"/>
                <w:color w:val="auto"/>
              </w:rPr>
            </w:pPr>
            <w:r>
              <w:rPr>
                <w:rFonts w:ascii="Arial" w:cs="Arial" w:eastAsia="Arial" w:hAnsi="Arial"/>
                <w:sz w:val="14"/>
                <w:szCs w:val="14"/>
                <w:color w:val="auto"/>
              </w:rPr>
              <w:t>Northern Europe</w:t>
            </w: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2,342.0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2,535.9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-7.6%</w:t>
            </w:r>
          </w:p>
        </w:tc>
        <w:tc>
          <w:tcPr>
            <w:tcW w:w="400" w:type="dxa"/>
            <w:vAlign w:val="bottom"/>
          </w:tcPr>
          <w:p>
            <w:pPr>
              <w:spacing w:after="0"/>
              <w:rPr>
                <w:sz w:val="13"/>
                <w:szCs w:val="13"/>
                <w:color w:val="auto"/>
              </w:rPr>
            </w:pP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66"/>
        </w:trPr>
        <w:tc>
          <w:tcPr>
            <w:tcW w:w="3920" w:type="dxa"/>
            <w:vAlign w:val="bottom"/>
            <w:tcBorders>
              <w:bottom w:val="single" w:sz="8" w:color="E2E8F1"/>
            </w:tcBorders>
            <w:shd w:val="clear" w:color="auto" w:fill="E2E8F1"/>
          </w:tcPr>
          <w:p>
            <w:pPr>
              <w:ind w:left="180"/>
              <w:spacing w:after="0"/>
              <w:rPr>
                <w:sz w:val="20"/>
                <w:szCs w:val="20"/>
                <w:color w:val="auto"/>
              </w:rPr>
            </w:pPr>
            <w:r>
              <w:rPr>
                <w:rFonts w:ascii="Arial" w:cs="Arial" w:eastAsia="Arial" w:hAnsi="Arial"/>
                <w:sz w:val="14"/>
                <w:szCs w:val="14"/>
                <w:color w:val="auto"/>
              </w:rPr>
              <w:t>APME</w:t>
            </w:r>
          </w:p>
        </w:tc>
        <w:tc>
          <w:tcPr>
            <w:tcW w:w="148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9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1,522.2</w:t>
            </w:r>
          </w:p>
        </w:tc>
        <w:tc>
          <w:tcPr>
            <w:tcW w:w="12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220" w:type="dxa"/>
            <w:vAlign w:val="bottom"/>
            <w:tcBorders>
              <w:bottom w:val="single" w:sz="8" w:color="auto"/>
            </w:tcBorders>
            <w:shd w:val="clear" w:color="auto" w:fill="E2E8F1"/>
          </w:tcPr>
          <w:p>
            <w:pPr>
              <w:spacing w:after="0"/>
              <w:rPr>
                <w:sz w:val="14"/>
                <w:szCs w:val="14"/>
                <w:color w:val="auto"/>
              </w:rPr>
            </w:pPr>
          </w:p>
        </w:tc>
        <w:tc>
          <w:tcPr>
            <w:tcW w:w="10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1,639.3</w:t>
            </w:r>
          </w:p>
        </w:tc>
        <w:tc>
          <w:tcPr>
            <w:tcW w:w="1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E2E8F1"/>
            </w:tcBorders>
            <w:shd w:val="clear" w:color="auto" w:fill="E2E8F1"/>
          </w:tcPr>
          <w:p>
            <w:pPr>
              <w:spacing w:after="0"/>
              <w:rPr>
                <w:sz w:val="14"/>
                <w:szCs w:val="14"/>
                <w:color w:val="auto"/>
              </w:rPr>
            </w:pPr>
          </w:p>
        </w:tc>
        <w:tc>
          <w:tcPr>
            <w:tcW w:w="320" w:type="dxa"/>
            <w:vAlign w:val="bottom"/>
            <w:tcBorders>
              <w:bottom w:val="single" w:sz="8" w:color="E2E8F1"/>
            </w:tcBorders>
            <w:shd w:val="clear" w:color="auto" w:fill="E2E8F1"/>
          </w:tcPr>
          <w:p>
            <w:pPr>
              <w:spacing w:after="0"/>
              <w:rPr>
                <w:sz w:val="14"/>
                <w:szCs w:val="14"/>
                <w:color w:val="auto"/>
              </w:rPr>
            </w:pPr>
          </w:p>
        </w:tc>
        <w:tc>
          <w:tcPr>
            <w:tcW w:w="110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-7.1%</w:t>
            </w:r>
          </w:p>
        </w:tc>
        <w:tc>
          <w:tcPr>
            <w:tcW w:w="400" w:type="dxa"/>
            <w:vAlign w:val="bottom"/>
            <w:tcBorders>
              <w:bottom w:val="single" w:sz="8" w:color="E2E8F1"/>
            </w:tcBorders>
            <w:shd w:val="clear" w:color="auto" w:fill="E2E8F1"/>
          </w:tcPr>
          <w:p>
            <w:pPr>
              <w:spacing w:after="0"/>
              <w:rPr>
                <w:sz w:val="14"/>
                <w:szCs w:val="14"/>
                <w:color w:val="auto"/>
              </w:rPr>
            </w:pPr>
          </w:p>
        </w:tc>
        <w:tc>
          <w:tcPr>
            <w:tcW w:w="114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57"/>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13,268.4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13,501.4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20" w:type="dxa"/>
            <w:vAlign w:val="bottom"/>
            <w:shd w:val="clear" w:color="auto" w:fill="E2E8F1"/>
          </w:tcPr>
          <w:p>
            <w:pPr>
              <w:ind w:left="180"/>
              <w:spacing w:after="0" w:line="157" w:lineRule="exact"/>
              <w:rPr>
                <w:sz w:val="20"/>
                <w:szCs w:val="20"/>
                <w:color w:val="auto"/>
              </w:rPr>
            </w:pPr>
            <w:r>
              <w:rPr>
                <w:rFonts w:ascii="Arial" w:cs="Arial" w:eastAsia="Arial" w:hAnsi="Arial"/>
                <w:sz w:val="14"/>
                <w:szCs w:val="14"/>
                <w:color w:val="auto"/>
              </w:rPr>
              <w:t>Intercompany Eliminations</w:t>
            </w:r>
          </w:p>
        </w:tc>
        <w:tc>
          <w:tcPr>
            <w:tcW w:w="148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1060" w:type="dxa"/>
            <w:vAlign w:val="bottom"/>
            <w:gridSpan w:val="2"/>
            <w:shd w:val="clear" w:color="auto" w:fill="E2E8F1"/>
          </w:tcPr>
          <w:p>
            <w:pPr>
              <w:jc w:val="right"/>
              <w:ind w:right="60"/>
              <w:spacing w:after="0" w:line="157" w:lineRule="exact"/>
              <w:rPr>
                <w:sz w:val="20"/>
                <w:szCs w:val="20"/>
                <w:color w:val="auto"/>
              </w:rPr>
            </w:pPr>
            <w:r>
              <w:rPr>
                <w:rFonts w:ascii="Arial" w:cs="Arial" w:eastAsia="Arial" w:hAnsi="Arial"/>
                <w:sz w:val="14"/>
                <w:szCs w:val="14"/>
                <w:color w:val="auto"/>
              </w:rPr>
              <w:t>(24.4)</w:t>
            </w:r>
          </w:p>
        </w:tc>
        <w:tc>
          <w:tcPr>
            <w:tcW w:w="140" w:type="dxa"/>
            <w:vAlign w:val="bottom"/>
            <w:shd w:val="clear" w:color="auto" w:fill="E2E8F1"/>
          </w:tcPr>
          <w:p>
            <w:pPr>
              <w:spacing w:after="0"/>
              <w:rPr>
                <w:sz w:val="13"/>
                <w:szCs w:val="13"/>
                <w:color w:val="auto"/>
              </w:rPr>
            </w:pPr>
          </w:p>
        </w:tc>
        <w:tc>
          <w:tcPr>
            <w:tcW w:w="22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60"/>
              <w:spacing w:after="0" w:line="157" w:lineRule="exact"/>
              <w:rPr>
                <w:sz w:val="20"/>
                <w:szCs w:val="20"/>
                <w:color w:val="auto"/>
              </w:rPr>
            </w:pPr>
            <w:r>
              <w:rPr>
                <w:rFonts w:ascii="Arial" w:cs="Arial" w:eastAsia="Arial" w:hAnsi="Arial"/>
                <w:sz w:val="14"/>
                <w:szCs w:val="14"/>
                <w:color w:val="auto"/>
              </w:rPr>
              <w:t>(47.2)</w:t>
            </w: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96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400" w:type="dxa"/>
            <w:vAlign w:val="bottom"/>
            <w:shd w:val="clear" w:color="auto" w:fill="E2E8F1"/>
          </w:tcPr>
          <w:p>
            <w:pPr>
              <w:spacing w:after="0"/>
              <w:rPr>
                <w:sz w:val="13"/>
                <w:szCs w:val="13"/>
                <w:color w:val="auto"/>
              </w:rPr>
            </w:pPr>
          </w:p>
        </w:tc>
        <w:tc>
          <w:tcPr>
            <w:tcW w:w="10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20" w:type="dxa"/>
            <w:vAlign w:val="bottom"/>
            <w:tcBorders>
              <w:top w:val="single" w:sz="8" w:color="E2E8F1"/>
            </w:tcBorders>
          </w:tcPr>
          <w:p>
            <w:pPr>
              <w:spacing w:after="0"/>
              <w:rPr>
                <w:sz w:val="13"/>
                <w:szCs w:val="13"/>
                <w:color w:val="auto"/>
              </w:rPr>
            </w:pPr>
          </w:p>
        </w:tc>
        <w:tc>
          <w:tcPr>
            <w:tcW w:w="1480" w:type="dxa"/>
            <w:vAlign w:val="bottom"/>
            <w:tcBorders>
              <w:top w:val="single" w:sz="8" w:color="E2E8F1"/>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13,244.0</w:t>
            </w:r>
          </w:p>
        </w:tc>
        <w:tc>
          <w:tcPr>
            <w:tcW w:w="120" w:type="dxa"/>
            <w:vAlign w:val="bottom"/>
            <w:tcBorders>
              <w:top w:val="single" w:sz="8" w:color="E2E8F1"/>
            </w:tcBorders>
          </w:tcPr>
          <w:p>
            <w:pPr>
              <w:spacing w:after="0"/>
              <w:rPr>
                <w:sz w:val="13"/>
                <w:szCs w:val="13"/>
                <w:color w:val="auto"/>
              </w:rPr>
            </w:pPr>
          </w:p>
        </w:tc>
        <w:tc>
          <w:tcPr>
            <w:tcW w:w="140" w:type="dxa"/>
            <w:vAlign w:val="bottom"/>
            <w:tcBorders>
              <w:top w:val="single" w:sz="8" w:color="E2E8F1"/>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13,454.2</w:t>
            </w:r>
          </w:p>
        </w:tc>
        <w:tc>
          <w:tcPr>
            <w:tcW w:w="100" w:type="dxa"/>
            <w:vAlign w:val="bottom"/>
            <w:tcBorders>
              <w:top w:val="single" w:sz="8" w:color="E2E8F1"/>
            </w:tcBorders>
          </w:tcPr>
          <w:p>
            <w:pPr>
              <w:spacing w:after="0"/>
              <w:rPr>
                <w:sz w:val="13"/>
                <w:szCs w:val="13"/>
                <w:color w:val="auto"/>
              </w:rPr>
            </w:pPr>
          </w:p>
        </w:tc>
        <w:tc>
          <w:tcPr>
            <w:tcW w:w="100" w:type="dxa"/>
            <w:vAlign w:val="bottom"/>
            <w:tcBorders>
              <w:top w:val="single" w:sz="8" w:color="E2E8F1"/>
            </w:tcBorders>
          </w:tcPr>
          <w:p>
            <w:pPr>
              <w:spacing w:after="0"/>
              <w:rPr>
                <w:sz w:val="13"/>
                <w:szCs w:val="13"/>
                <w:color w:val="auto"/>
              </w:rPr>
            </w:pPr>
          </w:p>
        </w:tc>
        <w:tc>
          <w:tcPr>
            <w:tcW w:w="320" w:type="dxa"/>
            <w:vAlign w:val="bottom"/>
            <w:tcBorders>
              <w:top w:val="single" w:sz="8" w:color="E2E8F1"/>
            </w:tcBorders>
          </w:tcPr>
          <w:p>
            <w:pPr>
              <w:spacing w:after="0"/>
              <w:rPr>
                <w:sz w:val="13"/>
                <w:szCs w:val="13"/>
                <w:color w:val="auto"/>
              </w:rPr>
            </w:pPr>
          </w:p>
        </w:tc>
        <w:tc>
          <w:tcPr>
            <w:tcW w:w="1100" w:type="dxa"/>
            <w:vAlign w:val="bottom"/>
            <w:tcBorders>
              <w:top w:val="single" w:sz="8" w:color="E2E8F1"/>
            </w:tcBorders>
            <w:gridSpan w:val="2"/>
          </w:tcPr>
          <w:p>
            <w:pPr>
              <w:jc w:val="right"/>
              <w:ind w:right="20"/>
              <w:spacing w:after="0" w:line="146" w:lineRule="exact"/>
              <w:rPr>
                <w:sz w:val="20"/>
                <w:szCs w:val="20"/>
                <w:color w:val="auto"/>
              </w:rPr>
            </w:pPr>
            <w:r>
              <w:rPr>
                <w:rFonts w:ascii="Arial" w:cs="Arial" w:eastAsia="Arial" w:hAnsi="Arial"/>
                <w:sz w:val="14"/>
                <w:szCs w:val="14"/>
                <w:color w:val="auto"/>
              </w:rPr>
              <w:t>-1.6%</w:t>
            </w:r>
          </w:p>
        </w:tc>
        <w:tc>
          <w:tcPr>
            <w:tcW w:w="400" w:type="dxa"/>
            <w:vAlign w:val="bottom"/>
            <w:tcBorders>
              <w:top w:val="single" w:sz="8" w:color="E2E8F1"/>
            </w:tcBorders>
          </w:tcPr>
          <w:p>
            <w:pPr>
              <w:spacing w:after="0"/>
              <w:rPr>
                <w:sz w:val="13"/>
                <w:szCs w:val="13"/>
                <w:color w:val="auto"/>
              </w:rPr>
            </w:pPr>
          </w:p>
        </w:tc>
        <w:tc>
          <w:tcPr>
            <w:tcW w:w="1140" w:type="dxa"/>
            <w:vAlign w:val="bottom"/>
            <w:tcBorders>
              <w:top w:val="single" w:sz="8" w:color="E2E8F1"/>
            </w:tcBorders>
            <w:gridSpan w:val="2"/>
          </w:tcPr>
          <w:p>
            <w:pPr>
              <w:jc w:val="right"/>
              <w:ind w:right="20"/>
              <w:spacing w:after="0" w:line="146"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920" w:type="dxa"/>
            <w:vAlign w:val="bottom"/>
            <w:shd w:val="clear" w:color="auto" w:fill="E2E8F1"/>
          </w:tcPr>
          <w:p>
            <w:pPr>
              <w:ind w:left="40"/>
              <w:spacing w:after="0" w:line="141" w:lineRule="exact"/>
              <w:rPr>
                <w:sz w:val="20"/>
                <w:szCs w:val="20"/>
                <w:color w:val="auto"/>
              </w:rPr>
            </w:pPr>
            <w:r>
              <w:rPr>
                <w:rFonts w:ascii="Arial" w:cs="Arial" w:eastAsia="Arial" w:hAnsi="Arial"/>
                <w:sz w:val="14"/>
                <w:szCs w:val="14"/>
                <w:color w:val="auto"/>
              </w:rPr>
              <w:t>Operating Unit Profit (Loss):</w:t>
            </w:r>
          </w:p>
        </w:tc>
        <w:tc>
          <w:tcPr>
            <w:tcW w:w="1480" w:type="dxa"/>
            <w:vAlign w:val="bottom"/>
            <w:shd w:val="clear" w:color="auto" w:fill="E2E8F1"/>
          </w:tcPr>
          <w:p>
            <w:pPr>
              <w:spacing w:after="0"/>
              <w:rPr>
                <w:sz w:val="12"/>
                <w:szCs w:val="12"/>
                <w:color w:val="auto"/>
              </w:rPr>
            </w:pPr>
          </w:p>
        </w:tc>
        <w:tc>
          <w:tcPr>
            <w:tcW w:w="280" w:type="dxa"/>
            <w:vAlign w:val="bottom"/>
            <w:shd w:val="clear" w:color="auto" w:fill="E2E8F1"/>
          </w:tcPr>
          <w:p>
            <w:pPr>
              <w:spacing w:after="0"/>
              <w:rPr>
                <w:sz w:val="12"/>
                <w:szCs w:val="12"/>
                <w:color w:val="auto"/>
              </w:rPr>
            </w:pPr>
          </w:p>
        </w:tc>
        <w:tc>
          <w:tcPr>
            <w:tcW w:w="94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140" w:type="dxa"/>
            <w:vAlign w:val="bottom"/>
            <w:shd w:val="clear" w:color="auto" w:fill="E2E8F1"/>
          </w:tcPr>
          <w:p>
            <w:pPr>
              <w:spacing w:after="0"/>
              <w:rPr>
                <w:sz w:val="12"/>
                <w:szCs w:val="12"/>
                <w:color w:val="auto"/>
              </w:rPr>
            </w:pPr>
          </w:p>
        </w:tc>
        <w:tc>
          <w:tcPr>
            <w:tcW w:w="220" w:type="dxa"/>
            <w:vAlign w:val="bottom"/>
            <w:shd w:val="clear" w:color="auto" w:fill="E2E8F1"/>
          </w:tcPr>
          <w:p>
            <w:pPr>
              <w:spacing w:after="0"/>
              <w:rPr>
                <w:sz w:val="12"/>
                <w:szCs w:val="12"/>
                <w:color w:val="auto"/>
              </w:rPr>
            </w:pPr>
          </w:p>
        </w:tc>
        <w:tc>
          <w:tcPr>
            <w:tcW w:w="100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320" w:type="dxa"/>
            <w:vAlign w:val="bottom"/>
            <w:shd w:val="clear" w:color="auto" w:fill="E2E8F1"/>
          </w:tcPr>
          <w:p>
            <w:pPr>
              <w:spacing w:after="0"/>
              <w:rPr>
                <w:sz w:val="12"/>
                <w:szCs w:val="12"/>
                <w:color w:val="auto"/>
              </w:rPr>
            </w:pPr>
          </w:p>
        </w:tc>
        <w:tc>
          <w:tcPr>
            <w:tcW w:w="960" w:type="dxa"/>
            <w:vAlign w:val="bottom"/>
            <w:shd w:val="clear" w:color="auto" w:fill="E2E8F1"/>
          </w:tcPr>
          <w:p>
            <w:pPr>
              <w:spacing w:after="0"/>
              <w:rPr>
                <w:sz w:val="12"/>
                <w:szCs w:val="12"/>
                <w:color w:val="auto"/>
              </w:rPr>
            </w:pPr>
          </w:p>
        </w:tc>
        <w:tc>
          <w:tcPr>
            <w:tcW w:w="140" w:type="dxa"/>
            <w:vAlign w:val="bottom"/>
            <w:shd w:val="clear" w:color="auto" w:fill="E2E8F1"/>
          </w:tcPr>
          <w:p>
            <w:pPr>
              <w:spacing w:after="0"/>
              <w:rPr>
                <w:sz w:val="12"/>
                <w:szCs w:val="12"/>
                <w:color w:val="auto"/>
              </w:rPr>
            </w:pPr>
          </w:p>
        </w:tc>
        <w:tc>
          <w:tcPr>
            <w:tcW w:w="400" w:type="dxa"/>
            <w:vAlign w:val="bottom"/>
            <w:shd w:val="clear" w:color="auto" w:fill="E2E8F1"/>
          </w:tcPr>
          <w:p>
            <w:pPr>
              <w:spacing w:after="0"/>
              <w:rPr>
                <w:sz w:val="12"/>
                <w:szCs w:val="12"/>
                <w:color w:val="auto"/>
              </w:rPr>
            </w:pPr>
          </w:p>
        </w:tc>
        <w:tc>
          <w:tcPr>
            <w:tcW w:w="1000" w:type="dxa"/>
            <w:vAlign w:val="bottom"/>
            <w:shd w:val="clear" w:color="auto" w:fill="E2E8F1"/>
          </w:tcPr>
          <w:p>
            <w:pPr>
              <w:spacing w:after="0"/>
              <w:rPr>
                <w:sz w:val="12"/>
                <w:szCs w:val="12"/>
                <w:color w:val="auto"/>
              </w:rPr>
            </w:pPr>
          </w:p>
        </w:tc>
        <w:tc>
          <w:tcPr>
            <w:tcW w:w="140" w:type="dxa"/>
            <w:vAlign w:val="bottom"/>
            <w:shd w:val="clear" w:color="auto" w:fill="E2E8F1"/>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20" w:type="dxa"/>
            <w:vAlign w:val="bottom"/>
          </w:tcPr>
          <w:p>
            <w:pPr>
              <w:ind w:left="180"/>
              <w:spacing w:after="0"/>
              <w:rPr>
                <w:sz w:val="20"/>
                <w:szCs w:val="20"/>
                <w:color w:val="auto"/>
              </w:rPr>
            </w:pPr>
            <w:r>
              <w:rPr>
                <w:rFonts w:ascii="Arial" w:cs="Arial" w:eastAsia="Arial" w:hAnsi="Arial"/>
                <w:sz w:val="14"/>
                <w:szCs w:val="14"/>
                <w:color w:val="auto"/>
              </w:rPr>
              <w:t>Americas:</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20" w:type="dxa"/>
            <w:vAlign w:val="bottom"/>
            <w:shd w:val="clear" w:color="auto" w:fill="E2E8F1"/>
          </w:tcPr>
          <w:p>
            <w:pPr>
              <w:ind w:left="380"/>
              <w:spacing w:after="0"/>
              <w:rPr>
                <w:sz w:val="20"/>
                <w:szCs w:val="20"/>
                <w:color w:val="auto"/>
              </w:rPr>
            </w:pPr>
            <w:r>
              <w:rPr>
                <w:rFonts w:ascii="Arial" w:cs="Arial" w:eastAsia="Arial" w:hAnsi="Arial"/>
                <w:sz w:val="14"/>
                <w:szCs w:val="14"/>
                <w:color w:val="auto"/>
              </w:rPr>
              <w:t>United States</w:t>
            </w:r>
          </w:p>
        </w:tc>
        <w:tc>
          <w:tcPr>
            <w:tcW w:w="1760" w:type="dxa"/>
            <w:vAlign w:val="bottom"/>
            <w:gridSpan w:val="2"/>
            <w:shd w:val="clear" w:color="auto" w:fill="E2E8F1"/>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51.6</w:t>
            </w:r>
          </w:p>
        </w:tc>
        <w:tc>
          <w:tcPr>
            <w:tcW w:w="120" w:type="dxa"/>
            <w:vAlign w:val="bottom"/>
            <w:shd w:val="clear" w:color="auto" w:fill="E2E8F1"/>
          </w:tcPr>
          <w:p>
            <w:pPr>
              <w:spacing w:after="0"/>
              <w:rPr>
                <w:sz w:val="14"/>
                <w:szCs w:val="14"/>
                <w:color w:val="auto"/>
              </w:rPr>
            </w:pPr>
          </w:p>
        </w:tc>
        <w:tc>
          <w:tcPr>
            <w:tcW w:w="360" w:type="dxa"/>
            <w:vAlign w:val="bottom"/>
            <w:gridSpan w:val="2"/>
            <w:shd w:val="clear" w:color="auto" w:fill="E2E8F1"/>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61.7</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-16.4%</w:t>
            </w:r>
          </w:p>
        </w:tc>
        <w:tc>
          <w:tcPr>
            <w:tcW w:w="400" w:type="dxa"/>
            <w:vAlign w:val="bottom"/>
            <w:shd w:val="clear" w:color="auto" w:fill="E2E8F1"/>
          </w:tcPr>
          <w:p>
            <w:pPr>
              <w:spacing w:after="0"/>
              <w:rPr>
                <w:sz w:val="14"/>
                <w:szCs w:val="14"/>
                <w:color w:val="auto"/>
              </w:rPr>
            </w:pPr>
          </w:p>
        </w:tc>
        <w:tc>
          <w:tcPr>
            <w:tcW w:w="114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66"/>
        </w:trPr>
        <w:tc>
          <w:tcPr>
            <w:tcW w:w="3920" w:type="dxa"/>
            <w:vAlign w:val="bottom"/>
          </w:tcPr>
          <w:p>
            <w:pPr>
              <w:ind w:left="380"/>
              <w:spacing w:after="0"/>
              <w:rPr>
                <w:sz w:val="20"/>
                <w:szCs w:val="20"/>
                <w:color w:val="auto"/>
              </w:rPr>
            </w:pPr>
            <w:r>
              <w:rPr>
                <w:rFonts w:ascii="Arial" w:cs="Arial" w:eastAsia="Arial" w:hAnsi="Arial"/>
                <w:sz w:val="14"/>
                <w:szCs w:val="14"/>
                <w:color w:val="auto"/>
              </w:rPr>
              <w:t>Other Americas</w:t>
            </w:r>
          </w:p>
        </w:tc>
        <w:tc>
          <w:tcPr>
            <w:tcW w:w="1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5.1%</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57"/>
        </w:trPr>
        <w:tc>
          <w:tcPr>
            <w:tcW w:w="3920" w:type="dxa"/>
            <w:vAlign w:val="bottom"/>
            <w:tcBorders>
              <w:bottom w:val="single" w:sz="8" w:color="E2E8F1"/>
            </w:tcBorders>
            <w:shd w:val="clear" w:color="auto" w:fill="E2E8F1"/>
          </w:tcPr>
          <w:p>
            <w:pPr>
              <w:spacing w:after="0"/>
              <w:rPr>
                <w:sz w:val="13"/>
                <w:szCs w:val="13"/>
                <w:color w:val="auto"/>
              </w:rPr>
            </w:pPr>
          </w:p>
        </w:tc>
        <w:tc>
          <w:tcPr>
            <w:tcW w:w="148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9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99.5</w:t>
            </w:r>
          </w:p>
        </w:tc>
        <w:tc>
          <w:tcPr>
            <w:tcW w:w="12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220" w:type="dxa"/>
            <w:vAlign w:val="bottom"/>
            <w:tcBorders>
              <w:bottom w:val="single" w:sz="8" w:color="auto"/>
            </w:tcBorders>
            <w:shd w:val="clear" w:color="auto" w:fill="E2E8F1"/>
          </w:tcPr>
          <w:p>
            <w:pPr>
              <w:spacing w:after="0"/>
              <w:rPr>
                <w:sz w:val="13"/>
                <w:szCs w:val="13"/>
                <w:color w:val="auto"/>
              </w:rPr>
            </w:pPr>
          </w:p>
        </w:tc>
        <w:tc>
          <w:tcPr>
            <w:tcW w:w="100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107.3</w:t>
            </w:r>
          </w:p>
        </w:tc>
        <w:tc>
          <w:tcPr>
            <w:tcW w:w="10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320" w:type="dxa"/>
            <w:vAlign w:val="bottom"/>
            <w:tcBorders>
              <w:bottom w:val="single" w:sz="8" w:color="E2E8F1"/>
            </w:tcBorders>
            <w:shd w:val="clear" w:color="auto" w:fill="E2E8F1"/>
          </w:tcPr>
          <w:p>
            <w:pPr>
              <w:spacing w:after="0"/>
              <w:rPr>
                <w:sz w:val="13"/>
                <w:szCs w:val="13"/>
                <w:color w:val="auto"/>
              </w:rPr>
            </w:pPr>
          </w:p>
        </w:tc>
        <w:tc>
          <w:tcPr>
            <w:tcW w:w="110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-7.2%</w:t>
            </w:r>
          </w:p>
        </w:tc>
        <w:tc>
          <w:tcPr>
            <w:tcW w:w="400" w:type="dxa"/>
            <w:vAlign w:val="bottom"/>
            <w:tcBorders>
              <w:bottom w:val="single" w:sz="8" w:color="E2E8F1"/>
            </w:tcBorders>
            <w:shd w:val="clear" w:color="auto" w:fill="E2E8F1"/>
          </w:tcPr>
          <w:p>
            <w:pPr>
              <w:spacing w:after="0"/>
              <w:rPr>
                <w:sz w:val="13"/>
                <w:szCs w:val="13"/>
                <w:color w:val="auto"/>
              </w:rPr>
            </w:pPr>
          </w:p>
        </w:tc>
        <w:tc>
          <w:tcPr>
            <w:tcW w:w="114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57"/>
        </w:trPr>
        <w:tc>
          <w:tcPr>
            <w:tcW w:w="3920" w:type="dxa"/>
            <w:vAlign w:val="bottom"/>
          </w:tcPr>
          <w:p>
            <w:pPr>
              <w:ind w:left="180"/>
              <w:spacing w:after="0" w:line="157" w:lineRule="exact"/>
              <w:rPr>
                <w:sz w:val="20"/>
                <w:szCs w:val="20"/>
                <w:color w:val="auto"/>
              </w:rPr>
            </w:pPr>
            <w:r>
              <w:rPr>
                <w:rFonts w:ascii="Arial" w:cs="Arial" w:eastAsia="Arial" w:hAnsi="Arial"/>
                <w:sz w:val="14"/>
                <w:szCs w:val="14"/>
                <w:color w:val="auto"/>
              </w:rPr>
              <w:t>Southern Europe:</w:t>
            </w: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20" w:type="dxa"/>
            <w:vAlign w:val="bottom"/>
            <w:shd w:val="clear" w:color="auto" w:fill="E2E8F1"/>
          </w:tcPr>
          <w:p>
            <w:pPr>
              <w:ind w:left="380"/>
              <w:spacing w:after="0"/>
              <w:rPr>
                <w:sz w:val="20"/>
                <w:szCs w:val="20"/>
                <w:color w:val="auto"/>
              </w:rPr>
            </w:pPr>
            <w:r>
              <w:rPr>
                <w:rFonts w:ascii="Arial" w:cs="Arial" w:eastAsia="Arial" w:hAnsi="Arial"/>
                <w:sz w:val="14"/>
                <w:szCs w:val="14"/>
                <w:color w:val="auto"/>
              </w:rPr>
              <w:t>France</w:t>
            </w:r>
          </w:p>
        </w:tc>
        <w:tc>
          <w:tcPr>
            <w:tcW w:w="14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83.9</w:t>
            </w: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20" w:type="dxa"/>
            <w:vAlign w:val="bottom"/>
            <w:shd w:val="clear" w:color="auto" w:fill="E2E8F1"/>
          </w:tcPr>
          <w:p>
            <w:pPr>
              <w:spacing w:after="0"/>
              <w:rPr>
                <w:sz w:val="14"/>
                <w:szCs w:val="14"/>
                <w:color w:val="auto"/>
              </w:rPr>
            </w:pPr>
          </w:p>
        </w:tc>
        <w:tc>
          <w:tcPr>
            <w:tcW w:w="10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113.7</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-26.2%</w:t>
            </w:r>
          </w:p>
        </w:tc>
        <w:tc>
          <w:tcPr>
            <w:tcW w:w="400" w:type="dxa"/>
            <w:vAlign w:val="bottom"/>
            <w:shd w:val="clear" w:color="auto" w:fill="E2E8F1"/>
          </w:tcPr>
          <w:p>
            <w:pPr>
              <w:spacing w:after="0"/>
              <w:rPr>
                <w:sz w:val="14"/>
                <w:szCs w:val="14"/>
                <w:color w:val="auto"/>
              </w:rPr>
            </w:pPr>
          </w:p>
        </w:tc>
        <w:tc>
          <w:tcPr>
            <w:tcW w:w="114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66"/>
        </w:trPr>
        <w:tc>
          <w:tcPr>
            <w:tcW w:w="3920" w:type="dxa"/>
            <w:vAlign w:val="bottom"/>
          </w:tcPr>
          <w:p>
            <w:pPr>
              <w:ind w:left="380"/>
              <w:spacing w:after="0"/>
              <w:rPr>
                <w:sz w:val="20"/>
                <w:szCs w:val="20"/>
                <w:color w:val="auto"/>
              </w:rPr>
            </w:pPr>
            <w:r>
              <w:rPr>
                <w:rFonts w:ascii="Arial" w:cs="Arial" w:eastAsia="Arial" w:hAnsi="Arial"/>
                <w:sz w:val="14"/>
                <w:szCs w:val="14"/>
                <w:color w:val="auto"/>
              </w:rPr>
              <w:t>Italy</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-6.5%</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66"/>
        </w:trPr>
        <w:tc>
          <w:tcPr>
            <w:tcW w:w="3920" w:type="dxa"/>
            <w:vAlign w:val="bottom"/>
            <w:tcBorders>
              <w:bottom w:val="single" w:sz="8" w:color="E2E8F1"/>
            </w:tcBorders>
            <w:shd w:val="clear" w:color="auto" w:fill="E2E8F1"/>
          </w:tcPr>
          <w:p>
            <w:pPr>
              <w:ind w:left="380"/>
              <w:spacing w:after="0"/>
              <w:rPr>
                <w:sz w:val="20"/>
                <w:szCs w:val="20"/>
                <w:color w:val="auto"/>
              </w:rPr>
            </w:pPr>
            <w:r>
              <w:rPr>
                <w:rFonts w:ascii="Arial" w:cs="Arial" w:eastAsia="Arial" w:hAnsi="Arial"/>
                <w:sz w:val="14"/>
                <w:szCs w:val="14"/>
                <w:color w:val="auto"/>
              </w:rPr>
              <w:t>Other Southern Europe</w:t>
            </w:r>
          </w:p>
        </w:tc>
        <w:tc>
          <w:tcPr>
            <w:tcW w:w="148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9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220" w:type="dxa"/>
            <w:vAlign w:val="bottom"/>
            <w:tcBorders>
              <w:bottom w:val="single" w:sz="8" w:color="auto"/>
            </w:tcBorders>
            <w:shd w:val="clear" w:color="auto" w:fill="E2E8F1"/>
          </w:tcPr>
          <w:p>
            <w:pPr>
              <w:spacing w:after="0"/>
              <w:rPr>
                <w:sz w:val="14"/>
                <w:szCs w:val="14"/>
                <w:color w:val="auto"/>
              </w:rPr>
            </w:pPr>
          </w:p>
        </w:tc>
        <w:tc>
          <w:tcPr>
            <w:tcW w:w="10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E2E8F1"/>
            </w:tcBorders>
            <w:shd w:val="clear" w:color="auto" w:fill="E2E8F1"/>
          </w:tcPr>
          <w:p>
            <w:pPr>
              <w:spacing w:after="0"/>
              <w:rPr>
                <w:sz w:val="14"/>
                <w:szCs w:val="14"/>
                <w:color w:val="auto"/>
              </w:rPr>
            </w:pPr>
          </w:p>
        </w:tc>
        <w:tc>
          <w:tcPr>
            <w:tcW w:w="320" w:type="dxa"/>
            <w:vAlign w:val="bottom"/>
            <w:tcBorders>
              <w:bottom w:val="single" w:sz="8" w:color="E2E8F1"/>
            </w:tcBorders>
            <w:shd w:val="clear" w:color="auto" w:fill="E2E8F1"/>
          </w:tcPr>
          <w:p>
            <w:pPr>
              <w:spacing w:after="0"/>
              <w:rPr>
                <w:sz w:val="14"/>
                <w:szCs w:val="14"/>
                <w:color w:val="auto"/>
              </w:rPr>
            </w:pPr>
          </w:p>
        </w:tc>
        <w:tc>
          <w:tcPr>
            <w:tcW w:w="110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-16.0%</w:t>
            </w:r>
          </w:p>
        </w:tc>
        <w:tc>
          <w:tcPr>
            <w:tcW w:w="400" w:type="dxa"/>
            <w:vAlign w:val="bottom"/>
            <w:tcBorders>
              <w:bottom w:val="single" w:sz="8" w:color="E2E8F1"/>
            </w:tcBorders>
            <w:shd w:val="clear" w:color="auto" w:fill="E2E8F1"/>
          </w:tcPr>
          <w:p>
            <w:pPr>
              <w:spacing w:after="0"/>
              <w:rPr>
                <w:sz w:val="14"/>
                <w:szCs w:val="14"/>
                <w:color w:val="auto"/>
              </w:rPr>
            </w:pPr>
          </w:p>
        </w:tc>
        <w:tc>
          <w:tcPr>
            <w:tcW w:w="114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57"/>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189.1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228.9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-17.4%</w:t>
            </w:r>
          </w:p>
        </w:tc>
        <w:tc>
          <w:tcPr>
            <w:tcW w:w="400" w:type="dxa"/>
            <w:vAlign w:val="bottom"/>
          </w:tcPr>
          <w:p>
            <w:pPr>
              <w:spacing w:after="0"/>
              <w:rPr>
                <w:sz w:val="13"/>
                <w:szCs w:val="13"/>
                <w:color w:val="auto"/>
              </w:rPr>
            </w:pP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57"/>
        </w:trPr>
        <w:tc>
          <w:tcPr>
            <w:tcW w:w="3920" w:type="dxa"/>
            <w:vAlign w:val="bottom"/>
            <w:shd w:val="clear" w:color="auto" w:fill="E2E8F1"/>
          </w:tcPr>
          <w:p>
            <w:pPr>
              <w:ind w:left="180"/>
              <w:spacing w:after="0" w:line="157" w:lineRule="exact"/>
              <w:rPr>
                <w:sz w:val="20"/>
                <w:szCs w:val="20"/>
                <w:color w:val="auto"/>
              </w:rPr>
            </w:pPr>
            <w:r>
              <w:rPr>
                <w:rFonts w:ascii="Arial" w:cs="Arial" w:eastAsia="Arial" w:hAnsi="Arial"/>
                <w:sz w:val="14"/>
                <w:szCs w:val="14"/>
                <w:color w:val="auto"/>
              </w:rPr>
              <w:t>Northern Europe</w:t>
            </w:r>
          </w:p>
        </w:tc>
        <w:tc>
          <w:tcPr>
            <w:tcW w:w="148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1060" w:type="dxa"/>
            <w:vAlign w:val="bottom"/>
            <w:gridSpan w:val="2"/>
            <w:shd w:val="clear" w:color="auto" w:fill="E2E8F1"/>
          </w:tcPr>
          <w:p>
            <w:pPr>
              <w:jc w:val="right"/>
              <w:ind w:right="60"/>
              <w:spacing w:after="0" w:line="157" w:lineRule="exact"/>
              <w:rPr>
                <w:sz w:val="20"/>
                <w:szCs w:val="20"/>
                <w:color w:val="auto"/>
              </w:rPr>
            </w:pPr>
            <w:r>
              <w:rPr>
                <w:rFonts w:ascii="Arial" w:cs="Arial" w:eastAsia="Arial" w:hAnsi="Arial"/>
                <w:sz w:val="14"/>
                <w:szCs w:val="14"/>
                <w:color w:val="auto"/>
              </w:rPr>
              <w:t>(42.2)</w:t>
            </w:r>
          </w:p>
        </w:tc>
        <w:tc>
          <w:tcPr>
            <w:tcW w:w="140" w:type="dxa"/>
            <w:vAlign w:val="bottom"/>
            <w:shd w:val="clear" w:color="auto" w:fill="E2E8F1"/>
          </w:tcPr>
          <w:p>
            <w:pPr>
              <w:spacing w:after="0"/>
              <w:rPr>
                <w:sz w:val="13"/>
                <w:szCs w:val="13"/>
                <w:color w:val="auto"/>
              </w:rPr>
            </w:pPr>
          </w:p>
        </w:tc>
        <w:tc>
          <w:tcPr>
            <w:tcW w:w="22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60"/>
              <w:spacing w:after="0" w:line="157" w:lineRule="exact"/>
              <w:rPr>
                <w:sz w:val="20"/>
                <w:szCs w:val="20"/>
                <w:color w:val="auto"/>
              </w:rPr>
            </w:pPr>
            <w:r>
              <w:rPr>
                <w:rFonts w:ascii="Arial" w:cs="Arial" w:eastAsia="Arial" w:hAnsi="Arial"/>
                <w:sz w:val="14"/>
                <w:szCs w:val="14"/>
                <w:color w:val="auto"/>
              </w:rPr>
              <w:t>(28.1)</w:t>
            </w: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-50.2%</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66"/>
        </w:trPr>
        <w:tc>
          <w:tcPr>
            <w:tcW w:w="3920" w:type="dxa"/>
            <w:vAlign w:val="bottom"/>
          </w:tcPr>
          <w:p>
            <w:pPr>
              <w:ind w:left="180"/>
              <w:spacing w:after="0"/>
              <w:rPr>
                <w:sz w:val="20"/>
                <w:szCs w:val="20"/>
                <w:color w:val="auto"/>
              </w:rPr>
            </w:pPr>
            <w:r>
              <w:rPr>
                <w:rFonts w:ascii="Arial" w:cs="Arial" w:eastAsia="Arial" w:hAnsi="Arial"/>
                <w:sz w:val="14"/>
                <w:szCs w:val="14"/>
                <w:color w:val="auto"/>
              </w:rPr>
              <w:t>APME</w:t>
            </w:r>
          </w:p>
        </w:tc>
        <w:tc>
          <w:tcPr>
            <w:tcW w:w="1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7.5%</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57"/>
        </w:trPr>
        <w:tc>
          <w:tcPr>
            <w:tcW w:w="3920" w:type="dxa"/>
            <w:vAlign w:val="bottom"/>
            <w:shd w:val="clear" w:color="auto" w:fill="E2E8F1"/>
          </w:tcPr>
          <w:p>
            <w:pPr>
              <w:spacing w:after="0"/>
              <w:rPr>
                <w:sz w:val="13"/>
                <w:szCs w:val="13"/>
                <w:color w:val="auto"/>
              </w:rPr>
            </w:pPr>
          </w:p>
        </w:tc>
        <w:tc>
          <w:tcPr>
            <w:tcW w:w="148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319.6</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20" w:type="dxa"/>
            <w:vAlign w:val="bottom"/>
            <w:shd w:val="clear" w:color="auto" w:fill="E2E8F1"/>
          </w:tcPr>
          <w:p>
            <w:pPr>
              <w:spacing w:after="0"/>
              <w:rPr>
                <w:sz w:val="13"/>
                <w:szCs w:val="13"/>
                <w:color w:val="auto"/>
              </w:rPr>
            </w:pPr>
          </w:p>
        </w:tc>
        <w:tc>
          <w:tcPr>
            <w:tcW w:w="100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376.0</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96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400" w:type="dxa"/>
            <w:vAlign w:val="bottom"/>
            <w:shd w:val="clear" w:color="auto" w:fill="E2E8F1"/>
          </w:tcPr>
          <w:p>
            <w:pPr>
              <w:spacing w:after="0"/>
              <w:rPr>
                <w:sz w:val="13"/>
                <w:szCs w:val="13"/>
                <w:color w:val="auto"/>
              </w:rPr>
            </w:pPr>
          </w:p>
        </w:tc>
        <w:tc>
          <w:tcPr>
            <w:tcW w:w="10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20" w:type="dxa"/>
            <w:vAlign w:val="bottom"/>
          </w:tcPr>
          <w:p>
            <w:pPr>
              <w:ind w:left="40"/>
              <w:spacing w:after="0"/>
              <w:rPr>
                <w:sz w:val="20"/>
                <w:szCs w:val="20"/>
                <w:color w:val="auto"/>
              </w:rPr>
            </w:pPr>
            <w:r>
              <w:rPr>
                <w:rFonts w:ascii="Arial" w:cs="Arial" w:eastAsia="Arial" w:hAnsi="Arial"/>
                <w:sz w:val="14"/>
                <w:szCs w:val="14"/>
                <w:color w:val="auto"/>
              </w:rPr>
              <w:t>Corporate expenses</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(137.1)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(113.6)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20" w:type="dxa"/>
            <w:vAlign w:val="bottom"/>
            <w:shd w:val="clear" w:color="auto" w:fill="E2E8F1"/>
          </w:tcPr>
          <w:p>
            <w:pPr>
              <w:ind w:left="40"/>
              <w:spacing w:after="0" w:line="165" w:lineRule="exact"/>
              <w:rPr>
                <w:sz w:val="20"/>
                <w:szCs w:val="20"/>
                <w:color w:val="auto"/>
              </w:rPr>
            </w:pPr>
            <w:r>
              <w:rPr>
                <w:rFonts w:ascii="Arial" w:cs="Arial" w:eastAsia="Arial" w:hAnsi="Arial"/>
                <w:sz w:val="14"/>
                <w:szCs w:val="14"/>
                <w:color w:val="auto"/>
              </w:rPr>
              <w:t xml:space="preserve">Impairment charges </w:t>
            </w:r>
            <w:r>
              <w:rPr>
                <w:rFonts w:ascii="Arial" w:cs="Arial" w:eastAsia="Arial" w:hAnsi="Arial"/>
                <w:sz w:val="19"/>
                <w:szCs w:val="19"/>
                <w:color w:val="auto"/>
                <w:vertAlign w:val="superscript"/>
              </w:rPr>
              <w:t>(c)</w:t>
            </w:r>
          </w:p>
        </w:tc>
        <w:tc>
          <w:tcPr>
            <w:tcW w:w="148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0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(88.7)</w:t>
            </w:r>
          </w:p>
        </w:tc>
        <w:tc>
          <w:tcPr>
            <w:tcW w:w="140" w:type="dxa"/>
            <w:vAlign w:val="bottom"/>
            <w:shd w:val="clear" w:color="auto" w:fill="E2E8F1"/>
          </w:tcPr>
          <w:p>
            <w:pPr>
              <w:spacing w:after="0"/>
              <w:rPr>
                <w:sz w:val="14"/>
                <w:szCs w:val="14"/>
                <w:color w:val="auto"/>
              </w:rPr>
            </w:pPr>
          </w:p>
        </w:tc>
        <w:tc>
          <w:tcPr>
            <w:tcW w:w="220" w:type="dxa"/>
            <w:vAlign w:val="bottom"/>
            <w:shd w:val="clear" w:color="auto" w:fill="E2E8F1"/>
          </w:tcPr>
          <w:p>
            <w:pPr>
              <w:spacing w:after="0"/>
              <w:rPr>
                <w:sz w:val="14"/>
                <w:szCs w:val="14"/>
                <w:color w:val="auto"/>
              </w:rPr>
            </w:pPr>
          </w:p>
        </w:tc>
        <w:tc>
          <w:tcPr>
            <w:tcW w:w="1520" w:type="dxa"/>
            <w:vAlign w:val="bottom"/>
            <w:gridSpan w:val="4"/>
            <w:shd w:val="clear" w:color="auto" w:fill="E2E8F1"/>
          </w:tcPr>
          <w:p>
            <w:pPr>
              <w:jc w:val="right"/>
              <w:ind w:right="540"/>
              <w:spacing w:after="0"/>
              <w:rPr>
                <w:sz w:val="20"/>
                <w:szCs w:val="20"/>
                <w:color w:val="auto"/>
              </w:rPr>
            </w:pPr>
            <w:r>
              <w:rPr>
                <w:rFonts w:ascii="Arial" w:cs="Arial" w:eastAsia="Arial" w:hAnsi="Arial"/>
                <w:sz w:val="14"/>
                <w:szCs w:val="14"/>
                <w:color w:val="auto"/>
              </w:rPr>
              <w:t>—</w:t>
            </w:r>
          </w:p>
        </w:tc>
        <w:tc>
          <w:tcPr>
            <w:tcW w:w="9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20" w:type="dxa"/>
            <w:vAlign w:val="bottom"/>
          </w:tcPr>
          <w:p>
            <w:pPr>
              <w:ind w:left="40"/>
              <w:spacing w:after="0"/>
              <w:rPr>
                <w:sz w:val="20"/>
                <w:szCs w:val="20"/>
                <w:color w:val="auto"/>
              </w:rPr>
            </w:pPr>
            <w:r>
              <w:rPr>
                <w:rFonts w:ascii="Arial" w:cs="Arial" w:eastAsia="Arial" w:hAnsi="Arial"/>
                <w:sz w:val="14"/>
                <w:szCs w:val="14"/>
                <w:color w:val="auto"/>
              </w:rPr>
              <w:t>Intangible asset amortization expense</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(24.3)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20" w:type="dxa"/>
            <w:vAlign w:val="bottom"/>
            <w:shd w:val="clear" w:color="auto" w:fill="E2E8F1"/>
          </w:tcPr>
          <w:p>
            <w:pPr>
              <w:ind w:left="240"/>
              <w:spacing w:after="0" w:line="157" w:lineRule="exact"/>
              <w:rPr>
                <w:sz w:val="20"/>
                <w:szCs w:val="20"/>
                <w:color w:val="auto"/>
              </w:rPr>
            </w:pPr>
            <w:r>
              <w:rPr>
                <w:rFonts w:ascii="Arial" w:cs="Arial" w:eastAsia="Arial" w:hAnsi="Arial"/>
                <w:sz w:val="14"/>
                <w:szCs w:val="14"/>
                <w:color w:val="auto"/>
              </w:rPr>
              <w:t>Operating profit</w:t>
            </w:r>
          </w:p>
        </w:tc>
        <w:tc>
          <w:tcPr>
            <w:tcW w:w="1480" w:type="dxa"/>
            <w:vAlign w:val="bottom"/>
            <w:shd w:val="clear" w:color="auto" w:fill="E2E8F1"/>
          </w:tcPr>
          <w:p>
            <w:pPr>
              <w:spacing w:after="0"/>
              <w:rPr>
                <w:sz w:val="13"/>
                <w:szCs w:val="13"/>
                <w:color w:val="auto"/>
              </w:rPr>
            </w:pPr>
          </w:p>
        </w:tc>
        <w:tc>
          <w:tcPr>
            <w:tcW w:w="280" w:type="dxa"/>
            <w:vAlign w:val="bottom"/>
            <w:tcBorders>
              <w:top w:val="single" w:sz="8" w:color="auto"/>
            </w:tcBorders>
            <w:shd w:val="clear" w:color="auto" w:fill="E2E8F1"/>
          </w:tcPr>
          <w:p>
            <w:pPr>
              <w:spacing w:after="0"/>
              <w:rPr>
                <w:sz w:val="13"/>
                <w:szCs w:val="13"/>
                <w:color w:val="auto"/>
              </w:rPr>
            </w:pPr>
          </w:p>
        </w:tc>
        <w:tc>
          <w:tcPr>
            <w:tcW w:w="940" w:type="dxa"/>
            <w:vAlign w:val="bottom"/>
            <w:tcBorders>
              <w:top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69.5</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20" w:type="dxa"/>
            <w:vAlign w:val="bottom"/>
            <w:tcBorders>
              <w:top w:val="single" w:sz="8" w:color="auto"/>
            </w:tcBorders>
            <w:shd w:val="clear" w:color="auto" w:fill="E2E8F1"/>
          </w:tcPr>
          <w:p>
            <w:pPr>
              <w:spacing w:after="0"/>
              <w:rPr>
                <w:sz w:val="13"/>
                <w:szCs w:val="13"/>
                <w:color w:val="auto"/>
              </w:rPr>
            </w:pPr>
          </w:p>
        </w:tc>
        <w:tc>
          <w:tcPr>
            <w:tcW w:w="1000" w:type="dxa"/>
            <w:vAlign w:val="bottom"/>
            <w:tcBorders>
              <w:top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237.8</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-70.8%</w:t>
            </w:r>
          </w:p>
        </w:tc>
        <w:tc>
          <w:tcPr>
            <w:tcW w:w="400" w:type="dxa"/>
            <w:vAlign w:val="bottom"/>
            <w:shd w:val="clear" w:color="auto" w:fill="E2E8F1"/>
          </w:tcPr>
          <w:p>
            <w:pPr>
              <w:spacing w:after="0"/>
              <w:rPr>
                <w:sz w:val="13"/>
                <w:szCs w:val="13"/>
                <w:color w:val="auto"/>
              </w:rPr>
            </w:pPr>
          </w:p>
        </w:tc>
        <w:tc>
          <w:tcPr>
            <w:tcW w:w="114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66"/>
        </w:trPr>
        <w:tc>
          <w:tcPr>
            <w:tcW w:w="3920" w:type="dxa"/>
            <w:vAlign w:val="bottom"/>
          </w:tcPr>
          <w:p>
            <w:pPr>
              <w:ind w:left="40"/>
              <w:spacing w:after="0" w:line="165" w:lineRule="exact"/>
              <w:rPr>
                <w:sz w:val="20"/>
                <w:szCs w:val="20"/>
                <w:color w:val="auto"/>
              </w:rPr>
            </w:pPr>
            <w:r>
              <w:rPr>
                <w:rFonts w:ascii="Arial" w:cs="Arial" w:eastAsia="Arial" w:hAnsi="Arial"/>
                <w:sz w:val="14"/>
                <w:szCs w:val="14"/>
                <w:color w:val="auto"/>
              </w:rPr>
              <w:t xml:space="preserve">Interest and other expenses, net </w:t>
            </w:r>
            <w:r>
              <w:rPr>
                <w:rFonts w:ascii="Arial" w:cs="Arial" w:eastAsia="Arial" w:hAnsi="Arial"/>
                <w:sz w:val="19"/>
                <w:szCs w:val="19"/>
                <w:color w:val="auto"/>
                <w:vertAlign w:val="superscript"/>
              </w:rPr>
              <w:t>(d)</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(41.7)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920" w:type="dxa"/>
            <w:vAlign w:val="bottom"/>
            <w:shd w:val="clear" w:color="auto" w:fill="E2E8F1"/>
          </w:tcPr>
          <w:p>
            <w:pPr>
              <w:ind w:left="240"/>
              <w:spacing w:after="0" w:line="157" w:lineRule="exact"/>
              <w:rPr>
                <w:sz w:val="20"/>
                <w:szCs w:val="20"/>
                <w:color w:val="auto"/>
              </w:rPr>
            </w:pPr>
            <w:r>
              <w:rPr>
                <w:rFonts w:ascii="Arial" w:cs="Arial" w:eastAsia="Arial" w:hAnsi="Arial"/>
                <w:sz w:val="14"/>
                <w:szCs w:val="14"/>
                <w:color w:val="auto"/>
              </w:rPr>
              <w:t>Earnings before income taxes</w:t>
            </w:r>
          </w:p>
        </w:tc>
        <w:tc>
          <w:tcPr>
            <w:tcW w:w="1760" w:type="dxa"/>
            <w:vAlign w:val="bottom"/>
            <w:gridSpan w:val="2"/>
            <w:shd w:val="clear" w:color="auto" w:fill="E2E8F1"/>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27.8</w:t>
            </w:r>
          </w:p>
        </w:tc>
        <w:tc>
          <w:tcPr>
            <w:tcW w:w="120" w:type="dxa"/>
            <w:vAlign w:val="bottom"/>
            <w:shd w:val="clear" w:color="auto" w:fill="E2E8F1"/>
          </w:tcPr>
          <w:p>
            <w:pPr>
              <w:spacing w:after="0"/>
              <w:rPr>
                <w:sz w:val="15"/>
                <w:szCs w:val="15"/>
                <w:color w:val="auto"/>
              </w:rPr>
            </w:pPr>
          </w:p>
        </w:tc>
        <w:tc>
          <w:tcPr>
            <w:tcW w:w="360" w:type="dxa"/>
            <w:vAlign w:val="bottom"/>
            <w:gridSpan w:val="2"/>
            <w:shd w:val="clear" w:color="auto" w:fill="E2E8F1"/>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0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209.1</w:t>
            </w:r>
          </w:p>
        </w:tc>
        <w:tc>
          <w:tcPr>
            <w:tcW w:w="1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320" w:type="dxa"/>
            <w:vAlign w:val="bottom"/>
            <w:shd w:val="clear" w:color="auto" w:fill="E2E8F1"/>
          </w:tcPr>
          <w:p>
            <w:pPr>
              <w:spacing w:after="0"/>
              <w:rPr>
                <w:sz w:val="15"/>
                <w:szCs w:val="15"/>
                <w:color w:val="auto"/>
              </w:rPr>
            </w:pPr>
          </w:p>
        </w:tc>
        <w:tc>
          <w:tcPr>
            <w:tcW w:w="960" w:type="dxa"/>
            <w:vAlign w:val="bottom"/>
            <w:shd w:val="clear" w:color="auto" w:fill="E2E8F1"/>
          </w:tcPr>
          <w:p>
            <w:pPr>
              <w:spacing w:after="0"/>
              <w:rPr>
                <w:sz w:val="15"/>
                <w:szCs w:val="15"/>
                <w:color w:val="auto"/>
              </w:rPr>
            </w:pPr>
          </w:p>
        </w:tc>
        <w:tc>
          <w:tcPr>
            <w:tcW w:w="140" w:type="dxa"/>
            <w:vAlign w:val="bottom"/>
            <w:shd w:val="clear" w:color="auto" w:fill="E2E8F1"/>
          </w:tcPr>
          <w:p>
            <w:pPr>
              <w:spacing w:after="0"/>
              <w:rPr>
                <w:sz w:val="15"/>
                <w:szCs w:val="15"/>
                <w:color w:val="auto"/>
              </w:rPr>
            </w:pPr>
          </w:p>
        </w:tc>
        <w:tc>
          <w:tcPr>
            <w:tcW w:w="400" w:type="dxa"/>
            <w:vAlign w:val="bottom"/>
            <w:shd w:val="clear" w:color="auto" w:fill="E2E8F1"/>
          </w:tcPr>
          <w:p>
            <w:pPr>
              <w:spacing w:after="0"/>
              <w:rPr>
                <w:sz w:val="15"/>
                <w:szCs w:val="15"/>
                <w:color w:val="auto"/>
              </w:rPr>
            </w:pPr>
          </w:p>
        </w:tc>
        <w:tc>
          <w:tcPr>
            <w:tcW w:w="1000" w:type="dxa"/>
            <w:vAlign w:val="bottom"/>
            <w:shd w:val="clear" w:color="auto" w:fill="E2E8F1"/>
          </w:tcPr>
          <w:p>
            <w:pPr>
              <w:spacing w:after="0"/>
              <w:rPr>
                <w:sz w:val="15"/>
                <w:szCs w:val="15"/>
                <w:color w:val="auto"/>
              </w:rPr>
            </w:pPr>
          </w:p>
        </w:tc>
        <w:tc>
          <w:tcPr>
            <w:tcW w:w="140" w:type="dxa"/>
            <w:vAlign w:val="bottom"/>
            <w:shd w:val="clear" w:color="auto" w:fill="E2E8F1"/>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E2E8F1"/>
            </w:tcBorders>
            <w:shd w:val="clear" w:color="auto" w:fill="E2E8F1"/>
          </w:tcPr>
          <w:p>
            <w:pPr>
              <w:spacing w:after="0" w:line="20" w:lineRule="exact"/>
              <w:rPr>
                <w:sz w:val="1"/>
                <w:szCs w:val="1"/>
                <w:color w:val="auto"/>
              </w:rPr>
            </w:pPr>
          </w:p>
        </w:tc>
        <w:tc>
          <w:tcPr>
            <w:tcW w:w="1480" w:type="dxa"/>
            <w:vAlign w:val="bottom"/>
            <w:tcBorders>
              <w:top w:val="single" w:sz="8" w:color="E2E8F1"/>
            </w:tcBorders>
            <w:shd w:val="clear" w:color="auto" w:fill="E2E8F1"/>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8F1"/>
            </w:tcBorders>
            <w:shd w:val="clear" w:color="auto" w:fill="E2E8F1"/>
          </w:tcPr>
          <w:p>
            <w:pPr>
              <w:spacing w:after="0" w:line="20" w:lineRule="exact"/>
              <w:rPr>
                <w:sz w:val="1"/>
                <w:szCs w:val="1"/>
                <w:color w:val="auto"/>
              </w:rPr>
            </w:pPr>
          </w:p>
        </w:tc>
        <w:tc>
          <w:tcPr>
            <w:tcW w:w="100" w:type="dxa"/>
            <w:vAlign w:val="bottom"/>
            <w:tcBorders>
              <w:top w:val="single" w:sz="8" w:color="E2E8F1"/>
            </w:tcBorders>
            <w:shd w:val="clear" w:color="auto" w:fill="E2E8F1"/>
          </w:tcPr>
          <w:p>
            <w:pPr>
              <w:spacing w:after="0" w:line="20" w:lineRule="exact"/>
              <w:rPr>
                <w:sz w:val="1"/>
                <w:szCs w:val="1"/>
                <w:color w:val="auto"/>
              </w:rPr>
            </w:pPr>
          </w:p>
        </w:tc>
        <w:tc>
          <w:tcPr>
            <w:tcW w:w="320" w:type="dxa"/>
            <w:vAlign w:val="bottom"/>
            <w:tcBorders>
              <w:top w:val="single" w:sz="8" w:color="E2E8F1"/>
            </w:tcBorders>
            <w:shd w:val="clear" w:color="auto" w:fill="E2E8F1"/>
          </w:tcPr>
          <w:p>
            <w:pPr>
              <w:spacing w:after="0" w:line="20" w:lineRule="exact"/>
              <w:rPr>
                <w:sz w:val="1"/>
                <w:szCs w:val="1"/>
                <w:color w:val="auto"/>
              </w:rPr>
            </w:pPr>
          </w:p>
        </w:tc>
        <w:tc>
          <w:tcPr>
            <w:tcW w:w="96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400" w:type="dxa"/>
            <w:vAlign w:val="bottom"/>
            <w:tcBorders>
              <w:top w:val="single" w:sz="8" w:color="E2E8F1"/>
            </w:tcBorders>
            <w:shd w:val="clear" w:color="auto" w:fill="E2E8F1"/>
          </w:tcPr>
          <w:p>
            <w:pPr>
              <w:spacing w:after="0" w:line="20" w:lineRule="exact"/>
              <w:rPr>
                <w:sz w:val="1"/>
                <w:szCs w:val="1"/>
                <w:color w:val="auto"/>
              </w:rPr>
            </w:pPr>
          </w:p>
        </w:tc>
        <w:tc>
          <w:tcPr>
            <w:tcW w:w="1000" w:type="dxa"/>
            <w:vAlign w:val="bottom"/>
            <w:tcBorders>
              <w:top w:val="single" w:sz="8" w:color="E2E8F1"/>
            </w:tcBorders>
            <w:shd w:val="clear" w:color="auto" w:fill="E2E8F1"/>
          </w:tcPr>
          <w:p>
            <w:pPr>
              <w:spacing w:after="0" w:line="20" w:lineRule="exact"/>
              <w:rPr>
                <w:sz w:val="1"/>
                <w:szCs w:val="1"/>
                <w:color w:val="auto"/>
              </w:rPr>
            </w:pPr>
          </w:p>
        </w:tc>
        <w:tc>
          <w:tcPr>
            <w:tcW w:w="140" w:type="dxa"/>
            <w:vAlign w:val="bottom"/>
            <w:tcBorders>
              <w:top w:val="single" w:sz="8" w:color="E2E8F1"/>
            </w:tcBorders>
            <w:shd w:val="clear" w:color="auto" w:fill="E2E8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-3303905</wp:posOffset>
            </wp:positionV>
            <wp:extent cx="673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-3303905</wp:posOffset>
            </wp:positionV>
            <wp:extent cx="6731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-2650490</wp:posOffset>
            </wp:positionV>
            <wp:extent cx="673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-2650490</wp:posOffset>
            </wp:positionV>
            <wp:extent cx="6731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-2432685</wp:posOffset>
            </wp:positionV>
            <wp:extent cx="6731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-2432685</wp:posOffset>
            </wp:positionV>
            <wp:extent cx="673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-2207260</wp:posOffset>
            </wp:positionV>
            <wp:extent cx="6731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-2207260</wp:posOffset>
            </wp:positionV>
            <wp:extent cx="6731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-1538605</wp:posOffset>
            </wp:positionV>
            <wp:extent cx="6731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-1538605</wp:posOffset>
            </wp:positionV>
            <wp:extent cx="6731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-1110615</wp:posOffset>
            </wp:positionV>
            <wp:extent cx="6731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-1110615</wp:posOffset>
            </wp:positionV>
            <wp:extent cx="6731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-21590</wp:posOffset>
            </wp:positionV>
            <wp:extent cx="6731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-6985</wp:posOffset>
            </wp:positionV>
            <wp:extent cx="6731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-21590</wp:posOffset>
            </wp:positionV>
            <wp:extent cx="6731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-6985</wp:posOffset>
            </wp:positionV>
            <wp:extent cx="6731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33" w:lineRule="exact"/>
        <w:rPr>
          <w:sz w:val="20"/>
          <w:szCs w:val="20"/>
          <w:color w:val="auto"/>
        </w:rPr>
      </w:pPr>
    </w:p>
    <w:p>
      <w:pPr>
        <w:ind w:left="505" w:hanging="505"/>
        <w:spacing w:after="0" w:line="218" w:lineRule="auto"/>
        <w:tabs>
          <w:tab w:leader="none" w:pos="505"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jc w:val="both"/>
        <w:ind w:left="505" w:hanging="505"/>
        <w:spacing w:after="0" w:line="220" w:lineRule="auto"/>
        <w:tabs>
          <w:tab w:leader="none" w:pos="505"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 the United States, revenues from services include fees received from our franchise offices of $7.5 million and $8.1 million for the nine months ended September 30, 2025 and 2024, respectively. These fees are primarily based on revenues generated by the franchise offices, which were $247.5 million and $278.4 million for the nine months ended September 30, 2025 and 2024, respectively.</w:t>
      </w:r>
    </w:p>
    <w:p>
      <w:pPr>
        <w:spacing w:after="0" w:line="1" w:lineRule="exact"/>
        <w:rPr>
          <w:rFonts w:ascii="Arial" w:cs="Arial" w:eastAsia="Arial" w:hAnsi="Arial"/>
          <w:sz w:val="19"/>
          <w:szCs w:val="19"/>
          <w:color w:val="auto"/>
          <w:vertAlign w:val="superscript"/>
        </w:rPr>
      </w:pPr>
    </w:p>
    <w:p>
      <w:pPr>
        <w:ind w:left="505" w:hanging="505"/>
        <w:spacing w:after="0" w:line="209" w:lineRule="auto"/>
        <w:tabs>
          <w:tab w:leader="none" w:pos="505"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Impairment charges for the nine months ended September 30, 2025 consist of a goodwill impairment related to our investments in Switzerland and the United Kingdom and an impairment of an indefinite lived intangible asset in our Switzerland business.</w:t>
      </w:r>
    </w:p>
    <w:p>
      <w:pPr>
        <w:ind w:left="505" w:hanging="505"/>
        <w:spacing w:after="0" w:line="184" w:lineRule="auto"/>
        <w:tabs>
          <w:tab w:leader="none" w:pos="505"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The components of interest and other expenses, net were:</w:t>
      </w:r>
    </w:p>
    <w:tbl>
      <w:tblPr>
        <w:tblLayout w:type="fixed"/>
        <w:tblInd w:w="5" w:type="dxa"/>
        <w:tblCellMar>
          <w:top w:w="0" w:type="dxa"/>
          <w:left w:w="0" w:type="dxa"/>
          <w:bottom w:w="0" w:type="dxa"/>
          <w:right w:w="0" w:type="dxa"/>
        </w:tblCellMar>
      </w:tblPr>
      <w:tr>
        <w:trPr>
          <w:trHeight w:val="138"/>
        </w:trPr>
        <w:tc>
          <w:tcPr>
            <w:tcW w:w="4560" w:type="dxa"/>
            <w:vAlign w:val="bottom"/>
            <w:vMerge w:val="restart"/>
          </w:tcPr>
          <w:p>
            <w:pPr>
              <w:ind w:left="280"/>
              <w:spacing w:after="0"/>
              <w:rPr>
                <w:sz w:val="20"/>
                <w:szCs w:val="20"/>
                <w:color w:val="auto"/>
              </w:rPr>
            </w:pPr>
            <w:r>
              <w:rPr>
                <w:rFonts w:ascii="Arial" w:cs="Arial" w:eastAsia="Arial" w:hAnsi="Arial"/>
                <w:sz w:val="13"/>
                <w:szCs w:val="13"/>
                <w:color w:val="auto"/>
              </w:rPr>
              <w:t>Interest expense</w:t>
            </w:r>
          </w:p>
        </w:tc>
        <w:tc>
          <w:tcPr>
            <w:tcW w:w="4040" w:type="dxa"/>
            <w:vAlign w:val="bottom"/>
            <w:gridSpan w:val="2"/>
          </w:tcPr>
          <w:p>
            <w:pPr>
              <w:jc w:val="right"/>
              <w:ind w:right="193"/>
              <w:spacing w:after="0" w:line="139" w:lineRule="exact"/>
              <w:rPr>
                <w:sz w:val="20"/>
                <w:szCs w:val="20"/>
                <w:color w:val="auto"/>
              </w:rPr>
            </w:pPr>
            <w:r>
              <w:rPr>
                <w:rFonts w:ascii="Arial" w:cs="Arial" w:eastAsia="Arial" w:hAnsi="Arial"/>
                <w:sz w:val="13"/>
                <w:szCs w:val="13"/>
                <w:b w:val="1"/>
                <w:bCs w:val="1"/>
                <w:color w:val="auto"/>
              </w:rPr>
              <w:t>2025</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jc w:val="right"/>
              <w:ind w:right="657"/>
              <w:spacing w:after="0" w:line="139"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560" w:type="dxa"/>
            <w:vAlign w:val="bottom"/>
            <w:vMerge w:val="continue"/>
          </w:tcPr>
          <w:p>
            <w:pPr>
              <w:spacing w:after="0"/>
              <w:rPr>
                <w:sz w:val="11"/>
                <w:szCs w:val="11"/>
                <w:color w:val="auto"/>
              </w:rPr>
            </w:pPr>
          </w:p>
        </w:tc>
        <w:tc>
          <w:tcPr>
            <w:tcW w:w="2800" w:type="dxa"/>
            <w:vAlign w:val="bottom"/>
          </w:tcPr>
          <w:p>
            <w:pPr>
              <w:spacing w:after="0"/>
              <w:rPr>
                <w:sz w:val="11"/>
                <w:szCs w:val="11"/>
                <w:color w:val="auto"/>
              </w:rPr>
            </w:pPr>
          </w:p>
        </w:tc>
        <w:tc>
          <w:tcPr>
            <w:tcW w:w="1240" w:type="dxa"/>
            <w:vAlign w:val="bottom"/>
            <w:tcBorders>
              <w:top w:val="single" w:sz="8" w:color="auto"/>
            </w:tcBorders>
          </w:tcPr>
          <w:p>
            <w:pPr>
              <w:jc w:val="right"/>
              <w:ind w:right="1133"/>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72.5</w:t>
            </w:r>
          </w:p>
        </w:tc>
        <w:tc>
          <w:tcPr>
            <w:tcW w:w="100" w:type="dxa"/>
            <w:vAlign w:val="bottom"/>
          </w:tcPr>
          <w:p>
            <w:pPr>
              <w:spacing w:after="0"/>
              <w:rPr>
                <w:sz w:val="11"/>
                <w:szCs w:val="11"/>
                <w:color w:val="auto"/>
              </w:rPr>
            </w:pPr>
          </w:p>
        </w:tc>
        <w:tc>
          <w:tcPr>
            <w:tcW w:w="580" w:type="dxa"/>
            <w:vAlign w:val="bottom"/>
            <w:tcBorders>
              <w:top w:val="single" w:sz="8" w:color="auto"/>
            </w:tcBorders>
            <w:gridSpan w:val="2"/>
          </w:tcPr>
          <w:p>
            <w:pPr>
              <w:jc w:val="right"/>
              <w:ind w:right="320"/>
              <w:spacing w:after="0" w:line="134" w:lineRule="exact"/>
              <w:rPr>
                <w:sz w:val="20"/>
                <w:szCs w:val="20"/>
                <w:color w:val="auto"/>
              </w:rPr>
            </w:pPr>
            <w:r>
              <w:rPr>
                <w:rFonts w:ascii="Arial" w:cs="Arial" w:eastAsia="Arial" w:hAnsi="Arial"/>
                <w:sz w:val="13"/>
                <w:szCs w:val="13"/>
                <w:color w:val="auto"/>
              </w:rPr>
              <w:t>$</w:t>
            </w:r>
          </w:p>
        </w:tc>
        <w:tc>
          <w:tcPr>
            <w:tcW w:w="13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67.0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560" w:type="dxa"/>
            <w:vAlign w:val="bottom"/>
            <w:shd w:val="clear" w:color="auto" w:fill="E2E8F1"/>
          </w:tcPr>
          <w:p>
            <w:pPr>
              <w:ind w:left="280"/>
              <w:spacing w:after="0" w:line="142" w:lineRule="exact"/>
              <w:rPr>
                <w:sz w:val="20"/>
                <w:szCs w:val="20"/>
                <w:color w:val="auto"/>
              </w:rPr>
            </w:pPr>
            <w:r>
              <w:rPr>
                <w:rFonts w:ascii="Arial" w:cs="Arial" w:eastAsia="Arial" w:hAnsi="Arial"/>
                <w:sz w:val="13"/>
                <w:szCs w:val="13"/>
                <w:color w:val="auto"/>
              </w:rPr>
              <w:t>Interest income</w:t>
            </w:r>
          </w:p>
        </w:tc>
        <w:tc>
          <w:tcPr>
            <w:tcW w:w="2800" w:type="dxa"/>
            <w:vAlign w:val="bottom"/>
            <w:shd w:val="clear" w:color="auto" w:fill="E2E8F1"/>
          </w:tcPr>
          <w:p>
            <w:pPr>
              <w:spacing w:after="0"/>
              <w:rPr>
                <w:sz w:val="12"/>
                <w:szCs w:val="12"/>
                <w:color w:val="auto"/>
              </w:rPr>
            </w:pPr>
          </w:p>
        </w:tc>
        <w:tc>
          <w:tcPr>
            <w:tcW w:w="1240" w:type="dxa"/>
            <w:vAlign w:val="bottom"/>
            <w:shd w:val="clear" w:color="auto" w:fill="E2E8F1"/>
          </w:tcPr>
          <w:p>
            <w:pPr>
              <w:spacing w:after="0"/>
              <w:rPr>
                <w:sz w:val="12"/>
                <w:szCs w:val="12"/>
                <w:color w:val="auto"/>
              </w:rPr>
            </w:pPr>
          </w:p>
        </w:tc>
        <w:tc>
          <w:tcPr>
            <w:tcW w:w="620" w:type="dxa"/>
            <w:vAlign w:val="bottom"/>
            <w:gridSpan w:val="2"/>
            <w:shd w:val="clear" w:color="auto" w:fill="E2E8F1"/>
          </w:tcPr>
          <w:p>
            <w:pPr>
              <w:jc w:val="right"/>
              <w:ind w:right="60"/>
              <w:spacing w:after="0" w:line="142" w:lineRule="exact"/>
              <w:rPr>
                <w:sz w:val="20"/>
                <w:szCs w:val="20"/>
                <w:color w:val="auto"/>
              </w:rPr>
            </w:pPr>
            <w:r>
              <w:rPr>
                <w:rFonts w:ascii="Arial" w:cs="Arial" w:eastAsia="Arial" w:hAnsi="Arial"/>
                <w:sz w:val="13"/>
                <w:szCs w:val="13"/>
                <w:color w:val="auto"/>
              </w:rPr>
              <w:t>(22.0)</w:t>
            </w:r>
          </w:p>
        </w:tc>
        <w:tc>
          <w:tcPr>
            <w:tcW w:w="180" w:type="dxa"/>
            <w:vAlign w:val="bottom"/>
            <w:shd w:val="clear" w:color="auto" w:fill="E2E8F1"/>
          </w:tcPr>
          <w:p>
            <w:pPr>
              <w:spacing w:after="0"/>
              <w:rPr>
                <w:sz w:val="12"/>
                <w:szCs w:val="12"/>
                <w:color w:val="auto"/>
              </w:rPr>
            </w:pPr>
          </w:p>
        </w:tc>
        <w:tc>
          <w:tcPr>
            <w:tcW w:w="400" w:type="dxa"/>
            <w:vAlign w:val="bottom"/>
            <w:shd w:val="clear" w:color="auto" w:fill="E2E8F1"/>
          </w:tcPr>
          <w:p>
            <w:pPr>
              <w:spacing w:after="0"/>
              <w:rPr>
                <w:sz w:val="12"/>
                <w:szCs w:val="12"/>
                <w:color w:val="auto"/>
              </w:rPr>
            </w:pPr>
          </w:p>
        </w:tc>
        <w:tc>
          <w:tcPr>
            <w:tcW w:w="1460" w:type="dxa"/>
            <w:vAlign w:val="bottom"/>
            <w:gridSpan w:val="2"/>
            <w:shd w:val="clear" w:color="auto" w:fill="E2E8F1"/>
          </w:tcPr>
          <w:p>
            <w:pPr>
              <w:jc w:val="right"/>
              <w:ind w:right="80"/>
              <w:spacing w:after="0" w:line="142" w:lineRule="exact"/>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42"/>
        </w:trPr>
        <w:tc>
          <w:tcPr>
            <w:tcW w:w="4560" w:type="dxa"/>
            <w:vAlign w:val="bottom"/>
          </w:tcPr>
          <w:p>
            <w:pPr>
              <w:ind w:left="280"/>
              <w:spacing w:after="0" w:line="142" w:lineRule="exact"/>
              <w:rPr>
                <w:sz w:val="20"/>
                <w:szCs w:val="20"/>
                <w:color w:val="auto"/>
              </w:rPr>
            </w:pPr>
            <w:r>
              <w:rPr>
                <w:rFonts w:ascii="Arial" w:cs="Arial" w:eastAsia="Arial" w:hAnsi="Arial"/>
                <w:sz w:val="13"/>
                <w:szCs w:val="13"/>
                <w:color w:val="auto"/>
              </w:rPr>
              <w:t>Foreign exchange loss</w:t>
            </w:r>
          </w:p>
        </w:tc>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4.6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Arial" w:cs="Arial" w:eastAsia="Arial" w:hAnsi="Arial"/>
                <w:sz w:val="13"/>
                <w:szCs w:val="13"/>
                <w:color w:val="auto"/>
              </w:rPr>
              <w:t>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shd w:val="clear" w:color="auto" w:fill="E2E8F1"/>
          </w:tcPr>
          <w:p>
            <w:pPr>
              <w:ind w:left="280"/>
              <w:spacing w:after="0" w:line="142" w:lineRule="exact"/>
              <w:rPr>
                <w:sz w:val="20"/>
                <w:szCs w:val="20"/>
                <w:color w:val="auto"/>
              </w:rPr>
            </w:pPr>
            <w:r>
              <w:rPr>
                <w:rFonts w:ascii="Arial" w:cs="Arial" w:eastAsia="Arial" w:hAnsi="Arial"/>
                <w:sz w:val="13"/>
                <w:szCs w:val="13"/>
                <w:color w:val="auto"/>
              </w:rPr>
              <w:t>Miscellaneous income, net</w:t>
            </w:r>
          </w:p>
        </w:tc>
        <w:tc>
          <w:tcPr>
            <w:tcW w:w="2800" w:type="dxa"/>
            <w:vAlign w:val="bottom"/>
            <w:shd w:val="clear" w:color="auto" w:fill="E2E8F1"/>
          </w:tcPr>
          <w:p>
            <w:pPr>
              <w:spacing w:after="0"/>
              <w:rPr>
                <w:sz w:val="12"/>
                <w:szCs w:val="12"/>
                <w:color w:val="auto"/>
              </w:rPr>
            </w:pPr>
          </w:p>
        </w:tc>
        <w:tc>
          <w:tcPr>
            <w:tcW w:w="1240" w:type="dxa"/>
            <w:vAlign w:val="bottom"/>
            <w:shd w:val="clear" w:color="auto" w:fill="E2E8F1"/>
          </w:tcPr>
          <w:p>
            <w:pPr>
              <w:spacing w:after="0"/>
              <w:rPr>
                <w:sz w:val="12"/>
                <w:szCs w:val="12"/>
                <w:color w:val="auto"/>
              </w:rPr>
            </w:pPr>
          </w:p>
        </w:tc>
        <w:tc>
          <w:tcPr>
            <w:tcW w:w="620" w:type="dxa"/>
            <w:vAlign w:val="bottom"/>
            <w:gridSpan w:val="2"/>
            <w:shd w:val="clear" w:color="auto" w:fill="E2E8F1"/>
          </w:tcPr>
          <w:p>
            <w:pPr>
              <w:jc w:val="right"/>
              <w:ind w:right="60"/>
              <w:spacing w:after="0" w:line="142" w:lineRule="exact"/>
              <w:rPr>
                <w:sz w:val="20"/>
                <w:szCs w:val="20"/>
                <w:color w:val="auto"/>
              </w:rPr>
            </w:pPr>
            <w:r>
              <w:rPr>
                <w:rFonts w:ascii="Arial" w:cs="Arial" w:eastAsia="Arial" w:hAnsi="Arial"/>
                <w:sz w:val="13"/>
                <w:szCs w:val="13"/>
                <w:color w:val="auto"/>
              </w:rPr>
              <w:t>(13.4)</w:t>
            </w:r>
          </w:p>
        </w:tc>
        <w:tc>
          <w:tcPr>
            <w:tcW w:w="180" w:type="dxa"/>
            <w:vAlign w:val="bottom"/>
            <w:shd w:val="clear" w:color="auto" w:fill="E2E8F1"/>
          </w:tcPr>
          <w:p>
            <w:pPr>
              <w:spacing w:after="0"/>
              <w:rPr>
                <w:sz w:val="12"/>
                <w:szCs w:val="12"/>
                <w:color w:val="auto"/>
              </w:rPr>
            </w:pPr>
          </w:p>
        </w:tc>
        <w:tc>
          <w:tcPr>
            <w:tcW w:w="400" w:type="dxa"/>
            <w:vAlign w:val="bottom"/>
            <w:shd w:val="clear" w:color="auto" w:fill="E2E8F1"/>
          </w:tcPr>
          <w:p>
            <w:pPr>
              <w:spacing w:after="0"/>
              <w:rPr>
                <w:sz w:val="12"/>
                <w:szCs w:val="12"/>
                <w:color w:val="auto"/>
              </w:rPr>
            </w:pPr>
          </w:p>
        </w:tc>
        <w:tc>
          <w:tcPr>
            <w:tcW w:w="1460" w:type="dxa"/>
            <w:vAlign w:val="bottom"/>
            <w:gridSpan w:val="2"/>
            <w:shd w:val="clear" w:color="auto" w:fill="E2E8F1"/>
          </w:tcPr>
          <w:p>
            <w:pPr>
              <w:jc w:val="right"/>
              <w:ind w:right="80"/>
              <w:spacing w:after="0" w:line="142" w:lineRule="exact"/>
              <w:rPr>
                <w:sz w:val="20"/>
                <w:szCs w:val="20"/>
                <w:color w:val="auto"/>
              </w:rPr>
            </w:pPr>
            <w:r>
              <w:rPr>
                <w:rFonts w:ascii="Arial" w:cs="Arial" w:eastAsia="Arial" w:hAnsi="Arial"/>
                <w:sz w:val="13"/>
                <w:szCs w:val="13"/>
                <w:color w:val="auto"/>
              </w:rPr>
              <w:t>(19.1)</w:t>
            </w:r>
          </w:p>
        </w:tc>
        <w:tc>
          <w:tcPr>
            <w:tcW w:w="0" w:type="dxa"/>
            <w:vAlign w:val="bottom"/>
          </w:tcPr>
          <w:p>
            <w:pPr>
              <w:spacing w:after="0"/>
              <w:rPr>
                <w:sz w:val="1"/>
                <w:szCs w:val="1"/>
                <w:color w:val="auto"/>
              </w:rPr>
            </w:pPr>
          </w:p>
        </w:tc>
      </w:tr>
      <w:tr>
        <w:trPr>
          <w:trHeight w:val="20"/>
        </w:trPr>
        <w:tc>
          <w:tcPr>
            <w:tcW w:w="4560" w:type="dxa"/>
            <w:vAlign w:val="bottom"/>
            <w:shd w:val="clear" w:color="auto" w:fill="E2E8F1"/>
          </w:tcPr>
          <w:p>
            <w:pPr>
              <w:spacing w:after="0" w:line="20" w:lineRule="exact"/>
              <w:rPr>
                <w:sz w:val="1"/>
                <w:szCs w:val="1"/>
                <w:color w:val="auto"/>
              </w:rPr>
            </w:pPr>
          </w:p>
        </w:tc>
        <w:tc>
          <w:tcPr>
            <w:tcW w:w="2800" w:type="dxa"/>
            <w:vAlign w:val="bottom"/>
            <w:shd w:val="clear" w:color="auto" w:fill="E2E8F1"/>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180" w:type="dxa"/>
            <w:vAlign w:val="bottom"/>
            <w:shd w:val="clear" w:color="auto" w:fill="E2E8F1"/>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560" w:type="dxa"/>
            <w:vAlign w:val="bottom"/>
          </w:tcPr>
          <w:p>
            <w:pPr>
              <w:spacing w:after="0"/>
              <w:rPr>
                <w:sz w:val="11"/>
                <w:szCs w:val="11"/>
                <w:color w:val="auto"/>
              </w:rPr>
            </w:pPr>
          </w:p>
        </w:tc>
        <w:tc>
          <w:tcPr>
            <w:tcW w:w="4040" w:type="dxa"/>
            <w:vAlign w:val="bottom"/>
            <w:gridSpan w:val="2"/>
          </w:tcPr>
          <w:p>
            <w:pPr>
              <w:jc w:val="right"/>
              <w:ind w:right="1133"/>
              <w:spacing w:after="0" w:line="134"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4" w:lineRule="exact"/>
              <w:rPr>
                <w:sz w:val="20"/>
                <w:szCs w:val="20"/>
                <w:color w:val="auto"/>
              </w:rPr>
            </w:pPr>
            <w:r>
              <w:rPr>
                <w:rFonts w:ascii="Arial" w:cs="Arial" w:eastAsia="Arial" w:hAnsi="Arial"/>
                <w:sz w:val="13"/>
                <w:szCs w:val="13"/>
                <w:color w:val="auto"/>
              </w:rPr>
              <w:t>41.7</w:t>
            </w:r>
          </w:p>
        </w:tc>
        <w:tc>
          <w:tcPr>
            <w:tcW w:w="100" w:type="dxa"/>
            <w:vAlign w:val="bottom"/>
          </w:tcPr>
          <w:p>
            <w:pPr>
              <w:spacing w:after="0"/>
              <w:rPr>
                <w:sz w:val="11"/>
                <w:szCs w:val="11"/>
                <w:color w:val="auto"/>
              </w:rPr>
            </w:pPr>
          </w:p>
        </w:tc>
        <w:tc>
          <w:tcPr>
            <w:tcW w:w="580" w:type="dxa"/>
            <w:vAlign w:val="bottom"/>
            <w:gridSpan w:val="2"/>
          </w:tcPr>
          <w:p>
            <w:pPr>
              <w:jc w:val="right"/>
              <w:ind w:right="320"/>
              <w:spacing w:after="0" w:line="134" w:lineRule="exact"/>
              <w:rPr>
                <w:sz w:val="20"/>
                <w:szCs w:val="20"/>
                <w:color w:val="auto"/>
              </w:rPr>
            </w:pPr>
            <w:r>
              <w:rPr>
                <w:rFonts w:ascii="Arial" w:cs="Arial" w:eastAsia="Arial" w:hAnsi="Arial"/>
                <w:sz w:val="13"/>
                <w:szCs w:val="13"/>
                <w:color w:val="auto"/>
              </w:rPr>
              <w:t>$</w:t>
            </w:r>
          </w:p>
        </w:tc>
        <w:tc>
          <w:tcPr>
            <w:tcW w:w="1340" w:type="dxa"/>
            <w:vAlign w:val="bottom"/>
          </w:tcPr>
          <w:p>
            <w:pPr>
              <w:jc w:val="right"/>
              <w:spacing w:after="0" w:line="134" w:lineRule="exact"/>
              <w:rPr>
                <w:sz w:val="20"/>
                <w:szCs w:val="20"/>
                <w:color w:val="auto"/>
              </w:rPr>
            </w:pPr>
            <w:r>
              <w:rPr>
                <w:rFonts w:ascii="Arial" w:cs="Arial" w:eastAsia="Arial" w:hAnsi="Arial"/>
                <w:sz w:val="13"/>
                <w:szCs w:val="13"/>
                <w:color w:val="auto"/>
              </w:rPr>
              <w:t>28.7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9"/>
        </w:trPr>
        <w:tc>
          <w:tcPr>
            <w:tcW w:w="45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-750570</wp:posOffset>
            </wp:positionV>
            <wp:extent cx="6731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-750570</wp:posOffset>
            </wp:positionV>
            <wp:extent cx="6731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5"/>
          </w:cols>
          <w:pgMar w:left="315" w:top="882" w:right="319" w:bottom="1440" w:gutter="0" w:footer="0" w:header="0"/>
        </w:sectPr>
      </w:pPr>
    </w:p>
    <w:bookmarkStart w:id="10" w:name="page11"/>
    <w:bookmarkEnd w:id="10"/>
    <w:p>
      <w:pPr>
        <w:ind w:left="5040"/>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December 31,</w:t>
            </w:r>
          </w:p>
        </w:tc>
      </w:tr>
      <w:tr>
        <w:trPr>
          <w:trHeight w:val="150"/>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70"/>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49"/>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r>
      <w:tr>
        <w:trPr>
          <w:trHeight w:val="134"/>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00" w:type="dxa"/>
            <w:vAlign w:val="bottom"/>
            <w:gridSpan w:val="4"/>
          </w:tcPr>
          <w:p>
            <w:pPr>
              <w:jc w:val="right"/>
              <w:ind w:right="140"/>
              <w:spacing w:after="0" w:line="134" w:lineRule="exact"/>
              <w:rPr>
                <w:sz w:val="20"/>
                <w:szCs w:val="20"/>
                <w:color w:val="auto"/>
              </w:rPr>
            </w:pPr>
            <w:r>
              <w:rPr>
                <w:rFonts w:ascii="Arial" w:cs="Arial" w:eastAsia="Arial" w:hAnsi="Arial"/>
                <w:sz w:val="13"/>
                <w:szCs w:val="13"/>
                <w:color w:val="auto"/>
              </w:rPr>
              <w:t>(Unaudited)</w:t>
            </w: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ASSETS</w:t>
            </w:r>
          </w:p>
        </w:tc>
        <w:tc>
          <w:tcPr>
            <w:tcW w:w="162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15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Cash and cash equivalents</w:t>
            </w:r>
          </w:p>
        </w:tc>
        <w:tc>
          <w:tcPr>
            <w:tcW w:w="1880" w:type="dxa"/>
            <w:vAlign w:val="bottom"/>
            <w:gridSpan w:val="2"/>
            <w:shd w:val="clear" w:color="auto" w:fill="E2E8F1"/>
          </w:tcPr>
          <w:p>
            <w:pPr>
              <w:jc w:val="right"/>
              <w:ind w:right="180"/>
              <w:spacing w:after="0"/>
              <w:rPr>
                <w:sz w:val="20"/>
                <w:szCs w:val="20"/>
                <w:color w:val="auto"/>
              </w:rPr>
            </w:pPr>
            <w:r>
              <w:rPr>
                <w:rFonts w:ascii="Arial" w:cs="Arial" w:eastAsia="Arial" w:hAnsi="Arial"/>
                <w:sz w:val="14"/>
                <w:szCs w:val="14"/>
                <w:color w:val="auto"/>
              </w:rPr>
              <w:t>$</w:t>
            </w:r>
          </w:p>
        </w:tc>
        <w:tc>
          <w:tcPr>
            <w:tcW w:w="15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274.6</w:t>
            </w:r>
          </w:p>
        </w:tc>
        <w:tc>
          <w:tcPr>
            <w:tcW w:w="100" w:type="dxa"/>
            <w:vAlign w:val="bottom"/>
            <w:shd w:val="clear" w:color="auto" w:fill="E2E8F1"/>
          </w:tcPr>
          <w:p>
            <w:pPr>
              <w:spacing w:after="0"/>
              <w:rPr>
                <w:sz w:val="14"/>
                <w:szCs w:val="14"/>
                <w:color w:val="auto"/>
              </w:rPr>
            </w:pPr>
          </w:p>
        </w:tc>
        <w:tc>
          <w:tcPr>
            <w:tcW w:w="500" w:type="dxa"/>
            <w:vAlign w:val="bottom"/>
            <w:gridSpan w:val="2"/>
            <w:shd w:val="clear" w:color="auto" w:fill="E2E8F1"/>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509.4</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4,632.3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4,297.2</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Borders>
              <w:bottom w:val="single" w:sz="8" w:color="E2E8F1"/>
            </w:tcBorders>
            <w:shd w:val="clear" w:color="auto" w:fill="E2E8F1"/>
          </w:tcPr>
          <w:p>
            <w:pPr>
              <w:ind w:left="180"/>
              <w:spacing w:after="0"/>
              <w:rPr>
                <w:sz w:val="20"/>
                <w:szCs w:val="20"/>
                <w:color w:val="auto"/>
              </w:rPr>
            </w:pPr>
            <w:r>
              <w:rPr>
                <w:rFonts w:ascii="Arial" w:cs="Arial" w:eastAsia="Arial" w:hAnsi="Arial"/>
                <w:sz w:val="14"/>
                <w:szCs w:val="14"/>
                <w:color w:val="auto"/>
              </w:rPr>
              <w:t>Prepaid expenses and other assets</w:t>
            </w:r>
          </w:p>
        </w:tc>
        <w:tc>
          <w:tcPr>
            <w:tcW w:w="1620" w:type="dxa"/>
            <w:vAlign w:val="bottom"/>
            <w:tcBorders>
              <w:bottom w:val="single" w:sz="8" w:color="E2E8F1"/>
            </w:tcBorders>
            <w:shd w:val="clear" w:color="auto" w:fill="E2E8F1"/>
          </w:tcPr>
          <w:p>
            <w:pPr>
              <w:spacing w:after="0"/>
              <w:rPr>
                <w:sz w:val="14"/>
                <w:szCs w:val="14"/>
                <w:color w:val="auto"/>
              </w:rPr>
            </w:pPr>
          </w:p>
        </w:tc>
        <w:tc>
          <w:tcPr>
            <w:tcW w:w="260" w:type="dxa"/>
            <w:vAlign w:val="bottom"/>
            <w:tcBorders>
              <w:bottom w:val="single" w:sz="8" w:color="auto"/>
            </w:tcBorders>
            <w:shd w:val="clear" w:color="auto" w:fill="E2E8F1"/>
          </w:tcPr>
          <w:p>
            <w:pPr>
              <w:spacing w:after="0"/>
              <w:rPr>
                <w:sz w:val="14"/>
                <w:szCs w:val="14"/>
                <w:color w:val="auto"/>
              </w:rPr>
            </w:pPr>
          </w:p>
        </w:tc>
        <w:tc>
          <w:tcPr>
            <w:tcW w:w="15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194.0</w:t>
            </w:r>
          </w:p>
        </w:tc>
        <w:tc>
          <w:tcPr>
            <w:tcW w:w="10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auto"/>
            </w:tcBorders>
            <w:shd w:val="clear" w:color="auto" w:fill="E2E8F1"/>
          </w:tcPr>
          <w:p>
            <w:pPr>
              <w:spacing w:after="0"/>
              <w:rPr>
                <w:sz w:val="14"/>
                <w:szCs w:val="14"/>
                <w:color w:val="auto"/>
              </w:rPr>
            </w:pPr>
          </w:p>
        </w:tc>
        <w:tc>
          <w:tcPr>
            <w:tcW w:w="14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163.7</w:t>
            </w:r>
          </w:p>
        </w:tc>
        <w:tc>
          <w:tcPr>
            <w:tcW w:w="120" w:type="dxa"/>
            <w:vAlign w:val="bottom"/>
            <w:tcBorders>
              <w:bottom w:val="single" w:sz="8" w:color="E2E8F1"/>
            </w:tcBorders>
            <w:shd w:val="clear" w:color="auto" w:fill="E2E8F1"/>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720" w:type="dxa"/>
            <w:vAlign w:val="bottom"/>
          </w:tcPr>
          <w:p>
            <w:pPr>
              <w:ind w:left="340"/>
              <w:spacing w:after="0" w:line="157" w:lineRule="exact"/>
              <w:rPr>
                <w:sz w:val="20"/>
                <w:szCs w:val="20"/>
                <w:color w:val="auto"/>
              </w:rPr>
            </w:pPr>
            <w:r>
              <w:rPr>
                <w:rFonts w:ascii="Arial" w:cs="Arial" w:eastAsia="Arial" w:hAnsi="Arial"/>
                <w:sz w:val="14"/>
                <w:szCs w:val="14"/>
                <w:color w:val="auto"/>
              </w:rPr>
              <w:t>Total current assets</w:t>
            </w:r>
          </w:p>
        </w:tc>
        <w:tc>
          <w:tcPr>
            <w:tcW w:w="1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line="157" w:lineRule="exact"/>
              <w:rPr>
                <w:sz w:val="20"/>
                <w:szCs w:val="20"/>
                <w:color w:val="auto"/>
              </w:rPr>
            </w:pPr>
            <w:r>
              <w:rPr>
                <w:rFonts w:ascii="Arial" w:cs="Arial" w:eastAsia="Arial" w:hAnsi="Arial"/>
                <w:sz w:val="14"/>
                <w:szCs w:val="14"/>
                <w:color w:val="auto"/>
              </w:rPr>
              <w:t>5,100.9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line="157" w:lineRule="exact"/>
              <w:rPr>
                <w:sz w:val="20"/>
                <w:szCs w:val="20"/>
                <w:color w:val="auto"/>
              </w:rPr>
            </w:pPr>
            <w:r>
              <w:rPr>
                <w:rFonts w:ascii="Arial" w:cs="Arial" w:eastAsia="Arial" w:hAnsi="Arial"/>
                <w:sz w:val="14"/>
                <w:szCs w:val="14"/>
                <w:color w:val="auto"/>
              </w:rPr>
              <w:t>4,970.3</w:t>
            </w:r>
          </w:p>
        </w:tc>
        <w:tc>
          <w:tcPr>
            <w:tcW w:w="1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Other assets:</w:t>
            </w:r>
          </w:p>
        </w:tc>
        <w:tc>
          <w:tcPr>
            <w:tcW w:w="162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15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Goodwill</w:t>
            </w: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1,543.9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1,563.4</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Intangible assets, net</w:t>
            </w:r>
          </w:p>
        </w:tc>
        <w:tc>
          <w:tcPr>
            <w:tcW w:w="162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15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437.0</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486.1</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Operating lease right-of-use assets</w:t>
            </w: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361.3</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Borders>
              <w:bottom w:val="single" w:sz="8" w:color="E2E8F1"/>
            </w:tcBorders>
            <w:shd w:val="clear" w:color="auto" w:fill="E2E8F1"/>
          </w:tcPr>
          <w:p>
            <w:pPr>
              <w:ind w:left="180"/>
              <w:spacing w:after="0"/>
              <w:rPr>
                <w:sz w:val="20"/>
                <w:szCs w:val="20"/>
                <w:color w:val="auto"/>
              </w:rPr>
            </w:pPr>
            <w:r>
              <w:rPr>
                <w:rFonts w:ascii="Arial" w:cs="Arial" w:eastAsia="Arial" w:hAnsi="Arial"/>
                <w:sz w:val="14"/>
                <w:szCs w:val="14"/>
                <w:color w:val="auto"/>
              </w:rPr>
              <w:t>Other assets</w:t>
            </w:r>
          </w:p>
        </w:tc>
        <w:tc>
          <w:tcPr>
            <w:tcW w:w="1620" w:type="dxa"/>
            <w:vAlign w:val="bottom"/>
            <w:tcBorders>
              <w:bottom w:val="single" w:sz="8" w:color="E2E8F1"/>
            </w:tcBorders>
            <w:shd w:val="clear" w:color="auto" w:fill="E2E8F1"/>
          </w:tcPr>
          <w:p>
            <w:pPr>
              <w:spacing w:after="0"/>
              <w:rPr>
                <w:sz w:val="14"/>
                <w:szCs w:val="14"/>
                <w:color w:val="auto"/>
              </w:rPr>
            </w:pPr>
          </w:p>
        </w:tc>
        <w:tc>
          <w:tcPr>
            <w:tcW w:w="260" w:type="dxa"/>
            <w:vAlign w:val="bottom"/>
            <w:tcBorders>
              <w:bottom w:val="single" w:sz="8" w:color="auto"/>
            </w:tcBorders>
            <w:shd w:val="clear" w:color="auto" w:fill="E2E8F1"/>
          </w:tcPr>
          <w:p>
            <w:pPr>
              <w:spacing w:after="0"/>
              <w:rPr>
                <w:sz w:val="14"/>
                <w:szCs w:val="14"/>
                <w:color w:val="auto"/>
              </w:rPr>
            </w:pPr>
          </w:p>
        </w:tc>
        <w:tc>
          <w:tcPr>
            <w:tcW w:w="15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837.8</w:t>
            </w:r>
          </w:p>
        </w:tc>
        <w:tc>
          <w:tcPr>
            <w:tcW w:w="10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auto"/>
            </w:tcBorders>
            <w:shd w:val="clear" w:color="auto" w:fill="E2E8F1"/>
          </w:tcPr>
          <w:p>
            <w:pPr>
              <w:spacing w:after="0"/>
              <w:rPr>
                <w:sz w:val="14"/>
                <w:szCs w:val="14"/>
                <w:color w:val="auto"/>
              </w:rPr>
            </w:pPr>
          </w:p>
        </w:tc>
        <w:tc>
          <w:tcPr>
            <w:tcW w:w="14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701.5</w:t>
            </w:r>
          </w:p>
        </w:tc>
        <w:tc>
          <w:tcPr>
            <w:tcW w:w="120" w:type="dxa"/>
            <w:vAlign w:val="bottom"/>
            <w:tcBorders>
              <w:bottom w:val="single" w:sz="8" w:color="E2E8F1"/>
            </w:tcBorders>
            <w:shd w:val="clear" w:color="auto" w:fill="E2E8F1"/>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720" w:type="dxa"/>
            <w:vAlign w:val="bottom"/>
          </w:tcPr>
          <w:p>
            <w:pPr>
              <w:ind w:left="340"/>
              <w:spacing w:after="0" w:line="157" w:lineRule="exact"/>
              <w:rPr>
                <w:sz w:val="20"/>
                <w:szCs w:val="20"/>
                <w:color w:val="auto"/>
              </w:rPr>
            </w:pPr>
            <w:r>
              <w:rPr>
                <w:rFonts w:ascii="Arial" w:cs="Arial" w:eastAsia="Arial" w:hAnsi="Arial"/>
                <w:sz w:val="14"/>
                <w:szCs w:val="14"/>
                <w:color w:val="auto"/>
              </w:rPr>
              <w:t>Total other assets</w:t>
            </w:r>
          </w:p>
        </w:tc>
        <w:tc>
          <w:tcPr>
            <w:tcW w:w="1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line="157" w:lineRule="exact"/>
              <w:rPr>
                <w:sz w:val="20"/>
                <w:szCs w:val="20"/>
                <w:color w:val="auto"/>
              </w:rPr>
            </w:pPr>
            <w:r>
              <w:rPr>
                <w:rFonts w:ascii="Arial" w:cs="Arial" w:eastAsia="Arial" w:hAnsi="Arial"/>
                <w:sz w:val="14"/>
                <w:szCs w:val="14"/>
                <w:color w:val="auto"/>
              </w:rPr>
              <w:t>3,221.1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line="157" w:lineRule="exact"/>
              <w:rPr>
                <w:sz w:val="20"/>
                <w:szCs w:val="20"/>
                <w:color w:val="auto"/>
              </w:rPr>
            </w:pPr>
            <w:r>
              <w:rPr>
                <w:rFonts w:ascii="Arial" w:cs="Arial" w:eastAsia="Arial" w:hAnsi="Arial"/>
                <w:sz w:val="14"/>
                <w:szCs w:val="14"/>
                <w:color w:val="auto"/>
              </w:rPr>
              <w:t>3,112.3</w:t>
            </w:r>
          </w:p>
        </w:tc>
        <w:tc>
          <w:tcPr>
            <w:tcW w:w="1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Property and equipment:</w:t>
            </w:r>
          </w:p>
        </w:tc>
        <w:tc>
          <w:tcPr>
            <w:tcW w:w="162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15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Land, buildings, leasehold improvements and equipment</w:t>
            </w: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543.2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488.2</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Borders>
              <w:bottom w:val="single" w:sz="8" w:color="E2E8F1"/>
            </w:tcBorders>
            <w:shd w:val="clear" w:color="auto" w:fill="E2E8F1"/>
          </w:tcPr>
          <w:p>
            <w:pPr>
              <w:ind w:left="180"/>
              <w:spacing w:after="0"/>
              <w:rPr>
                <w:sz w:val="20"/>
                <w:szCs w:val="20"/>
                <w:color w:val="auto"/>
              </w:rPr>
            </w:pPr>
            <w:r>
              <w:rPr>
                <w:rFonts w:ascii="Arial" w:cs="Arial" w:eastAsia="Arial" w:hAnsi="Arial"/>
                <w:sz w:val="14"/>
                <w:szCs w:val="14"/>
                <w:color w:val="auto"/>
              </w:rPr>
              <w:t>Less: accumulated depreciation and amortization</w:t>
            </w:r>
          </w:p>
        </w:tc>
        <w:tc>
          <w:tcPr>
            <w:tcW w:w="1620" w:type="dxa"/>
            <w:vAlign w:val="bottom"/>
            <w:tcBorders>
              <w:bottom w:val="single" w:sz="8" w:color="E2E8F1"/>
            </w:tcBorders>
            <w:shd w:val="clear" w:color="auto" w:fill="E2E8F1"/>
          </w:tcPr>
          <w:p>
            <w:pPr>
              <w:spacing w:after="0"/>
              <w:rPr>
                <w:sz w:val="14"/>
                <w:szCs w:val="14"/>
                <w:color w:val="auto"/>
              </w:rPr>
            </w:pPr>
          </w:p>
        </w:tc>
        <w:tc>
          <w:tcPr>
            <w:tcW w:w="260" w:type="dxa"/>
            <w:vAlign w:val="bottom"/>
            <w:tcBorders>
              <w:bottom w:val="single" w:sz="8" w:color="auto"/>
            </w:tcBorders>
            <w:shd w:val="clear" w:color="auto" w:fill="E2E8F1"/>
          </w:tcPr>
          <w:p>
            <w:pPr>
              <w:spacing w:after="0"/>
              <w:rPr>
                <w:sz w:val="14"/>
                <w:szCs w:val="14"/>
                <w:color w:val="auto"/>
              </w:rPr>
            </w:pPr>
          </w:p>
        </w:tc>
        <w:tc>
          <w:tcPr>
            <w:tcW w:w="15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418.3</w:t>
            </w:r>
          </w:p>
        </w:tc>
        <w:tc>
          <w:tcPr>
            <w:tcW w:w="10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auto"/>
            </w:tcBorders>
            <w:shd w:val="clear" w:color="auto" w:fill="E2E8F1"/>
          </w:tcPr>
          <w:p>
            <w:pPr>
              <w:spacing w:after="0"/>
              <w:rPr>
                <w:sz w:val="14"/>
                <w:szCs w:val="14"/>
                <w:color w:val="auto"/>
              </w:rPr>
            </w:pPr>
          </w:p>
        </w:tc>
        <w:tc>
          <w:tcPr>
            <w:tcW w:w="14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369.8</w:t>
            </w:r>
          </w:p>
        </w:tc>
        <w:tc>
          <w:tcPr>
            <w:tcW w:w="120" w:type="dxa"/>
            <w:vAlign w:val="bottom"/>
            <w:tcBorders>
              <w:bottom w:val="single" w:sz="8" w:color="E2E8F1"/>
            </w:tcBorders>
            <w:shd w:val="clear" w:color="auto" w:fill="E2E8F1"/>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720" w:type="dxa"/>
            <w:vAlign w:val="bottom"/>
          </w:tcPr>
          <w:p>
            <w:pPr>
              <w:ind w:left="340"/>
              <w:spacing w:after="0" w:line="157" w:lineRule="exact"/>
              <w:rPr>
                <w:sz w:val="20"/>
                <w:szCs w:val="20"/>
                <w:color w:val="auto"/>
              </w:rPr>
            </w:pPr>
            <w:r>
              <w:rPr>
                <w:rFonts w:ascii="Arial" w:cs="Arial" w:eastAsia="Arial" w:hAnsi="Arial"/>
                <w:sz w:val="14"/>
                <w:szCs w:val="14"/>
                <w:color w:val="auto"/>
              </w:rPr>
              <w:t>Net property and equipment</w:t>
            </w:r>
          </w:p>
        </w:tc>
        <w:tc>
          <w:tcPr>
            <w:tcW w:w="16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124.9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118.4</w:t>
            </w:r>
          </w:p>
        </w:tc>
        <w:tc>
          <w:tcPr>
            <w:tcW w:w="120" w:type="dxa"/>
            <w:vAlign w:val="bottom"/>
          </w:tcPr>
          <w:p>
            <w:pPr>
              <w:spacing w:after="0"/>
              <w:rPr>
                <w:sz w:val="13"/>
                <w:szCs w:val="13"/>
                <w:color w:val="auto"/>
              </w:rPr>
            </w:pPr>
          </w:p>
        </w:tc>
      </w:tr>
      <w:tr>
        <w:trPr>
          <w:trHeight w:val="197"/>
        </w:trPr>
        <w:tc>
          <w:tcPr>
            <w:tcW w:w="20" w:type="dxa"/>
            <w:vAlign w:val="bottom"/>
          </w:tcPr>
          <w:p>
            <w:pPr>
              <w:spacing w:after="0"/>
              <w:rPr>
                <w:sz w:val="17"/>
                <w:szCs w:val="17"/>
                <w:color w:val="auto"/>
              </w:rPr>
            </w:pPr>
          </w:p>
        </w:tc>
        <w:tc>
          <w:tcPr>
            <w:tcW w:w="5720" w:type="dxa"/>
            <w:vAlign w:val="bottom"/>
            <w:shd w:val="clear" w:color="auto" w:fill="E2E8F1"/>
          </w:tcPr>
          <w:p>
            <w:pPr>
              <w:ind w:left="760"/>
              <w:spacing w:after="0" w:line="157" w:lineRule="exact"/>
              <w:rPr>
                <w:sz w:val="20"/>
                <w:szCs w:val="20"/>
                <w:color w:val="auto"/>
              </w:rPr>
            </w:pPr>
            <w:r>
              <w:rPr>
                <w:rFonts w:ascii="Arial" w:cs="Arial" w:eastAsia="Arial" w:hAnsi="Arial"/>
                <w:sz w:val="14"/>
                <w:szCs w:val="14"/>
                <w:color w:val="auto"/>
              </w:rPr>
              <w:t>Total assets</w:t>
            </w:r>
          </w:p>
        </w:tc>
        <w:tc>
          <w:tcPr>
            <w:tcW w:w="1880" w:type="dxa"/>
            <w:vAlign w:val="bottom"/>
            <w:gridSpan w:val="2"/>
            <w:shd w:val="clear" w:color="auto" w:fill="E2E8F1"/>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50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8,446.9</w:t>
            </w:r>
          </w:p>
        </w:tc>
        <w:tc>
          <w:tcPr>
            <w:tcW w:w="100" w:type="dxa"/>
            <w:vAlign w:val="bottom"/>
            <w:shd w:val="clear" w:color="auto" w:fill="E2E8F1"/>
          </w:tcPr>
          <w:p>
            <w:pPr>
              <w:spacing w:after="0"/>
              <w:rPr>
                <w:sz w:val="17"/>
                <w:szCs w:val="17"/>
                <w:color w:val="auto"/>
              </w:rPr>
            </w:pPr>
          </w:p>
        </w:tc>
        <w:tc>
          <w:tcPr>
            <w:tcW w:w="500" w:type="dxa"/>
            <w:vAlign w:val="bottom"/>
            <w:gridSpan w:val="2"/>
            <w:shd w:val="clear" w:color="auto" w:fill="E2E8F1"/>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8,201.0</w:t>
            </w:r>
          </w:p>
        </w:tc>
        <w:tc>
          <w:tcPr>
            <w:tcW w:w="120" w:type="dxa"/>
            <w:vAlign w:val="bottom"/>
            <w:shd w:val="clear" w:color="auto" w:fill="E2E8F1"/>
          </w:tcPr>
          <w:p>
            <w:pPr>
              <w:spacing w:after="0"/>
              <w:rPr>
                <w:sz w:val="17"/>
                <w:szCs w:val="17"/>
                <w:color w:val="auto"/>
              </w:rPr>
            </w:pPr>
          </w:p>
        </w:tc>
      </w:tr>
      <w:tr>
        <w:trPr>
          <w:trHeight w:val="141"/>
        </w:trPr>
        <w:tc>
          <w:tcPr>
            <w:tcW w:w="20" w:type="dxa"/>
            <w:vAlign w:val="bottom"/>
          </w:tcPr>
          <w:p>
            <w:pPr>
              <w:spacing w:after="0"/>
              <w:rPr>
                <w:sz w:val="12"/>
                <w:szCs w:val="12"/>
                <w:color w:val="auto"/>
              </w:rPr>
            </w:pPr>
          </w:p>
        </w:tc>
        <w:tc>
          <w:tcPr>
            <w:tcW w:w="5720" w:type="dxa"/>
            <w:vAlign w:val="bottom"/>
            <w:tcBorders>
              <w:top w:val="single" w:sz="8" w:color="E2E8F1"/>
            </w:tcBorders>
          </w:tcPr>
          <w:p>
            <w:pPr>
              <w:spacing w:after="0" w:line="141" w:lineRule="exact"/>
              <w:rPr>
                <w:sz w:val="20"/>
                <w:szCs w:val="20"/>
                <w:color w:val="auto"/>
              </w:rPr>
            </w:pPr>
            <w:r>
              <w:rPr>
                <w:rFonts w:ascii="Arial" w:cs="Arial" w:eastAsia="Arial" w:hAnsi="Arial"/>
                <w:sz w:val="14"/>
                <w:szCs w:val="14"/>
                <w:b w:val="1"/>
                <w:bCs w:val="1"/>
                <w:color w:val="auto"/>
              </w:rPr>
              <w:t>LIABILITIES AND SHAREHOLDERS' EQUITY</w:t>
            </w:r>
          </w:p>
        </w:tc>
        <w:tc>
          <w:tcPr>
            <w:tcW w:w="1620" w:type="dxa"/>
            <w:vAlign w:val="bottom"/>
            <w:tcBorders>
              <w:top w:val="single" w:sz="8" w:color="E2E8F1"/>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200" w:type="dxa"/>
            <w:vAlign w:val="bottom"/>
            <w:tcBorders>
              <w:top w:val="single" w:sz="8" w:color="E2E8F1"/>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20" w:type="dxa"/>
            <w:vAlign w:val="bottom"/>
            <w:tcBorders>
              <w:top w:val="single" w:sz="8" w:color="E2E8F1"/>
            </w:tcBorders>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Current liabilities:</w:t>
            </w:r>
          </w:p>
        </w:tc>
        <w:tc>
          <w:tcPr>
            <w:tcW w:w="162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15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2,577.5</w:t>
            </w:r>
          </w:p>
        </w:tc>
        <w:tc>
          <w:tcPr>
            <w:tcW w:w="1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2,612.9</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Employee compensation payable</w:t>
            </w:r>
          </w:p>
        </w:tc>
        <w:tc>
          <w:tcPr>
            <w:tcW w:w="162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15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238.2</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241.1</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Accrued payroll taxes and insurance</w:t>
            </w: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629.2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615.2</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Accrued liabilities</w:t>
            </w:r>
          </w:p>
        </w:tc>
        <w:tc>
          <w:tcPr>
            <w:tcW w:w="162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15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427.9</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475.1</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Value added taxes payable</w:t>
            </w: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396.4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370.8</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Short-term operating lease liability</w:t>
            </w:r>
          </w:p>
        </w:tc>
        <w:tc>
          <w:tcPr>
            <w:tcW w:w="162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15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106.9</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98.6</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Short-term borrowings and current maturities of long-term debt</w:t>
            </w:r>
          </w:p>
        </w:tc>
        <w:tc>
          <w:tcPr>
            <w:tcW w:w="1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720" w:type="dxa"/>
            <w:vAlign w:val="bottom"/>
            <w:shd w:val="clear" w:color="auto" w:fill="E2E8F1"/>
          </w:tcPr>
          <w:p>
            <w:pPr>
              <w:ind w:left="480"/>
              <w:spacing w:after="0" w:line="157" w:lineRule="exact"/>
              <w:rPr>
                <w:sz w:val="20"/>
                <w:szCs w:val="20"/>
                <w:color w:val="auto"/>
              </w:rPr>
            </w:pPr>
            <w:r>
              <w:rPr>
                <w:rFonts w:ascii="Arial" w:cs="Arial" w:eastAsia="Arial" w:hAnsi="Arial"/>
                <w:sz w:val="14"/>
                <w:szCs w:val="14"/>
                <w:color w:val="auto"/>
              </w:rPr>
              <w:t>Total current liabilities</w:t>
            </w:r>
          </w:p>
        </w:tc>
        <w:tc>
          <w:tcPr>
            <w:tcW w:w="1620" w:type="dxa"/>
            <w:vAlign w:val="bottom"/>
            <w:shd w:val="clear" w:color="auto" w:fill="E2E8F1"/>
          </w:tcPr>
          <w:p>
            <w:pPr>
              <w:spacing w:after="0"/>
              <w:rPr>
                <w:sz w:val="13"/>
                <w:szCs w:val="13"/>
                <w:color w:val="auto"/>
              </w:rPr>
            </w:pPr>
          </w:p>
        </w:tc>
        <w:tc>
          <w:tcPr>
            <w:tcW w:w="260" w:type="dxa"/>
            <w:vAlign w:val="bottom"/>
            <w:shd w:val="clear" w:color="auto" w:fill="E2E8F1"/>
          </w:tcPr>
          <w:p>
            <w:pPr>
              <w:spacing w:after="0"/>
              <w:rPr>
                <w:sz w:val="13"/>
                <w:szCs w:val="13"/>
                <w:color w:val="auto"/>
              </w:rPr>
            </w:pPr>
          </w:p>
        </w:tc>
        <w:tc>
          <w:tcPr>
            <w:tcW w:w="150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5,123.9</w:t>
            </w:r>
          </w:p>
        </w:tc>
        <w:tc>
          <w:tcPr>
            <w:tcW w:w="100" w:type="dxa"/>
            <w:vAlign w:val="bottom"/>
            <w:shd w:val="clear" w:color="auto" w:fill="E2E8F1"/>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300" w:type="dxa"/>
            <w:vAlign w:val="bottom"/>
            <w:shd w:val="clear" w:color="auto" w:fill="E2E8F1"/>
          </w:tcPr>
          <w:p>
            <w:pPr>
              <w:spacing w:after="0"/>
              <w:rPr>
                <w:sz w:val="13"/>
                <w:szCs w:val="13"/>
                <w:color w:val="auto"/>
              </w:rPr>
            </w:pPr>
          </w:p>
        </w:tc>
        <w:tc>
          <w:tcPr>
            <w:tcW w:w="14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4,437.1</w:t>
            </w:r>
          </w:p>
        </w:tc>
        <w:tc>
          <w:tcPr>
            <w:tcW w:w="120" w:type="dxa"/>
            <w:vAlign w:val="bottom"/>
            <w:shd w:val="clear" w:color="auto" w:fill="E2E8F1"/>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Other liabilities:</w:t>
            </w: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180"/>
              <w:spacing w:after="0"/>
              <w:rPr>
                <w:sz w:val="20"/>
                <w:szCs w:val="20"/>
                <w:color w:val="auto"/>
              </w:rPr>
            </w:pPr>
            <w:r>
              <w:rPr>
                <w:rFonts w:ascii="Arial" w:cs="Arial" w:eastAsia="Arial" w:hAnsi="Arial"/>
                <w:sz w:val="14"/>
                <w:szCs w:val="14"/>
                <w:color w:val="auto"/>
              </w:rPr>
              <w:t>Long-term debt</w:t>
            </w:r>
          </w:p>
        </w:tc>
        <w:tc>
          <w:tcPr>
            <w:tcW w:w="162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15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468.3</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929.4</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Long-term operating lease liability</w:t>
            </w: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314.1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279.0</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Borders>
              <w:bottom w:val="single" w:sz="8" w:color="E2E8F1"/>
            </w:tcBorders>
            <w:shd w:val="clear" w:color="auto" w:fill="E2E8F1"/>
          </w:tcPr>
          <w:p>
            <w:pPr>
              <w:ind w:left="180"/>
              <w:spacing w:after="0"/>
              <w:rPr>
                <w:sz w:val="20"/>
                <w:szCs w:val="20"/>
                <w:color w:val="auto"/>
              </w:rPr>
            </w:pPr>
            <w:r>
              <w:rPr>
                <w:rFonts w:ascii="Arial" w:cs="Arial" w:eastAsia="Arial" w:hAnsi="Arial"/>
                <w:sz w:val="14"/>
                <w:szCs w:val="14"/>
                <w:color w:val="auto"/>
              </w:rPr>
              <w:t>Other long-term liabilities</w:t>
            </w:r>
          </w:p>
        </w:tc>
        <w:tc>
          <w:tcPr>
            <w:tcW w:w="1620" w:type="dxa"/>
            <w:vAlign w:val="bottom"/>
            <w:tcBorders>
              <w:bottom w:val="single" w:sz="8" w:color="E2E8F1"/>
            </w:tcBorders>
            <w:shd w:val="clear" w:color="auto" w:fill="E2E8F1"/>
          </w:tcPr>
          <w:p>
            <w:pPr>
              <w:spacing w:after="0"/>
              <w:rPr>
                <w:sz w:val="14"/>
                <w:szCs w:val="14"/>
                <w:color w:val="auto"/>
              </w:rPr>
            </w:pPr>
          </w:p>
        </w:tc>
        <w:tc>
          <w:tcPr>
            <w:tcW w:w="260" w:type="dxa"/>
            <w:vAlign w:val="bottom"/>
            <w:tcBorders>
              <w:bottom w:val="single" w:sz="8" w:color="auto"/>
            </w:tcBorders>
            <w:shd w:val="clear" w:color="auto" w:fill="E2E8F1"/>
          </w:tcPr>
          <w:p>
            <w:pPr>
              <w:spacing w:after="0"/>
              <w:rPr>
                <w:sz w:val="14"/>
                <w:szCs w:val="14"/>
                <w:color w:val="auto"/>
              </w:rPr>
            </w:pPr>
          </w:p>
        </w:tc>
        <w:tc>
          <w:tcPr>
            <w:tcW w:w="15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529.2</w:t>
            </w:r>
          </w:p>
        </w:tc>
        <w:tc>
          <w:tcPr>
            <w:tcW w:w="10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auto"/>
            </w:tcBorders>
            <w:shd w:val="clear" w:color="auto" w:fill="E2E8F1"/>
          </w:tcPr>
          <w:p>
            <w:pPr>
              <w:spacing w:after="0"/>
              <w:rPr>
                <w:sz w:val="14"/>
                <w:szCs w:val="14"/>
                <w:color w:val="auto"/>
              </w:rPr>
            </w:pPr>
          </w:p>
        </w:tc>
        <w:tc>
          <w:tcPr>
            <w:tcW w:w="14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428.6</w:t>
            </w:r>
          </w:p>
        </w:tc>
        <w:tc>
          <w:tcPr>
            <w:tcW w:w="120" w:type="dxa"/>
            <w:vAlign w:val="bottom"/>
            <w:tcBorders>
              <w:bottom w:val="single" w:sz="8" w:color="E2E8F1"/>
            </w:tcBorders>
            <w:shd w:val="clear" w:color="auto" w:fill="E2E8F1"/>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720" w:type="dxa"/>
            <w:vAlign w:val="bottom"/>
          </w:tcPr>
          <w:p>
            <w:pPr>
              <w:ind w:left="480"/>
              <w:spacing w:after="0" w:line="157" w:lineRule="exact"/>
              <w:rPr>
                <w:sz w:val="20"/>
                <w:szCs w:val="20"/>
                <w:color w:val="auto"/>
              </w:rPr>
            </w:pPr>
            <w:r>
              <w:rPr>
                <w:rFonts w:ascii="Arial" w:cs="Arial" w:eastAsia="Arial" w:hAnsi="Arial"/>
                <w:sz w:val="14"/>
                <w:szCs w:val="14"/>
                <w:color w:val="auto"/>
              </w:rPr>
              <w:t>Total other liabilities</w:t>
            </w:r>
          </w:p>
        </w:tc>
        <w:tc>
          <w:tcPr>
            <w:tcW w:w="1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line="157" w:lineRule="exact"/>
              <w:rPr>
                <w:sz w:val="20"/>
                <w:szCs w:val="20"/>
                <w:color w:val="auto"/>
              </w:rPr>
            </w:pPr>
            <w:r>
              <w:rPr>
                <w:rFonts w:ascii="Arial" w:cs="Arial" w:eastAsia="Arial" w:hAnsi="Arial"/>
                <w:sz w:val="14"/>
                <w:szCs w:val="14"/>
                <w:color w:val="auto"/>
              </w:rPr>
              <w:t>1,311.6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line="157" w:lineRule="exact"/>
              <w:rPr>
                <w:sz w:val="20"/>
                <w:szCs w:val="20"/>
                <w:color w:val="auto"/>
              </w:rPr>
            </w:pPr>
            <w:r>
              <w:rPr>
                <w:rFonts w:ascii="Arial" w:cs="Arial" w:eastAsia="Arial" w:hAnsi="Arial"/>
                <w:sz w:val="14"/>
                <w:szCs w:val="14"/>
                <w:color w:val="auto"/>
              </w:rPr>
              <w:t>1,637.0</w:t>
            </w:r>
          </w:p>
        </w:tc>
        <w:tc>
          <w:tcPr>
            <w:tcW w:w="1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Shareholders' equity:</w:t>
            </w:r>
          </w:p>
        </w:tc>
        <w:tc>
          <w:tcPr>
            <w:tcW w:w="162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15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60"/>
              <w:spacing w:after="0"/>
              <w:rPr>
                <w:sz w:val="20"/>
                <w:szCs w:val="20"/>
                <w:color w:val="auto"/>
              </w:rPr>
            </w:pPr>
            <w:r>
              <w:rPr>
                <w:rFonts w:ascii="Arial" w:cs="Arial" w:eastAsia="Arial" w:hAnsi="Arial"/>
                <w:sz w:val="14"/>
                <w:szCs w:val="14"/>
                <w:color w:val="auto"/>
              </w:rPr>
              <w:t>ManpowerGroup shareholders' equity</w:t>
            </w: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260"/>
              <w:spacing w:after="0"/>
              <w:rPr>
                <w:sz w:val="20"/>
                <w:szCs w:val="20"/>
                <w:color w:val="auto"/>
              </w:rPr>
            </w:pPr>
            <w:r>
              <w:rPr>
                <w:rFonts w:ascii="Arial" w:cs="Arial" w:eastAsia="Arial" w:hAnsi="Arial"/>
                <w:sz w:val="14"/>
                <w:szCs w:val="14"/>
                <w:color w:val="auto"/>
              </w:rPr>
              <w:t>Common stock</w:t>
            </w:r>
          </w:p>
        </w:tc>
        <w:tc>
          <w:tcPr>
            <w:tcW w:w="162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15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260"/>
              <w:spacing w:after="0"/>
              <w:rPr>
                <w:sz w:val="20"/>
                <w:szCs w:val="20"/>
                <w:color w:val="auto"/>
              </w:rPr>
            </w:pPr>
            <w:r>
              <w:rPr>
                <w:rFonts w:ascii="Arial" w:cs="Arial" w:eastAsia="Arial" w:hAnsi="Arial"/>
                <w:sz w:val="14"/>
                <w:szCs w:val="14"/>
                <w:color w:val="auto"/>
              </w:rPr>
              <w:t>Capital in excess of par value</w:t>
            </w: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3,565.5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3,546.1</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260"/>
              <w:spacing w:after="0"/>
              <w:rPr>
                <w:sz w:val="20"/>
                <w:szCs w:val="20"/>
                <w:color w:val="auto"/>
              </w:rPr>
            </w:pPr>
            <w:r>
              <w:rPr>
                <w:rFonts w:ascii="Arial" w:cs="Arial" w:eastAsia="Arial" w:hAnsi="Arial"/>
                <w:sz w:val="14"/>
                <w:szCs w:val="14"/>
                <w:color w:val="auto"/>
              </w:rPr>
              <w:t>Retained earnings</w:t>
            </w:r>
          </w:p>
        </w:tc>
        <w:tc>
          <w:tcPr>
            <w:tcW w:w="162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15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3,735.5</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3,812.3</w:t>
            </w:r>
          </w:p>
        </w:tc>
        <w:tc>
          <w:tcPr>
            <w:tcW w:w="120" w:type="dxa"/>
            <w:vAlign w:val="bottom"/>
            <w:shd w:val="clear" w:color="auto" w:fill="E2E8F1"/>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260"/>
              <w:spacing w:after="0"/>
              <w:rPr>
                <w:sz w:val="20"/>
                <w:szCs w:val="20"/>
                <w:color w:val="auto"/>
              </w:rPr>
            </w:pPr>
            <w:r>
              <w:rPr>
                <w:rFonts w:ascii="Arial" w:cs="Arial" w:eastAsia="Arial" w:hAnsi="Arial"/>
                <w:sz w:val="14"/>
                <w:szCs w:val="14"/>
                <w:color w:val="auto"/>
              </w:rPr>
              <w:t>Accumulated other comprehensive loss</w:t>
            </w: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4"/>
                <w:szCs w:val="14"/>
                <w:color w:val="auto"/>
              </w:rPr>
              <w:t>(457.1)</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4"/>
                <w:szCs w:val="14"/>
                <w:color w:val="auto"/>
              </w:rPr>
              <w:t>(443.0)</w:t>
            </w:r>
          </w:p>
        </w:tc>
      </w:tr>
      <w:tr>
        <w:trPr>
          <w:trHeight w:val="166"/>
        </w:trPr>
        <w:tc>
          <w:tcPr>
            <w:tcW w:w="20" w:type="dxa"/>
            <w:vAlign w:val="bottom"/>
          </w:tcPr>
          <w:p>
            <w:pPr>
              <w:spacing w:after="0"/>
              <w:rPr>
                <w:sz w:val="14"/>
                <w:szCs w:val="14"/>
                <w:color w:val="auto"/>
              </w:rPr>
            </w:pPr>
          </w:p>
        </w:tc>
        <w:tc>
          <w:tcPr>
            <w:tcW w:w="5720" w:type="dxa"/>
            <w:vAlign w:val="bottom"/>
            <w:shd w:val="clear" w:color="auto" w:fill="E2E8F1"/>
          </w:tcPr>
          <w:p>
            <w:pPr>
              <w:ind w:left="260"/>
              <w:spacing w:after="0"/>
              <w:rPr>
                <w:sz w:val="20"/>
                <w:szCs w:val="20"/>
                <w:color w:val="auto"/>
              </w:rPr>
            </w:pPr>
            <w:r>
              <w:rPr>
                <w:rFonts w:ascii="Arial" w:cs="Arial" w:eastAsia="Arial" w:hAnsi="Arial"/>
                <w:sz w:val="14"/>
                <w:szCs w:val="14"/>
                <w:color w:val="auto"/>
              </w:rPr>
              <w:t>Treasury stock, at cost</w:t>
            </w:r>
          </w:p>
        </w:tc>
        <w:tc>
          <w:tcPr>
            <w:tcW w:w="162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160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(4,834.3)</w:t>
            </w: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54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(4,791.4)</w:t>
            </w:r>
          </w:p>
        </w:tc>
      </w:tr>
      <w:tr>
        <w:trPr>
          <w:trHeight w:val="157"/>
        </w:trPr>
        <w:tc>
          <w:tcPr>
            <w:tcW w:w="20" w:type="dxa"/>
            <w:vAlign w:val="bottom"/>
          </w:tcPr>
          <w:p>
            <w:pPr>
              <w:spacing w:after="0"/>
              <w:rPr>
                <w:sz w:val="13"/>
                <w:szCs w:val="13"/>
                <w:color w:val="auto"/>
              </w:rPr>
            </w:pPr>
          </w:p>
        </w:tc>
        <w:tc>
          <w:tcPr>
            <w:tcW w:w="5720" w:type="dxa"/>
            <w:vAlign w:val="bottom"/>
            <w:tcBorders>
              <w:top w:val="single" w:sz="8" w:color="E2E8F1"/>
            </w:tcBorders>
          </w:tcPr>
          <w:p>
            <w:pPr>
              <w:ind w:left="380"/>
              <w:spacing w:after="0" w:line="157" w:lineRule="exact"/>
              <w:rPr>
                <w:sz w:val="20"/>
                <w:szCs w:val="20"/>
                <w:color w:val="auto"/>
              </w:rPr>
            </w:pPr>
            <w:r>
              <w:rPr>
                <w:rFonts w:ascii="Arial" w:cs="Arial" w:eastAsia="Arial" w:hAnsi="Arial"/>
                <w:sz w:val="14"/>
                <w:szCs w:val="14"/>
                <w:color w:val="auto"/>
              </w:rPr>
              <w:t>Total ManpowerGroup shareholders' equity</w:t>
            </w:r>
          </w:p>
        </w:tc>
        <w:tc>
          <w:tcPr>
            <w:tcW w:w="1620" w:type="dxa"/>
            <w:vAlign w:val="bottom"/>
            <w:tcBorders>
              <w:top w:val="single" w:sz="8" w:color="E2E8F1"/>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2,010.8</w:t>
            </w:r>
          </w:p>
        </w:tc>
        <w:tc>
          <w:tcPr>
            <w:tcW w:w="100" w:type="dxa"/>
            <w:vAlign w:val="bottom"/>
            <w:tcBorders>
              <w:top w:val="single" w:sz="8" w:color="E2E8F1"/>
            </w:tcBorders>
          </w:tcPr>
          <w:p>
            <w:pPr>
              <w:spacing w:after="0"/>
              <w:rPr>
                <w:sz w:val="13"/>
                <w:szCs w:val="13"/>
                <w:color w:val="auto"/>
              </w:rPr>
            </w:pPr>
          </w:p>
        </w:tc>
        <w:tc>
          <w:tcPr>
            <w:tcW w:w="200" w:type="dxa"/>
            <w:vAlign w:val="bottom"/>
            <w:tcBorders>
              <w:top w:val="single" w:sz="8" w:color="E2E8F1"/>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2,125.2</w:t>
            </w:r>
          </w:p>
        </w:tc>
        <w:tc>
          <w:tcPr>
            <w:tcW w:w="120" w:type="dxa"/>
            <w:vAlign w:val="bottom"/>
            <w:tcBorders>
              <w:top w:val="single" w:sz="8" w:color="E2E8F1"/>
            </w:tcBorders>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720" w:type="dxa"/>
            <w:vAlign w:val="bottom"/>
            <w:tcBorders>
              <w:bottom w:val="single" w:sz="8" w:color="E2E8F1"/>
            </w:tcBorders>
            <w:shd w:val="clear" w:color="auto" w:fill="E2E8F1"/>
          </w:tcPr>
          <w:p>
            <w:pPr>
              <w:ind w:left="60"/>
              <w:spacing w:after="0" w:line="157" w:lineRule="exact"/>
              <w:rPr>
                <w:sz w:val="20"/>
                <w:szCs w:val="20"/>
                <w:color w:val="auto"/>
              </w:rPr>
            </w:pPr>
            <w:r>
              <w:rPr>
                <w:rFonts w:ascii="Arial" w:cs="Arial" w:eastAsia="Arial" w:hAnsi="Arial"/>
                <w:sz w:val="14"/>
                <w:szCs w:val="14"/>
                <w:color w:val="auto"/>
              </w:rPr>
              <w:t>Noncontrolling interests</w:t>
            </w:r>
          </w:p>
        </w:tc>
        <w:tc>
          <w:tcPr>
            <w:tcW w:w="1620" w:type="dxa"/>
            <w:vAlign w:val="bottom"/>
            <w:tcBorders>
              <w:bottom w:val="single" w:sz="8" w:color="E2E8F1"/>
            </w:tcBorders>
            <w:shd w:val="clear" w:color="auto" w:fill="E2E8F1"/>
          </w:tcPr>
          <w:p>
            <w:pPr>
              <w:spacing w:after="0"/>
              <w:rPr>
                <w:sz w:val="13"/>
                <w:szCs w:val="13"/>
                <w:color w:val="auto"/>
              </w:rPr>
            </w:pPr>
          </w:p>
        </w:tc>
        <w:tc>
          <w:tcPr>
            <w:tcW w:w="260" w:type="dxa"/>
            <w:vAlign w:val="bottom"/>
            <w:tcBorders>
              <w:bottom w:val="single" w:sz="8" w:color="auto"/>
            </w:tcBorders>
            <w:shd w:val="clear" w:color="auto" w:fill="E2E8F1"/>
          </w:tcPr>
          <w:p>
            <w:pPr>
              <w:spacing w:after="0"/>
              <w:rPr>
                <w:sz w:val="13"/>
                <w:szCs w:val="13"/>
                <w:color w:val="auto"/>
              </w:rPr>
            </w:pPr>
          </w:p>
        </w:tc>
        <w:tc>
          <w:tcPr>
            <w:tcW w:w="150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0.6</w:t>
            </w:r>
          </w:p>
        </w:tc>
        <w:tc>
          <w:tcPr>
            <w:tcW w:w="100" w:type="dxa"/>
            <w:vAlign w:val="bottom"/>
            <w:tcBorders>
              <w:bottom w:val="single" w:sz="8" w:color="E2E8F1"/>
            </w:tcBorders>
            <w:shd w:val="clear" w:color="auto" w:fill="E2E8F1"/>
          </w:tcPr>
          <w:p>
            <w:pPr>
              <w:spacing w:after="0"/>
              <w:rPr>
                <w:sz w:val="13"/>
                <w:szCs w:val="13"/>
                <w:color w:val="auto"/>
              </w:rPr>
            </w:pPr>
          </w:p>
        </w:tc>
        <w:tc>
          <w:tcPr>
            <w:tcW w:w="200" w:type="dxa"/>
            <w:vAlign w:val="bottom"/>
            <w:tcBorders>
              <w:bottom w:val="single" w:sz="8" w:color="E2E8F1"/>
            </w:tcBorders>
            <w:shd w:val="clear" w:color="auto" w:fill="E2E8F1"/>
          </w:tcPr>
          <w:p>
            <w:pPr>
              <w:spacing w:after="0"/>
              <w:rPr>
                <w:sz w:val="13"/>
                <w:szCs w:val="13"/>
                <w:color w:val="auto"/>
              </w:rPr>
            </w:pPr>
          </w:p>
        </w:tc>
        <w:tc>
          <w:tcPr>
            <w:tcW w:w="300" w:type="dxa"/>
            <w:vAlign w:val="bottom"/>
            <w:tcBorders>
              <w:bottom w:val="single" w:sz="8" w:color="auto"/>
            </w:tcBorders>
            <w:shd w:val="clear" w:color="auto" w:fill="E2E8F1"/>
          </w:tcPr>
          <w:p>
            <w:pPr>
              <w:spacing w:after="0"/>
              <w:rPr>
                <w:sz w:val="13"/>
                <w:szCs w:val="13"/>
                <w:color w:val="auto"/>
              </w:rPr>
            </w:pPr>
          </w:p>
        </w:tc>
        <w:tc>
          <w:tcPr>
            <w:tcW w:w="14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1.7</w:t>
            </w:r>
          </w:p>
        </w:tc>
        <w:tc>
          <w:tcPr>
            <w:tcW w:w="120" w:type="dxa"/>
            <w:vAlign w:val="bottom"/>
            <w:tcBorders>
              <w:bottom w:val="single" w:sz="8" w:color="E2E8F1"/>
            </w:tcBorders>
            <w:shd w:val="clear" w:color="auto" w:fill="E2E8F1"/>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720" w:type="dxa"/>
            <w:vAlign w:val="bottom"/>
          </w:tcPr>
          <w:p>
            <w:pPr>
              <w:ind w:left="500"/>
              <w:spacing w:after="0" w:line="157" w:lineRule="exact"/>
              <w:rPr>
                <w:sz w:val="20"/>
                <w:szCs w:val="20"/>
                <w:color w:val="auto"/>
              </w:rPr>
            </w:pPr>
            <w:r>
              <w:rPr>
                <w:rFonts w:ascii="Arial" w:cs="Arial" w:eastAsia="Arial" w:hAnsi="Arial"/>
                <w:sz w:val="14"/>
                <w:szCs w:val="14"/>
                <w:color w:val="auto"/>
              </w:rPr>
              <w:t>Total shareholders' equity</w:t>
            </w:r>
          </w:p>
        </w:tc>
        <w:tc>
          <w:tcPr>
            <w:tcW w:w="16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2,011.4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2,126.9</w:t>
            </w:r>
          </w:p>
        </w:tc>
        <w:tc>
          <w:tcPr>
            <w:tcW w:w="120" w:type="dxa"/>
            <w:vAlign w:val="bottom"/>
          </w:tcPr>
          <w:p>
            <w:pPr>
              <w:spacing w:after="0"/>
              <w:rPr>
                <w:sz w:val="13"/>
                <w:szCs w:val="13"/>
                <w:color w:val="auto"/>
              </w:rPr>
            </w:pPr>
          </w:p>
        </w:tc>
      </w:tr>
      <w:tr>
        <w:trPr>
          <w:trHeight w:val="197"/>
        </w:trPr>
        <w:tc>
          <w:tcPr>
            <w:tcW w:w="20" w:type="dxa"/>
            <w:vAlign w:val="bottom"/>
          </w:tcPr>
          <w:p>
            <w:pPr>
              <w:spacing w:after="0"/>
              <w:rPr>
                <w:sz w:val="17"/>
                <w:szCs w:val="17"/>
                <w:color w:val="auto"/>
              </w:rPr>
            </w:pPr>
          </w:p>
        </w:tc>
        <w:tc>
          <w:tcPr>
            <w:tcW w:w="5720" w:type="dxa"/>
            <w:vAlign w:val="bottom"/>
            <w:shd w:val="clear" w:color="auto" w:fill="E2E8F1"/>
          </w:tcPr>
          <w:p>
            <w:pPr>
              <w:ind w:left="620"/>
              <w:spacing w:after="0" w:line="157" w:lineRule="exact"/>
              <w:rPr>
                <w:sz w:val="20"/>
                <w:szCs w:val="20"/>
                <w:color w:val="auto"/>
              </w:rPr>
            </w:pPr>
            <w:r>
              <w:rPr>
                <w:rFonts w:ascii="Arial" w:cs="Arial" w:eastAsia="Arial" w:hAnsi="Arial"/>
                <w:sz w:val="14"/>
                <w:szCs w:val="14"/>
                <w:color w:val="auto"/>
              </w:rPr>
              <w:t>Total liabilities and shareholders' equity</w:t>
            </w:r>
          </w:p>
        </w:tc>
        <w:tc>
          <w:tcPr>
            <w:tcW w:w="1880" w:type="dxa"/>
            <w:vAlign w:val="bottom"/>
            <w:gridSpan w:val="2"/>
            <w:shd w:val="clear" w:color="auto" w:fill="E2E8F1"/>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50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8,446.9</w:t>
            </w:r>
          </w:p>
        </w:tc>
        <w:tc>
          <w:tcPr>
            <w:tcW w:w="100" w:type="dxa"/>
            <w:vAlign w:val="bottom"/>
            <w:shd w:val="clear" w:color="auto" w:fill="E2E8F1"/>
          </w:tcPr>
          <w:p>
            <w:pPr>
              <w:spacing w:after="0"/>
              <w:rPr>
                <w:sz w:val="17"/>
                <w:szCs w:val="17"/>
                <w:color w:val="auto"/>
              </w:rPr>
            </w:pPr>
          </w:p>
        </w:tc>
        <w:tc>
          <w:tcPr>
            <w:tcW w:w="500" w:type="dxa"/>
            <w:vAlign w:val="bottom"/>
            <w:gridSpan w:val="2"/>
            <w:shd w:val="clear" w:color="auto" w:fill="E2E8F1"/>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8,201.0</w:t>
            </w:r>
          </w:p>
        </w:tc>
        <w:tc>
          <w:tcPr>
            <w:tcW w:w="120" w:type="dxa"/>
            <w:vAlign w:val="bottom"/>
            <w:shd w:val="clear" w:color="auto" w:fill="E2E8F1"/>
          </w:tcPr>
          <w:p>
            <w:pPr>
              <w:spacing w:after="0"/>
              <w:rPr>
                <w:sz w:val="17"/>
                <w:szCs w:val="17"/>
                <w:color w:val="auto"/>
              </w:rPr>
            </w:pPr>
          </w:p>
        </w:tc>
      </w:tr>
      <w:tr>
        <w:trPr>
          <w:trHeight w:val="949"/>
        </w:trPr>
        <w:tc>
          <w:tcPr>
            <w:tcW w:w="20" w:type="dxa"/>
            <w:vAlign w:val="bottom"/>
          </w:tcPr>
          <w:p>
            <w:pPr>
              <w:spacing w:after="0"/>
              <w:rPr>
                <w:sz w:val="24"/>
                <w:szCs w:val="24"/>
                <w:color w:val="auto"/>
              </w:rPr>
            </w:pPr>
          </w:p>
        </w:tc>
        <w:tc>
          <w:tcPr>
            <w:tcW w:w="5720" w:type="dxa"/>
            <w:vAlign w:val="bottom"/>
            <w:tcBorders>
              <w:top w:val="single" w:sz="8" w:color="E2E8F1"/>
              <w:bottom w:val="single" w:sz="8" w:color="9A9A9A"/>
            </w:tcBorders>
          </w:tcPr>
          <w:p>
            <w:pPr>
              <w:spacing w:after="0"/>
              <w:rPr>
                <w:sz w:val="24"/>
                <w:szCs w:val="24"/>
                <w:color w:val="auto"/>
              </w:rPr>
            </w:pPr>
          </w:p>
        </w:tc>
        <w:tc>
          <w:tcPr>
            <w:tcW w:w="1620" w:type="dxa"/>
            <w:vAlign w:val="bottom"/>
            <w:tcBorders>
              <w:top w:val="single" w:sz="8" w:color="E2E8F1"/>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5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E2E8F1"/>
              <w:bottom w:val="single" w:sz="8" w:color="9A9A9A"/>
            </w:tcBorders>
          </w:tcPr>
          <w:p>
            <w:pPr>
              <w:spacing w:after="0"/>
              <w:rPr>
                <w:sz w:val="24"/>
                <w:szCs w:val="24"/>
                <w:color w:val="auto"/>
              </w:rPr>
            </w:pPr>
          </w:p>
        </w:tc>
        <w:tc>
          <w:tcPr>
            <w:tcW w:w="200" w:type="dxa"/>
            <w:vAlign w:val="bottom"/>
            <w:tcBorders>
              <w:top w:val="single" w:sz="8" w:color="E2E8F1"/>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E2E8F1"/>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-4745355</wp:posOffset>
            </wp:positionV>
            <wp:extent cx="6731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-4745355</wp:posOffset>
            </wp:positionV>
            <wp:extent cx="6731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-4107180</wp:posOffset>
            </wp:positionV>
            <wp:extent cx="6731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-4107180</wp:posOffset>
            </wp:positionV>
            <wp:extent cx="6731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-3679190</wp:posOffset>
            </wp:positionV>
            <wp:extent cx="6731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-3679190</wp:posOffset>
            </wp:positionV>
            <wp:extent cx="6731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-3453765</wp:posOffset>
            </wp:positionV>
            <wp:extent cx="6731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-3439160</wp:posOffset>
            </wp:positionV>
            <wp:extent cx="6731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-3453765</wp:posOffset>
            </wp:positionV>
            <wp:extent cx="6731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-3439160</wp:posOffset>
            </wp:positionV>
            <wp:extent cx="6731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-1951990</wp:posOffset>
            </wp:positionV>
            <wp:extent cx="6731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-1951990</wp:posOffset>
            </wp:positionV>
            <wp:extent cx="6731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-1102995</wp:posOffset>
            </wp:positionV>
            <wp:extent cx="6731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-1102995</wp:posOffset>
            </wp:positionV>
            <wp:extent cx="673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-878205</wp:posOffset>
            </wp:positionV>
            <wp:extent cx="6731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-878205</wp:posOffset>
            </wp:positionV>
            <wp:extent cx="6731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-652780</wp:posOffset>
            </wp:positionV>
            <wp:extent cx="6731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-637540</wp:posOffset>
            </wp:positionV>
            <wp:extent cx="6731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-652780</wp:posOffset>
            </wp:positionV>
            <wp:extent cx="6731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-637540</wp:posOffset>
            </wp:positionV>
            <wp:extent cx="673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11" w:name="page12"/>
    <w:bookmarkEnd w:id="11"/>
    <w:p>
      <w:pPr>
        <w:ind w:left="5040"/>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7"/>
              </w:rPr>
              <w:t>Nine Months Ended</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September 30,</w:t>
            </w: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40" w:type="dxa"/>
            <w:vAlign w:val="bottom"/>
            <w:tcBorders>
              <w:bottom w:val="single" w:sz="8" w:color="auto"/>
            </w:tcBorders>
          </w:tcPr>
          <w:p>
            <w:pPr>
              <w:jc w:val="right"/>
              <w:ind w:right="37"/>
              <w:spacing w:after="0" w:line="134" w:lineRule="exact"/>
              <w:rPr>
                <w:sz w:val="20"/>
                <w:szCs w:val="20"/>
                <w:color w:val="auto"/>
              </w:rPr>
            </w:pPr>
            <w:r>
              <w:rPr>
                <w:rFonts w:ascii="Arial" w:cs="Arial" w:eastAsia="Arial" w:hAnsi="Arial"/>
                <w:sz w:val="13"/>
                <w:szCs w:val="13"/>
                <w:b w:val="1"/>
                <w:bCs w:val="1"/>
                <w:color w:val="auto"/>
              </w:rPr>
              <w:t>2025</w:t>
            </w: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609"/>
              <w:spacing w:after="0" w:line="134"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0" w:type="dxa"/>
            <w:vAlign w:val="bottom"/>
            <w:gridSpan w:val="4"/>
          </w:tcPr>
          <w:p>
            <w:pPr>
              <w:jc w:val="center"/>
              <w:spacing w:after="0" w:line="134" w:lineRule="exact"/>
              <w:rPr>
                <w:sz w:val="20"/>
                <w:szCs w:val="20"/>
                <w:color w:val="auto"/>
              </w:rPr>
            </w:pPr>
            <w:r>
              <w:rPr>
                <w:rFonts w:ascii="Arial" w:cs="Arial" w:eastAsia="Arial" w:hAnsi="Arial"/>
                <w:sz w:val="13"/>
                <w:szCs w:val="13"/>
                <w:color w:val="auto"/>
                <w:w w:val="97"/>
              </w:rPr>
              <w:t>(Unaudited)</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22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540" w:type="dxa"/>
            <w:vAlign w:val="bottom"/>
            <w:shd w:val="clear" w:color="auto" w:fill="E2E8F1"/>
          </w:tcPr>
          <w:p>
            <w:pPr>
              <w:spacing w:after="0"/>
              <w:rPr>
                <w:sz w:val="14"/>
                <w:szCs w:val="14"/>
                <w:color w:val="auto"/>
              </w:rPr>
            </w:pPr>
          </w:p>
        </w:tc>
        <w:tc>
          <w:tcPr>
            <w:tcW w:w="108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60"/>
              <w:spacing w:after="0"/>
              <w:rPr>
                <w:sz w:val="20"/>
                <w:szCs w:val="20"/>
                <w:color w:val="auto"/>
              </w:rPr>
            </w:pPr>
            <w:r>
              <w:rPr>
                <w:rFonts w:ascii="Arial" w:cs="Arial" w:eastAsia="Arial" w:hAnsi="Arial"/>
                <w:sz w:val="14"/>
                <w:szCs w:val="14"/>
                <w:color w:val="auto"/>
              </w:rPr>
              <w:t>Net (loss) earnings</w:t>
            </w:r>
          </w:p>
        </w:tc>
        <w:tc>
          <w:tcPr>
            <w:tcW w:w="2260" w:type="dxa"/>
            <w:vAlign w:val="bottom"/>
            <w:gridSpan w:val="2"/>
          </w:tcPr>
          <w:p>
            <w:pPr>
              <w:jc w:val="right"/>
              <w:ind w:right="917"/>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(43.5)</w:t>
            </w:r>
          </w:p>
        </w:tc>
        <w:tc>
          <w:tcPr>
            <w:tcW w:w="7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6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122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540" w:type="dxa"/>
            <w:vAlign w:val="bottom"/>
            <w:shd w:val="clear" w:color="auto" w:fill="E2E8F1"/>
          </w:tcPr>
          <w:p>
            <w:pPr>
              <w:spacing w:after="0"/>
              <w:rPr>
                <w:sz w:val="14"/>
                <w:szCs w:val="14"/>
                <w:color w:val="auto"/>
              </w:rPr>
            </w:pPr>
          </w:p>
        </w:tc>
        <w:tc>
          <w:tcPr>
            <w:tcW w:w="108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420"/>
              <w:spacing w:after="0"/>
              <w:rPr>
                <w:sz w:val="20"/>
                <w:szCs w:val="20"/>
                <w:color w:val="auto"/>
              </w:rPr>
            </w:pPr>
            <w:r>
              <w:rPr>
                <w:rFonts w:ascii="Arial" w:cs="Arial" w:eastAsia="Arial" w:hAnsi="Arial"/>
                <w:sz w:val="14"/>
                <w:szCs w:val="14"/>
                <w:color w:val="auto"/>
              </w:rPr>
              <w:t>Loss on sales of subsidiaries, net</w:t>
            </w:r>
          </w:p>
        </w:tc>
        <w:tc>
          <w:tcPr>
            <w:tcW w:w="122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540" w:type="dxa"/>
            <w:vAlign w:val="bottom"/>
            <w:shd w:val="clear" w:color="auto" w:fill="E2E8F1"/>
          </w:tcPr>
          <w:p>
            <w:pPr>
              <w:spacing w:after="0"/>
              <w:rPr>
                <w:sz w:val="14"/>
                <w:szCs w:val="14"/>
                <w:color w:val="auto"/>
              </w:rPr>
            </w:pPr>
          </w:p>
        </w:tc>
        <w:tc>
          <w:tcPr>
            <w:tcW w:w="1200" w:type="dxa"/>
            <w:vAlign w:val="bottom"/>
            <w:gridSpan w:val="2"/>
            <w:shd w:val="clear" w:color="auto" w:fill="E2E8F1"/>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420"/>
              <w:spacing w:after="0"/>
              <w:rPr>
                <w:sz w:val="20"/>
                <w:szCs w:val="20"/>
                <w:color w:val="auto"/>
              </w:rPr>
            </w:pPr>
            <w:r>
              <w:rPr>
                <w:rFonts w:ascii="Arial" w:cs="Arial" w:eastAsia="Arial" w:hAnsi="Arial"/>
                <w:sz w:val="14"/>
                <w:szCs w:val="14"/>
                <w:color w:val="auto"/>
              </w:rPr>
              <w:t>Non-cash impairment of goodwill and other intangible assets</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420"/>
              <w:spacing w:after="0"/>
              <w:rPr>
                <w:sz w:val="20"/>
                <w:szCs w:val="20"/>
                <w:color w:val="auto"/>
              </w:rPr>
            </w:pPr>
            <w:r>
              <w:rPr>
                <w:rFonts w:ascii="Arial" w:cs="Arial" w:eastAsia="Arial" w:hAnsi="Arial"/>
                <w:sz w:val="14"/>
                <w:szCs w:val="14"/>
                <w:color w:val="auto"/>
              </w:rPr>
              <w:t>Deferred income taxes</w:t>
            </w:r>
          </w:p>
        </w:tc>
        <w:tc>
          <w:tcPr>
            <w:tcW w:w="122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c>
          <w:tcPr>
            <w:tcW w:w="68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(16.1)</w:t>
            </w:r>
          </w:p>
        </w:tc>
        <w:tc>
          <w:tcPr>
            <w:tcW w:w="180" w:type="dxa"/>
            <w:vAlign w:val="bottom"/>
            <w:shd w:val="clear" w:color="auto" w:fill="E2E8F1"/>
          </w:tcPr>
          <w:p>
            <w:pPr>
              <w:spacing w:after="0"/>
              <w:rPr>
                <w:sz w:val="14"/>
                <w:szCs w:val="14"/>
                <w:color w:val="auto"/>
              </w:rPr>
            </w:pPr>
          </w:p>
        </w:tc>
        <w:tc>
          <w:tcPr>
            <w:tcW w:w="540" w:type="dxa"/>
            <w:vAlign w:val="bottom"/>
            <w:shd w:val="clear" w:color="auto" w:fill="E2E8F1"/>
          </w:tcPr>
          <w:p>
            <w:pPr>
              <w:spacing w:after="0"/>
              <w:rPr>
                <w:sz w:val="14"/>
                <w:szCs w:val="14"/>
                <w:color w:val="auto"/>
              </w:rPr>
            </w:pPr>
          </w:p>
        </w:tc>
        <w:tc>
          <w:tcPr>
            <w:tcW w:w="10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420"/>
              <w:spacing w:after="0"/>
              <w:rPr>
                <w:sz w:val="20"/>
                <w:szCs w:val="20"/>
                <w:color w:val="auto"/>
              </w:rPr>
            </w:pPr>
            <w:r>
              <w:rPr>
                <w:rFonts w:ascii="Arial" w:cs="Arial" w:eastAsia="Arial" w:hAnsi="Arial"/>
                <w:sz w:val="14"/>
                <w:szCs w:val="14"/>
                <w:color w:val="auto"/>
              </w:rPr>
              <w:t>Provision for expected credit losses</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420"/>
              <w:spacing w:after="0"/>
              <w:rPr>
                <w:sz w:val="20"/>
                <w:szCs w:val="20"/>
                <w:color w:val="auto"/>
              </w:rPr>
            </w:pPr>
            <w:r>
              <w:rPr>
                <w:rFonts w:ascii="Arial" w:cs="Arial" w:eastAsia="Arial" w:hAnsi="Arial"/>
                <w:sz w:val="14"/>
                <w:szCs w:val="14"/>
                <w:color w:val="auto"/>
              </w:rPr>
              <w:t>Share-based compensation</w:t>
            </w:r>
          </w:p>
        </w:tc>
        <w:tc>
          <w:tcPr>
            <w:tcW w:w="122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540" w:type="dxa"/>
            <w:vAlign w:val="bottom"/>
            <w:shd w:val="clear" w:color="auto" w:fill="E2E8F1"/>
          </w:tcPr>
          <w:p>
            <w:pPr>
              <w:spacing w:after="0"/>
              <w:rPr>
                <w:sz w:val="14"/>
                <w:szCs w:val="14"/>
                <w:color w:val="auto"/>
              </w:rPr>
            </w:pPr>
          </w:p>
        </w:tc>
        <w:tc>
          <w:tcPr>
            <w:tcW w:w="10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60"/>
              <w:spacing w:after="0"/>
              <w:rPr>
                <w:sz w:val="20"/>
                <w:szCs w:val="20"/>
                <w:color w:val="auto"/>
              </w:rPr>
            </w:pPr>
            <w:r>
              <w:rPr>
                <w:rFonts w:ascii="Arial" w:cs="Arial" w:eastAsia="Arial" w:hAnsi="Arial"/>
                <w:sz w:val="14"/>
                <w:szCs w:val="14"/>
                <w:color w:val="auto"/>
              </w:rPr>
              <w:t>Changes in operating assets and liabilities:</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420"/>
              <w:spacing w:after="0"/>
              <w:rPr>
                <w:sz w:val="20"/>
                <w:szCs w:val="20"/>
                <w:color w:val="auto"/>
              </w:rPr>
            </w:pPr>
            <w:r>
              <w:rPr>
                <w:rFonts w:ascii="Arial" w:cs="Arial" w:eastAsia="Arial" w:hAnsi="Arial"/>
                <w:sz w:val="14"/>
                <w:szCs w:val="14"/>
                <w:color w:val="auto"/>
              </w:rPr>
              <w:t>Accounts receivable</w:t>
            </w:r>
          </w:p>
        </w:tc>
        <w:tc>
          <w:tcPr>
            <w:tcW w:w="122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c>
          <w:tcPr>
            <w:tcW w:w="68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(8.8)</w:t>
            </w:r>
          </w:p>
        </w:tc>
        <w:tc>
          <w:tcPr>
            <w:tcW w:w="180" w:type="dxa"/>
            <w:vAlign w:val="bottom"/>
            <w:shd w:val="clear" w:color="auto" w:fill="E2E8F1"/>
          </w:tcPr>
          <w:p>
            <w:pPr>
              <w:spacing w:after="0"/>
              <w:rPr>
                <w:sz w:val="14"/>
                <w:szCs w:val="14"/>
                <w:color w:val="auto"/>
              </w:rPr>
            </w:pPr>
          </w:p>
        </w:tc>
        <w:tc>
          <w:tcPr>
            <w:tcW w:w="540" w:type="dxa"/>
            <w:vAlign w:val="bottom"/>
            <w:shd w:val="clear" w:color="auto" w:fill="E2E8F1"/>
          </w:tcPr>
          <w:p>
            <w:pPr>
              <w:spacing w:after="0"/>
              <w:rPr>
                <w:sz w:val="14"/>
                <w:szCs w:val="14"/>
                <w:color w:val="auto"/>
              </w:rPr>
            </w:pPr>
          </w:p>
        </w:tc>
        <w:tc>
          <w:tcPr>
            <w:tcW w:w="10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237.8</w:t>
            </w:r>
          </w:p>
        </w:tc>
        <w:tc>
          <w:tcPr>
            <w:tcW w:w="1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420"/>
              <w:spacing w:after="0"/>
              <w:rPr>
                <w:sz w:val="20"/>
                <w:szCs w:val="20"/>
                <w:color w:val="auto"/>
              </w:rPr>
            </w:pPr>
            <w:r>
              <w:rPr>
                <w:rFonts w:ascii="Arial" w:cs="Arial" w:eastAsia="Arial" w:hAnsi="Arial"/>
                <w:sz w:val="14"/>
                <w:szCs w:val="14"/>
                <w:color w:val="auto"/>
              </w:rPr>
              <w:t>Other assets</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(95.4)</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(108.7)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420"/>
              <w:spacing w:after="0"/>
              <w:rPr>
                <w:sz w:val="20"/>
                <w:szCs w:val="20"/>
                <w:color w:val="auto"/>
              </w:rPr>
            </w:pPr>
            <w:r>
              <w:rPr>
                <w:rFonts w:ascii="Arial" w:cs="Arial" w:eastAsia="Arial" w:hAnsi="Arial"/>
                <w:sz w:val="14"/>
                <w:szCs w:val="14"/>
                <w:color w:val="auto"/>
              </w:rPr>
              <w:t>Accounts payable</w:t>
            </w:r>
          </w:p>
        </w:tc>
        <w:tc>
          <w:tcPr>
            <w:tcW w:w="122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c>
          <w:tcPr>
            <w:tcW w:w="68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(182.9)</w:t>
            </w:r>
          </w:p>
        </w:tc>
        <w:tc>
          <w:tcPr>
            <w:tcW w:w="180" w:type="dxa"/>
            <w:vAlign w:val="bottom"/>
            <w:shd w:val="clear" w:color="auto" w:fill="E2E8F1"/>
          </w:tcPr>
          <w:p>
            <w:pPr>
              <w:spacing w:after="0"/>
              <w:rPr>
                <w:sz w:val="14"/>
                <w:szCs w:val="14"/>
                <w:color w:val="auto"/>
              </w:rPr>
            </w:pPr>
          </w:p>
        </w:tc>
        <w:tc>
          <w:tcPr>
            <w:tcW w:w="540" w:type="dxa"/>
            <w:vAlign w:val="bottom"/>
            <w:shd w:val="clear" w:color="auto" w:fill="E2E8F1"/>
          </w:tcPr>
          <w:p>
            <w:pPr>
              <w:spacing w:after="0"/>
              <w:rPr>
                <w:sz w:val="14"/>
                <w:szCs w:val="14"/>
                <w:color w:val="auto"/>
              </w:rPr>
            </w:pPr>
          </w:p>
        </w:tc>
        <w:tc>
          <w:tcPr>
            <w:tcW w:w="1200" w:type="dxa"/>
            <w:vAlign w:val="bottom"/>
            <w:gridSpan w:val="2"/>
            <w:shd w:val="clear" w:color="auto" w:fill="E2E8F1"/>
          </w:tcPr>
          <w:p>
            <w:pPr>
              <w:jc w:val="right"/>
              <w:ind w:right="80"/>
              <w:spacing w:after="0"/>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420"/>
              <w:spacing w:after="0"/>
              <w:rPr>
                <w:sz w:val="20"/>
                <w:szCs w:val="20"/>
                <w:color w:val="auto"/>
              </w:rPr>
            </w:pPr>
            <w:r>
              <w:rPr>
                <w:rFonts w:ascii="Arial" w:cs="Arial" w:eastAsia="Arial" w:hAnsi="Arial"/>
                <w:sz w:val="14"/>
                <w:szCs w:val="14"/>
                <w:color w:val="auto"/>
              </w:rPr>
              <w:t>Other liabilities</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(121.2)</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380" w:type="dxa"/>
            <w:vAlign w:val="bottom"/>
            <w:shd w:val="clear" w:color="auto" w:fill="E2E8F1"/>
          </w:tcPr>
          <w:p>
            <w:pPr>
              <w:ind w:left="860"/>
              <w:spacing w:after="0" w:line="157" w:lineRule="exact"/>
              <w:rPr>
                <w:sz w:val="20"/>
                <w:szCs w:val="20"/>
                <w:color w:val="auto"/>
              </w:rPr>
            </w:pPr>
            <w:r>
              <w:rPr>
                <w:rFonts w:ascii="Arial" w:cs="Arial" w:eastAsia="Arial" w:hAnsi="Arial"/>
                <w:sz w:val="14"/>
                <w:szCs w:val="14"/>
                <w:color w:val="auto"/>
              </w:rPr>
              <w:t>Net cash (used in) provided by operating activities</w:t>
            </w:r>
          </w:p>
        </w:tc>
        <w:tc>
          <w:tcPr>
            <w:tcW w:w="1220" w:type="dxa"/>
            <w:vAlign w:val="bottom"/>
            <w:shd w:val="clear" w:color="auto" w:fill="E2E8F1"/>
          </w:tcPr>
          <w:p>
            <w:pPr>
              <w:spacing w:after="0"/>
              <w:rPr>
                <w:sz w:val="13"/>
                <w:szCs w:val="13"/>
                <w:color w:val="auto"/>
              </w:rPr>
            </w:pPr>
          </w:p>
        </w:tc>
        <w:tc>
          <w:tcPr>
            <w:tcW w:w="1040" w:type="dxa"/>
            <w:vAlign w:val="bottom"/>
            <w:shd w:val="clear" w:color="auto" w:fill="E2E8F1"/>
          </w:tcPr>
          <w:p>
            <w:pPr>
              <w:spacing w:after="0"/>
              <w:rPr>
                <w:sz w:val="13"/>
                <w:szCs w:val="13"/>
                <w:color w:val="auto"/>
              </w:rPr>
            </w:pPr>
          </w:p>
        </w:tc>
        <w:tc>
          <w:tcPr>
            <w:tcW w:w="680" w:type="dxa"/>
            <w:vAlign w:val="bottom"/>
            <w:gridSpan w:val="2"/>
            <w:shd w:val="clear" w:color="auto" w:fill="E2E8F1"/>
          </w:tcPr>
          <w:p>
            <w:pPr>
              <w:jc w:val="right"/>
              <w:ind w:right="60"/>
              <w:spacing w:after="0" w:line="157" w:lineRule="exact"/>
              <w:rPr>
                <w:sz w:val="20"/>
                <w:szCs w:val="20"/>
                <w:color w:val="auto"/>
              </w:rPr>
            </w:pPr>
            <w:r>
              <w:rPr>
                <w:rFonts w:ascii="Arial" w:cs="Arial" w:eastAsia="Arial" w:hAnsi="Arial"/>
                <w:sz w:val="14"/>
                <w:szCs w:val="14"/>
                <w:color w:val="auto"/>
              </w:rPr>
              <w:t>(283.0)</w:t>
            </w:r>
          </w:p>
        </w:tc>
        <w:tc>
          <w:tcPr>
            <w:tcW w:w="180" w:type="dxa"/>
            <w:vAlign w:val="bottom"/>
            <w:shd w:val="clear" w:color="auto" w:fill="E2E8F1"/>
          </w:tcPr>
          <w:p>
            <w:pPr>
              <w:spacing w:after="0"/>
              <w:rPr>
                <w:sz w:val="13"/>
                <w:szCs w:val="13"/>
                <w:color w:val="auto"/>
              </w:rPr>
            </w:pPr>
          </w:p>
        </w:tc>
        <w:tc>
          <w:tcPr>
            <w:tcW w:w="540" w:type="dxa"/>
            <w:vAlign w:val="bottom"/>
            <w:shd w:val="clear" w:color="auto" w:fill="E2E8F1"/>
          </w:tcPr>
          <w:p>
            <w:pPr>
              <w:spacing w:after="0"/>
              <w:rPr>
                <w:sz w:val="13"/>
                <w:szCs w:val="13"/>
                <w:color w:val="auto"/>
              </w:rPr>
            </w:pPr>
          </w:p>
        </w:tc>
        <w:tc>
          <w:tcPr>
            <w:tcW w:w="108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61.6</w:t>
            </w:r>
          </w:p>
        </w:tc>
        <w:tc>
          <w:tcPr>
            <w:tcW w:w="120" w:type="dxa"/>
            <w:vAlign w:val="bottom"/>
            <w:shd w:val="clear" w:color="auto" w:fill="E2E8F1"/>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380" w:type="dxa"/>
            <w:vAlign w:val="bottom"/>
            <w:tcBorders>
              <w:top w:val="single" w:sz="8" w:color="E2E8F1"/>
            </w:tcBorders>
          </w:tcPr>
          <w:p>
            <w:pPr>
              <w:spacing w:after="0" w:line="157" w:lineRule="exact"/>
              <w:rPr>
                <w:sz w:val="20"/>
                <w:szCs w:val="20"/>
                <w:color w:val="auto"/>
              </w:rPr>
            </w:pPr>
            <w:r>
              <w:rPr>
                <w:rFonts w:ascii="Arial" w:cs="Arial" w:eastAsia="Arial" w:hAnsi="Arial"/>
                <w:sz w:val="14"/>
                <w:szCs w:val="14"/>
                <w:b w:val="1"/>
                <w:bCs w:val="1"/>
                <w:color w:val="auto"/>
              </w:rPr>
              <w:t>Cash Flows from Investing Activities:</w:t>
            </w:r>
          </w:p>
        </w:tc>
        <w:tc>
          <w:tcPr>
            <w:tcW w:w="1220" w:type="dxa"/>
            <w:vAlign w:val="bottom"/>
            <w:tcBorders>
              <w:top w:val="single" w:sz="8" w:color="E2E8F1"/>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E2E8F1"/>
            </w:tcBorders>
          </w:tcPr>
          <w:p>
            <w:pPr>
              <w:spacing w:after="0"/>
              <w:rPr>
                <w:sz w:val="13"/>
                <w:szCs w:val="13"/>
                <w:color w:val="auto"/>
              </w:rPr>
            </w:pPr>
          </w:p>
        </w:tc>
        <w:tc>
          <w:tcPr>
            <w:tcW w:w="180" w:type="dxa"/>
            <w:vAlign w:val="bottom"/>
            <w:tcBorders>
              <w:top w:val="single" w:sz="8" w:color="E2E8F1"/>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Borders>
              <w:top w:val="single" w:sz="8" w:color="E2E8F1"/>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Capital expenditures</w:t>
            </w:r>
          </w:p>
        </w:tc>
        <w:tc>
          <w:tcPr>
            <w:tcW w:w="122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c>
          <w:tcPr>
            <w:tcW w:w="68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(46.4)</w:t>
            </w:r>
          </w:p>
        </w:tc>
        <w:tc>
          <w:tcPr>
            <w:tcW w:w="180" w:type="dxa"/>
            <w:vAlign w:val="bottom"/>
            <w:shd w:val="clear" w:color="auto" w:fill="E2E8F1"/>
          </w:tcPr>
          <w:p>
            <w:pPr>
              <w:spacing w:after="0"/>
              <w:rPr>
                <w:sz w:val="14"/>
                <w:szCs w:val="14"/>
                <w:color w:val="auto"/>
              </w:rPr>
            </w:pPr>
          </w:p>
        </w:tc>
        <w:tc>
          <w:tcPr>
            <w:tcW w:w="540" w:type="dxa"/>
            <w:vAlign w:val="bottom"/>
            <w:shd w:val="clear" w:color="auto" w:fill="E2E8F1"/>
          </w:tcPr>
          <w:p>
            <w:pPr>
              <w:spacing w:after="0"/>
              <w:rPr>
                <w:sz w:val="14"/>
                <w:szCs w:val="14"/>
                <w:color w:val="auto"/>
              </w:rPr>
            </w:pPr>
          </w:p>
        </w:tc>
        <w:tc>
          <w:tcPr>
            <w:tcW w:w="1200" w:type="dxa"/>
            <w:vAlign w:val="bottom"/>
            <w:gridSpan w:val="2"/>
            <w:shd w:val="clear" w:color="auto" w:fill="E2E8F1"/>
          </w:tcPr>
          <w:p>
            <w:pPr>
              <w:jc w:val="right"/>
              <w:ind w:right="80"/>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20"/>
              <w:spacing w:after="0"/>
              <w:rPr>
                <w:sz w:val="20"/>
                <w:szCs w:val="20"/>
                <w:color w:val="auto"/>
              </w:rPr>
            </w:pPr>
            <w:r>
              <w:rPr>
                <w:rFonts w:ascii="Arial" w:cs="Arial" w:eastAsia="Arial" w:hAnsi="Arial"/>
                <w:sz w:val="14"/>
                <w:szCs w:val="14"/>
                <w:color w:val="auto"/>
              </w:rPr>
              <w:t>Acquisition of business, net of cash acquired</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Impact to cash resulting from sales of subsidiaries</w:t>
            </w:r>
          </w:p>
        </w:tc>
        <w:tc>
          <w:tcPr>
            <w:tcW w:w="122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c>
          <w:tcPr>
            <w:tcW w:w="68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(2.1)</w:t>
            </w:r>
          </w:p>
        </w:tc>
        <w:tc>
          <w:tcPr>
            <w:tcW w:w="180" w:type="dxa"/>
            <w:vAlign w:val="bottom"/>
            <w:shd w:val="clear" w:color="auto" w:fill="E2E8F1"/>
          </w:tcPr>
          <w:p>
            <w:pPr>
              <w:spacing w:after="0"/>
              <w:rPr>
                <w:sz w:val="14"/>
                <w:szCs w:val="14"/>
                <w:color w:val="auto"/>
              </w:rPr>
            </w:pPr>
          </w:p>
        </w:tc>
        <w:tc>
          <w:tcPr>
            <w:tcW w:w="540" w:type="dxa"/>
            <w:vAlign w:val="bottom"/>
            <w:shd w:val="clear" w:color="auto" w:fill="E2E8F1"/>
          </w:tcPr>
          <w:p>
            <w:pPr>
              <w:spacing w:after="0"/>
              <w:rPr>
                <w:sz w:val="14"/>
                <w:szCs w:val="14"/>
                <w:color w:val="auto"/>
              </w:rPr>
            </w:pPr>
          </w:p>
        </w:tc>
        <w:tc>
          <w:tcPr>
            <w:tcW w:w="1200" w:type="dxa"/>
            <w:vAlign w:val="bottom"/>
            <w:gridSpan w:val="2"/>
            <w:shd w:val="clear" w:color="auto" w:fill="E2E8F1"/>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20"/>
              <w:spacing w:after="0"/>
              <w:rPr>
                <w:sz w:val="20"/>
                <w:szCs w:val="20"/>
                <w:color w:val="auto"/>
              </w:rPr>
            </w:pPr>
            <w:r>
              <w:rPr>
                <w:rFonts w:ascii="Arial" w:cs="Arial" w:eastAsia="Arial" w:hAnsi="Arial"/>
                <w:sz w:val="14"/>
                <w:szCs w:val="14"/>
                <w:color w:val="auto"/>
              </w:rPr>
              <w:t>Proceeds from the sale of property and equipment</w:t>
            </w:r>
          </w:p>
        </w:tc>
        <w:tc>
          <w:tcPr>
            <w:tcW w:w="1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380" w:type="dxa"/>
            <w:vAlign w:val="bottom"/>
            <w:shd w:val="clear" w:color="auto" w:fill="E2E8F1"/>
          </w:tcPr>
          <w:p>
            <w:pPr>
              <w:ind w:left="860"/>
              <w:spacing w:after="0" w:line="157" w:lineRule="exact"/>
              <w:rPr>
                <w:sz w:val="20"/>
                <w:szCs w:val="20"/>
                <w:color w:val="auto"/>
              </w:rPr>
            </w:pPr>
            <w:r>
              <w:rPr>
                <w:rFonts w:ascii="Arial" w:cs="Arial" w:eastAsia="Arial" w:hAnsi="Arial"/>
                <w:sz w:val="14"/>
                <w:szCs w:val="14"/>
                <w:color w:val="auto"/>
              </w:rPr>
              <w:t>Net cash used in investing activities</w:t>
            </w:r>
          </w:p>
        </w:tc>
        <w:tc>
          <w:tcPr>
            <w:tcW w:w="1220" w:type="dxa"/>
            <w:vAlign w:val="bottom"/>
            <w:shd w:val="clear" w:color="auto" w:fill="E2E8F1"/>
          </w:tcPr>
          <w:p>
            <w:pPr>
              <w:spacing w:after="0"/>
              <w:rPr>
                <w:sz w:val="13"/>
                <w:szCs w:val="13"/>
                <w:color w:val="auto"/>
              </w:rPr>
            </w:pPr>
          </w:p>
        </w:tc>
        <w:tc>
          <w:tcPr>
            <w:tcW w:w="1040" w:type="dxa"/>
            <w:vAlign w:val="bottom"/>
            <w:shd w:val="clear" w:color="auto" w:fill="E2E8F1"/>
          </w:tcPr>
          <w:p>
            <w:pPr>
              <w:spacing w:after="0"/>
              <w:rPr>
                <w:sz w:val="13"/>
                <w:szCs w:val="13"/>
                <w:color w:val="auto"/>
              </w:rPr>
            </w:pPr>
          </w:p>
        </w:tc>
        <w:tc>
          <w:tcPr>
            <w:tcW w:w="680" w:type="dxa"/>
            <w:vAlign w:val="bottom"/>
            <w:gridSpan w:val="2"/>
            <w:shd w:val="clear" w:color="auto" w:fill="E2E8F1"/>
          </w:tcPr>
          <w:p>
            <w:pPr>
              <w:jc w:val="right"/>
              <w:ind w:right="60"/>
              <w:spacing w:after="0" w:line="157" w:lineRule="exact"/>
              <w:rPr>
                <w:sz w:val="20"/>
                <w:szCs w:val="20"/>
                <w:color w:val="auto"/>
              </w:rPr>
            </w:pPr>
            <w:r>
              <w:rPr>
                <w:rFonts w:ascii="Arial" w:cs="Arial" w:eastAsia="Arial" w:hAnsi="Arial"/>
                <w:sz w:val="14"/>
                <w:szCs w:val="14"/>
                <w:color w:val="auto"/>
              </w:rPr>
              <w:t>(48.7)</w:t>
            </w:r>
          </w:p>
        </w:tc>
        <w:tc>
          <w:tcPr>
            <w:tcW w:w="180" w:type="dxa"/>
            <w:vAlign w:val="bottom"/>
            <w:shd w:val="clear" w:color="auto" w:fill="E2E8F1"/>
          </w:tcPr>
          <w:p>
            <w:pPr>
              <w:spacing w:after="0"/>
              <w:rPr>
                <w:sz w:val="13"/>
                <w:szCs w:val="13"/>
                <w:color w:val="auto"/>
              </w:rPr>
            </w:pPr>
          </w:p>
        </w:tc>
        <w:tc>
          <w:tcPr>
            <w:tcW w:w="540" w:type="dxa"/>
            <w:vAlign w:val="bottom"/>
            <w:shd w:val="clear" w:color="auto" w:fill="E2E8F1"/>
          </w:tcPr>
          <w:p>
            <w:pPr>
              <w:spacing w:after="0"/>
              <w:rPr>
                <w:sz w:val="13"/>
                <w:szCs w:val="13"/>
                <w:color w:val="auto"/>
              </w:rPr>
            </w:pPr>
          </w:p>
        </w:tc>
        <w:tc>
          <w:tcPr>
            <w:tcW w:w="1200" w:type="dxa"/>
            <w:vAlign w:val="bottom"/>
            <w:gridSpan w:val="2"/>
            <w:shd w:val="clear" w:color="auto" w:fill="E2E8F1"/>
          </w:tcPr>
          <w:p>
            <w:pPr>
              <w:jc w:val="right"/>
              <w:ind w:right="80"/>
              <w:spacing w:after="0" w:line="157" w:lineRule="exact"/>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380" w:type="dxa"/>
            <w:vAlign w:val="bottom"/>
            <w:tcBorders>
              <w:top w:val="single" w:sz="8" w:color="E2E8F1"/>
            </w:tcBorders>
          </w:tcPr>
          <w:p>
            <w:pPr>
              <w:spacing w:after="0" w:line="157" w:lineRule="exact"/>
              <w:rPr>
                <w:sz w:val="20"/>
                <w:szCs w:val="20"/>
                <w:color w:val="auto"/>
              </w:rPr>
            </w:pPr>
            <w:r>
              <w:rPr>
                <w:rFonts w:ascii="Arial" w:cs="Arial" w:eastAsia="Arial" w:hAnsi="Arial"/>
                <w:sz w:val="14"/>
                <w:szCs w:val="14"/>
                <w:b w:val="1"/>
                <w:bCs w:val="1"/>
                <w:color w:val="auto"/>
              </w:rPr>
              <w:t>Cash Flows from Financing Activities:</w:t>
            </w:r>
          </w:p>
        </w:tc>
        <w:tc>
          <w:tcPr>
            <w:tcW w:w="1220" w:type="dxa"/>
            <w:vAlign w:val="bottom"/>
            <w:tcBorders>
              <w:top w:val="single" w:sz="8" w:color="E2E8F1"/>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E2E8F1"/>
            </w:tcBorders>
          </w:tcPr>
          <w:p>
            <w:pPr>
              <w:spacing w:after="0"/>
              <w:rPr>
                <w:sz w:val="13"/>
                <w:szCs w:val="13"/>
                <w:color w:val="auto"/>
              </w:rPr>
            </w:pPr>
          </w:p>
        </w:tc>
        <w:tc>
          <w:tcPr>
            <w:tcW w:w="180" w:type="dxa"/>
            <w:vAlign w:val="bottom"/>
            <w:tcBorders>
              <w:top w:val="single" w:sz="8" w:color="E2E8F1"/>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Borders>
              <w:top w:val="single" w:sz="8" w:color="E2E8F1"/>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Net change in short-term borrowings</w:t>
            </w:r>
          </w:p>
        </w:tc>
        <w:tc>
          <w:tcPr>
            <w:tcW w:w="122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65.7</w:t>
            </w: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540" w:type="dxa"/>
            <w:vAlign w:val="bottom"/>
            <w:shd w:val="clear" w:color="auto" w:fill="E2E8F1"/>
          </w:tcPr>
          <w:p>
            <w:pPr>
              <w:spacing w:after="0"/>
              <w:rPr>
                <w:sz w:val="14"/>
                <w:szCs w:val="14"/>
                <w:color w:val="auto"/>
              </w:rPr>
            </w:pPr>
          </w:p>
        </w:tc>
        <w:tc>
          <w:tcPr>
            <w:tcW w:w="10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20"/>
              <w:spacing w:after="0"/>
              <w:rPr>
                <w:sz w:val="20"/>
                <w:szCs w:val="20"/>
                <w:color w:val="auto"/>
              </w:rPr>
            </w:pPr>
            <w:r>
              <w:rPr>
                <w:rFonts w:ascii="Arial" w:cs="Arial" w:eastAsia="Arial" w:hAnsi="Arial"/>
                <w:sz w:val="14"/>
                <w:szCs w:val="14"/>
                <w:color w:val="auto"/>
              </w:rPr>
              <w:t>Net proceeds from revolving debt facility</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Proceeds from long-term debt</w:t>
            </w:r>
          </w:p>
        </w:tc>
        <w:tc>
          <w:tcPr>
            <w:tcW w:w="122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540" w:type="dxa"/>
            <w:vAlign w:val="bottom"/>
            <w:shd w:val="clear" w:color="auto" w:fill="E2E8F1"/>
          </w:tcPr>
          <w:p>
            <w:pPr>
              <w:spacing w:after="0"/>
              <w:rPr>
                <w:sz w:val="14"/>
                <w:szCs w:val="14"/>
                <w:color w:val="auto"/>
              </w:rPr>
            </w:pPr>
          </w:p>
        </w:tc>
        <w:tc>
          <w:tcPr>
            <w:tcW w:w="10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20"/>
              <w:spacing w:after="0"/>
              <w:rPr>
                <w:sz w:val="20"/>
                <w:szCs w:val="20"/>
                <w:color w:val="auto"/>
              </w:rPr>
            </w:pPr>
            <w:r>
              <w:rPr>
                <w:rFonts w:ascii="Arial" w:cs="Arial" w:eastAsia="Arial" w:hAnsi="Arial"/>
                <w:sz w:val="14"/>
                <w:szCs w:val="14"/>
                <w:color w:val="auto"/>
              </w:rPr>
              <w:t>Repayments of long-term debt</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(0.6)</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Payments of contingent consideration for acquisition</w:t>
            </w:r>
          </w:p>
        </w:tc>
        <w:tc>
          <w:tcPr>
            <w:tcW w:w="122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c>
          <w:tcPr>
            <w:tcW w:w="68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(1.3)</w:t>
            </w:r>
          </w:p>
        </w:tc>
        <w:tc>
          <w:tcPr>
            <w:tcW w:w="180" w:type="dxa"/>
            <w:vAlign w:val="bottom"/>
            <w:shd w:val="clear" w:color="auto" w:fill="E2E8F1"/>
          </w:tcPr>
          <w:p>
            <w:pPr>
              <w:spacing w:after="0"/>
              <w:rPr>
                <w:sz w:val="14"/>
                <w:szCs w:val="14"/>
                <w:color w:val="auto"/>
              </w:rPr>
            </w:pPr>
          </w:p>
        </w:tc>
        <w:tc>
          <w:tcPr>
            <w:tcW w:w="540" w:type="dxa"/>
            <w:vAlign w:val="bottom"/>
            <w:shd w:val="clear" w:color="auto" w:fill="E2E8F1"/>
          </w:tcPr>
          <w:p>
            <w:pPr>
              <w:spacing w:after="0"/>
              <w:rPr>
                <w:sz w:val="14"/>
                <w:szCs w:val="14"/>
                <w:color w:val="auto"/>
              </w:rPr>
            </w:pPr>
          </w:p>
        </w:tc>
        <w:tc>
          <w:tcPr>
            <w:tcW w:w="1200" w:type="dxa"/>
            <w:vAlign w:val="bottom"/>
            <w:gridSpan w:val="2"/>
            <w:shd w:val="clear" w:color="auto" w:fill="E2E8F1"/>
          </w:tcPr>
          <w:p>
            <w:pPr>
              <w:jc w:val="right"/>
              <w:ind w:right="8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20"/>
              <w:spacing w:after="0"/>
              <w:rPr>
                <w:sz w:val="20"/>
                <w:szCs w:val="20"/>
                <w:color w:val="auto"/>
              </w:rPr>
            </w:pPr>
            <w:r>
              <w:rPr>
                <w:rFonts w:ascii="Arial" w:cs="Arial" w:eastAsia="Arial" w:hAnsi="Arial"/>
                <w:sz w:val="14"/>
                <w:szCs w:val="14"/>
                <w:color w:val="auto"/>
              </w:rPr>
              <w:t>Proceeds from share-based awards</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Payments to noncontrolling interests</w:t>
            </w:r>
          </w:p>
        </w:tc>
        <w:tc>
          <w:tcPr>
            <w:tcW w:w="122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c>
          <w:tcPr>
            <w:tcW w:w="680" w:type="dxa"/>
            <w:vAlign w:val="bottom"/>
            <w:gridSpan w:val="2"/>
            <w:shd w:val="clear" w:color="auto" w:fill="E2E8F1"/>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E2E8F1"/>
          </w:tcPr>
          <w:p>
            <w:pPr>
              <w:spacing w:after="0"/>
              <w:rPr>
                <w:sz w:val="14"/>
                <w:szCs w:val="14"/>
                <w:color w:val="auto"/>
              </w:rPr>
            </w:pPr>
          </w:p>
        </w:tc>
        <w:tc>
          <w:tcPr>
            <w:tcW w:w="540" w:type="dxa"/>
            <w:vAlign w:val="bottom"/>
            <w:shd w:val="clear" w:color="auto" w:fill="E2E8F1"/>
          </w:tcPr>
          <w:p>
            <w:pPr>
              <w:spacing w:after="0"/>
              <w:rPr>
                <w:sz w:val="14"/>
                <w:szCs w:val="14"/>
                <w:color w:val="auto"/>
              </w:rPr>
            </w:pPr>
          </w:p>
        </w:tc>
        <w:tc>
          <w:tcPr>
            <w:tcW w:w="1200" w:type="dxa"/>
            <w:vAlign w:val="bottom"/>
            <w:gridSpan w:val="2"/>
            <w:shd w:val="clear" w:color="auto" w:fill="E2E8F1"/>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20"/>
              <w:spacing w:after="0"/>
              <w:rPr>
                <w:sz w:val="20"/>
                <w:szCs w:val="20"/>
                <w:color w:val="auto"/>
              </w:rPr>
            </w:pPr>
            <w:r>
              <w:rPr>
                <w:rFonts w:ascii="Arial" w:cs="Arial" w:eastAsia="Arial" w:hAnsi="Arial"/>
                <w:sz w:val="14"/>
                <w:szCs w:val="14"/>
                <w:color w:val="auto"/>
              </w:rPr>
              <w:t>Other share-based award transactions</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(6.0)</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shd w:val="clear" w:color="auto" w:fill="E2E8F1"/>
          </w:tcPr>
          <w:p>
            <w:pPr>
              <w:ind w:left="320"/>
              <w:spacing w:after="0"/>
              <w:rPr>
                <w:sz w:val="20"/>
                <w:szCs w:val="20"/>
                <w:color w:val="auto"/>
              </w:rPr>
            </w:pPr>
            <w:r>
              <w:rPr>
                <w:rFonts w:ascii="Arial" w:cs="Arial" w:eastAsia="Arial" w:hAnsi="Arial"/>
                <w:sz w:val="14"/>
                <w:szCs w:val="14"/>
                <w:color w:val="auto"/>
              </w:rPr>
              <w:t>Repurchases of common stock and excise tax</w:t>
            </w:r>
          </w:p>
        </w:tc>
        <w:tc>
          <w:tcPr>
            <w:tcW w:w="122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c>
          <w:tcPr>
            <w:tcW w:w="68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(38.2)</w:t>
            </w:r>
          </w:p>
        </w:tc>
        <w:tc>
          <w:tcPr>
            <w:tcW w:w="180" w:type="dxa"/>
            <w:vAlign w:val="bottom"/>
            <w:shd w:val="clear" w:color="auto" w:fill="E2E8F1"/>
          </w:tcPr>
          <w:p>
            <w:pPr>
              <w:spacing w:after="0"/>
              <w:rPr>
                <w:sz w:val="14"/>
                <w:szCs w:val="14"/>
                <w:color w:val="auto"/>
              </w:rPr>
            </w:pPr>
          </w:p>
        </w:tc>
        <w:tc>
          <w:tcPr>
            <w:tcW w:w="540" w:type="dxa"/>
            <w:vAlign w:val="bottom"/>
            <w:shd w:val="clear" w:color="auto" w:fill="E2E8F1"/>
          </w:tcPr>
          <w:p>
            <w:pPr>
              <w:spacing w:after="0"/>
              <w:rPr>
                <w:sz w:val="14"/>
                <w:szCs w:val="14"/>
                <w:color w:val="auto"/>
              </w:rPr>
            </w:pPr>
          </w:p>
        </w:tc>
        <w:tc>
          <w:tcPr>
            <w:tcW w:w="1200" w:type="dxa"/>
            <w:vAlign w:val="bottom"/>
            <w:gridSpan w:val="2"/>
            <w:shd w:val="clear" w:color="auto" w:fill="E2E8F1"/>
          </w:tcPr>
          <w:p>
            <w:pPr>
              <w:jc w:val="right"/>
              <w:ind w:right="80"/>
              <w:spacing w:after="0"/>
              <w:rPr>
                <w:sz w:val="20"/>
                <w:szCs w:val="20"/>
                <w:color w:val="auto"/>
              </w:rPr>
            </w:pPr>
            <w:r>
              <w:rPr>
                <w:rFonts w:ascii="Arial" w:cs="Arial" w:eastAsia="Arial" w:hAnsi="Arial"/>
                <w:sz w:val="14"/>
                <w:szCs w:val="14"/>
                <w:color w:val="auto"/>
              </w:rPr>
              <w:t>(106.0)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ind w:left="320"/>
              <w:spacing w:after="0"/>
              <w:rPr>
                <w:sz w:val="20"/>
                <w:szCs w:val="20"/>
                <w:color w:val="auto"/>
              </w:rPr>
            </w:pPr>
            <w:r>
              <w:rPr>
                <w:rFonts w:ascii="Arial" w:cs="Arial" w:eastAsia="Arial" w:hAnsi="Arial"/>
                <w:sz w:val="14"/>
                <w:szCs w:val="14"/>
                <w:color w:val="auto"/>
              </w:rPr>
              <w:t>Dividends paid</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(33.3)</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380" w:type="dxa"/>
            <w:vAlign w:val="bottom"/>
            <w:shd w:val="clear" w:color="auto" w:fill="E2E8F1"/>
          </w:tcPr>
          <w:p>
            <w:pPr>
              <w:ind w:left="860"/>
              <w:spacing w:after="0" w:line="157" w:lineRule="exact"/>
              <w:rPr>
                <w:sz w:val="20"/>
                <w:szCs w:val="20"/>
                <w:color w:val="auto"/>
              </w:rPr>
            </w:pPr>
            <w:r>
              <w:rPr>
                <w:rFonts w:ascii="Arial" w:cs="Arial" w:eastAsia="Arial" w:hAnsi="Arial"/>
                <w:sz w:val="14"/>
                <w:szCs w:val="14"/>
                <w:color w:val="auto"/>
              </w:rPr>
              <w:t>Net cash provided by (used in) financing activities</w:t>
            </w:r>
          </w:p>
        </w:tc>
        <w:tc>
          <w:tcPr>
            <w:tcW w:w="1220" w:type="dxa"/>
            <w:vAlign w:val="bottom"/>
            <w:shd w:val="clear" w:color="auto" w:fill="E2E8F1"/>
          </w:tcPr>
          <w:p>
            <w:pPr>
              <w:spacing w:after="0"/>
              <w:rPr>
                <w:sz w:val="13"/>
                <w:szCs w:val="13"/>
                <w:color w:val="auto"/>
              </w:rPr>
            </w:pPr>
          </w:p>
        </w:tc>
        <w:tc>
          <w:tcPr>
            <w:tcW w:w="1040" w:type="dxa"/>
            <w:vAlign w:val="bottom"/>
            <w:shd w:val="clear" w:color="auto" w:fill="E2E8F1"/>
          </w:tcPr>
          <w:p>
            <w:pPr>
              <w:spacing w:after="0"/>
              <w:rPr>
                <w:sz w:val="13"/>
                <w:szCs w:val="13"/>
                <w:color w:val="auto"/>
              </w:rPr>
            </w:pPr>
          </w:p>
        </w:tc>
        <w:tc>
          <w:tcPr>
            <w:tcW w:w="58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59.5</w:t>
            </w:r>
          </w:p>
        </w:tc>
        <w:tc>
          <w:tcPr>
            <w:tcW w:w="100" w:type="dxa"/>
            <w:vAlign w:val="bottom"/>
            <w:shd w:val="clear" w:color="auto" w:fill="E2E8F1"/>
          </w:tcPr>
          <w:p>
            <w:pPr>
              <w:spacing w:after="0"/>
              <w:rPr>
                <w:sz w:val="13"/>
                <w:szCs w:val="13"/>
                <w:color w:val="auto"/>
              </w:rPr>
            </w:pPr>
          </w:p>
        </w:tc>
        <w:tc>
          <w:tcPr>
            <w:tcW w:w="180" w:type="dxa"/>
            <w:vAlign w:val="bottom"/>
            <w:shd w:val="clear" w:color="auto" w:fill="E2E8F1"/>
          </w:tcPr>
          <w:p>
            <w:pPr>
              <w:spacing w:after="0"/>
              <w:rPr>
                <w:sz w:val="13"/>
                <w:szCs w:val="13"/>
                <w:color w:val="auto"/>
              </w:rPr>
            </w:pPr>
          </w:p>
        </w:tc>
        <w:tc>
          <w:tcPr>
            <w:tcW w:w="540" w:type="dxa"/>
            <w:vAlign w:val="bottom"/>
            <w:shd w:val="clear" w:color="auto" w:fill="E2E8F1"/>
          </w:tcPr>
          <w:p>
            <w:pPr>
              <w:spacing w:after="0"/>
              <w:rPr>
                <w:sz w:val="13"/>
                <w:szCs w:val="13"/>
                <w:color w:val="auto"/>
              </w:rPr>
            </w:pPr>
          </w:p>
        </w:tc>
        <w:tc>
          <w:tcPr>
            <w:tcW w:w="1200" w:type="dxa"/>
            <w:vAlign w:val="bottom"/>
            <w:gridSpan w:val="2"/>
            <w:shd w:val="clear" w:color="auto" w:fill="E2E8F1"/>
          </w:tcPr>
          <w:p>
            <w:pPr>
              <w:jc w:val="right"/>
              <w:ind w:right="80"/>
              <w:spacing w:after="0" w:line="157" w:lineRule="exact"/>
              <w:rPr>
                <w:sz w:val="20"/>
                <w:szCs w:val="20"/>
                <w:color w:val="auto"/>
              </w:rPr>
            </w:pPr>
            <w:r>
              <w:rPr>
                <w:rFonts w:ascii="Arial" w:cs="Arial" w:eastAsia="Arial" w:hAnsi="Arial"/>
                <w:sz w:val="14"/>
                <w:szCs w:val="14"/>
                <w:color w:val="auto"/>
              </w:rPr>
              <w:t>(178.8)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E2E8F1"/>
          </w:tcPr>
          <w:p>
            <w:pPr>
              <w:spacing w:after="0" w:line="20" w:lineRule="exact"/>
              <w:rPr>
                <w:sz w:val="1"/>
                <w:szCs w:val="1"/>
                <w:color w:val="auto"/>
              </w:rPr>
            </w:pPr>
          </w:p>
        </w:tc>
        <w:tc>
          <w:tcPr>
            <w:tcW w:w="1220" w:type="dxa"/>
            <w:vAlign w:val="bottom"/>
            <w:shd w:val="clear" w:color="auto" w:fill="E2E8F1"/>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180" w:type="dxa"/>
            <w:vAlign w:val="bottom"/>
            <w:shd w:val="clear" w:color="auto" w:fill="E2E8F1"/>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6380" w:type="dxa"/>
            <w:vAlign w:val="bottom"/>
          </w:tcPr>
          <w:p>
            <w:pPr>
              <w:spacing w:after="0" w:line="157" w:lineRule="exact"/>
              <w:rPr>
                <w:sz w:val="20"/>
                <w:szCs w:val="20"/>
                <w:color w:val="auto"/>
              </w:rPr>
            </w:pPr>
            <w:r>
              <w:rPr>
                <w:rFonts w:ascii="Arial" w:cs="Arial" w:eastAsia="Arial" w:hAnsi="Arial"/>
                <w:sz w:val="14"/>
                <w:szCs w:val="14"/>
                <w:color w:val="auto"/>
              </w:rPr>
              <w:t>Effect of exchange rate changes on cash</w:t>
            </w:r>
          </w:p>
        </w:tc>
        <w:tc>
          <w:tcPr>
            <w:tcW w:w="1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37.4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6380" w:type="dxa"/>
            <w:vAlign w:val="bottom"/>
            <w:shd w:val="clear" w:color="auto" w:fill="E2E8F1"/>
          </w:tcPr>
          <w:p>
            <w:pPr>
              <w:spacing w:after="0" w:line="157" w:lineRule="exact"/>
              <w:rPr>
                <w:sz w:val="20"/>
                <w:szCs w:val="20"/>
                <w:color w:val="auto"/>
              </w:rPr>
            </w:pPr>
            <w:r>
              <w:rPr>
                <w:rFonts w:ascii="Arial" w:cs="Arial" w:eastAsia="Arial" w:hAnsi="Arial"/>
                <w:sz w:val="14"/>
                <w:szCs w:val="14"/>
                <w:color w:val="auto"/>
              </w:rPr>
              <w:t>Change in cash and cash equivalents</w:t>
            </w:r>
          </w:p>
        </w:tc>
        <w:tc>
          <w:tcPr>
            <w:tcW w:w="1220" w:type="dxa"/>
            <w:vAlign w:val="bottom"/>
            <w:shd w:val="clear" w:color="auto" w:fill="E2E8F1"/>
          </w:tcPr>
          <w:p>
            <w:pPr>
              <w:spacing w:after="0"/>
              <w:rPr>
                <w:sz w:val="13"/>
                <w:szCs w:val="13"/>
                <w:color w:val="auto"/>
              </w:rPr>
            </w:pPr>
          </w:p>
        </w:tc>
        <w:tc>
          <w:tcPr>
            <w:tcW w:w="1040" w:type="dxa"/>
            <w:vAlign w:val="bottom"/>
            <w:shd w:val="clear" w:color="auto" w:fill="E2E8F1"/>
          </w:tcPr>
          <w:p>
            <w:pPr>
              <w:spacing w:after="0"/>
              <w:rPr>
                <w:sz w:val="13"/>
                <w:szCs w:val="13"/>
                <w:color w:val="auto"/>
              </w:rPr>
            </w:pPr>
          </w:p>
        </w:tc>
        <w:tc>
          <w:tcPr>
            <w:tcW w:w="680" w:type="dxa"/>
            <w:vAlign w:val="bottom"/>
            <w:gridSpan w:val="2"/>
            <w:shd w:val="clear" w:color="auto" w:fill="E2E8F1"/>
          </w:tcPr>
          <w:p>
            <w:pPr>
              <w:jc w:val="right"/>
              <w:ind w:right="60"/>
              <w:spacing w:after="0" w:line="157" w:lineRule="exact"/>
              <w:rPr>
                <w:sz w:val="20"/>
                <w:szCs w:val="20"/>
                <w:color w:val="auto"/>
              </w:rPr>
            </w:pPr>
            <w:r>
              <w:rPr>
                <w:rFonts w:ascii="Arial" w:cs="Arial" w:eastAsia="Arial" w:hAnsi="Arial"/>
                <w:sz w:val="14"/>
                <w:szCs w:val="14"/>
                <w:color w:val="auto"/>
              </w:rPr>
              <w:t>(234.8)</w:t>
            </w:r>
          </w:p>
        </w:tc>
        <w:tc>
          <w:tcPr>
            <w:tcW w:w="180" w:type="dxa"/>
            <w:vAlign w:val="bottom"/>
            <w:shd w:val="clear" w:color="auto" w:fill="E2E8F1"/>
          </w:tcPr>
          <w:p>
            <w:pPr>
              <w:spacing w:after="0"/>
              <w:rPr>
                <w:sz w:val="13"/>
                <w:szCs w:val="13"/>
                <w:color w:val="auto"/>
              </w:rPr>
            </w:pPr>
          </w:p>
        </w:tc>
        <w:tc>
          <w:tcPr>
            <w:tcW w:w="540" w:type="dxa"/>
            <w:vAlign w:val="bottom"/>
            <w:shd w:val="clear" w:color="auto" w:fill="E2E8F1"/>
          </w:tcPr>
          <w:p>
            <w:pPr>
              <w:spacing w:after="0"/>
              <w:rPr>
                <w:sz w:val="13"/>
                <w:szCs w:val="13"/>
                <w:color w:val="auto"/>
              </w:rPr>
            </w:pPr>
          </w:p>
        </w:tc>
        <w:tc>
          <w:tcPr>
            <w:tcW w:w="1200" w:type="dxa"/>
            <w:vAlign w:val="bottom"/>
            <w:gridSpan w:val="2"/>
            <w:shd w:val="clear" w:color="auto" w:fill="E2E8F1"/>
          </w:tcPr>
          <w:p>
            <w:pPr>
              <w:jc w:val="right"/>
              <w:ind w:right="80"/>
              <w:spacing w:after="0" w:line="157" w:lineRule="exact"/>
              <w:rPr>
                <w:sz w:val="20"/>
                <w:szCs w:val="20"/>
                <w:color w:val="auto"/>
              </w:rPr>
            </w:pPr>
            <w:r>
              <w:rPr>
                <w:rFonts w:ascii="Arial" w:cs="Arial" w:eastAsia="Arial" w:hAnsi="Arial"/>
                <w:sz w:val="14"/>
                <w:szCs w:val="14"/>
                <w:color w:val="auto"/>
              </w:rPr>
              <w:t>(170.4)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1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E2E8F1"/>
          </w:tcPr>
          <w:p>
            <w:pPr>
              <w:spacing w:after="0" w:line="157" w:lineRule="exact"/>
              <w:rPr>
                <w:sz w:val="20"/>
                <w:szCs w:val="20"/>
                <w:color w:val="auto"/>
              </w:rPr>
            </w:pPr>
            <w:r>
              <w:rPr>
                <w:rFonts w:ascii="Arial" w:cs="Arial" w:eastAsia="Arial" w:hAnsi="Arial"/>
                <w:sz w:val="14"/>
                <w:szCs w:val="14"/>
                <w:color w:val="auto"/>
              </w:rPr>
              <w:t>Cash and cash equivalents, end of period</w:t>
            </w:r>
          </w:p>
        </w:tc>
        <w:tc>
          <w:tcPr>
            <w:tcW w:w="2260" w:type="dxa"/>
            <w:vAlign w:val="bottom"/>
            <w:gridSpan w:val="2"/>
            <w:shd w:val="clear" w:color="auto" w:fill="E2E8F1"/>
          </w:tcPr>
          <w:p>
            <w:pPr>
              <w:jc w:val="right"/>
              <w:ind w:right="917"/>
              <w:spacing w:after="0" w:line="157" w:lineRule="exact"/>
              <w:rPr>
                <w:sz w:val="20"/>
                <w:szCs w:val="20"/>
                <w:color w:val="auto"/>
              </w:rPr>
            </w:pPr>
            <w:r>
              <w:rPr>
                <w:rFonts w:ascii="Arial" w:cs="Arial" w:eastAsia="Arial" w:hAnsi="Arial"/>
                <w:sz w:val="14"/>
                <w:szCs w:val="14"/>
                <w:color w:val="auto"/>
              </w:rPr>
              <w:t>$</w:t>
            </w:r>
          </w:p>
        </w:tc>
        <w:tc>
          <w:tcPr>
            <w:tcW w:w="58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274.6</w:t>
            </w:r>
          </w:p>
        </w:tc>
        <w:tc>
          <w:tcPr>
            <w:tcW w:w="100" w:type="dxa"/>
            <w:vAlign w:val="bottom"/>
            <w:shd w:val="clear" w:color="auto" w:fill="E2E8F1"/>
          </w:tcPr>
          <w:p>
            <w:pPr>
              <w:spacing w:after="0"/>
              <w:rPr>
                <w:sz w:val="17"/>
                <w:szCs w:val="17"/>
                <w:color w:val="auto"/>
              </w:rPr>
            </w:pPr>
          </w:p>
        </w:tc>
        <w:tc>
          <w:tcPr>
            <w:tcW w:w="720" w:type="dxa"/>
            <w:vAlign w:val="bottom"/>
            <w:gridSpan w:val="2"/>
            <w:shd w:val="clear" w:color="auto" w:fill="E2E8F1"/>
          </w:tcPr>
          <w:p>
            <w:pPr>
              <w:jc w:val="right"/>
              <w:ind w:right="460"/>
              <w:spacing w:after="0" w:line="157" w:lineRule="exact"/>
              <w:rPr>
                <w:sz w:val="20"/>
                <w:szCs w:val="20"/>
                <w:color w:val="auto"/>
              </w:rPr>
            </w:pPr>
            <w:r>
              <w:rPr>
                <w:rFonts w:ascii="Arial" w:cs="Arial" w:eastAsia="Arial" w:hAnsi="Arial"/>
                <w:sz w:val="14"/>
                <w:szCs w:val="14"/>
                <w:color w:val="auto"/>
              </w:rPr>
              <w:t>$</w:t>
            </w:r>
          </w:p>
        </w:tc>
        <w:tc>
          <w:tcPr>
            <w:tcW w:w="108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410.9</w:t>
            </w:r>
          </w:p>
        </w:tc>
        <w:tc>
          <w:tcPr>
            <w:tcW w:w="120" w:type="dxa"/>
            <w:vAlign w:val="bottom"/>
            <w:shd w:val="clear" w:color="auto" w:fill="E2E8F1"/>
          </w:tcPr>
          <w:p>
            <w:pPr>
              <w:spacing w:after="0"/>
              <w:rPr>
                <w:sz w:val="17"/>
                <w:szCs w:val="17"/>
                <w:color w:val="auto"/>
              </w:rPr>
            </w:pPr>
          </w:p>
        </w:tc>
        <w:tc>
          <w:tcPr>
            <w:tcW w:w="0" w:type="dxa"/>
            <w:vAlign w:val="bottom"/>
          </w:tcPr>
          <w:p>
            <w:pPr>
              <w:spacing w:after="0"/>
              <w:rPr>
                <w:sz w:val="1"/>
                <w:szCs w:val="1"/>
                <w:color w:val="auto"/>
              </w:rPr>
            </w:pPr>
          </w:p>
        </w:tc>
      </w:tr>
      <w:tr>
        <w:trPr>
          <w:trHeight w:val="949"/>
        </w:trPr>
        <w:tc>
          <w:tcPr>
            <w:tcW w:w="20" w:type="dxa"/>
            <w:vAlign w:val="bottom"/>
            <w:tcBorders>
              <w:bottom w:val="single" w:sz="8" w:color="9A9A9A"/>
            </w:tcBorders>
          </w:tcPr>
          <w:p>
            <w:pPr>
              <w:spacing w:after="0"/>
              <w:rPr>
                <w:sz w:val="24"/>
                <w:szCs w:val="24"/>
                <w:color w:val="auto"/>
              </w:rPr>
            </w:pPr>
          </w:p>
        </w:tc>
        <w:tc>
          <w:tcPr>
            <w:tcW w:w="6380" w:type="dxa"/>
            <w:vAlign w:val="bottom"/>
            <w:tcBorders>
              <w:top w:val="single" w:sz="8" w:color="E2E8F1"/>
              <w:bottom w:val="single" w:sz="8" w:color="9A9A9A"/>
            </w:tcBorders>
          </w:tcPr>
          <w:p>
            <w:pPr>
              <w:spacing w:after="0"/>
              <w:rPr>
                <w:sz w:val="24"/>
                <w:szCs w:val="24"/>
                <w:color w:val="auto"/>
              </w:rPr>
            </w:pPr>
          </w:p>
        </w:tc>
        <w:tc>
          <w:tcPr>
            <w:tcW w:w="1220" w:type="dxa"/>
            <w:vAlign w:val="bottom"/>
            <w:tcBorders>
              <w:top w:val="single" w:sz="8" w:color="E2E8F1"/>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5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E2E8F1"/>
              <w:bottom w:val="single" w:sz="8" w:color="9A9A9A"/>
            </w:tcBorders>
          </w:tcPr>
          <w:p>
            <w:pPr>
              <w:spacing w:after="0"/>
              <w:rPr>
                <w:sz w:val="24"/>
                <w:szCs w:val="24"/>
                <w:color w:val="auto"/>
              </w:rPr>
            </w:pPr>
          </w:p>
        </w:tc>
        <w:tc>
          <w:tcPr>
            <w:tcW w:w="180" w:type="dxa"/>
            <w:vAlign w:val="bottom"/>
            <w:tcBorders>
              <w:top w:val="single" w:sz="8" w:color="E2E8F1"/>
              <w:bottom w:val="single" w:sz="8" w:color="9A9A9A"/>
            </w:tcBorders>
          </w:tcPr>
          <w:p>
            <w:pPr>
              <w:spacing w:after="0"/>
              <w:rPr>
                <w:sz w:val="24"/>
                <w:szCs w:val="24"/>
                <w:color w:val="auto"/>
              </w:rPr>
            </w:pPr>
          </w:p>
        </w:tc>
        <w:tc>
          <w:tcPr>
            <w:tcW w:w="540" w:type="dxa"/>
            <w:vAlign w:val="bottom"/>
            <w:tcBorders>
              <w:top w:val="single" w:sz="8" w:color="auto"/>
              <w:bottom w:val="single" w:sz="8" w:color="9A9A9A"/>
            </w:tcBorders>
          </w:tcPr>
          <w:p>
            <w:pPr>
              <w:spacing w:after="0"/>
              <w:rPr>
                <w:sz w:val="24"/>
                <w:szCs w:val="24"/>
                <w:color w:val="auto"/>
              </w:rPr>
            </w:pPr>
          </w:p>
        </w:tc>
        <w:tc>
          <w:tcPr>
            <w:tcW w:w="10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E2E8F1"/>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-3018155</wp:posOffset>
            </wp:positionV>
            <wp:extent cx="6731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-3018155</wp:posOffset>
            </wp:positionV>
            <wp:extent cx="7493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-2372360</wp:posOffset>
            </wp:positionV>
            <wp:extent cx="6731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-2372360</wp:posOffset>
            </wp:positionV>
            <wp:extent cx="7493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-1096010</wp:posOffset>
            </wp:positionV>
            <wp:extent cx="6731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-1096010</wp:posOffset>
            </wp:positionV>
            <wp:extent cx="7493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-652780</wp:posOffset>
            </wp:positionV>
            <wp:extent cx="6731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-637540</wp:posOffset>
            </wp:positionV>
            <wp:extent cx="6731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-652780</wp:posOffset>
            </wp:positionV>
            <wp:extent cx="7493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-637540</wp:posOffset>
            </wp:positionV>
            <wp:extent cx="7493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2025-10-16T06:50:11Z</dcterms:created>
  <dcterms:modified xsi:type="dcterms:W3CDTF">2025-10-16T06:50:11Z</dcterms:modified>
</cp:coreProperties>
</file>