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MENDOZA ROBERTO G</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vMerge w:val="restart"/>
          </w:tcPr>
          <w:p>
            <w:pPr>
              <w:spacing w:after="0"/>
              <w:rPr>
                <w:sz w:val="20"/>
                <w:szCs w:val="20"/>
                <w:color w:val="auto"/>
              </w:rPr>
            </w:pPr>
            <w:r>
              <w:rPr>
                <w:rFonts w:ascii="Arial" w:cs="Arial" w:eastAsia="Arial" w:hAnsi="Arial"/>
                <w:sz w:val="18"/>
                <w:szCs w:val="18"/>
                <w:color w:val="0000FF"/>
                <w:w w:val="99"/>
              </w:rPr>
              <w:t>MANPOWER INC.</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01/01/2010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20"/>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600" w:type="dxa"/>
            <w:vAlign w:val="bottom"/>
            <w:tcBorders>
              <w:top w:val="single" w:sz="8" w:color="2C2C2C"/>
            </w:tcBorders>
            <w:gridSpan w:val="19"/>
          </w:tcPr>
          <w:p>
            <w:pPr>
              <w:ind w:left="1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88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000FF"/>
              </w:rPr>
              <w:t>01/10/2010</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600" w:type="dxa"/>
            <w:vAlign w:val="bottom"/>
            <w:vMerge w:val="restart"/>
          </w:tcPr>
          <w:p>
            <w:pPr>
              <w:jc w:val="right"/>
              <w:ind w:right="38"/>
              <w:spacing w:after="0"/>
              <w:rPr>
                <w:sz w:val="20"/>
                <w:szCs w:val="20"/>
                <w:color w:val="auto"/>
              </w:rPr>
            </w:pPr>
            <w:r>
              <w:rPr>
                <w:rFonts w:ascii="Arial" w:cs="Arial" w:eastAsia="Arial" w:hAnsi="Arial"/>
                <w:sz w:val="14"/>
                <w:szCs w:val="14"/>
                <w:color w:val="0000FF"/>
              </w:rPr>
              <w:t>1,832</w:t>
            </w:r>
          </w:p>
        </w:tc>
        <w:tc>
          <w:tcPr>
            <w:tcW w:w="340" w:type="dxa"/>
            <w:vAlign w:val="bottom"/>
          </w:tcPr>
          <w:p>
            <w:pPr>
              <w:spacing w:after="0"/>
              <w:rPr>
                <w:sz w:val="16"/>
                <w:szCs w:val="16"/>
                <w:color w:val="auto"/>
              </w:rPr>
            </w:pP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1,832</w:t>
            </w:r>
          </w:p>
        </w:tc>
        <w:tc>
          <w:tcPr>
            <w:tcW w:w="40" w:type="dxa"/>
            <w:vAlign w:val="bottom"/>
          </w:tcPr>
          <w:p>
            <w:pPr>
              <w:spacing w:after="0"/>
              <w:rPr>
                <w:sz w:val="16"/>
                <w:szCs w:val="1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54.58</w:t>
            </w:r>
            <w:r>
              <w:rPr>
                <w:rFonts w:ascii="Arial" w:cs="Arial" w:eastAsia="Arial" w:hAnsi="Arial"/>
                <w:sz w:val="22"/>
                <w:szCs w:val="22"/>
                <w:color w:val="008000"/>
                <w:vertAlign w:val="superscript"/>
              </w:rPr>
              <w:t>(3)</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1,832</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88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0000FF"/>
              </w:rPr>
              <w:t>01/10/2010</w:t>
            </w: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600" w:type="dxa"/>
            <w:vAlign w:val="bottom"/>
            <w:vMerge w:val="restart"/>
          </w:tcPr>
          <w:p>
            <w:pPr>
              <w:jc w:val="right"/>
              <w:ind w:right="118"/>
              <w:spacing w:after="0"/>
              <w:rPr>
                <w:sz w:val="20"/>
                <w:szCs w:val="20"/>
                <w:color w:val="auto"/>
              </w:rPr>
            </w:pPr>
            <w:r>
              <w:rPr>
                <w:rFonts w:ascii="Arial" w:cs="Arial" w:eastAsia="Arial" w:hAnsi="Arial"/>
                <w:sz w:val="14"/>
                <w:szCs w:val="14"/>
                <w:color w:val="0000FF"/>
              </w:rPr>
              <w:t>26</w:t>
            </w:r>
          </w:p>
        </w:tc>
        <w:tc>
          <w:tcPr>
            <w:tcW w:w="340" w:type="dxa"/>
            <w:vAlign w:val="bottom"/>
          </w:tcPr>
          <w:p>
            <w:pPr>
              <w:spacing w:after="0"/>
              <w:rPr>
                <w:sz w:val="16"/>
                <w:szCs w:val="16"/>
                <w:color w:val="auto"/>
              </w:rPr>
            </w:pPr>
          </w:p>
        </w:tc>
        <w:tc>
          <w:tcPr>
            <w:tcW w:w="7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148"/>
              <w:spacing w:after="0"/>
              <w:rPr>
                <w:sz w:val="20"/>
                <w:szCs w:val="20"/>
                <w:color w:val="auto"/>
              </w:rPr>
            </w:pPr>
            <w:r>
              <w:rPr>
                <w:rFonts w:ascii="Arial" w:cs="Arial" w:eastAsia="Arial" w:hAnsi="Arial"/>
                <w:sz w:val="18"/>
                <w:szCs w:val="18"/>
                <w:color w:val="0000FF"/>
              </w:rPr>
              <w:t>26</w:t>
            </w:r>
          </w:p>
        </w:tc>
        <w:tc>
          <w:tcPr>
            <w:tcW w:w="40" w:type="dxa"/>
            <w:vAlign w:val="bottom"/>
          </w:tcPr>
          <w:p>
            <w:pPr>
              <w:spacing w:after="0"/>
              <w:rPr>
                <w:sz w:val="16"/>
                <w:szCs w:val="1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46.29</w:t>
            </w:r>
            <w:r>
              <w:rPr>
                <w:rFonts w:ascii="Arial" w:cs="Arial" w:eastAsia="Arial" w:hAnsi="Arial"/>
                <w:sz w:val="22"/>
                <w:szCs w:val="22"/>
                <w:color w:val="008000"/>
                <w:vertAlign w:val="superscript"/>
              </w:rPr>
              <w:t>(6)</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1,636</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of deferred stock will vest in quarterly installments on the last day of each calendar quarter during 2010 and will be settled in shares of Manpower common stock on a 1 for 1 basis on the earlier of January 1, 2013 or within 30 days after the reporting person's termination of service as a director, except as otherwise provided in the Terms and Conditions (as defined below).</w:t>
      </w: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deferred stock under the 2003 Equity Incentive Plan of Manpower Inc. and the Terms and Conditions Regarding the Grant of Awards to Non-Employee Directors under the Plan (Amended and Restated effective January 1, 2008) (the "Terms and Conditions") .</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Market Price (as defined in the Plan) on the last trading day of 2009.</w:t>
      </w:r>
    </w:p>
    <w:p>
      <w:pPr>
        <w:spacing w:after="0" w:line="41" w:lineRule="exact"/>
        <w:rPr>
          <w:rFonts w:ascii="Arial" w:cs="Arial" w:eastAsia="Arial" w:hAnsi="Arial"/>
          <w:sz w:val="14"/>
          <w:szCs w:val="14"/>
          <w:color w:val="008000"/>
        </w:rPr>
      </w:pPr>
    </w:p>
    <w:p>
      <w:pPr>
        <w:ind w:left="40" w:right="6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 common stock on a 1 for 1 basis on the earlier of April 28, 2012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deferred stock under the Plan and the Terms and Conditions in lieu of dividends.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Average Trading Price (as defined in the Terms and Conditions).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Kenneth C. Hunt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2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previously</w:t>
      </w:r>
      <w:r>
        <w:rPr>
          <w:sz w:val="20"/>
          <w:szCs w:val="20"/>
          <w:color w:val="auto"/>
        </w:rPr>
        <w:tab/>
      </w:r>
      <w:r>
        <w:rPr>
          <w:rFonts w:ascii="Arial" w:cs="Arial" w:eastAsia="Arial" w:hAnsi="Arial"/>
          <w:sz w:val="15"/>
          <w:szCs w:val="15"/>
          <w:color w:val="0000FF"/>
        </w:rPr>
        <w:t>01/05/2010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413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4130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02771"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2019-12-16T07:23:33Z</dcterms:created>
  <dcterms:modified xsi:type="dcterms:W3CDTF">2019-12-16T07:23:33Z</dcterms:modified>
</cp:coreProperties>
</file>