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February 2, 2018</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ind w:right="20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On February 2, 2018, we issued a press release announcing our results of operations for the three months and year ended December 31, 2017. A copy of the press release is attached hereto as Exhibit 99.1 and is incorporated herein by reference.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gridSpan w:val="4"/>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260" w:type="dxa"/>
            <w:vAlign w:val="bottom"/>
            <w:gridSpan w:val="4"/>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line="173" w:lineRule="exact"/>
              <w:rPr>
                <w:rFonts w:ascii="Arial" w:cs="Arial" w:eastAsia="Arial" w:hAnsi="Arial"/>
                <w:sz w:val="16"/>
                <w:szCs w:val="16"/>
                <w:color w:val="0000FF"/>
                <w:w w:val="83"/>
              </w:rPr>
            </w:pPr>
            <w:hyperlink w:anchor="page5">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1</w:t>
              </w:r>
            </w:hyperlink>
          </w:p>
        </w:tc>
        <w:tc>
          <w:tcPr>
            <w:tcW w:w="880" w:type="dxa"/>
            <w:vAlign w:val="bottom"/>
          </w:tcPr>
          <w:p>
            <w:pPr>
              <w:spacing w:after="0"/>
              <w:rPr>
                <w:sz w:val="15"/>
                <w:szCs w:val="15"/>
                <w:color w:val="auto"/>
              </w:rPr>
            </w:pPr>
          </w:p>
        </w:tc>
        <w:tc>
          <w:tcPr>
            <w:tcW w:w="10260" w:type="dxa"/>
            <w:vAlign w:val="bottom"/>
            <w:gridSpan w:val="4"/>
          </w:tcPr>
          <w:p>
            <w:pPr>
              <w:ind w:left="1140"/>
              <w:spacing w:after="0" w:line="173" w:lineRule="exact"/>
              <w:rPr>
                <w:rFonts w:ascii="Arial" w:cs="Arial" w:eastAsia="Arial" w:hAnsi="Arial"/>
                <w:sz w:val="16"/>
                <w:szCs w:val="16"/>
                <w:color w:val="0000FF"/>
              </w:rPr>
            </w:pPr>
            <w:hyperlink w:anchor="page5">
              <w:r>
                <w:rPr>
                  <w:rFonts w:ascii="Arial" w:cs="Arial" w:eastAsia="Arial" w:hAnsi="Arial"/>
                  <w:sz w:val="16"/>
                  <w:szCs w:val="16"/>
                  <w:color w:val="0000FF"/>
                </w:rPr>
                <w:t>Press Release dated February 2, 2018</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tcPr>
          <w:p>
            <w:pPr>
              <w:spacing w:after="0"/>
              <w:rPr>
                <w:rFonts w:ascii="Arial" w:cs="Arial" w:eastAsia="Arial" w:hAnsi="Arial"/>
                <w:sz w:val="16"/>
                <w:szCs w:val="16"/>
                <w:color w:val="0000FF"/>
                <w:w w:val="83"/>
              </w:rPr>
            </w:pPr>
            <w:hyperlink w:anchor="page13">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2</w:t>
              </w:r>
            </w:hyperlink>
          </w:p>
        </w:tc>
        <w:tc>
          <w:tcPr>
            <w:tcW w:w="880" w:type="dxa"/>
            <w:vAlign w:val="bottom"/>
          </w:tcPr>
          <w:p>
            <w:pPr>
              <w:spacing w:after="0"/>
              <w:rPr>
                <w:sz w:val="19"/>
                <w:szCs w:val="19"/>
                <w:color w:val="auto"/>
              </w:rPr>
            </w:pPr>
          </w:p>
        </w:tc>
        <w:tc>
          <w:tcPr>
            <w:tcW w:w="10260" w:type="dxa"/>
            <w:vAlign w:val="bottom"/>
            <w:gridSpan w:val="4"/>
          </w:tcPr>
          <w:p>
            <w:pPr>
              <w:ind w:left="1140"/>
              <w:spacing w:after="0"/>
              <w:rPr>
                <w:rFonts w:ascii="Arial" w:cs="Arial" w:eastAsia="Arial" w:hAnsi="Arial"/>
                <w:sz w:val="16"/>
                <w:szCs w:val="16"/>
                <w:color w:val="0000FF"/>
              </w:rPr>
            </w:pPr>
            <w:hyperlink w:anchor="page13">
              <w:r>
                <w:rPr>
                  <w:rFonts w:ascii="Arial" w:cs="Arial" w:eastAsia="Arial" w:hAnsi="Arial"/>
                  <w:sz w:val="16"/>
                  <w:szCs w:val="16"/>
                  <w:color w:val="0000FF"/>
                </w:rPr>
                <w:t>Presentation materials for February 2, 2018 conference call</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February 2,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John T. McGinnis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720" w:type="dxa"/>
            <w:vAlign w:val="bottom"/>
            <w:gridSpan w:val="2"/>
          </w:tcPr>
          <w:p>
            <w:pPr>
              <w:ind w:left="38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9880" w:type="dxa"/>
            <w:vAlign w:val="bottom"/>
            <w:gridSpan w:val="4"/>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280" w:type="dxa"/>
            <w:vAlign w:val="bottom"/>
          </w:tcPr>
          <w:p>
            <w:pPr>
              <w:spacing w:after="0" w:line="173" w:lineRule="exact"/>
              <w:rPr>
                <w:rFonts w:ascii="Arial" w:cs="Arial" w:eastAsia="Arial" w:hAnsi="Arial"/>
                <w:sz w:val="16"/>
                <w:szCs w:val="16"/>
                <w:color w:val="0000FF"/>
                <w:w w:val="83"/>
              </w:rPr>
            </w:pPr>
            <w:hyperlink w:anchor="page5">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1</w:t>
              </w:r>
            </w:hyperlink>
          </w:p>
        </w:tc>
        <w:tc>
          <w:tcPr>
            <w:tcW w:w="1260" w:type="dxa"/>
            <w:vAlign w:val="bottom"/>
          </w:tcPr>
          <w:p>
            <w:pPr>
              <w:spacing w:after="0"/>
              <w:rPr>
                <w:sz w:val="15"/>
                <w:szCs w:val="15"/>
                <w:color w:val="auto"/>
              </w:rPr>
            </w:pPr>
          </w:p>
        </w:tc>
        <w:tc>
          <w:tcPr>
            <w:tcW w:w="9880" w:type="dxa"/>
            <w:vAlign w:val="bottom"/>
            <w:gridSpan w:val="4"/>
          </w:tcPr>
          <w:p>
            <w:pPr>
              <w:ind w:left="760"/>
              <w:spacing w:after="0" w:line="173" w:lineRule="exact"/>
              <w:rPr>
                <w:rFonts w:ascii="Arial" w:cs="Arial" w:eastAsia="Arial" w:hAnsi="Arial"/>
                <w:sz w:val="16"/>
                <w:szCs w:val="16"/>
                <w:color w:val="0000FF"/>
              </w:rPr>
            </w:pPr>
            <w:hyperlink w:anchor="page5">
              <w:r>
                <w:rPr>
                  <w:rFonts w:ascii="Arial" w:cs="Arial" w:eastAsia="Arial" w:hAnsi="Arial"/>
                  <w:sz w:val="16"/>
                  <w:szCs w:val="16"/>
                  <w:color w:val="0000FF"/>
                </w:rPr>
                <w:t>Press Release dated February 2, 2018</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tcPr>
          <w:p>
            <w:pPr>
              <w:spacing w:after="0"/>
              <w:rPr>
                <w:rFonts w:ascii="Arial" w:cs="Arial" w:eastAsia="Arial" w:hAnsi="Arial"/>
                <w:sz w:val="16"/>
                <w:szCs w:val="16"/>
                <w:color w:val="0000FF"/>
                <w:w w:val="83"/>
              </w:rPr>
            </w:pPr>
            <w:hyperlink w:anchor="page13">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2</w:t>
              </w:r>
            </w:hyperlink>
          </w:p>
        </w:tc>
        <w:tc>
          <w:tcPr>
            <w:tcW w:w="1260" w:type="dxa"/>
            <w:vAlign w:val="bottom"/>
          </w:tcPr>
          <w:p>
            <w:pPr>
              <w:spacing w:after="0"/>
              <w:rPr>
                <w:sz w:val="19"/>
                <w:szCs w:val="19"/>
                <w:color w:val="auto"/>
              </w:rPr>
            </w:pPr>
          </w:p>
        </w:tc>
        <w:tc>
          <w:tcPr>
            <w:tcW w:w="9880" w:type="dxa"/>
            <w:vAlign w:val="bottom"/>
            <w:gridSpan w:val="4"/>
          </w:tcPr>
          <w:p>
            <w:pPr>
              <w:ind w:left="760"/>
              <w:spacing w:after="0"/>
              <w:rPr>
                <w:rFonts w:ascii="Arial" w:cs="Arial" w:eastAsia="Arial" w:hAnsi="Arial"/>
                <w:sz w:val="16"/>
                <w:szCs w:val="16"/>
                <w:color w:val="0000FF"/>
              </w:rPr>
            </w:pPr>
            <w:hyperlink w:anchor="page13">
              <w:r>
                <w:rPr>
                  <w:rFonts w:ascii="Arial" w:cs="Arial" w:eastAsia="Arial" w:hAnsi="Arial"/>
                  <w:sz w:val="16"/>
                  <w:szCs w:val="16"/>
                  <w:color w:val="0000FF"/>
                </w:rPr>
                <w:t>Presentation materials for February 2, 2018 conference call</w:t>
              </w:r>
            </w:hyperlink>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8013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 McGinnis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+1.414.906.7977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Quarter and Full Year 2017 Results</w:t>
      </w:r>
    </w:p>
    <w:p>
      <w:pPr>
        <w:spacing w:after="0" w:line="175" w:lineRule="exact"/>
        <w:rPr>
          <w:sz w:val="20"/>
          <w:szCs w:val="20"/>
          <w:color w:val="auto"/>
        </w:rPr>
      </w:pPr>
    </w:p>
    <w:p>
      <w:pPr>
        <w:jc w:val="both"/>
        <w:spacing w:after="0" w:line="358" w:lineRule="auto"/>
        <w:rPr>
          <w:sz w:val="20"/>
          <w:szCs w:val="20"/>
          <w:color w:val="auto"/>
        </w:rPr>
      </w:pPr>
      <w:r>
        <w:rPr>
          <w:rFonts w:ascii="Arial" w:cs="Arial" w:eastAsia="Arial" w:hAnsi="Arial"/>
          <w:sz w:val="18"/>
          <w:szCs w:val="18"/>
          <w:b w:val="1"/>
          <w:bCs w:val="1"/>
          <w:color w:val="auto"/>
        </w:rPr>
        <w:t xml:space="preserve">MILWAUKEE, February 2, 2018 -- </w:t>
      </w:r>
      <w:r>
        <w:rPr>
          <w:rFonts w:ascii="Arial" w:cs="Arial" w:eastAsia="Arial" w:hAnsi="Arial"/>
          <w:sz w:val="18"/>
          <w:szCs w:val="18"/>
          <w:color w:val="auto"/>
        </w:rPr>
        <w:t>ManpowerGroup (NYSE: MAN) today reported net earnings of $3.22 per diluted share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2017 compared to $1.87 per diluted share in the prior year period. The net earnings in the quarter were $216.3 million compared to $127.4 million a year earlier. Revenues for the fourth quarter totaled $5.6 billion, an increase of 14% from the year earlier period.</w:t>
      </w:r>
    </w:p>
    <w:p>
      <w:pPr>
        <w:jc w:val="both"/>
        <w:ind w:firstLine="555"/>
        <w:spacing w:after="0" w:line="349" w:lineRule="auto"/>
        <w:rPr>
          <w:sz w:val="20"/>
          <w:szCs w:val="20"/>
          <w:color w:val="auto"/>
        </w:rPr>
      </w:pPr>
      <w:r>
        <w:rPr>
          <w:rFonts w:ascii="Arial" w:cs="Arial" w:eastAsia="Arial" w:hAnsi="Arial"/>
          <w:sz w:val="18"/>
          <w:szCs w:val="18"/>
          <w:color w:val="auto"/>
        </w:rPr>
        <w:t>Financial results in the quarter were significantly impacted by discrete net tax benefits primarily related to U.S. tax reform through the enactment of the Tax Cuts and Jobs Act in the fourth quarter. Discrete net tax benefits positively impacted earnings per share by $1.10 in the fourth quarter.</w:t>
      </w:r>
    </w:p>
    <w:p>
      <w:pPr>
        <w:spacing w:after="0" w:line="2" w:lineRule="exact"/>
        <w:rPr>
          <w:sz w:val="20"/>
          <w:szCs w:val="20"/>
          <w:color w:val="auto"/>
        </w:rPr>
      </w:pPr>
    </w:p>
    <w:p>
      <w:pPr>
        <w:jc w:val="both"/>
        <w:ind w:firstLine="555"/>
        <w:spacing w:after="0" w:line="349" w:lineRule="auto"/>
        <w:rPr>
          <w:sz w:val="20"/>
          <w:szCs w:val="20"/>
          <w:color w:val="auto"/>
        </w:rPr>
      </w:pPr>
      <w:r>
        <w:rPr>
          <w:rFonts w:ascii="Arial" w:cs="Arial" w:eastAsia="Arial" w:hAnsi="Arial"/>
          <w:sz w:val="18"/>
          <w:szCs w:val="18"/>
          <w:color w:val="auto"/>
        </w:rPr>
        <w:t>Financial results in the quarter were also significantly impacted by stronger foreign currencies relative to the U.S. dollar compared to the prior year period. On a constant currency basis, revenues increased 7% and net earnings per diluted share increased 67%. Excluding the discrete net tax benefits, on a constant currency basis, net earnings per diluted share increased 8%. Earnings per share in the quarter were positively impacted 10 cents by changes in foreign currencies compared to the prior year.</w:t>
      </w:r>
    </w:p>
    <w:p>
      <w:pPr>
        <w:spacing w:after="0" w:line="2" w:lineRule="exact"/>
        <w:rPr>
          <w:sz w:val="20"/>
          <w:szCs w:val="20"/>
          <w:color w:val="auto"/>
        </w:rPr>
      </w:pPr>
    </w:p>
    <w:p>
      <w:pPr>
        <w:jc w:val="both"/>
        <w:ind w:firstLine="555"/>
        <w:spacing w:after="0" w:line="349" w:lineRule="auto"/>
        <w:rPr>
          <w:sz w:val="20"/>
          <w:szCs w:val="20"/>
          <w:color w:val="auto"/>
        </w:rPr>
      </w:pPr>
      <w:r>
        <w:rPr>
          <w:rFonts w:ascii="Arial" w:cs="Arial" w:eastAsia="Arial" w:hAnsi="Arial"/>
          <w:sz w:val="18"/>
          <w:szCs w:val="18"/>
          <w:color w:val="auto"/>
        </w:rPr>
        <w:t>Jonas Prising, ManpowerGroup Chairman &amp; CEO, said: "We are very pleased with our strong performance in the fourth quarter, with improved revenue growth and good profitability. These strong quarterly results capped off the full year 2017 where we delivered strong top line growth and profit performance.</w:t>
      </w:r>
    </w:p>
    <w:p>
      <w:pPr>
        <w:spacing w:after="0" w:line="2" w:lineRule="exact"/>
        <w:rPr>
          <w:sz w:val="20"/>
          <w:szCs w:val="20"/>
          <w:color w:val="auto"/>
        </w:rPr>
      </w:pPr>
    </w:p>
    <w:p>
      <w:pPr>
        <w:jc w:val="both"/>
        <w:ind w:firstLine="555"/>
        <w:spacing w:after="0" w:line="351" w:lineRule="auto"/>
        <w:rPr>
          <w:sz w:val="20"/>
          <w:szCs w:val="20"/>
          <w:color w:val="auto"/>
        </w:rPr>
      </w:pPr>
      <w:r>
        <w:rPr>
          <w:rFonts w:ascii="Arial" w:cs="Arial" w:eastAsia="Arial" w:hAnsi="Arial"/>
          <w:sz w:val="18"/>
          <w:szCs w:val="18"/>
          <w:color w:val="auto"/>
        </w:rPr>
        <w:t>“The war for talent is intensifying globally, and our clients are focused on finding the best talent and building their organizational agility, while individuals are interested in opportunities that build their skills and advance their careers. We have anticipated these market trends, and as we start 2018, we are confident that our superior global footprint, our extensive portfolio of workforce solutions and our great people put us in a formidable position to continue to create value for our clients and candidates.</w:t>
      </w:r>
    </w:p>
    <w:p>
      <w:pPr>
        <w:sectPr>
          <w:pgSz w:w="11900" w:h="16838" w:orient="portrait"/>
          <w:cols w:equalWidth="0" w:num="1">
            <w:col w:w="11440"/>
          </w:cols>
          <w:pgMar w:left="240" w:top="533" w:right="219" w:bottom="1440" w:gutter="0" w:footer="0" w:header="0"/>
        </w:sectPr>
      </w:pPr>
    </w:p>
    <w:bookmarkStart w:id="5" w:name="page6"/>
    <w:bookmarkEnd w:id="5"/>
    <w:p>
      <w:pPr>
        <w:ind w:right="300" w:firstLine="579"/>
        <w:spacing w:after="0" w:line="349" w:lineRule="auto"/>
        <w:rPr>
          <w:sz w:val="20"/>
          <w:szCs w:val="20"/>
          <w:color w:val="auto"/>
        </w:rPr>
      </w:pPr>
      <w:r>
        <w:rPr>
          <w:rFonts w:ascii="Arial" w:cs="Arial" w:eastAsia="Arial" w:hAnsi="Arial"/>
          <w:sz w:val="18"/>
          <w:szCs w:val="18"/>
          <w:color w:val="auto"/>
        </w:rPr>
        <w:t>“We are anticipating diluted earnings per share in the first quarter of 2018 to be in the range of $1.60 to $1.68, which includes a positive impact of tax reform of 20 cents and a positive impact from foreign currency of 15 cents,” Prising stated.</w:t>
      </w:r>
    </w:p>
    <w:p>
      <w:pPr>
        <w:spacing w:after="0" w:line="1" w:lineRule="exact"/>
        <w:rPr>
          <w:sz w:val="20"/>
          <w:szCs w:val="20"/>
          <w:color w:val="auto"/>
        </w:rPr>
      </w:pPr>
    </w:p>
    <w:p>
      <w:pPr>
        <w:jc w:val="both"/>
        <w:ind w:firstLine="555"/>
        <w:spacing w:after="0" w:line="351" w:lineRule="auto"/>
        <w:rPr>
          <w:sz w:val="20"/>
          <w:szCs w:val="20"/>
          <w:color w:val="auto"/>
        </w:rPr>
      </w:pPr>
      <w:r>
        <w:rPr>
          <w:rFonts w:ascii="Arial" w:cs="Arial" w:eastAsia="Arial" w:hAnsi="Arial"/>
          <w:sz w:val="18"/>
          <w:szCs w:val="18"/>
          <w:color w:val="auto"/>
        </w:rPr>
        <w:t>Net earnings for the year ended December 31, 2017 were $545.4 million, or $8.04 per diluted share compared to net earnings of $443.7 million, or $6.27 per diluted share in the prior year. The full year period included restructuring costs which reduced earnings per share by 41 cents and discrete income tax benefits in the first and fourth quarters which increased earnings per share by $1.28. Revenues for the year were $21.0 billion, an increase of 7% from the prior year and an increase of 6% in constant currency. 2017 earnings were positively impacted by 10 cents per diluted share due to changes in foreign currencies compared to the prior year.</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conjunction with its fourth quarter and full year earnings release, ManpowerGroup will broadcast its conference call live over the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Internet on February 2, 2018 at 7:30 a.m. CST (8:30 a.m. EST). Interested parties are invited to listen to the webcast and view the presentation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by logging on to </w:t>
      </w:r>
      <w:r>
        <w:rPr>
          <w:rFonts w:ascii="Arial" w:cs="Arial" w:eastAsia="Arial" w:hAnsi="Arial"/>
          <w:sz w:val="18"/>
          <w:szCs w:val="18"/>
          <w:u w:val="single" w:color="auto"/>
          <w:color w:val="0000FF"/>
        </w:rPr>
        <w:t>http://investor.manpowergroup.com/</w:t>
      </w:r>
      <w:r>
        <w:rPr>
          <w:rFonts w:ascii="Arial" w:cs="Arial" w:eastAsia="Arial" w:hAnsi="Arial"/>
          <w:sz w:val="18"/>
          <w:szCs w:val="18"/>
          <w:color w:val="auto"/>
        </w:rPr>
        <w:t xml:space="preserve"> in the section titled “Investor Relations.”</w:t>
      </w: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financial information referenced in the conference call can be found at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http://investor.manpowergroup.com/</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1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over 400,000 clients and connect 3+ million people to meaningful, sustainable work across a wide range of industries and skills. Our expert family of brands - Manpower®, Experis®, Right Management® and ManpowerGroup® Solutions - creates substantially more value for candidates and clients across 80 countries and territories and has done so for nearly 70 years. In 2017, ManpowerGroup was named one of the World's Most Ethical Companies for the seventh consecutive year and one of Fortune's Most Admired Companies, confirming our position as the most trusted and admired brand in the industry. See how ManpowerGroup is powering the future of work: </w:t>
      </w:r>
      <w:r>
        <w:rPr>
          <w:rFonts w:ascii="Arial" w:cs="Arial" w:eastAsia="Arial" w:hAnsi="Arial"/>
          <w:sz w:val="16"/>
          <w:szCs w:val="16"/>
          <w:u w:val="single" w:color="auto"/>
          <w:color w:val="1154CC"/>
        </w:rPr>
        <w:t>www.manpowergroup.com</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2016, which information is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40"/>
          </w:cols>
          <w:pgMar w:left="240" w:top="595"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93"/>
              </w:rPr>
              <w:t>Three Months Ended December 31</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4,956.1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13.7 %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4,703.0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4,115.1</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14.3 %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695.8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629.0</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10.6 %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-2.4 %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196.9</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13.8 %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69.5</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-88.9 %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127.4</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69.7 %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72.5 %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72.2 %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67.5</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-1.6 %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-1.5 %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20" w:right="54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$6.2 million and $6.1 million for the three months ended December 31, 2017 and 2016, respectively. These fees are primarily based on revenues generated by the franchise offices, which were $270.5 million and $257.8 million for the three months ended December 31, 2017 and 2016,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w w:val="94"/>
              </w:rPr>
              <w:t>Three Months Ended December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684.7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405.5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378.2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7.2 %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6.1 %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1,062.9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1,228.6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305.8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40.3 %</w:t>
            </w:r>
          </w:p>
        </w:tc>
        <w:tc>
          <w:tcPr>
            <w:tcW w:w="1060" w:type="dxa"/>
            <w:vAlign w:val="bottom"/>
          </w:tcPr>
          <w:p>
            <w:pPr>
              <w:jc w:val="right"/>
              <w:spacing w:after="0"/>
              <w:rPr>
                <w:sz w:val="20"/>
                <w:szCs w:val="20"/>
                <w:color w:val="auto"/>
              </w:rPr>
            </w:pPr>
            <w:r>
              <w:rPr>
                <w:rFonts w:ascii="Arial" w:cs="Arial" w:eastAsia="Arial" w:hAnsi="Arial"/>
                <w:sz w:val="16"/>
                <w:szCs w:val="16"/>
                <w:color w:val="auto"/>
              </w:rPr>
              <w:t>28.5 %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377.8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24.0 %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2,399.0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1,912.2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25.5 %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1,292.8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629.6</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10.4 %</w:t>
            </w:r>
          </w:p>
        </w:tc>
        <w:tc>
          <w:tcPr>
            <w:tcW w:w="106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5,637.5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4,956.1</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13.7 %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39.3 %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38.3 %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20.3 %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58.3 %</w:t>
            </w:r>
          </w:p>
        </w:tc>
        <w:tc>
          <w:tcPr>
            <w:tcW w:w="1060" w:type="dxa"/>
            <w:vAlign w:val="bottom"/>
          </w:tcPr>
          <w:p>
            <w:pPr>
              <w:jc w:val="right"/>
              <w:spacing w:after="0"/>
              <w:rPr>
                <w:sz w:val="20"/>
                <w:szCs w:val="20"/>
                <w:color w:val="auto"/>
              </w:rPr>
            </w:pPr>
            <w:r>
              <w:rPr>
                <w:rFonts w:ascii="Arial" w:cs="Arial" w:eastAsia="Arial" w:hAnsi="Arial"/>
                <w:sz w:val="16"/>
                <w:szCs w:val="16"/>
                <w:color w:val="auto"/>
              </w:rPr>
              <w:t>44.8 %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37.5 %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101.9</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30.6 %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20.0 %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21.7</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30.6 %</w:t>
            </w:r>
          </w:p>
        </w:tc>
        <w:tc>
          <w:tcPr>
            <w:tcW w:w="1060" w:type="dxa"/>
            <w:vAlign w:val="bottom"/>
          </w:tcPr>
          <w:p>
            <w:pPr>
              <w:jc w:val="right"/>
              <w:spacing w:after="0"/>
              <w:rPr>
                <w:sz w:val="20"/>
                <w:szCs w:val="20"/>
                <w:color w:val="auto"/>
              </w:rPr>
            </w:pPr>
            <w:r>
              <w:rPr>
                <w:rFonts w:ascii="Arial" w:cs="Arial" w:eastAsia="Arial" w:hAnsi="Arial"/>
                <w:sz w:val="16"/>
                <w:szCs w:val="16"/>
                <w:color w:val="auto"/>
              </w:rPr>
              <w:t>29.6 %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196.9</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20" w:hanging="9"/>
        <w:spacing w:after="0" w:line="265" w:lineRule="auto"/>
        <w:tabs>
          <w:tab w:leader="none" w:pos="27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$3.8 million and $4.0 million for the three months ended December 31, 2017 and 2016, respectively. These fees are primarily based on revenues generated by the franchise offices, which were $164.3 million and $174.5 million for the three months ended December 31, 2017 and 2016,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92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21,034.3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19,654.1</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17,549.7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16,320.3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7.5 %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6.4%</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3,484.6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3,333.8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2,696.4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2,583.0</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4.4 %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788.2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750.8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49.5</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2.8 %</w:t>
            </w: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737.3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701.3</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257.6</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-25.5 %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443.7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22.9 %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28.4 %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28.2 %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70.1</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-4.3 %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-4.2 %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12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$23.7 million and $23.3 million for the years ended December 31, 2017 and 2016, respectively. These fees are primarily based on revenues generated by the franchise offices, which were $1,029.8 million and $1,019.9 million for the years ended December 31, 2017 and 2016, respectively.</w:t>
      </w:r>
    </w:p>
    <w:p>
      <w:pPr>
        <w:sectPr>
          <w:pgSz w:w="11900" w:h="16838" w:orient="portrait"/>
          <w:cols w:equalWidth="0" w:num="1">
            <w:col w:w="11240"/>
          </w:cols>
          <w:pgMar w:left="340" w:top="872"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2,836.8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1,557.4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1,460.4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6.6 %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4,216.4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4,297.2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5,477.2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4,837.4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1,475.9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1,167.7</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26.4 %</w:t>
            </w:r>
          </w:p>
        </w:tc>
        <w:tc>
          <w:tcPr>
            <w:tcW w:w="1060" w:type="dxa"/>
            <w:vAlign w:val="bottom"/>
          </w:tcPr>
          <w:p>
            <w:pPr>
              <w:jc w:val="right"/>
              <w:spacing w:after="0"/>
              <w:rPr>
                <w:sz w:val="20"/>
                <w:szCs w:val="20"/>
                <w:color w:val="auto"/>
              </w:rPr>
            </w:pPr>
            <w:r>
              <w:rPr>
                <w:rFonts w:ascii="Arial" w:cs="Arial" w:eastAsia="Arial" w:hAnsi="Arial"/>
                <w:sz w:val="16"/>
                <w:szCs w:val="16"/>
                <w:color w:val="auto"/>
              </w:rPr>
              <w:t>23.3 %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1,492.5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8,657.0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7,497.6</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15.5 %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12.7 %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5,306.4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5,129.1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2,471.3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6.7 %</w:t>
            </w:r>
          </w:p>
        </w:tc>
        <w:tc>
          <w:tcPr>
            <w:tcW w:w="106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-15.8 %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21,034.3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19,654.1</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7.0 %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53.6</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14.1 %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14.7 %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196.5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79.1</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32.1 %</w:t>
            </w:r>
          </w:p>
        </w:tc>
        <w:tc>
          <w:tcPr>
            <w:tcW w:w="1060" w:type="dxa"/>
            <w:vAlign w:val="bottom"/>
          </w:tcPr>
          <w:p>
            <w:pPr>
              <w:jc w:val="right"/>
              <w:spacing w:after="0"/>
              <w:rPr>
                <w:sz w:val="20"/>
                <w:szCs w:val="20"/>
                <w:color w:val="auto"/>
              </w:rPr>
            </w:pPr>
            <w:r>
              <w:rPr>
                <w:rFonts w:ascii="Arial" w:cs="Arial" w:eastAsia="Arial" w:hAnsi="Arial"/>
                <w:sz w:val="16"/>
                <w:szCs w:val="16"/>
                <w:color w:val="auto"/>
              </w:rPr>
              <w:t>28.6 %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26.0 %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376.9</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17.2 %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14.2 %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88.5</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11.8 %</w:t>
            </w:r>
          </w:p>
        </w:tc>
        <w:tc>
          <w:tcPr>
            <w:tcW w:w="106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-19.4 %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879.6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750.8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701.3</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40" w:hanging="9"/>
        <w:spacing w:after="0" w:line="265"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$14.8 million and $15.1 million for the years ended December 31, 2017 and 2016, respectively. These fees are primarily based on revenues generated by the franchise offices, which were $651.9 million and $686.0 million for the years ended December 31, 2017 and 2016,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 31</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2016</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5,370.5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4,413.1</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121.3</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6,171.2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5,132.9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1,343.0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1,239.9</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294.4</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927.7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759.7</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2,294.0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633.4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567.0</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475.7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419.7</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147.3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8,883.6</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1,914.4</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208.1</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398.6</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794.7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649.2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3,658.8</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785.6</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737.5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683.4</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1,469.0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3,227.2</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2,291.3</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(2,731.7)</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2,361.9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84.5</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2,446.4</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8,883.6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7,574.2</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6"/>
                <w:szCs w:val="16"/>
                <w:b w:val="1"/>
                <w:bCs w:val="1"/>
                <w:color w:val="auto"/>
                <w:w w:val="90"/>
              </w:rPr>
              <w:t>Year Ended</w:t>
            </w:r>
          </w:p>
        </w:tc>
        <w:tc>
          <w:tcPr>
            <w:tcW w:w="820" w:type="dxa"/>
            <w:vAlign w:val="bottom"/>
          </w:tcPr>
          <w:p>
            <w:pPr>
              <w:spacing w:after="0"/>
              <w:rPr>
                <w:sz w:val="18"/>
                <w:szCs w:val="18"/>
                <w:color w:val="auto"/>
              </w:rPr>
            </w:pP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6"/>
                <w:szCs w:val="16"/>
                <w:b w:val="1"/>
                <w:bCs w:val="1"/>
                <w:color w:val="auto"/>
                <w:w w:val="90"/>
              </w:rPr>
              <w:t>December 31</w:t>
            </w:r>
          </w:p>
        </w:tc>
        <w:tc>
          <w:tcPr>
            <w:tcW w:w="82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80"/>
              <w:spacing w:after="0"/>
              <w:rPr>
                <w:sz w:val="20"/>
                <w:szCs w:val="20"/>
                <w:color w:val="auto"/>
              </w:rPr>
            </w:pPr>
            <w:r>
              <w:rPr>
                <w:rFonts w:ascii="Arial" w:cs="Arial" w:eastAsia="Arial" w:hAnsi="Arial"/>
                <w:sz w:val="16"/>
                <w:szCs w:val="16"/>
                <w:b w:val="1"/>
                <w:bCs w:val="1"/>
                <w:color w:val="auto"/>
                <w:w w:val="95"/>
              </w:rPr>
              <w:t>2016</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6"/>
                <w:szCs w:val="16"/>
                <w:color w:val="auto"/>
                <w:w w:val="93"/>
              </w:rPr>
              <w:t>(Unaudited)</w:t>
            </w:r>
          </w:p>
        </w:tc>
        <w:tc>
          <w:tcPr>
            <w:tcW w:w="82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545.4</w:t>
            </w:r>
          </w:p>
        </w:tc>
        <w:tc>
          <w:tcPr>
            <w:tcW w:w="12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443.7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85.3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534.6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342.8</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600.0</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the sale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of contingent consideration for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share-based award transactions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(482.2)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(597.6)</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r>
      <w:tr>
        <w:trPr>
          <w:trHeight w:val="235"/>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689.0</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598.5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2019-12-29T01:57:06Z</dcterms:created>
  <dcterms:modified xsi:type="dcterms:W3CDTF">2019-12-29T01:57:06Z</dcterms:modified>
</cp:coreProperties>
</file>