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217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BUCHBAND RICHARD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3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General Counsel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0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3,583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5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1,457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110.36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3,648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granted in 2019 (which were not derivative securities received under the Company's 2011 Equity Incentive Plan, exempt under Rule 16b-3).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the Issuer to satisfy the tax withholding obligations on shares acquired on February 10, 2022 in settlement of performance share units.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11, 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11, 2025 and will be settled in shares of ManpowerGroup common stock on a 1 for 1 basis.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Richard Buchband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02/14/2022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70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2022-02-14T16:55:39Z</dcterms:created>
  <dcterms:modified xsi:type="dcterms:W3CDTF">2022-02-14T16:55:39Z</dcterms:modified>
</cp:coreProperties>
</file>