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Report (Date of earliest event reported): January 31, 2023</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MANPOWERGROUP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436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w w:val="96"/>
              </w:rPr>
              <w:t>Wisconsin</w:t>
            </w:r>
          </w:p>
        </w:tc>
        <w:tc>
          <w:tcPr>
            <w:tcW w:w="3080" w:type="dxa"/>
            <w:vAlign w:val="bottom"/>
            <w:gridSpan w:val="3"/>
          </w:tcPr>
          <w:p>
            <w:pPr>
              <w:jc w:val="right"/>
              <w:ind w:right="1540"/>
              <w:spacing w:after="0"/>
              <w:rPr>
                <w:sz w:val="20"/>
                <w:szCs w:val="20"/>
                <w:color w:val="auto"/>
              </w:rPr>
            </w:pPr>
            <w:r>
              <w:rPr>
                <w:rFonts w:ascii="Times New Roman" w:cs="Times New Roman" w:eastAsia="Times New Roman" w:hAnsi="Times New Roman"/>
                <w:sz w:val="16"/>
                <w:szCs w:val="16"/>
                <w:b w:val="1"/>
                <w:bCs w:val="1"/>
                <w:color w:val="auto"/>
              </w:rPr>
              <w:t>1-10686</w:t>
            </w:r>
          </w:p>
        </w:tc>
        <w:tc>
          <w:tcPr>
            <w:tcW w:w="3820" w:type="dxa"/>
            <w:vAlign w:val="bottom"/>
            <w:gridSpan w:val="2"/>
          </w:tcPr>
          <w:p>
            <w:pPr>
              <w:jc w:val="right"/>
              <w:ind w:right="1341"/>
              <w:spacing w:after="0"/>
              <w:rPr>
                <w:sz w:val="20"/>
                <w:szCs w:val="20"/>
                <w:color w:val="auto"/>
              </w:rPr>
            </w:pPr>
            <w:r>
              <w:rPr>
                <w:rFonts w:ascii="Times New Roman" w:cs="Times New Roman" w:eastAsia="Times New Roman" w:hAnsi="Times New Roman"/>
                <w:sz w:val="16"/>
                <w:szCs w:val="16"/>
                <w:b w:val="1"/>
                <w:bCs w:val="1"/>
                <w:color w:val="auto"/>
              </w:rPr>
              <w:t>39-1672779</w:t>
            </w:r>
          </w:p>
        </w:tc>
      </w:tr>
      <w:tr>
        <w:trPr>
          <w:trHeight w:val="206"/>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(State or other jurisdiction of incorporation)</w:t>
            </w:r>
          </w:p>
        </w:tc>
        <w:tc>
          <w:tcPr>
            <w:tcW w:w="2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(Commission File Number)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(IRS Employer Identification No.)</w:t>
            </w:r>
          </w:p>
        </w:tc>
      </w:tr>
      <w:tr>
        <w:trPr>
          <w:trHeight w:val="336"/>
        </w:trPr>
        <w:tc>
          <w:tcPr>
            <w:tcW w:w="4360" w:type="dxa"/>
            <w:vAlign w:val="bottom"/>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7"/>
              </w:rPr>
              <w:t>100 Manpower Place</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8"/>
        </w:trPr>
        <w:tc>
          <w:tcPr>
            <w:tcW w:w="4360" w:type="dxa"/>
            <w:vAlign w:val="bottom"/>
            <w:tcBorders>
              <w:bottom w:val="single" w:sz="8" w:color="auto"/>
            </w:tcBorders>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8"/>
              </w:rPr>
              <w:t>Milwaukee, Wisconsin</w:t>
            </w:r>
          </w:p>
        </w:tc>
        <w:tc>
          <w:tcPr>
            <w:tcW w:w="104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2"/>
          </w:tcPr>
          <w:p>
            <w:pPr>
              <w:jc w:val="right"/>
              <w:ind w:right="2421"/>
              <w:spacing w:after="0"/>
              <w:rPr>
                <w:sz w:val="20"/>
                <w:szCs w:val="20"/>
                <w:color w:val="auto"/>
              </w:rPr>
            </w:pPr>
            <w:r>
              <w:rPr>
                <w:rFonts w:ascii="Times New Roman" w:cs="Times New Roman" w:eastAsia="Times New Roman" w:hAnsi="Times New Roman"/>
                <w:sz w:val="16"/>
                <w:szCs w:val="16"/>
                <w:b w:val="1"/>
                <w:bCs w:val="1"/>
                <w:color w:val="auto"/>
              </w:rPr>
              <w:t>53212</w:t>
            </w:r>
          </w:p>
        </w:tc>
      </w:tr>
      <w:tr>
        <w:trPr>
          <w:trHeight w:val="206"/>
        </w:trPr>
        <w:tc>
          <w:tcPr>
            <w:tcW w:w="4360" w:type="dxa"/>
            <w:vAlign w:val="bottom"/>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8"/>
              </w:rPr>
              <w:t>(Address of principal executive offices)</w:t>
            </w: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jc w:val="center"/>
              <w:ind w:right="1721"/>
              <w:spacing w:after="0"/>
              <w:rPr>
                <w:sz w:val="20"/>
                <w:szCs w:val="20"/>
                <w:color w:val="auto"/>
              </w:rPr>
            </w:pPr>
            <w:r>
              <w:rPr>
                <w:rFonts w:ascii="Times New Roman" w:cs="Times New Roman" w:eastAsia="Times New Roman" w:hAnsi="Times New Roman"/>
                <w:sz w:val="16"/>
                <w:szCs w:val="16"/>
                <w:b w:val="1"/>
                <w:bCs w:val="1"/>
                <w:color w:val="auto"/>
                <w:w w:val="96"/>
              </w:rPr>
              <w:t>(Zip Code)</w:t>
            </w:r>
          </w:p>
        </w:tc>
      </w:tr>
    </w:tbl>
    <w:p>
      <w:pPr>
        <w:spacing w:after="0" w:line="118"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6"/>
          <w:szCs w:val="16"/>
          <w:color w:val="auto"/>
        </w:rPr>
        <w:t>Registrant's telephone number, including area code: (414) 961-1000</w:t>
      </w:r>
    </w:p>
    <w:p>
      <w:pPr>
        <w:spacing w:after="0" w:line="135"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23"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23"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23"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94"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6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145"/>
        </w:trPr>
        <w:tc>
          <w:tcPr>
            <w:tcW w:w="3760" w:type="dxa"/>
            <w:vAlign w:val="bottom"/>
            <w:tcBorders>
              <w:bottom w:val="single" w:sz="8" w:color="auto"/>
            </w:tcBorders>
          </w:tcPr>
          <w:p>
            <w:pPr>
              <w:spacing w:after="0"/>
              <w:rPr>
                <w:sz w:val="12"/>
                <w:szCs w:val="12"/>
                <w:color w:val="auto"/>
              </w:rPr>
            </w:pPr>
          </w:p>
        </w:tc>
        <w:tc>
          <w:tcPr>
            <w:tcW w:w="3760" w:type="dxa"/>
            <w:vAlign w:val="bottom"/>
            <w:tcBorders>
              <w:bottom w:val="single" w:sz="8" w:color="auto"/>
            </w:tcBorders>
          </w:tcPr>
          <w:p>
            <w:pPr>
              <w:spacing w:after="0"/>
              <w:rPr>
                <w:sz w:val="12"/>
                <w:szCs w:val="12"/>
                <w:color w:val="auto"/>
              </w:rPr>
            </w:pPr>
          </w:p>
        </w:tc>
        <w:tc>
          <w:tcPr>
            <w:tcW w:w="3740" w:type="dxa"/>
            <w:vAlign w:val="bottom"/>
            <w:tcBorders>
              <w:bottom w:val="single" w:sz="8" w:color="auto"/>
            </w:tcBorders>
          </w:tcPr>
          <w:p>
            <w:pPr>
              <w:spacing w:after="0"/>
              <w:rPr>
                <w:sz w:val="12"/>
                <w:szCs w:val="12"/>
                <w:color w:val="auto"/>
              </w:rPr>
            </w:pPr>
          </w:p>
        </w:tc>
      </w:tr>
      <w:tr>
        <w:trPr>
          <w:trHeight w:val="205"/>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Title of each class</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Trading Symbol(s)</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Name of each exchange on which registered</w:t>
            </w:r>
          </w:p>
        </w:tc>
      </w:tr>
      <w:tr>
        <w:trPr>
          <w:trHeight w:val="188"/>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Common Stock, $.01 par value</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MAN</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New York Stock Exchange</w:t>
            </w:r>
          </w:p>
        </w:tc>
      </w:tr>
    </w:tbl>
    <w:p>
      <w:pPr>
        <w:spacing w:after="0" w:line="161" w:lineRule="exact"/>
        <w:rPr>
          <w:sz w:val="24"/>
          <w:szCs w:val="24"/>
          <w:color w:val="auto"/>
        </w:rPr>
      </w:pPr>
    </w:p>
    <w:p>
      <w:pPr>
        <w:ind w:right="24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59" w:lineRule="exact"/>
        <w:rPr>
          <w:sz w:val="24"/>
          <w:szCs w:val="24"/>
          <w:color w:val="auto"/>
        </w:rPr>
      </w:pPr>
    </w:p>
    <w:p>
      <w:pPr>
        <w:ind w:right="320"/>
        <w:spacing w:after="0" w:line="276"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389890</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81"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83"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6"/>
          <w:szCs w:val="16"/>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21"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6"/>
          <w:szCs w:val="16"/>
          <w:color w:val="auto"/>
        </w:rPr>
        <w:t>On January 31, 2023, we issued a press release announcing our results of operations for the three and twelve months ended December 31, 2022 and 2021. A copy of the press release is attached hereto as Exhibit 99.1 and is incorporated herein by reference.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9.01.</w:t>
            </w:r>
          </w:p>
        </w:tc>
        <w:tc>
          <w:tcPr>
            <w:tcW w:w="104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Exhibits</w:t>
            </w:r>
          </w:p>
        </w:tc>
      </w:tr>
      <w:tr>
        <w:trPr>
          <w:trHeight w:val="342"/>
        </w:trPr>
        <w:tc>
          <w:tcPr>
            <w:tcW w:w="2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57"/>
        </w:trPr>
        <w:tc>
          <w:tcPr>
            <w:tcW w:w="20" w:type="dxa"/>
            <w:vAlign w:val="bottom"/>
          </w:tcPr>
          <w:p>
            <w:pPr>
              <w:spacing w:after="0"/>
              <w:rPr>
                <w:sz w:val="13"/>
                <w:szCs w:val="13"/>
                <w:color w:val="auto"/>
              </w:rPr>
            </w:pPr>
          </w:p>
        </w:tc>
        <w:tc>
          <w:tcPr>
            <w:tcW w:w="78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99.1</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80" w:type="dxa"/>
            <w:vAlign w:val="bottom"/>
            <w:gridSpan w:val="3"/>
          </w:tcPr>
          <w:p>
            <w:pPr>
              <w:spacing w:after="0" w:line="158" w:lineRule="exact"/>
              <w:rPr>
                <w:sz w:val="20"/>
                <w:szCs w:val="20"/>
                <w:color w:val="auto"/>
              </w:rPr>
            </w:pPr>
            <w:r>
              <w:rPr>
                <w:rFonts w:ascii="Times New Roman" w:cs="Times New Roman" w:eastAsia="Times New Roman" w:hAnsi="Times New Roman"/>
                <w:sz w:val="16"/>
                <w:szCs w:val="16"/>
                <w:color w:val="0000FF"/>
              </w:rPr>
              <w:t>Press Release dated January 31, 2023</w:t>
            </w:r>
          </w:p>
        </w:tc>
      </w:tr>
      <w:tr>
        <w:trPr>
          <w:trHeight w:val="20"/>
        </w:trPr>
        <w:tc>
          <w:tcPr>
            <w:tcW w:w="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193"/>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99.2</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Presentation materials for January 31, 2023 Conference Call</w:t>
            </w:r>
          </w:p>
        </w:tc>
      </w:tr>
      <w:tr>
        <w:trPr>
          <w:trHeight w:val="20"/>
        </w:trPr>
        <w:tc>
          <w:tcPr>
            <w:tcW w:w="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20" w:type="dxa"/>
            <w:vAlign w:val="bottom"/>
            <w:tcBorders>
              <w:right w:val="single" w:sz="8" w:color="0000EE"/>
            </w:tcBorders>
            <w:gridSpan w:val="2"/>
            <w:shd w:val="clear" w:color="auto" w:fill="0000FF"/>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29"/>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1292"/>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10"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6" w:lineRule="exact"/>
        <w:rPr>
          <w:sz w:val="20"/>
          <w:szCs w:val="20"/>
          <w:color w:val="auto"/>
        </w:rPr>
      </w:pPr>
    </w:p>
    <w:p>
      <w:pPr>
        <w:ind w:right="40" w:firstLine="51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604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MANPOWERGROUP INC.</w:t>
            </w:r>
          </w:p>
        </w:tc>
      </w:tr>
      <w:tr>
        <w:trPr>
          <w:trHeight w:val="449"/>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8"/>
              </w:rPr>
              <w:t>Dated:January 31, 2023</w:t>
            </w: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By:</w:t>
            </w:r>
          </w:p>
        </w:tc>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John T. McGinnis</w:t>
            </w:r>
          </w:p>
        </w:tc>
      </w:tr>
      <w:tr>
        <w:trPr>
          <w:trHeight w:val="186"/>
        </w:trPr>
        <w:tc>
          <w:tcPr>
            <w:tcW w:w="720" w:type="dxa"/>
            <w:vAlign w:val="bottom"/>
          </w:tcPr>
          <w:p>
            <w:pPr>
              <w:spacing w:after="0"/>
              <w:rPr>
                <w:sz w:val="16"/>
                <w:szCs w:val="16"/>
                <w:color w:val="auto"/>
              </w:rPr>
            </w:pPr>
          </w:p>
        </w:tc>
        <w:tc>
          <w:tcPr>
            <w:tcW w:w="4500" w:type="dxa"/>
            <w:vAlign w:val="bottom"/>
            <w:tcBorders>
              <w:top w:val="single" w:sz="8" w:color="auto"/>
            </w:tcBorders>
          </w:tcPr>
          <w:p>
            <w:pPr>
              <w:spacing w:after="0"/>
              <w:rPr>
                <w:sz w:val="16"/>
                <w:szCs w:val="16"/>
                <w:color w:val="auto"/>
              </w:rPr>
            </w:pPr>
          </w:p>
        </w:tc>
        <w:tc>
          <w:tcPr>
            <w:tcW w:w="860" w:type="dxa"/>
            <w:vAlign w:val="bottom"/>
          </w:tcPr>
          <w:p>
            <w:pPr>
              <w:ind w:left="260"/>
              <w:spacing w:after="0" w:line="182" w:lineRule="exact"/>
              <w:rPr>
                <w:sz w:val="20"/>
                <w:szCs w:val="20"/>
                <w:color w:val="auto"/>
              </w:rPr>
            </w:pPr>
            <w:r>
              <w:rPr>
                <w:rFonts w:ascii="Times New Roman" w:cs="Times New Roman" w:eastAsia="Times New Roman" w:hAnsi="Times New Roman"/>
                <w:sz w:val="16"/>
                <w:szCs w:val="16"/>
                <w:color w:val="auto"/>
              </w:rPr>
              <w:t>Name:</w:t>
            </w:r>
          </w:p>
        </w:tc>
        <w:tc>
          <w:tcPr>
            <w:tcW w:w="100" w:type="dxa"/>
            <w:vAlign w:val="bottom"/>
            <w:tcBorders>
              <w:top w:val="single" w:sz="8" w:color="auto"/>
            </w:tcBorders>
          </w:tcPr>
          <w:p>
            <w:pPr>
              <w:spacing w:after="0"/>
              <w:rPr>
                <w:sz w:val="16"/>
                <w:szCs w:val="16"/>
                <w:color w:val="auto"/>
              </w:rPr>
            </w:pPr>
          </w:p>
        </w:tc>
        <w:tc>
          <w:tcPr>
            <w:tcW w:w="5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John T. McGinnis</w:t>
            </w:r>
          </w:p>
        </w:tc>
      </w:tr>
      <w:tr>
        <w:trPr>
          <w:trHeight w:val="203"/>
        </w:trPr>
        <w:tc>
          <w:tcPr>
            <w:tcW w:w="7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Title:</w:t>
            </w:r>
          </w:p>
        </w:tc>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Vice President and</w:t>
            </w:r>
          </w:p>
        </w:tc>
      </w:tr>
      <w:tr>
        <w:trPr>
          <w:trHeight w:val="206"/>
        </w:trPr>
        <w:tc>
          <w:tcPr>
            <w:tcW w:w="7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488"/>
        </w:trPr>
        <w:tc>
          <w:tcPr>
            <w:tcW w:w="72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10"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1344295" cy="720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4295" cy="720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
        <w:spacing w:after="0"/>
        <w:tabs>
          <w:tab w:leader="none" w:pos="6765" w:val="left"/>
        </w:tabs>
        <w:rPr>
          <w:sz w:val="20"/>
          <w:szCs w:val="20"/>
          <w:color w:val="auto"/>
        </w:rPr>
      </w:pPr>
      <w:r>
        <w:rPr>
          <w:rFonts w:ascii="Times New Roman" w:cs="Times New Roman" w:eastAsia="Times New Roman" w:hAnsi="Times New Roman"/>
          <w:sz w:val="16"/>
          <w:szCs w:val="16"/>
          <w:b w:val="1"/>
          <w:bCs w:val="1"/>
          <w:color w:val="auto"/>
        </w:rPr>
        <w:t>FOR IMMEDIATE RELEASE</w:t>
      </w:r>
      <w:r>
        <w:rPr>
          <w:sz w:val="20"/>
          <w:szCs w:val="20"/>
          <w:color w:val="auto"/>
        </w:rPr>
        <w:tab/>
      </w:r>
      <w:r>
        <w:rPr>
          <w:rFonts w:ascii="Times New Roman" w:cs="Times New Roman" w:eastAsia="Times New Roman" w:hAnsi="Times New Roman"/>
          <w:sz w:val="15"/>
          <w:szCs w:val="15"/>
          <w:b w:val="1"/>
          <w:bCs w:val="1"/>
          <w:color w:val="auto"/>
        </w:rPr>
        <w:t>Contact:</w:t>
      </w:r>
    </w:p>
    <w:p>
      <w:pPr>
        <w:spacing w:after="0" w:line="244" w:lineRule="exact"/>
        <w:rPr>
          <w:sz w:val="20"/>
          <w:szCs w:val="20"/>
          <w:color w:val="auto"/>
        </w:rPr>
      </w:pPr>
    </w:p>
    <w:p>
      <w:pPr>
        <w:ind w:left="6785"/>
        <w:spacing w:after="0"/>
        <w:rPr>
          <w:sz w:val="20"/>
          <w:szCs w:val="20"/>
          <w:color w:val="auto"/>
        </w:rPr>
      </w:pPr>
      <w:r>
        <w:rPr>
          <w:rFonts w:ascii="Times New Roman" w:cs="Times New Roman" w:eastAsia="Times New Roman" w:hAnsi="Times New Roman"/>
          <w:sz w:val="16"/>
          <w:szCs w:val="16"/>
          <w:color w:val="auto"/>
        </w:rPr>
        <w:t>Nick Hengst</w:t>
      </w:r>
    </w:p>
    <w:p>
      <w:pPr>
        <w:spacing w:after="0" w:line="29" w:lineRule="exact"/>
        <w:rPr>
          <w:sz w:val="20"/>
          <w:szCs w:val="20"/>
          <w:color w:val="auto"/>
        </w:rPr>
      </w:pPr>
    </w:p>
    <w:p>
      <w:pPr>
        <w:ind w:left="6785"/>
        <w:spacing w:after="0"/>
        <w:rPr>
          <w:sz w:val="20"/>
          <w:szCs w:val="20"/>
          <w:color w:val="auto"/>
        </w:rPr>
      </w:pPr>
      <w:r>
        <w:rPr>
          <w:rFonts w:ascii="Times New Roman" w:cs="Times New Roman" w:eastAsia="Times New Roman" w:hAnsi="Times New Roman"/>
          <w:sz w:val="16"/>
          <w:szCs w:val="16"/>
          <w:color w:val="auto"/>
        </w:rPr>
        <w:t>+1.414.906.7356</w:t>
      </w:r>
    </w:p>
    <w:p>
      <w:pPr>
        <w:spacing w:after="0" w:line="29" w:lineRule="exact"/>
        <w:rPr>
          <w:sz w:val="20"/>
          <w:szCs w:val="20"/>
          <w:color w:val="auto"/>
        </w:rPr>
      </w:pPr>
    </w:p>
    <w:p>
      <w:pPr>
        <w:ind w:left="6785"/>
        <w:spacing w:after="0"/>
        <w:rPr>
          <w:sz w:val="20"/>
          <w:szCs w:val="20"/>
          <w:color w:val="auto"/>
        </w:rPr>
      </w:pPr>
      <w:r>
        <w:rPr>
          <w:rFonts w:ascii="Times New Roman" w:cs="Times New Roman" w:eastAsia="Times New Roman" w:hAnsi="Times New Roman"/>
          <w:sz w:val="16"/>
          <w:szCs w:val="16"/>
          <w:color w:val="auto"/>
        </w:rPr>
        <w:t>nicholas.hengst@manpowergroup.com</w:t>
      </w:r>
    </w:p>
    <w:p>
      <w:pPr>
        <w:spacing w:after="0" w:line="200" w:lineRule="exact"/>
        <w:rPr>
          <w:sz w:val="20"/>
          <w:szCs w:val="20"/>
          <w:color w:val="auto"/>
        </w:rPr>
      </w:pPr>
    </w:p>
    <w:p>
      <w:pPr>
        <w:spacing w:after="0" w:line="248"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ManpowerGroup Reports 4</w:t>
      </w:r>
      <w:r>
        <w:rPr>
          <w:rFonts w:ascii="Arial" w:cs="Arial" w:eastAsia="Arial" w:hAnsi="Arial"/>
          <w:sz w:val="25"/>
          <w:szCs w:val="25"/>
          <w:b w:val="1"/>
          <w:bCs w:val="1"/>
          <w:color w:val="auto"/>
          <w:vertAlign w:val="superscript"/>
        </w:rPr>
        <w:t>th</w:t>
      </w:r>
      <w:r>
        <w:rPr>
          <w:rFonts w:ascii="Arial" w:cs="Arial" w:eastAsia="Arial" w:hAnsi="Arial"/>
          <w:sz w:val="19"/>
          <w:szCs w:val="19"/>
          <w:b w:val="1"/>
          <w:bCs w:val="1"/>
          <w:color w:val="auto"/>
        </w:rPr>
        <w:t xml:space="preserve"> Quarter 2022 Results</w:t>
      </w:r>
    </w:p>
    <w:p>
      <w:pPr>
        <w:spacing w:after="0" w:line="41" w:lineRule="exact"/>
        <w:rPr>
          <w:sz w:val="20"/>
          <w:szCs w:val="20"/>
          <w:color w:val="auto"/>
        </w:rPr>
      </w:pPr>
    </w:p>
    <w:p>
      <w:pPr>
        <w:ind w:left="1125" w:hanging="375"/>
        <w:spacing w:after="0"/>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Revenues of $4.8 billion (-11% as reported, -1% constant currency (CC))</w:t>
      </w:r>
    </w:p>
    <w:p>
      <w:pPr>
        <w:spacing w:after="0" w:line="83" w:lineRule="exact"/>
        <w:rPr>
          <w:rFonts w:ascii="Times New Roman" w:cs="Times New Roman" w:eastAsia="Times New Roman" w:hAnsi="Times New Roman"/>
          <w:sz w:val="17"/>
          <w:szCs w:val="17"/>
          <w:color w:val="auto"/>
        </w:rPr>
      </w:pPr>
    </w:p>
    <w:p>
      <w:pPr>
        <w:ind w:left="1125" w:right="20" w:hanging="375"/>
        <w:spacing w:after="0" w:line="272" w:lineRule="auto"/>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Gross profit margin of 18.2%, up 100 basis points year over year reflecting business mix progress and solid permanent recruitment trends</w:t>
      </w:r>
    </w:p>
    <w:p>
      <w:pPr>
        <w:spacing w:after="0" w:line="29" w:lineRule="exact"/>
        <w:rPr>
          <w:rFonts w:ascii="Times New Roman" w:cs="Times New Roman" w:eastAsia="Times New Roman" w:hAnsi="Times New Roman"/>
          <w:sz w:val="17"/>
          <w:szCs w:val="17"/>
          <w:color w:val="auto"/>
        </w:rPr>
      </w:pPr>
    </w:p>
    <w:p>
      <w:pPr>
        <w:ind w:left="1125" w:hanging="375"/>
        <w:spacing w:after="0"/>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Talent Solutions experienced good revenue growth driven by RPO and Right Management</w:t>
      </w:r>
    </w:p>
    <w:p>
      <w:pPr>
        <w:spacing w:after="0" w:line="99" w:lineRule="exact"/>
        <w:rPr>
          <w:rFonts w:ascii="Times New Roman" w:cs="Times New Roman" w:eastAsia="Times New Roman" w:hAnsi="Times New Roman"/>
          <w:sz w:val="17"/>
          <w:szCs w:val="17"/>
          <w:color w:val="auto"/>
        </w:rPr>
      </w:pPr>
    </w:p>
    <w:p>
      <w:pPr>
        <w:ind w:left="1125" w:hanging="375"/>
        <w:spacing w:after="0"/>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Experis and Manpower revenue trends impacted by softening environment in Europe and North America</w:t>
      </w:r>
    </w:p>
    <w:p>
      <w:pPr>
        <w:spacing w:after="0" w:line="99" w:lineRule="exact"/>
        <w:rPr>
          <w:rFonts w:ascii="Times New Roman" w:cs="Times New Roman" w:eastAsia="Times New Roman" w:hAnsi="Times New Roman"/>
          <w:sz w:val="17"/>
          <w:szCs w:val="17"/>
          <w:color w:val="auto"/>
        </w:rPr>
      </w:pPr>
    </w:p>
    <w:p>
      <w:pPr>
        <w:ind w:left="1125" w:hanging="375"/>
        <w:spacing w:after="0"/>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Non-cash goodwill impairment charge of $50 million in the fourth quarter</w:t>
      </w:r>
    </w:p>
    <w:p>
      <w:pPr>
        <w:spacing w:after="0" w:line="99" w:lineRule="exact"/>
        <w:rPr>
          <w:rFonts w:ascii="Times New Roman" w:cs="Times New Roman" w:eastAsia="Times New Roman" w:hAnsi="Times New Roman"/>
          <w:sz w:val="17"/>
          <w:szCs w:val="17"/>
          <w:color w:val="auto"/>
        </w:rPr>
      </w:pPr>
    </w:p>
    <w:p>
      <w:pPr>
        <w:ind w:left="1125" w:hanging="375"/>
        <w:spacing w:after="0"/>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Repurchased $25 million of common stock</w:t>
      </w:r>
    </w:p>
    <w:p>
      <w:pPr>
        <w:spacing w:after="0" w:line="192" w:lineRule="exact"/>
        <w:rPr>
          <w:sz w:val="20"/>
          <w:szCs w:val="20"/>
          <w:color w:val="auto"/>
        </w:rPr>
      </w:pPr>
    </w:p>
    <w:p>
      <w:pPr>
        <w:jc w:val="both"/>
        <w:ind w:left="5"/>
        <w:spacing w:after="0" w:line="239" w:lineRule="auto"/>
        <w:rPr>
          <w:sz w:val="20"/>
          <w:szCs w:val="20"/>
          <w:color w:val="auto"/>
        </w:rPr>
      </w:pPr>
      <w:r>
        <w:rPr>
          <w:rFonts w:ascii="Arial" w:cs="Arial" w:eastAsia="Arial" w:hAnsi="Arial"/>
          <w:sz w:val="17"/>
          <w:szCs w:val="17"/>
          <w:b w:val="1"/>
          <w:bCs w:val="1"/>
          <w:color w:val="auto"/>
        </w:rPr>
        <w:t xml:space="preserve">MILWAUKEE, January 31, 2023 -- </w:t>
      </w:r>
      <w:r>
        <w:rPr>
          <w:rFonts w:ascii="Arial" w:cs="Arial" w:eastAsia="Arial" w:hAnsi="Arial"/>
          <w:sz w:val="17"/>
          <w:szCs w:val="17"/>
          <w:color w:val="auto"/>
        </w:rPr>
        <w:t>ManpowerGroup (NYSE: MAN) today reported net earnings of $0.95 per diluted share for the three months</w:t>
      </w:r>
      <w:r>
        <w:rPr>
          <w:rFonts w:ascii="Arial" w:cs="Arial" w:eastAsia="Arial" w:hAnsi="Arial"/>
          <w:sz w:val="17"/>
          <w:szCs w:val="17"/>
          <w:b w:val="1"/>
          <w:bCs w:val="1"/>
          <w:color w:val="auto"/>
        </w:rPr>
        <w:t xml:space="preserve"> </w:t>
      </w:r>
      <w:r>
        <w:rPr>
          <w:rFonts w:ascii="Arial" w:cs="Arial" w:eastAsia="Arial" w:hAnsi="Arial"/>
          <w:sz w:val="17"/>
          <w:szCs w:val="17"/>
          <w:color w:val="auto"/>
        </w:rPr>
        <w:t>ended December 31, 2022 compared to $2.02 per diluted share in the prior year period. Net earnings in the quarter were $48.7 million compared to $111.1 million a year earlier. Revenues for the fourth quarter were $4.8 billion, an 11% decrease from the prior year period.</w:t>
      </w:r>
    </w:p>
    <w:p>
      <w:pPr>
        <w:spacing w:after="0" w:line="2" w:lineRule="exact"/>
        <w:rPr>
          <w:sz w:val="20"/>
          <w:szCs w:val="20"/>
          <w:color w:val="auto"/>
        </w:rPr>
      </w:pPr>
    </w:p>
    <w:p>
      <w:pPr>
        <w:jc w:val="both"/>
        <w:ind w:left="5" w:firstLine="772"/>
        <w:spacing w:after="0" w:line="216" w:lineRule="auto"/>
        <w:rPr>
          <w:sz w:val="20"/>
          <w:szCs w:val="20"/>
          <w:color w:val="auto"/>
        </w:rPr>
      </w:pPr>
      <w:r>
        <w:rPr>
          <w:rFonts w:ascii="Arial" w:cs="Arial" w:eastAsia="Arial" w:hAnsi="Arial"/>
          <w:sz w:val="17"/>
          <w:szCs w:val="17"/>
          <w:color w:val="auto"/>
        </w:rPr>
        <w:t>The current year quarter included restructuring costs, final integration costs from the U.S. Experis acquisition, and other special items consisting of a loss on sale of our Hungary business and non-cash goodwill impairment and pension settlement charges. These costs reduced earnings per share by $1.13 in the fourth quarter. Excluding these costs, earnings per share was $2.08 per diluted share in the quarter representing an increase of 8% in constant currency</w:t>
      </w:r>
      <w:r>
        <w:rPr>
          <w:rFonts w:ascii="Arial" w:cs="Arial" w:eastAsia="Arial" w:hAnsi="Arial"/>
          <w:sz w:val="23"/>
          <w:szCs w:val="23"/>
          <w:color w:val="auto"/>
          <w:vertAlign w:val="superscript"/>
        </w:rPr>
        <w:t>[1]</w:t>
      </w:r>
      <w:r>
        <w:rPr>
          <w:rFonts w:ascii="Arial" w:cs="Arial" w:eastAsia="Arial" w:hAnsi="Arial"/>
          <w:sz w:val="17"/>
          <w:szCs w:val="17"/>
          <w:color w:val="auto"/>
        </w:rPr>
        <w:t>.</w:t>
      </w:r>
    </w:p>
    <w:p>
      <w:pPr>
        <w:spacing w:after="0" w:line="3" w:lineRule="exact"/>
        <w:rPr>
          <w:sz w:val="20"/>
          <w:szCs w:val="20"/>
          <w:color w:val="auto"/>
        </w:rPr>
      </w:pPr>
    </w:p>
    <w:p>
      <w:pPr>
        <w:ind w:left="5" w:right="80" w:firstLine="578"/>
        <w:spacing w:after="0" w:line="220" w:lineRule="auto"/>
        <w:rPr>
          <w:sz w:val="20"/>
          <w:szCs w:val="20"/>
          <w:color w:val="auto"/>
        </w:rPr>
      </w:pPr>
      <w:r>
        <w:rPr>
          <w:rFonts w:ascii="Arial" w:cs="Arial" w:eastAsia="Arial" w:hAnsi="Arial"/>
          <w:sz w:val="17"/>
          <w:szCs w:val="17"/>
          <w:color w:val="auto"/>
        </w:rPr>
        <w:t>Financial results in the quarterwere also impacted by the strongerU.S. dollar relativeto foreign currencies comparedto the prior year period, resulting in a 30 cent negative impact to earnings per share in the quarter compared to the prior year</w:t>
      </w:r>
      <w:r>
        <w:rPr>
          <w:rFonts w:ascii="Arial" w:cs="Arial" w:eastAsia="Arial" w:hAnsi="Arial"/>
          <w:sz w:val="23"/>
          <w:szCs w:val="23"/>
          <w:color w:val="auto"/>
          <w:vertAlign w:val="superscript"/>
        </w:rPr>
        <w:t>[2]</w:t>
      </w:r>
      <w:r>
        <w:rPr>
          <w:rFonts w:ascii="Arial" w:cs="Arial" w:eastAsia="Arial" w:hAnsi="Arial"/>
          <w:sz w:val="17"/>
          <w:szCs w:val="17"/>
          <w:color w:val="auto"/>
        </w:rPr>
        <w:t>. On a constant currency basis, revenues decreased 1% compared to the prior year period.</w:t>
      </w:r>
    </w:p>
    <w:p>
      <w:pPr>
        <w:spacing w:after="0" w:line="168" w:lineRule="exact"/>
        <w:rPr>
          <w:sz w:val="20"/>
          <w:szCs w:val="20"/>
          <w:color w:val="auto"/>
        </w:rPr>
      </w:pPr>
    </w:p>
    <w:p>
      <w:pPr>
        <w:ind w:left="5" w:right="700" w:hanging="5"/>
        <w:spacing w:after="0" w:line="214" w:lineRule="auto"/>
        <w:tabs>
          <w:tab w:leader="none" w:pos="166"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The prior year period included acquisition transaction and integration costs which reduced earnings per share by $0.18 which are also excluded when determining the year over year trend.</w:t>
      </w:r>
    </w:p>
    <w:p>
      <w:pPr>
        <w:spacing w:after="0" w:line="1" w:lineRule="exact"/>
        <w:rPr>
          <w:rFonts w:ascii="Arial" w:cs="Arial" w:eastAsia="Arial" w:hAnsi="Arial"/>
          <w:sz w:val="21"/>
          <w:szCs w:val="21"/>
          <w:color w:val="auto"/>
          <w:vertAlign w:val="superscript"/>
        </w:rPr>
      </w:pPr>
    </w:p>
    <w:p>
      <w:pPr>
        <w:ind w:left="165" w:hanging="165"/>
        <w:spacing w:after="0" w:line="191" w:lineRule="auto"/>
        <w:tabs>
          <w:tab w:leader="none" w:pos="165"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This represented an eight cent lower impact from foreign currency than was anticipated in our fourth quarter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233680</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310" w:right="319" w:bottom="1440" w:gutter="0" w:footer="0" w:header="0"/>
        </w:sectPr>
      </w:pPr>
    </w:p>
    <w:bookmarkStart w:id="4" w:name="page5"/>
    <w:bookmarkEnd w:id="4"/>
    <w:p>
      <w:pPr>
        <w:jc w:val="both"/>
        <w:ind w:left="5" w:firstLine="351"/>
        <w:spacing w:after="0" w:line="238" w:lineRule="auto"/>
        <w:rPr>
          <w:sz w:val="20"/>
          <w:szCs w:val="20"/>
          <w:color w:val="auto"/>
        </w:rPr>
      </w:pPr>
      <w:r>
        <w:rPr>
          <w:rFonts w:ascii="Arial" w:cs="Arial" w:eastAsia="Arial" w:hAnsi="Arial"/>
          <w:sz w:val="17"/>
          <w:szCs w:val="17"/>
          <w:color w:val="auto"/>
        </w:rPr>
        <w:t>Jonas Prising, ManpowerGroup Chairman &amp; CEO, said, “Our fourth quarter results reflect a softening demand environment, particularly in Europe and North America. We continue to invest resources into markets and brands where demand is strong and are exercising financial discipline where demand is slower.</w:t>
      </w:r>
    </w:p>
    <w:p>
      <w:pPr>
        <w:spacing w:after="0" w:line="2" w:lineRule="exact"/>
        <w:rPr>
          <w:sz w:val="20"/>
          <w:szCs w:val="20"/>
          <w:color w:val="auto"/>
        </w:rPr>
      </w:pPr>
    </w:p>
    <w:p>
      <w:pPr>
        <w:jc w:val="both"/>
        <w:ind w:left="5" w:right="20" w:firstLine="329"/>
        <w:spacing w:after="0" w:line="232" w:lineRule="auto"/>
        <w:rPr>
          <w:sz w:val="20"/>
          <w:szCs w:val="20"/>
          <w:color w:val="auto"/>
        </w:rPr>
      </w:pPr>
      <w:r>
        <w:rPr>
          <w:rFonts w:ascii="Arial" w:cs="Arial" w:eastAsia="Arial" w:hAnsi="Arial"/>
          <w:sz w:val="17"/>
          <w:szCs w:val="17"/>
          <w:color w:val="auto"/>
        </w:rPr>
        <w:t>We remain focused on continuing to accelerate our strategic priorities and advancing our Diversification, Digitization and Innovation initiatives across our organization throughout 2023. I want to thank all of our talented teams for their continued energy, passion and resilience – helping our clients achieve their business outcomes while finding meaningful and fulfilling work for millions of people.</w:t>
      </w:r>
    </w:p>
    <w:p>
      <w:pPr>
        <w:spacing w:after="0" w:line="1" w:lineRule="exact"/>
        <w:rPr>
          <w:sz w:val="20"/>
          <w:szCs w:val="20"/>
          <w:color w:val="auto"/>
        </w:rPr>
      </w:pPr>
    </w:p>
    <w:p>
      <w:pPr>
        <w:jc w:val="both"/>
        <w:ind w:left="5"/>
        <w:spacing w:after="0" w:line="232" w:lineRule="auto"/>
        <w:rPr>
          <w:sz w:val="20"/>
          <w:szCs w:val="20"/>
          <w:color w:val="auto"/>
        </w:rPr>
      </w:pPr>
      <w:r>
        <w:rPr>
          <w:rFonts w:ascii="Arial" w:cs="Arial" w:eastAsia="Arial" w:hAnsi="Arial"/>
          <w:sz w:val="17"/>
          <w:szCs w:val="17"/>
          <w:color w:val="auto"/>
        </w:rPr>
        <w:t>We anticipate diluted earnings per share in the first quarter will be between $1.61 and $1.71, which includes an estimated unfavorable currency impact of 15 cents.”</w:t>
      </w:r>
    </w:p>
    <w:p>
      <w:pPr>
        <w:spacing w:after="0" w:line="1" w:lineRule="exact"/>
        <w:rPr>
          <w:sz w:val="20"/>
          <w:szCs w:val="20"/>
          <w:color w:val="auto"/>
        </w:rPr>
      </w:pPr>
    </w:p>
    <w:p>
      <w:pPr>
        <w:jc w:val="both"/>
        <w:ind w:left="5" w:firstLine="774"/>
        <w:spacing w:after="0" w:line="223" w:lineRule="auto"/>
        <w:rPr>
          <w:sz w:val="20"/>
          <w:szCs w:val="20"/>
          <w:color w:val="auto"/>
        </w:rPr>
      </w:pPr>
      <w:r>
        <w:rPr>
          <w:rFonts w:ascii="Arial" w:cs="Arial" w:eastAsia="Arial" w:hAnsi="Arial"/>
          <w:sz w:val="17"/>
          <w:szCs w:val="17"/>
          <w:color w:val="auto"/>
        </w:rPr>
        <w:t>Net earnings for the year ended December 31, 2022 were $373.8 million, or net earnings of $7.08 per diluted share compared to net earnings of $382.4 million, or net earnings of $6.91 per diluted share in the prior year. Earnings per share for the year were negatively impacted by 88 cents due to changes in foreign currencies compared to the prior year. The full year period included integration costs from the U.S. Experis acquisition, restructuring costs, and special items related to losses on business exits and non-cash goodwill impairment and pension settlement charges, which reduced earnings per share by $1.44. Excluding these costs, earnings per share for the year was $8.52 per diluted share representing an increase of 31% in constant currency</w:t>
      </w:r>
      <w:r>
        <w:rPr>
          <w:rFonts w:ascii="Arial" w:cs="Arial" w:eastAsia="Arial" w:hAnsi="Arial"/>
          <w:sz w:val="23"/>
          <w:szCs w:val="23"/>
          <w:color w:val="auto"/>
          <w:vertAlign w:val="superscript"/>
        </w:rPr>
        <w:t>[1]</w:t>
      </w:r>
      <w:r>
        <w:rPr>
          <w:rFonts w:ascii="Arial" w:cs="Arial" w:eastAsia="Arial" w:hAnsi="Arial"/>
          <w:sz w:val="17"/>
          <w:szCs w:val="17"/>
          <w:color w:val="auto"/>
        </w:rPr>
        <w:t>. Revenues for the year were $19.8 billion, a decrease of 4% compared to the prior year or an increase of 5% in constant currency.</w:t>
      </w:r>
    </w:p>
    <w:p>
      <w:pPr>
        <w:spacing w:after="0" w:line="1" w:lineRule="exact"/>
        <w:rPr>
          <w:sz w:val="20"/>
          <w:szCs w:val="20"/>
          <w:color w:val="auto"/>
        </w:rPr>
      </w:pPr>
    </w:p>
    <w:p>
      <w:pPr>
        <w:jc w:val="both"/>
        <w:ind w:left="5" w:firstLine="569"/>
        <w:spacing w:after="0" w:line="232" w:lineRule="auto"/>
        <w:rPr>
          <w:sz w:val="20"/>
          <w:szCs w:val="20"/>
          <w:color w:val="auto"/>
        </w:rPr>
      </w:pPr>
      <w:r>
        <w:rPr>
          <w:rFonts w:ascii="Arial" w:cs="Arial" w:eastAsia="Arial" w:hAnsi="Arial"/>
          <w:sz w:val="17"/>
          <w:szCs w:val="17"/>
          <w:color w:val="auto"/>
        </w:rPr>
        <w:t>In conjunction with its fourth quarter earnings release, ManpowerGroup will host a conference call live online on January 31, 2023 at 7:30 a.m. central time (8:30 a.m. eastern time). Prepared remarks for the conference call, webcast details, presentation and recordings are included within the Investor Relations section of manpowergroup.com.</w:t>
      </w:r>
    </w:p>
    <w:p>
      <w:pPr>
        <w:spacing w:after="0" w:line="1" w:lineRule="exact"/>
        <w:rPr>
          <w:sz w:val="20"/>
          <w:szCs w:val="20"/>
          <w:color w:val="auto"/>
        </w:rPr>
      </w:pPr>
    </w:p>
    <w:p>
      <w:pPr>
        <w:ind w:left="185"/>
        <w:spacing w:after="0"/>
        <w:rPr>
          <w:sz w:val="20"/>
          <w:szCs w:val="20"/>
          <w:color w:val="auto"/>
        </w:rPr>
      </w:pPr>
      <w:r>
        <w:rPr>
          <w:rFonts w:ascii="Arial" w:cs="Arial" w:eastAsia="Arial" w:hAnsi="Arial"/>
          <w:sz w:val="17"/>
          <w:szCs w:val="17"/>
          <w:color w:val="auto"/>
        </w:rPr>
        <w:t xml:space="preserve">Supplemental financial information referenced in the conference call can be found at </w:t>
      </w:r>
      <w:r>
        <w:rPr>
          <w:rFonts w:ascii="Arial" w:cs="Arial" w:eastAsia="Arial" w:hAnsi="Arial"/>
          <w:sz w:val="17"/>
          <w:szCs w:val="17"/>
          <w:color w:val="0000FF"/>
        </w:rPr>
        <w:t>http://investor.manpowergroup.com/</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 w:right="700" w:hanging="5"/>
        <w:spacing w:after="0" w:line="216" w:lineRule="auto"/>
        <w:tabs>
          <w:tab w:leader="none" w:pos="166"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The prior year period included acquisition transaction and integration costs which reduced earnings per share by $0.33 which are also excluded when determining the year over year trend.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909955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310" w:right="31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About ManpowerGroup</w:t>
      </w:r>
    </w:p>
    <w:p>
      <w:pPr>
        <w:spacing w:after="0" w:line="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75 countries and territories and has done so for over 70 years. We are recognized consistently for our diversity - as a best place to work for Women, Inclusion, Equality and Disability and in 2022 ManpowerGroup was named one of the World's Most Ethical Companies for the 13th year - all confirming our position as the brand of choice for in-demand talent.</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9"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This press release contains statements, including statements regarding economic uncertainty, financial outlook, labor demand, supply-chain disruptions brought on by the Russia/Ukraine war and other geopolitical uncertainty, the Company’s strategic initiatives and technology investments, the positioning for future growth of our brands and the Company’s efforts to deliver on its ESG strategy, that are forward-looking in nature and, accordingly, are subject to risks and uncertainties regarding the Company’s expected future results. The Company’s actual results may differ materially from those described or contemplated in the forward-looking statements due to numerous factors. These factors include those found in the Company’s reports filed with the SEC, including the information under the heading “Risk Factors” in its Annual Report on Form 10-K for the year ended December 31, 2021, as well as the Company’s Quarterly Report on Form 10-Q for the quarter ended March 31, 2022, which information is incorporated herein by reference.</w:t>
      </w:r>
    </w:p>
    <w:p>
      <w:pPr>
        <w:spacing w:after="0" w:line="14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 assumes no obligation to update or revise any forward-looking statements. We reference certain non-GAAP financial measures, which we believe provide useful information for investors. We include a reconciliation of these measures, where appropriate, to GAAP on the Investor Relations section of our website at manpowergroup.com</w:t>
      </w:r>
      <w:r>
        <w:rPr>
          <w:rFonts w:ascii="Arial" w:cs="Arial" w:eastAsia="Arial" w:hAnsi="Arial"/>
          <w:sz w:val="17"/>
          <w:szCs w:val="17"/>
          <w:color w:val="auto"/>
        </w:rPr>
        <w:t>.</w:t>
      </w:r>
    </w:p>
    <w:p>
      <w:pPr>
        <w:spacing w:after="0" w:line="288"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247650</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6" w:name="page7"/>
    <w:bookmarkEnd w:id="6"/>
    <w:p>
      <w:pPr>
        <w:jc w:val="center"/>
        <w:ind w:right="35"/>
        <w:spacing w:after="0"/>
        <w:rPr>
          <w:sz w:val="20"/>
          <w:szCs w:val="20"/>
          <w:color w:val="auto"/>
        </w:rPr>
      </w:pPr>
      <w:r>
        <w:rPr>
          <w:rFonts w:ascii="Times New Roman" w:cs="Times New Roman" w:eastAsia="Times New Roman" w:hAnsi="Times New Roman"/>
          <w:sz w:val="16"/>
          <w:szCs w:val="16"/>
          <w:color w:val="auto"/>
        </w:rPr>
        <w:t>ManpowerGroup</w:t>
      </w:r>
    </w:p>
    <w:p>
      <w:pPr>
        <w:spacing w:after="0" w:line="22"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6"/>
          <w:szCs w:val="16"/>
          <w:color w:val="auto"/>
        </w:rPr>
        <w:t>Results of Operations</w:t>
      </w:r>
    </w:p>
    <w:p>
      <w:pPr>
        <w:spacing w:after="0" w:line="5"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6"/>
          <w:szCs w:val="16"/>
          <w:color w:val="auto"/>
        </w:rPr>
        <w:t>(In millions, except per share data)</w:t>
      </w:r>
    </w:p>
    <w:p>
      <w:pPr>
        <w:spacing w:after="0" w:line="187" w:lineRule="exact"/>
        <w:rPr>
          <w:sz w:val="20"/>
          <w:szCs w:val="20"/>
          <w:color w:val="auto"/>
        </w:rPr>
      </w:pPr>
    </w:p>
    <w:tbl>
      <w:tblPr>
        <w:tblLayout w:type="fixed"/>
        <w:tblInd w:w="5" w:type="dxa"/>
        <w:tblCellMar>
          <w:top w:w="0" w:type="dxa"/>
          <w:left w:w="0" w:type="dxa"/>
          <w:bottom w:w="0" w:type="dxa"/>
          <w:right w:w="0" w:type="dxa"/>
        </w:tblCellMar>
      </w:tblPr>
      <w:tr>
        <w:trPr>
          <w:trHeight w:val="214"/>
        </w:trPr>
        <w:tc>
          <w:tcPr>
            <w:tcW w:w="5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7"/>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w w:val="97"/>
              </w:rPr>
              <w:t>Three Months Ended December 31</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8"/>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0"/>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4"/>
        </w:trPr>
        <w:tc>
          <w:tcPr>
            <w:tcW w:w="5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gridSpan w:val="2"/>
          </w:tcPr>
          <w:p>
            <w:pPr>
              <w:spacing w:after="0"/>
              <w:rPr>
                <w:sz w:val="18"/>
                <w:szCs w:val="18"/>
                <w:color w:val="auto"/>
              </w:rPr>
            </w:pPr>
          </w:p>
        </w:tc>
      </w:tr>
      <w:tr>
        <w:trPr>
          <w:trHeight w:val="204"/>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4"/>
          </w:tcPr>
          <w:p>
            <w:pPr>
              <w:jc w:val="center"/>
              <w:ind w:left="761"/>
              <w:spacing w:after="0"/>
              <w:rPr>
                <w:sz w:val="20"/>
                <w:szCs w:val="20"/>
                <w:color w:val="auto"/>
              </w:rPr>
            </w:pPr>
            <w:r>
              <w:rPr>
                <w:rFonts w:ascii="Times New Roman" w:cs="Times New Roman" w:eastAsia="Times New Roman" w:hAnsi="Times New Roman"/>
                <w:sz w:val="16"/>
                <w:szCs w:val="16"/>
                <w:color w:val="auto"/>
                <w:w w:val="98"/>
              </w:rPr>
              <w:t>(Unaudited)</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Revenues from services (a)</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4,809.2</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-10.6 %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-0.9 %</w:t>
            </w:r>
          </w:p>
        </w:tc>
      </w:tr>
      <w:tr>
        <w:trPr>
          <w:trHeight w:val="224"/>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Cost of services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-11.7 %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19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-5.5 %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3.7 %</w:t>
            </w: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2"/>
        </w:trPr>
        <w:tc>
          <w:tcPr>
            <w:tcW w:w="5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excluding goodwill impairment charge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-4.6 %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3.7 %</w:t>
            </w:r>
          </w:p>
        </w:tc>
      </w:tr>
      <w:tr>
        <w:trPr>
          <w:trHeight w:val="218"/>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 impairment charge (b)</w:t>
            </w: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FF0FC"/>
            </w:tcBorders>
            <w:gridSpan w:val="3"/>
            <w:shd w:val="clear" w:color="auto" w:fill="CFF0FC"/>
          </w:tcPr>
          <w:p>
            <w:pPr>
              <w:spacing w:after="0"/>
              <w:rPr>
                <w:sz w:val="18"/>
                <w:szCs w:val="18"/>
                <w:color w:val="auto"/>
              </w:rPr>
            </w:pPr>
          </w:p>
        </w:tc>
        <w:tc>
          <w:tcPr>
            <w:tcW w:w="1500" w:type="dxa"/>
            <w:vAlign w:val="bottom"/>
            <w:tcBorders>
              <w:bottom w:val="single" w:sz="8" w:color="CFF0FC"/>
            </w:tcBorders>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6"/>
                <w:szCs w:val="16"/>
                <w:color w:val="auto"/>
              </w:rPr>
              <w:t>N/A</w:t>
            </w:r>
          </w:p>
        </w:tc>
        <w:tc>
          <w:tcPr>
            <w:tcW w:w="1100" w:type="dxa"/>
            <w:vAlign w:val="bottom"/>
            <w:tcBorders>
              <w:bottom w:val="single" w:sz="8" w:color="CFF0FC"/>
            </w:tcBorders>
            <w:gridSpan w:val="2"/>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N/A</w:t>
            </w:r>
          </w:p>
        </w:tc>
        <w:tc>
          <w:tcPr>
            <w:tcW w:w="40" w:type="dxa"/>
            <w:vAlign w:val="bottom"/>
          </w:tcPr>
          <w:p>
            <w:pPr>
              <w:spacing w:after="0"/>
              <w:rPr>
                <w:sz w:val="18"/>
                <w:szCs w:val="18"/>
                <w:color w:val="auto"/>
              </w:rPr>
            </w:pPr>
          </w:p>
        </w:tc>
      </w:tr>
      <w:tr>
        <w:trPr>
          <w:trHeight w:val="205"/>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2.0 %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10.7 %</w:t>
            </w:r>
          </w:p>
        </w:tc>
      </w:tr>
      <w:tr>
        <w:trPr>
          <w:trHeight w:val="19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Operating profit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-39.5 %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-28.0 %</w:t>
            </w:r>
          </w:p>
        </w:tc>
      </w:tr>
      <w:tr>
        <w:trPr>
          <w:trHeight w:val="219"/>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other expenses, net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153.5 %</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-44.4 %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-33.1 %</w:t>
            </w:r>
          </w:p>
        </w:tc>
      </w:tr>
      <w:tr>
        <w:trPr>
          <w:trHeight w:val="219"/>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-19.0 %</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5"/>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280" w:type="dxa"/>
            <w:vAlign w:val="bottom"/>
            <w:gridSpan w:val="2"/>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-56.2 %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-47.3 %</w:t>
            </w:r>
          </w:p>
        </w:tc>
      </w:tr>
      <w:tr>
        <w:trPr>
          <w:trHeight w:val="20"/>
        </w:trPr>
        <w:tc>
          <w:tcPr>
            <w:tcW w:w="5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Net earnings per share - basic</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280" w:type="dxa"/>
            <w:vAlign w:val="bottom"/>
            <w:gridSpan w:val="2"/>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-53.2 %</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Net earnings per share - diluted</w:t>
            </w: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0.95</w:t>
            </w:r>
          </w:p>
        </w:tc>
        <w:tc>
          <w:tcPr>
            <w:tcW w:w="280" w:type="dxa"/>
            <w:vAlign w:val="bottom"/>
            <w:gridSpan w:val="2"/>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-53.1 %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-43.6 %</w:t>
            </w:r>
          </w:p>
        </w:tc>
      </w:tr>
      <w:tr>
        <w:trPr>
          <w:trHeight w:val="20"/>
        </w:trPr>
        <w:tc>
          <w:tcPr>
            <w:tcW w:w="5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 basic</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-6.3 %</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8"/>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shares - diluted</w:t>
            </w: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-6.5 %</w:t>
            </w:r>
          </w:p>
        </w:tc>
        <w:tc>
          <w:tcPr>
            <w:tcW w:w="9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-2297430</wp:posOffset>
            </wp:positionV>
            <wp:extent cx="7149465" cy="135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-2019300</wp:posOffset>
            </wp:positionV>
            <wp:extent cx="7149465" cy="135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-1493520</wp:posOffset>
            </wp:positionV>
            <wp:extent cx="7149465" cy="2851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85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-1065530</wp:posOffset>
            </wp:positionV>
            <wp:extent cx="7149465" cy="135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-788035</wp:posOffset>
            </wp:positionV>
            <wp:extent cx="7149465" cy="6305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630555"/>
                    </a:xfrm>
                    <a:prstGeom prst="rect">
                      <a:avLst/>
                    </a:prstGeom>
                    <a:noFill/>
                  </pic:spPr>
                </pic:pic>
              </a:graphicData>
            </a:graphic>
          </wp:anchor>
        </w:drawing>
        <w:drawing>
          <wp:anchor simplePos="0" relativeHeight="251657728" behindDoc="1" locked="0" layoutInCell="0" allowOverlap="1">
            <wp:simplePos x="0" y="0"/>
            <wp:positionH relativeFrom="column">
              <wp:posOffset>4220210</wp:posOffset>
            </wp:positionH>
            <wp:positionV relativeFrom="paragraph">
              <wp:posOffset>-21590</wp:posOffset>
            </wp:positionV>
            <wp:extent cx="7493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4220210</wp:posOffset>
            </wp:positionH>
            <wp:positionV relativeFrom="paragraph">
              <wp:posOffset>-6985</wp:posOffset>
            </wp:positionV>
            <wp:extent cx="7493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-21590</wp:posOffset>
            </wp:positionV>
            <wp:extent cx="6731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-6985</wp:posOffset>
            </wp:positionV>
            <wp:extent cx="6731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jc w:val="both"/>
        <w:ind w:left="505" w:right="60" w:hanging="505"/>
        <w:spacing w:after="0" w:line="247" w:lineRule="auto"/>
        <w:tabs>
          <w:tab w:leader="none" w:pos="505"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from services include fees received from our franchise offices of $3.8 million and $4.3 million for the three months ended December 31, 2022 and 2021, respectively. These fees are primarily based on revenues generated by the franchise offices, which were $253.6 million and $361.0 million for the three months ended December 31, 2022 and 2021, respectively.</w:t>
      </w:r>
    </w:p>
    <w:p>
      <w:pPr>
        <w:ind w:left="505" w:hanging="505"/>
        <w:spacing w:after="0"/>
        <w:tabs>
          <w:tab w:leader="none" w:pos="505"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goodwill impairment charge for the three months ended December 31, 2022 relates to our investment in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485775</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305"/>
          </w:cols>
          <w:pgMar w:left="315" w:top="312" w:right="279" w:bottom="1440" w:gutter="0" w:footer="0" w:header="0"/>
        </w:sectPr>
      </w:pPr>
    </w:p>
    <w:bookmarkStart w:id="7" w:name="page8"/>
    <w:bookmarkEnd w:id="7"/>
    <w:p>
      <w:pPr>
        <w:ind w:left="5086"/>
        <w:spacing w:after="0"/>
        <w:rPr>
          <w:sz w:val="20"/>
          <w:szCs w:val="20"/>
          <w:color w:val="auto"/>
        </w:rPr>
      </w:pPr>
      <w:r>
        <w:rPr>
          <w:rFonts w:ascii="Times New Roman" w:cs="Times New Roman" w:eastAsia="Times New Roman" w:hAnsi="Times New Roman"/>
          <w:sz w:val="16"/>
          <w:szCs w:val="16"/>
          <w:color w:val="auto"/>
        </w:rPr>
        <w:t>ManpowerGroup</w:t>
      </w:r>
    </w:p>
    <w:p>
      <w:pPr>
        <w:spacing w:after="0" w:line="41" w:lineRule="exact"/>
        <w:rPr>
          <w:sz w:val="20"/>
          <w:szCs w:val="20"/>
          <w:color w:val="auto"/>
        </w:rPr>
      </w:pPr>
    </w:p>
    <w:p>
      <w:pPr>
        <w:ind w:left="4906"/>
        <w:spacing w:after="0"/>
        <w:rPr>
          <w:sz w:val="20"/>
          <w:szCs w:val="20"/>
          <w:color w:val="auto"/>
        </w:rPr>
      </w:pPr>
      <w:r>
        <w:rPr>
          <w:rFonts w:ascii="Times New Roman" w:cs="Times New Roman" w:eastAsia="Times New Roman" w:hAnsi="Times New Roman"/>
          <w:sz w:val="16"/>
          <w:szCs w:val="16"/>
          <w:color w:val="auto"/>
        </w:rPr>
        <w:t>Operating Unit Results</w:t>
      </w:r>
    </w:p>
    <w:p>
      <w:pPr>
        <w:spacing w:after="0" w:line="29" w:lineRule="exact"/>
        <w:rPr>
          <w:sz w:val="20"/>
          <w:szCs w:val="20"/>
          <w:color w:val="auto"/>
        </w:rPr>
      </w:pPr>
    </w:p>
    <w:p>
      <w:pPr>
        <w:jc w:val="center"/>
        <w:ind w:right="34"/>
        <w:spacing w:after="0"/>
        <w:rPr>
          <w:sz w:val="20"/>
          <w:szCs w:val="20"/>
          <w:color w:val="auto"/>
        </w:rPr>
      </w:pPr>
      <w:r>
        <w:rPr>
          <w:rFonts w:ascii="Times New Roman" w:cs="Times New Roman" w:eastAsia="Times New Roman" w:hAnsi="Times New Roman"/>
          <w:sz w:val="16"/>
          <w:szCs w:val="16"/>
          <w:color w:val="auto"/>
        </w:rPr>
        <w:t>(In millions)</w:t>
      </w:r>
    </w:p>
    <w:p>
      <w:pPr>
        <w:spacing w:after="0" w:line="192" w:lineRule="exact"/>
        <w:rPr>
          <w:sz w:val="20"/>
          <w:szCs w:val="20"/>
          <w:color w:val="auto"/>
        </w:rPr>
      </w:pPr>
    </w:p>
    <w:tbl>
      <w:tblPr>
        <w:tblLayout w:type="fixed"/>
        <w:tblInd w:w="6" w:type="dxa"/>
        <w:tblCellMar>
          <w:top w:w="0" w:type="dxa"/>
          <w:left w:w="0" w:type="dxa"/>
          <w:bottom w:w="0" w:type="dxa"/>
          <w:right w:w="0" w:type="dxa"/>
        </w:tblCellMar>
      </w:tblPr>
      <w:tr>
        <w:trPr>
          <w:trHeight w:val="214"/>
        </w:trPr>
        <w:tc>
          <w:tcPr>
            <w:tcW w:w="5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7"/>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w w:val="97"/>
              </w:rPr>
              <w:t>Three Months Ended December 31</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8"/>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0"/>
        </w:trPr>
        <w:tc>
          <w:tcPr>
            <w:tcW w:w="5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center"/>
              <w:ind w:right="8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4"/>
        </w:trPr>
        <w:tc>
          <w:tcPr>
            <w:tcW w:w="5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gridSpan w:val="2"/>
          </w:tcPr>
          <w:p>
            <w:pPr>
              <w:spacing w:after="0"/>
              <w:rPr>
                <w:sz w:val="18"/>
                <w:szCs w:val="18"/>
                <w:color w:val="auto"/>
              </w:rPr>
            </w:pPr>
          </w:p>
        </w:tc>
      </w:tr>
      <w:tr>
        <w:trPr>
          <w:trHeight w:val="207"/>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4"/>
          </w:tcPr>
          <w:p>
            <w:pPr>
              <w:jc w:val="center"/>
              <w:ind w:left="721"/>
              <w:spacing w:after="0"/>
              <w:rPr>
                <w:sz w:val="20"/>
                <w:szCs w:val="20"/>
                <w:color w:val="auto"/>
              </w:rPr>
            </w:pPr>
            <w:r>
              <w:rPr>
                <w:rFonts w:ascii="Times New Roman" w:cs="Times New Roman" w:eastAsia="Times New Roman" w:hAnsi="Times New Roman"/>
                <w:sz w:val="16"/>
                <w:szCs w:val="16"/>
                <w:color w:val="auto"/>
                <w:w w:val="98"/>
              </w:rPr>
              <w:t>(Unaudited)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 from Services: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06"/>
        </w:trPr>
        <w:tc>
          <w:tcPr>
            <w:tcW w:w="5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Americas: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8"/>
        </w:trPr>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United States (a)</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819.4</w:t>
            </w: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-4.8 %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-4.8 %</w:t>
            </w:r>
          </w:p>
        </w:tc>
      </w:tr>
      <w:tr>
        <w:trPr>
          <w:trHeight w:val="224"/>
        </w:trPr>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Americas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1.3 %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13.0 %</w:t>
            </w:r>
          </w:p>
        </w:tc>
      </w:tr>
      <w:tr>
        <w:trPr>
          <w:trHeight w:val="205"/>
        </w:trPr>
        <w:tc>
          <w:tcPr>
            <w:tcW w:w="53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-3.0 %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0.4 %</w:t>
            </w:r>
          </w:p>
        </w:tc>
      </w:tr>
      <w:tr>
        <w:trPr>
          <w:trHeight w:val="194"/>
        </w:trPr>
        <w:tc>
          <w:tcPr>
            <w:tcW w:w="5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Southern Europe:</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3"/>
        </w:trPr>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France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-9.4 %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13"/>
        </w:trPr>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Italy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-11.7 %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24"/>
        </w:trPr>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Southern Europe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-17.2 %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-8.7 %</w:t>
            </w:r>
          </w:p>
        </w:tc>
      </w:tr>
      <w:tr>
        <w:trPr>
          <w:trHeight w:val="205"/>
        </w:trPr>
        <w:tc>
          <w:tcPr>
            <w:tcW w:w="53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2,381.5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-11.8 %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198"/>
        </w:trPr>
        <w:tc>
          <w:tcPr>
            <w:tcW w:w="5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Northern Europe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-17.5 %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-5.4 %</w:t>
            </w:r>
          </w:p>
        </w:tc>
      </w:tr>
      <w:tr>
        <w:trPr>
          <w:trHeight w:val="219"/>
        </w:trPr>
        <w:tc>
          <w:tcPr>
            <w:tcW w:w="5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APME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-7.1 %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8.3 %</w:t>
            </w:r>
          </w:p>
        </w:tc>
      </w:tr>
      <w:tr>
        <w:trPr>
          <w:trHeight w:val="201"/>
        </w:trPr>
        <w:tc>
          <w:tcPr>
            <w:tcW w:w="53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4,834.3</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5,402.6</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5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Intercompany Eliminations</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(25.1 )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(20.3 )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8"/>
        </w:trPr>
        <w:tc>
          <w:tcPr>
            <w:tcW w:w="53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-10.6 %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-0.9 %</w:t>
            </w:r>
          </w:p>
        </w:tc>
      </w:tr>
      <w:tr>
        <w:trPr>
          <w:trHeight w:val="199"/>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Operating Unit Profit:</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8"/>
        </w:trPr>
        <w:tc>
          <w:tcPr>
            <w:tcW w:w="5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Americas: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06"/>
        </w:trPr>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United States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2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2.4 %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2.4 %</w:t>
            </w:r>
          </w:p>
        </w:tc>
      </w:tr>
      <w:tr>
        <w:trPr>
          <w:trHeight w:val="219"/>
        </w:trPr>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Americas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18.1 %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37.2 %</w:t>
            </w:r>
          </w:p>
        </w:tc>
      </w:tr>
      <w:tr>
        <w:trPr>
          <w:trHeight w:val="205"/>
        </w:trPr>
        <w:tc>
          <w:tcPr>
            <w:tcW w:w="53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6.4 %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11.2 %</w:t>
            </w:r>
          </w:p>
        </w:tc>
      </w:tr>
      <w:tr>
        <w:trPr>
          <w:trHeight w:val="205"/>
        </w:trPr>
        <w:tc>
          <w:tcPr>
            <w:tcW w:w="5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Southern Europe:</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6"/>
        </w:trPr>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France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-8.4 %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08"/>
        </w:trPr>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Italy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-12.0 %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24"/>
        </w:trPr>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Southern Europe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-9.1 %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05"/>
        </w:trPr>
        <w:tc>
          <w:tcPr>
            <w:tcW w:w="53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-9.5 %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198"/>
        </w:trPr>
        <w:tc>
          <w:tcPr>
            <w:tcW w:w="5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Northern Europe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-45.5 %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-33.6 %</w:t>
            </w:r>
          </w:p>
        </w:tc>
      </w:tr>
      <w:tr>
        <w:trPr>
          <w:trHeight w:val="219"/>
        </w:trPr>
        <w:tc>
          <w:tcPr>
            <w:tcW w:w="5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APME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9.2 %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29.0 %</w:t>
            </w:r>
          </w:p>
        </w:tc>
      </w:tr>
      <w:tr>
        <w:trPr>
          <w:trHeight w:val="201"/>
        </w:trPr>
        <w:tc>
          <w:tcPr>
            <w:tcW w:w="5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expenses</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(42.2 )</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(43.8 )</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Goodwill impairment charge (b)</w:t>
            </w:r>
          </w:p>
        </w:tc>
        <w:tc>
          <w:tcPr>
            <w:tcW w:w="2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(50.0 )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4"/>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 amortization expense</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(9.0 )</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(10.3 )</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3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5"/>
        </w:trPr>
        <w:tc>
          <w:tcPr>
            <w:tcW w:w="5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Operating profit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-39.5 %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-28.0 %</w:t>
            </w:r>
          </w:p>
        </w:tc>
      </w:tr>
      <w:tr>
        <w:trPr>
          <w:trHeight w:val="21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and other expenses, net (c)</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(10.5 )</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01"/>
        </w:trPr>
        <w:tc>
          <w:tcPr>
            <w:tcW w:w="538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8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162.4</w:t>
            </w: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9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20" w:type="dxa"/>
            <w:vAlign w:val="bottom"/>
            <w:tcBorders>
              <w:top w:val="single" w:sz="8" w:color="CFF0FC"/>
            </w:tcBorders>
          </w:tcPr>
          <w:p>
            <w:pPr>
              <w:spacing w:after="0"/>
              <w:rPr>
                <w:sz w:val="17"/>
                <w:szCs w:val="17"/>
                <w:color w:val="auto"/>
              </w:rPr>
            </w:pPr>
          </w:p>
        </w:tc>
        <w:tc>
          <w:tcPr>
            <w:tcW w:w="9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-4433570</wp:posOffset>
            </wp:positionV>
            <wp:extent cx="7149465" cy="135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-4155440</wp:posOffset>
            </wp:positionV>
            <wp:extent cx="7149465" cy="412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4127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-3607435</wp:posOffset>
            </wp:positionV>
            <wp:extent cx="7149465" cy="420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4203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-2908935</wp:posOffset>
            </wp:positionV>
            <wp:extent cx="7149465" cy="427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4279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-2210435</wp:posOffset>
            </wp:positionV>
            <wp:extent cx="7149465" cy="2851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85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-1654810</wp:posOffset>
            </wp:positionV>
            <wp:extent cx="7149465" cy="135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-1377315</wp:posOffset>
            </wp:positionV>
            <wp:extent cx="7149465" cy="5556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555625"/>
                    </a:xfrm>
                    <a:prstGeom prst="rect">
                      <a:avLst/>
                    </a:prstGeom>
                    <a:noFill/>
                  </pic:spPr>
                </pic:pic>
              </a:graphicData>
            </a:graphic>
          </wp:anchor>
        </w:drawing>
        <w:drawing>
          <wp:anchor simplePos="0" relativeHeight="251657728" behindDoc="1" locked="0" layoutInCell="0" allowOverlap="1">
            <wp:simplePos x="0" y="0"/>
            <wp:positionH relativeFrom="column">
              <wp:posOffset>4220845</wp:posOffset>
            </wp:positionH>
            <wp:positionV relativeFrom="paragraph">
              <wp:posOffset>-415925</wp:posOffset>
            </wp:positionV>
            <wp:extent cx="74930" cy="142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4930" cy="142875"/>
                    </a:xfrm>
                    <a:prstGeom prst="rect">
                      <a:avLst/>
                    </a:prstGeom>
                    <a:noFill/>
                  </pic:spPr>
                </pic:pic>
              </a:graphicData>
            </a:graphic>
          </wp:anchor>
        </w:drawing>
        <w:drawing>
          <wp:anchor simplePos="0" relativeHeight="251657728" behindDoc="1" locked="0" layoutInCell="0" allowOverlap="1">
            <wp:simplePos x="0" y="0"/>
            <wp:positionH relativeFrom="column">
              <wp:posOffset>5181600</wp:posOffset>
            </wp:positionH>
            <wp:positionV relativeFrom="paragraph">
              <wp:posOffset>-415925</wp:posOffset>
            </wp:positionV>
            <wp:extent cx="74930" cy="142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4930" cy="14287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-137795</wp:posOffset>
            </wp:positionV>
            <wp:extent cx="1832610" cy="165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32610" cy="165100"/>
                    </a:xfrm>
                    <a:prstGeom prst="rect">
                      <a:avLst/>
                    </a:prstGeom>
                    <a:noFill/>
                  </pic:spPr>
                </pic:pic>
              </a:graphicData>
            </a:graphic>
          </wp:anchor>
        </w:drawing>
      </w:r>
    </w:p>
    <w:p>
      <w:pPr>
        <w:spacing w:after="0" w:line="5" w:lineRule="exact"/>
        <w:rPr>
          <w:sz w:val="20"/>
          <w:szCs w:val="20"/>
          <w:color w:val="auto"/>
        </w:rPr>
      </w:pPr>
    </w:p>
    <w:p>
      <w:pPr>
        <w:ind w:left="506" w:right="240" w:hanging="506"/>
        <w:spacing w:after="0" w:line="254" w:lineRule="auto"/>
        <w:tabs>
          <w:tab w:leader="none" w:pos="367"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United States, revenues from services include fees received from our franchise offices of $3.1 million and $3.4 million for the three months ended December 31, 2022 and 2021, respectively. These fees are primarily based on revenues generated by the franchise offices, which were $115.3 million and $124.2 million for the three months ended December 31, 2022 and 2021, respectively.</w:t>
      </w:r>
    </w:p>
    <w:p>
      <w:pPr>
        <w:ind w:left="386" w:hanging="386"/>
        <w:spacing w:after="0"/>
        <w:tabs>
          <w:tab w:leader="none" w:pos="38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goodwill impairment charge for the three months ended December 31, 2022 relates to our investment in the Netherlands.</w:t>
      </w:r>
    </w:p>
    <w:p>
      <w:pPr>
        <w:spacing w:after="0" w:line="5" w:lineRule="exact"/>
        <w:rPr>
          <w:rFonts w:ascii="Times New Roman" w:cs="Times New Roman" w:eastAsia="Times New Roman" w:hAnsi="Times New Roman"/>
          <w:sz w:val="16"/>
          <w:szCs w:val="16"/>
          <w:color w:val="auto"/>
        </w:rPr>
      </w:pPr>
    </w:p>
    <w:p>
      <w:pPr>
        <w:ind w:left="366" w:hanging="366"/>
        <w:spacing w:after="0"/>
        <w:tabs>
          <w:tab w:leader="none" w:pos="36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components of interest and other expenses, net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3424555</wp:posOffset>
            </wp:positionH>
            <wp:positionV relativeFrom="paragraph">
              <wp:posOffset>-604520</wp:posOffset>
            </wp:positionV>
            <wp:extent cx="175704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57045" cy="7620"/>
                    </a:xfrm>
                    <a:prstGeom prst="rect">
                      <a:avLst/>
                    </a:prstGeom>
                    <a:noFill/>
                  </pic:spPr>
                </pic:pic>
              </a:graphicData>
            </a:graphic>
          </wp:anchor>
        </w:drawing>
      </w:r>
    </w:p>
    <w:tbl>
      <w:tblPr>
        <w:tblLayout w:type="fixed"/>
        <w:tblInd w:w="6" w:type="dxa"/>
        <w:tblCellMar>
          <w:top w:w="0" w:type="dxa"/>
          <w:left w:w="0" w:type="dxa"/>
          <w:bottom w:w="0" w:type="dxa"/>
          <w:right w:w="0" w:type="dxa"/>
        </w:tblCellMar>
      </w:tblPr>
      <w:tr>
        <w:trPr>
          <w:trHeight w:val="210"/>
        </w:trPr>
        <w:tc>
          <w:tcPr>
            <w:tcW w:w="7340" w:type="dxa"/>
            <w:vAlign w:val="bottom"/>
          </w:tcPr>
          <w:p>
            <w:pPr>
              <w:spacing w:after="0"/>
              <w:rPr>
                <w:sz w:val="18"/>
                <w:szCs w:val="18"/>
                <w:color w:val="auto"/>
              </w:rPr>
            </w:pPr>
          </w:p>
        </w:tc>
        <w:tc>
          <w:tcPr>
            <w:tcW w:w="12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r>
      <w:tr>
        <w:trPr>
          <w:trHeight w:val="207"/>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260" w:type="dxa"/>
            <w:vAlign w:val="bottom"/>
            <w:shd w:val="clear" w:color="auto" w:fill="CFF0FC"/>
          </w:tcPr>
          <w:p>
            <w:pPr>
              <w:jc w:val="right"/>
              <w:ind w:right="110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FF0FC"/>
          </w:tcPr>
          <w:p>
            <w:pPr>
              <w:spacing w:after="0"/>
              <w:rPr>
                <w:sz w:val="17"/>
                <w:szCs w:val="17"/>
                <w:color w:val="auto"/>
              </w:rPr>
            </w:pP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2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(7.9 )</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(2.9 )</w:t>
            </w: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exchange loss</w:t>
            </w:r>
          </w:p>
        </w:tc>
        <w:tc>
          <w:tcPr>
            <w:tcW w:w="12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FF0FC"/>
          </w:tcPr>
          <w:p>
            <w:pPr>
              <w:spacing w:after="0"/>
              <w:rPr>
                <w:sz w:val="18"/>
                <w:szCs w:val="18"/>
                <w:color w:val="auto"/>
              </w:rPr>
            </w:pP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Miscellaneous expense (income), net</w:t>
            </w:r>
          </w:p>
        </w:tc>
        <w:tc>
          <w:tcPr>
            <w:tcW w:w="1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(2.9 )</w:t>
            </w:r>
          </w:p>
        </w:tc>
      </w:tr>
      <w:tr>
        <w:trPr>
          <w:trHeight w:val="245"/>
        </w:trPr>
        <w:tc>
          <w:tcPr>
            <w:tcW w:w="73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top w:val="single" w:sz="8" w:color="auto"/>
              <w:bottom w:val="single" w:sz="8" w:color="auto"/>
            </w:tcBorders>
            <w:shd w:val="clear" w:color="auto" w:fill="CFF0FC"/>
          </w:tcPr>
          <w:p>
            <w:pPr>
              <w:jc w:val="right"/>
              <w:ind w:right="110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384"/>
        </w:trPr>
        <w:tc>
          <w:tcPr>
            <w:tcW w:w="73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-292100</wp:posOffset>
            </wp:positionV>
            <wp:extent cx="6731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-277495</wp:posOffset>
            </wp:positionV>
            <wp:extent cx="6731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-292100</wp:posOffset>
            </wp:positionV>
            <wp:extent cx="6731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-277495</wp:posOffset>
            </wp:positionV>
            <wp:extent cx="6731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306"/>
          </w:cols>
          <w:pgMar w:left="314" w:top="312" w:right="279" w:bottom="1440" w:gutter="0" w:footer="0" w:header="0"/>
        </w:sectPr>
      </w:pPr>
    </w:p>
    <w:bookmarkStart w:id="8" w:name="page9"/>
    <w:bookmarkEnd w:id="8"/>
    <w:p>
      <w:pPr>
        <w:ind w:left="5085"/>
        <w:spacing w:after="0"/>
        <w:rPr>
          <w:sz w:val="20"/>
          <w:szCs w:val="20"/>
          <w:color w:val="auto"/>
        </w:rPr>
      </w:pPr>
      <w:r>
        <w:rPr>
          <w:rFonts w:ascii="Times New Roman" w:cs="Times New Roman" w:eastAsia="Times New Roman" w:hAnsi="Times New Roman"/>
          <w:sz w:val="16"/>
          <w:szCs w:val="16"/>
          <w:color w:val="auto"/>
        </w:rPr>
        <w:t>ManpowerGroup</w:t>
      </w:r>
    </w:p>
    <w:p>
      <w:pPr>
        <w:spacing w:after="0" w:line="41" w:lineRule="exact"/>
        <w:rPr>
          <w:sz w:val="20"/>
          <w:szCs w:val="20"/>
          <w:color w:val="auto"/>
        </w:rPr>
      </w:pPr>
    </w:p>
    <w:p>
      <w:pPr>
        <w:ind w:left="4945"/>
        <w:spacing w:after="0"/>
        <w:rPr>
          <w:sz w:val="20"/>
          <w:szCs w:val="20"/>
          <w:color w:val="auto"/>
        </w:rPr>
      </w:pPr>
      <w:r>
        <w:rPr>
          <w:rFonts w:ascii="Times New Roman" w:cs="Times New Roman" w:eastAsia="Times New Roman" w:hAnsi="Times New Roman"/>
          <w:sz w:val="16"/>
          <w:szCs w:val="16"/>
          <w:color w:val="auto"/>
        </w:rPr>
        <w:t>Results of Operations</w:t>
      </w:r>
    </w:p>
    <w:p>
      <w:pPr>
        <w:spacing w:after="0" w:line="22"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6"/>
          <w:szCs w:val="16"/>
          <w:color w:val="auto"/>
        </w:rPr>
        <w:t>(In millions, except per share data)</w:t>
      </w:r>
    </w:p>
    <w:p>
      <w:pPr>
        <w:spacing w:after="0" w:line="211" w:lineRule="exact"/>
        <w:rPr>
          <w:sz w:val="20"/>
          <w:szCs w:val="20"/>
          <w:color w:val="auto"/>
        </w:rPr>
      </w:pPr>
    </w:p>
    <w:tbl>
      <w:tblPr>
        <w:tblLayout w:type="fixed"/>
        <w:tblInd w:w="5" w:type="dxa"/>
        <w:tblCellMar>
          <w:top w:w="0" w:type="dxa"/>
          <w:left w:w="0" w:type="dxa"/>
          <w:bottom w:w="0" w:type="dxa"/>
          <w:right w:w="0" w:type="dxa"/>
        </w:tblCellMar>
      </w:tblPr>
      <w:tr>
        <w:trPr>
          <w:trHeight w:val="214"/>
        </w:trPr>
        <w:tc>
          <w:tcPr>
            <w:tcW w:w="5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8"/>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w w:val="97"/>
              </w:rPr>
              <w:t>Twelve Months Ended December 31</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8"/>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4"/>
              </w:rPr>
              <w:t>% Variance</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0"/>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4"/>
        </w:trPr>
        <w:tc>
          <w:tcPr>
            <w:tcW w:w="5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gridSpan w:val="2"/>
          </w:tcPr>
          <w:p>
            <w:pPr>
              <w:spacing w:after="0"/>
              <w:rPr>
                <w:sz w:val="18"/>
                <w:szCs w:val="18"/>
                <w:color w:val="auto"/>
              </w:rPr>
            </w:pPr>
          </w:p>
        </w:tc>
      </w:tr>
      <w:tr>
        <w:trPr>
          <w:trHeight w:val="204"/>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4"/>
          </w:tcPr>
          <w:p>
            <w:pPr>
              <w:jc w:val="center"/>
              <w:ind w:left="781"/>
              <w:spacing w:after="0"/>
              <w:rPr>
                <w:sz w:val="20"/>
                <w:szCs w:val="20"/>
                <w:color w:val="auto"/>
              </w:rPr>
            </w:pPr>
            <w:r>
              <w:rPr>
                <w:rFonts w:ascii="Times New Roman" w:cs="Times New Roman" w:eastAsia="Times New Roman" w:hAnsi="Times New Roman"/>
                <w:sz w:val="16"/>
                <w:szCs w:val="16"/>
                <w:color w:val="auto"/>
                <w:w w:val="98"/>
              </w:rPr>
              <w:t>(Unaudited)</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Revenues from services (a)</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19,827.5</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w w:val="98"/>
              </w:rPr>
              <w:t>-4.3 %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4.9 %</w:t>
            </w:r>
          </w:p>
        </w:tc>
      </w:tr>
      <w:tr>
        <w:trPr>
          <w:trHeight w:val="224"/>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Cost of services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16,255.1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17,316.9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w w:val="98"/>
              </w:rPr>
              <w:t>-6.1 %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19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4.8 %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13.8 %</w:t>
            </w:r>
          </w:p>
        </w:tc>
      </w:tr>
      <w:tr>
        <w:trPr>
          <w:trHeight w:val="191"/>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2"/>
        </w:trPr>
        <w:tc>
          <w:tcPr>
            <w:tcW w:w="5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excluding goodwill impairment charge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4.2 %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12.4 %</w:t>
            </w:r>
          </w:p>
        </w:tc>
      </w:tr>
      <w:tr>
        <w:trPr>
          <w:trHeight w:val="218"/>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 impairment charge (b)</w:t>
            </w: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FF0FC"/>
            </w:tcBorders>
            <w:gridSpan w:val="3"/>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gridSpan w:val="3"/>
            <w:shd w:val="clear" w:color="auto" w:fill="CFF0FC"/>
          </w:tcPr>
          <w:p>
            <w:pPr>
              <w:jc w:val="right"/>
              <w:ind w:right="520"/>
              <w:spacing w:after="0"/>
              <w:rPr>
                <w:sz w:val="20"/>
                <w:szCs w:val="20"/>
                <w:color w:val="auto"/>
              </w:rPr>
            </w:pPr>
            <w:r>
              <w:rPr>
                <w:rFonts w:ascii="Times New Roman" w:cs="Times New Roman" w:eastAsia="Times New Roman" w:hAnsi="Times New Roman"/>
                <w:sz w:val="16"/>
                <w:szCs w:val="16"/>
                <w:color w:val="auto"/>
              </w:rPr>
              <w:t>N/A</w:t>
            </w:r>
          </w:p>
        </w:tc>
        <w:tc>
          <w:tcPr>
            <w:tcW w:w="1100" w:type="dxa"/>
            <w:vAlign w:val="bottom"/>
            <w:tcBorders>
              <w:bottom w:val="single" w:sz="8" w:color="CFF0FC"/>
            </w:tcBorders>
            <w:gridSpan w:val="2"/>
            <w:shd w:val="clear" w:color="auto" w:fill="CFF0FC"/>
          </w:tcPr>
          <w:p>
            <w:pPr>
              <w:ind w:left="700"/>
              <w:spacing w:after="0"/>
              <w:rPr>
                <w:sz w:val="20"/>
                <w:szCs w:val="20"/>
                <w:color w:val="auto"/>
              </w:rPr>
            </w:pPr>
            <w:r>
              <w:rPr>
                <w:rFonts w:ascii="Times New Roman" w:cs="Times New Roman" w:eastAsia="Times New Roman" w:hAnsi="Times New Roman"/>
                <w:sz w:val="16"/>
                <w:szCs w:val="16"/>
                <w:color w:val="auto"/>
              </w:rPr>
              <w:t>N/A</w:t>
            </w:r>
          </w:p>
        </w:tc>
        <w:tc>
          <w:tcPr>
            <w:tcW w:w="40" w:type="dxa"/>
            <w:vAlign w:val="bottom"/>
          </w:tcPr>
          <w:p>
            <w:pPr>
              <w:spacing w:after="0"/>
              <w:rPr>
                <w:sz w:val="18"/>
                <w:szCs w:val="18"/>
                <w:color w:val="auto"/>
              </w:rPr>
            </w:pPr>
          </w:p>
        </w:tc>
      </w:tr>
      <w:tr>
        <w:trPr>
          <w:trHeight w:val="205"/>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2,990.7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6.0 %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14.3 %</w:t>
            </w:r>
          </w:p>
        </w:tc>
      </w:tr>
      <w:tr>
        <w:trPr>
          <w:trHeight w:val="19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Operating profit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w w:val="98"/>
              </w:rPr>
              <w:t>-0.6 %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11.7 %</w:t>
            </w:r>
          </w:p>
        </w:tc>
      </w:tr>
      <w:tr>
        <w:trPr>
          <w:trHeight w:val="219"/>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other expenses, net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w w:val="92"/>
              </w:rPr>
              <w:t>42.4 %</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w w:val="98"/>
              </w:rPr>
              <w:t>-1.9 %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10.2 %</w:t>
            </w:r>
          </w:p>
        </w:tc>
      </w:tr>
      <w:tr>
        <w:trPr>
          <w:trHeight w:val="219"/>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w w:val="98"/>
              </w:rPr>
              <w:t>-1.3 %</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5"/>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373.8</w:t>
            </w:r>
          </w:p>
        </w:tc>
        <w:tc>
          <w:tcPr>
            <w:tcW w:w="280" w:type="dxa"/>
            <w:vAlign w:val="bottom"/>
            <w:gridSpan w:val="2"/>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w w:val="98"/>
              </w:rPr>
              <w:t>-2.2 %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9.9 %</w:t>
            </w:r>
          </w:p>
        </w:tc>
      </w:tr>
      <w:tr>
        <w:trPr>
          <w:trHeight w:val="20"/>
        </w:trPr>
        <w:tc>
          <w:tcPr>
            <w:tcW w:w="5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Net earnings per share - basic</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280" w:type="dxa"/>
            <w:vAlign w:val="bottom"/>
            <w:gridSpan w:val="2"/>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2.2 %</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Net earnings per share - diluted</w:t>
            </w: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280" w:type="dxa"/>
            <w:vAlign w:val="bottom"/>
            <w:gridSpan w:val="2"/>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2.6 %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15.3 %</w:t>
            </w:r>
          </w:p>
        </w:tc>
      </w:tr>
      <w:tr>
        <w:trPr>
          <w:trHeight w:val="20"/>
        </w:trPr>
        <w:tc>
          <w:tcPr>
            <w:tcW w:w="5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 basic</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w w:val="98"/>
              </w:rPr>
              <w:t>-4.4 %</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8"/>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shares - diluted</w:t>
            </w: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w w:val="98"/>
              </w:rPr>
              <w:t>-4.7 %</w:t>
            </w:r>
          </w:p>
        </w:tc>
        <w:tc>
          <w:tcPr>
            <w:tcW w:w="9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-2297430</wp:posOffset>
            </wp:positionV>
            <wp:extent cx="7149465" cy="135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-2019300</wp:posOffset>
            </wp:positionV>
            <wp:extent cx="7149465" cy="135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-1493520</wp:posOffset>
            </wp:positionV>
            <wp:extent cx="7149465" cy="2851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85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-1065530</wp:posOffset>
            </wp:positionV>
            <wp:extent cx="7149465" cy="135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-788035</wp:posOffset>
            </wp:positionV>
            <wp:extent cx="7149465" cy="6305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630555"/>
                    </a:xfrm>
                    <a:prstGeom prst="rect">
                      <a:avLst/>
                    </a:prstGeom>
                    <a:noFill/>
                  </pic:spPr>
                </pic:pic>
              </a:graphicData>
            </a:graphic>
          </wp:anchor>
        </w:drawing>
        <w:drawing>
          <wp:anchor simplePos="0" relativeHeight="251657728" behindDoc="1" locked="0" layoutInCell="0" allowOverlap="1">
            <wp:simplePos x="0" y="0"/>
            <wp:positionH relativeFrom="column">
              <wp:posOffset>4220210</wp:posOffset>
            </wp:positionH>
            <wp:positionV relativeFrom="paragraph">
              <wp:posOffset>-21590</wp:posOffset>
            </wp:positionV>
            <wp:extent cx="7493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4220210</wp:posOffset>
            </wp:positionH>
            <wp:positionV relativeFrom="paragraph">
              <wp:posOffset>-6985</wp:posOffset>
            </wp:positionV>
            <wp:extent cx="7493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-21590</wp:posOffset>
            </wp:positionV>
            <wp:extent cx="6731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-6985</wp:posOffset>
            </wp:positionV>
            <wp:extent cx="6731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jc w:val="both"/>
        <w:ind w:left="505" w:right="60" w:hanging="505"/>
        <w:spacing w:after="0" w:line="247" w:lineRule="auto"/>
        <w:tabs>
          <w:tab w:leader="none" w:pos="505"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from services include fees received from our franchise offices of $15.7 million and $15.3 million for the year ended December 31, 2022 and 2021, respectively. These fees are primarily based on revenues generated by the franchise offices, which were $1,058.4 million and $1,116.9 million for the year ended December 31, 2022 and 2021, respectively.</w:t>
      </w:r>
    </w:p>
    <w:p>
      <w:pPr>
        <w:ind w:left="505" w:hanging="505"/>
        <w:spacing w:after="0"/>
        <w:tabs>
          <w:tab w:leader="none" w:pos="505"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goodwill impairment charge for the year ended December 31, 2022 relates to our investment in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245745</wp:posOffset>
            </wp:positionV>
            <wp:extent cx="717486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305"/>
          </w:cols>
          <w:pgMar w:left="315" w:top="312" w:right="279" w:bottom="1440" w:gutter="0" w:footer="0" w:header="0"/>
        </w:sectPr>
      </w:pPr>
    </w:p>
    <w:bookmarkStart w:id="9" w:name="page10"/>
    <w:bookmarkEnd w:id="9"/>
    <w:p>
      <w:pPr>
        <w:ind w:left="5086"/>
        <w:spacing w:after="0"/>
        <w:rPr>
          <w:sz w:val="20"/>
          <w:szCs w:val="20"/>
          <w:color w:val="auto"/>
        </w:rPr>
      </w:pPr>
      <w:r>
        <w:rPr>
          <w:rFonts w:ascii="Times New Roman" w:cs="Times New Roman" w:eastAsia="Times New Roman" w:hAnsi="Times New Roman"/>
          <w:sz w:val="16"/>
          <w:szCs w:val="16"/>
          <w:color w:val="auto"/>
        </w:rPr>
        <w:t>ManpowerGroup</w:t>
      </w:r>
    </w:p>
    <w:p>
      <w:pPr>
        <w:spacing w:after="0" w:line="41" w:lineRule="exact"/>
        <w:rPr>
          <w:sz w:val="20"/>
          <w:szCs w:val="20"/>
          <w:color w:val="auto"/>
        </w:rPr>
      </w:pPr>
    </w:p>
    <w:p>
      <w:pPr>
        <w:ind w:left="4906"/>
        <w:spacing w:after="0"/>
        <w:rPr>
          <w:sz w:val="20"/>
          <w:szCs w:val="20"/>
          <w:color w:val="auto"/>
        </w:rPr>
      </w:pPr>
      <w:r>
        <w:rPr>
          <w:rFonts w:ascii="Times New Roman" w:cs="Times New Roman" w:eastAsia="Times New Roman" w:hAnsi="Times New Roman"/>
          <w:sz w:val="16"/>
          <w:szCs w:val="16"/>
          <w:color w:val="auto"/>
        </w:rPr>
        <w:t>Operating Unit Results</w:t>
      </w:r>
    </w:p>
    <w:p>
      <w:pPr>
        <w:spacing w:after="0" w:line="29" w:lineRule="exact"/>
        <w:rPr>
          <w:sz w:val="20"/>
          <w:szCs w:val="20"/>
          <w:color w:val="auto"/>
        </w:rPr>
      </w:pPr>
    </w:p>
    <w:p>
      <w:pPr>
        <w:jc w:val="center"/>
        <w:ind w:right="34"/>
        <w:spacing w:after="0"/>
        <w:rPr>
          <w:sz w:val="20"/>
          <w:szCs w:val="20"/>
          <w:color w:val="auto"/>
        </w:rPr>
      </w:pPr>
      <w:r>
        <w:rPr>
          <w:rFonts w:ascii="Times New Roman" w:cs="Times New Roman" w:eastAsia="Times New Roman" w:hAnsi="Times New Roman"/>
          <w:sz w:val="16"/>
          <w:szCs w:val="16"/>
          <w:color w:val="auto"/>
        </w:rPr>
        <w:t>(In millions)</w:t>
      </w:r>
    </w:p>
    <w:p>
      <w:pPr>
        <w:spacing w:after="0" w:line="240" w:lineRule="exact"/>
        <w:rPr>
          <w:sz w:val="20"/>
          <w:szCs w:val="20"/>
          <w:color w:val="auto"/>
        </w:rPr>
      </w:pPr>
    </w:p>
    <w:tbl>
      <w:tblPr>
        <w:tblLayout w:type="fixed"/>
        <w:tblInd w:w="6" w:type="dxa"/>
        <w:tblCellMar>
          <w:top w:w="0" w:type="dxa"/>
          <w:left w:w="0" w:type="dxa"/>
          <w:bottom w:w="0" w:type="dxa"/>
          <w:right w:w="0" w:type="dxa"/>
        </w:tblCellMar>
      </w:tblPr>
      <w:tr>
        <w:trPr>
          <w:trHeight w:val="214"/>
        </w:trPr>
        <w:tc>
          <w:tcPr>
            <w:tcW w:w="5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7"/>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w w:val="97"/>
              </w:rPr>
              <w:t>Twelve Months Ended December 31</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center"/>
              <w:ind w:right="8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4"/>
          </w:tcPr>
          <w:p>
            <w:pPr>
              <w:jc w:val="center"/>
              <w:ind w:left="741"/>
              <w:spacing w:after="0"/>
              <w:rPr>
                <w:sz w:val="20"/>
                <w:szCs w:val="20"/>
                <w:color w:val="auto"/>
              </w:rPr>
            </w:pPr>
            <w:r>
              <w:rPr>
                <w:rFonts w:ascii="Times New Roman" w:cs="Times New Roman" w:eastAsia="Times New Roman" w:hAnsi="Times New Roman"/>
                <w:sz w:val="16"/>
                <w:szCs w:val="16"/>
                <w:color w:val="auto"/>
                <w:w w:val="98"/>
              </w:rPr>
              <w:t>(Unaudited)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 from Services: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Americas: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United States (a)</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3,499.3</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27.6 %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27.6 %</w:t>
            </w:r>
          </w:p>
        </w:tc>
        <w:tc>
          <w:tcPr>
            <w:tcW w:w="0" w:type="dxa"/>
            <w:vAlign w:val="bottom"/>
          </w:tcPr>
          <w:p>
            <w:pPr>
              <w:spacing w:after="0"/>
              <w:rPr>
                <w:sz w:val="1"/>
                <w:szCs w:val="1"/>
                <w:color w:val="auto"/>
              </w:rPr>
            </w:pPr>
          </w:p>
        </w:tc>
      </w:tr>
      <w:tr>
        <w:trPr>
          <w:trHeight w:val="224"/>
        </w:trPr>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Americas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-5.5 %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0" w:type="dxa"/>
            <w:vAlign w:val="bottom"/>
          </w:tcPr>
          <w:p>
            <w:pPr>
              <w:spacing w:after="0"/>
              <w:rPr>
                <w:sz w:val="1"/>
                <w:szCs w:val="1"/>
                <w:color w:val="auto"/>
              </w:rPr>
            </w:pPr>
          </w:p>
        </w:tc>
      </w:tr>
      <w:tr>
        <w:trPr>
          <w:trHeight w:val="205"/>
        </w:trPr>
        <w:tc>
          <w:tcPr>
            <w:tcW w:w="53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4,935.7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4,263.7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15.8 %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18.1 %</w:t>
            </w:r>
          </w:p>
        </w:tc>
        <w:tc>
          <w:tcPr>
            <w:tcW w:w="0" w:type="dxa"/>
            <w:vAlign w:val="bottom"/>
          </w:tcPr>
          <w:p>
            <w:pPr>
              <w:spacing w:after="0"/>
              <w:rPr>
                <w:sz w:val="1"/>
                <w:szCs w:val="1"/>
                <w:color w:val="auto"/>
              </w:rPr>
            </w:pPr>
          </w:p>
        </w:tc>
      </w:tr>
      <w:tr>
        <w:trPr>
          <w:trHeight w:val="194"/>
        </w:trPr>
        <w:tc>
          <w:tcPr>
            <w:tcW w:w="5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Southern Europe:</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France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-7.5 %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0" w:type="dxa"/>
            <w:vAlign w:val="bottom"/>
          </w:tcPr>
          <w:p>
            <w:pPr>
              <w:spacing w:after="0"/>
              <w:rPr>
                <w:sz w:val="1"/>
                <w:szCs w:val="1"/>
                <w:color w:val="auto"/>
              </w:rPr>
            </w:pPr>
          </w:p>
        </w:tc>
      </w:tr>
      <w:tr>
        <w:trPr>
          <w:trHeight w:val="213"/>
        </w:trPr>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Italy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-4.9 %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0" w:type="dxa"/>
            <w:vAlign w:val="bottom"/>
          </w:tcPr>
          <w:p>
            <w:pPr>
              <w:spacing w:after="0"/>
              <w:rPr>
                <w:sz w:val="1"/>
                <w:szCs w:val="1"/>
                <w:color w:val="auto"/>
              </w:rPr>
            </w:pPr>
          </w:p>
        </w:tc>
      </w:tr>
      <w:tr>
        <w:trPr>
          <w:trHeight w:val="224"/>
        </w:trPr>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Southern Europe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-14.1 %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0" w:type="dxa"/>
            <w:vAlign w:val="bottom"/>
          </w:tcPr>
          <w:p>
            <w:pPr>
              <w:spacing w:after="0"/>
              <w:rPr>
                <w:sz w:val="1"/>
                <w:szCs w:val="1"/>
                <w:color w:val="auto"/>
              </w:rPr>
            </w:pPr>
          </w:p>
        </w:tc>
      </w:tr>
      <w:tr>
        <w:trPr>
          <w:trHeight w:val="205"/>
        </w:trPr>
        <w:tc>
          <w:tcPr>
            <w:tcW w:w="53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8,536.3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9,346.8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-8.7 %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198"/>
        </w:trPr>
        <w:tc>
          <w:tcPr>
            <w:tcW w:w="5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Northern Europe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4,048.3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4,670.5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-13.3 %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19"/>
        </w:trPr>
        <w:tc>
          <w:tcPr>
            <w:tcW w:w="5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APME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-3.8 %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0" w:type="dxa"/>
            <w:vAlign w:val="bottom"/>
          </w:tcPr>
          <w:p>
            <w:pPr>
              <w:spacing w:after="0"/>
              <w:rPr>
                <w:sz w:val="1"/>
                <w:szCs w:val="1"/>
                <w:color w:val="auto"/>
              </w:rPr>
            </w:pPr>
          </w:p>
        </w:tc>
      </w:tr>
      <w:tr>
        <w:trPr>
          <w:trHeight w:val="201"/>
        </w:trPr>
        <w:tc>
          <w:tcPr>
            <w:tcW w:w="53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19,907.6</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20,762.1</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Intercompany Eliminations</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(80.1 )</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(37.7 )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3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19,827.5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20,724.4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-4.3 %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Operating Unit Profit:</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Americas: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United States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219.2</w:t>
            </w:r>
          </w:p>
        </w:tc>
        <w:tc>
          <w:tcPr>
            <w:tcW w:w="12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61.2 %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61.2 %</w:t>
            </w:r>
          </w:p>
        </w:tc>
        <w:tc>
          <w:tcPr>
            <w:tcW w:w="0" w:type="dxa"/>
            <w:vAlign w:val="bottom"/>
          </w:tcPr>
          <w:p>
            <w:pPr>
              <w:spacing w:after="0"/>
              <w:rPr>
                <w:sz w:val="1"/>
                <w:szCs w:val="1"/>
                <w:color w:val="auto"/>
              </w:rPr>
            </w:pPr>
          </w:p>
        </w:tc>
      </w:tr>
      <w:tr>
        <w:trPr>
          <w:trHeight w:val="219"/>
        </w:trPr>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Americas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7.0 %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0" w:type="dxa"/>
            <w:vAlign w:val="bottom"/>
          </w:tcPr>
          <w:p>
            <w:pPr>
              <w:spacing w:after="0"/>
              <w:rPr>
                <w:sz w:val="1"/>
                <w:szCs w:val="1"/>
                <w:color w:val="auto"/>
              </w:rPr>
            </w:pPr>
          </w:p>
        </w:tc>
      </w:tr>
      <w:tr>
        <w:trPr>
          <w:trHeight w:val="205"/>
        </w:trPr>
        <w:tc>
          <w:tcPr>
            <w:tcW w:w="53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44.8 %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47.7 %</w:t>
            </w:r>
          </w:p>
        </w:tc>
        <w:tc>
          <w:tcPr>
            <w:tcW w:w="0" w:type="dxa"/>
            <w:vAlign w:val="bottom"/>
          </w:tcPr>
          <w:p>
            <w:pPr>
              <w:spacing w:after="0"/>
              <w:rPr>
                <w:sz w:val="1"/>
                <w:szCs w:val="1"/>
                <w:color w:val="auto"/>
              </w:rPr>
            </w:pPr>
          </w:p>
        </w:tc>
      </w:tr>
      <w:tr>
        <w:trPr>
          <w:trHeight w:val="205"/>
        </w:trPr>
        <w:tc>
          <w:tcPr>
            <w:tcW w:w="5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Southern Europe:</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France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-2.9 %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0" w:type="dxa"/>
            <w:vAlign w:val="bottom"/>
          </w:tcPr>
          <w:p>
            <w:pPr>
              <w:spacing w:after="0"/>
              <w:rPr>
                <w:sz w:val="1"/>
                <w:szCs w:val="1"/>
                <w:color w:val="auto"/>
              </w:rPr>
            </w:pPr>
          </w:p>
        </w:tc>
      </w:tr>
      <w:tr>
        <w:trPr>
          <w:trHeight w:val="208"/>
        </w:trPr>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Italy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6.6 %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20.0 %</w:t>
            </w:r>
          </w:p>
        </w:tc>
        <w:tc>
          <w:tcPr>
            <w:tcW w:w="0" w:type="dxa"/>
            <w:vAlign w:val="bottom"/>
          </w:tcPr>
          <w:p>
            <w:pPr>
              <w:spacing w:after="0"/>
              <w:rPr>
                <w:sz w:val="1"/>
                <w:szCs w:val="1"/>
                <w:color w:val="auto"/>
              </w:rPr>
            </w:pPr>
          </w:p>
        </w:tc>
      </w:tr>
      <w:tr>
        <w:trPr>
          <w:trHeight w:val="224"/>
        </w:trPr>
        <w:tc>
          <w:tcPr>
            <w:tcW w:w="5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Southern Europe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-6.1 %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05"/>
        </w:trPr>
        <w:tc>
          <w:tcPr>
            <w:tcW w:w="53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-0.8 %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0" w:type="dxa"/>
            <w:vAlign w:val="bottom"/>
          </w:tcPr>
          <w:p>
            <w:pPr>
              <w:spacing w:after="0"/>
              <w:rPr>
                <w:sz w:val="1"/>
                <w:szCs w:val="1"/>
                <w:color w:val="auto"/>
              </w:rPr>
            </w:pPr>
          </w:p>
        </w:tc>
      </w:tr>
      <w:tr>
        <w:trPr>
          <w:trHeight w:val="198"/>
        </w:trPr>
        <w:tc>
          <w:tcPr>
            <w:tcW w:w="5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Northern Europe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-37.4 %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-26.2 %</w:t>
            </w:r>
          </w:p>
        </w:tc>
        <w:tc>
          <w:tcPr>
            <w:tcW w:w="0" w:type="dxa"/>
            <w:vAlign w:val="bottom"/>
          </w:tcPr>
          <w:p>
            <w:pPr>
              <w:spacing w:after="0"/>
              <w:rPr>
                <w:sz w:val="1"/>
                <w:szCs w:val="1"/>
                <w:color w:val="auto"/>
              </w:rPr>
            </w:pPr>
          </w:p>
        </w:tc>
      </w:tr>
      <w:tr>
        <w:trPr>
          <w:trHeight w:val="219"/>
        </w:trPr>
        <w:tc>
          <w:tcPr>
            <w:tcW w:w="5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APME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3.6 %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19.8 %</w:t>
            </w:r>
          </w:p>
        </w:tc>
        <w:tc>
          <w:tcPr>
            <w:tcW w:w="0" w:type="dxa"/>
            <w:vAlign w:val="bottom"/>
          </w:tcPr>
          <w:p>
            <w:pPr>
              <w:spacing w:after="0"/>
              <w:rPr>
                <w:sz w:val="1"/>
                <w:szCs w:val="1"/>
                <w:color w:val="auto"/>
              </w:rPr>
            </w:pPr>
          </w:p>
        </w:tc>
      </w:tr>
      <w:tr>
        <w:trPr>
          <w:trHeight w:val="201"/>
        </w:trPr>
        <w:tc>
          <w:tcPr>
            <w:tcW w:w="5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expenses</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(157.0 )</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(154.3 )</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Goodwill impairment charge (b)</w:t>
            </w:r>
          </w:p>
        </w:tc>
        <w:tc>
          <w:tcPr>
            <w:tcW w:w="2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(50.0 )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4"/>
          </w:tcPr>
          <w:p>
            <w:pPr>
              <w:jc w:val="right"/>
              <w:ind w:right="5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 amortization expense</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(37.1 )</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(24.2 )</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Operating profit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-0.6 %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0" w:type="dxa"/>
            <w:vAlign w:val="bottom"/>
          </w:tcPr>
          <w:p>
            <w:pPr>
              <w:spacing w:after="0"/>
              <w:rPr>
                <w:sz w:val="1"/>
                <w:szCs w:val="1"/>
                <w:color w:val="auto"/>
              </w:rPr>
            </w:pPr>
          </w:p>
        </w:tc>
      </w:tr>
      <w:tr>
        <w:trPr>
          <w:trHeight w:val="21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and other expenses, net (c)</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(24.6 )</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(17.3 )</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38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8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557.1</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568.1</w:t>
            </w: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9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20" w:type="dxa"/>
            <w:vAlign w:val="bottom"/>
            <w:tcBorders>
              <w:top w:val="single" w:sz="8" w:color="CFF0FC"/>
            </w:tcBorders>
          </w:tcPr>
          <w:p>
            <w:pPr>
              <w:spacing w:after="0"/>
              <w:rPr>
                <w:sz w:val="17"/>
                <w:szCs w:val="17"/>
                <w:color w:val="auto"/>
              </w:rPr>
            </w:pPr>
          </w:p>
        </w:tc>
        <w:tc>
          <w:tcPr>
            <w:tcW w:w="9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-4448810</wp:posOffset>
            </wp:positionV>
            <wp:extent cx="7149465" cy="135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-4170680</wp:posOffset>
            </wp:positionV>
            <wp:extent cx="7149465" cy="4127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4127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-3622675</wp:posOffset>
            </wp:positionV>
            <wp:extent cx="7149465" cy="420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4203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-2924175</wp:posOffset>
            </wp:positionV>
            <wp:extent cx="7149465" cy="4432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4432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-2210435</wp:posOffset>
            </wp:positionV>
            <wp:extent cx="7149465" cy="2851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85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-1654810</wp:posOffset>
            </wp:positionV>
            <wp:extent cx="7149465" cy="135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-1377315</wp:posOffset>
            </wp:positionV>
            <wp:extent cx="7149465" cy="5556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555625"/>
                    </a:xfrm>
                    <a:prstGeom prst="rect">
                      <a:avLst/>
                    </a:prstGeom>
                    <a:noFill/>
                  </pic:spPr>
                </pic:pic>
              </a:graphicData>
            </a:graphic>
          </wp:anchor>
        </w:drawing>
        <w:drawing>
          <wp:anchor simplePos="0" relativeHeight="251657728" behindDoc="1" locked="0" layoutInCell="0" allowOverlap="1">
            <wp:simplePos x="0" y="0"/>
            <wp:positionH relativeFrom="column">
              <wp:posOffset>4220845</wp:posOffset>
            </wp:positionH>
            <wp:positionV relativeFrom="paragraph">
              <wp:posOffset>-415925</wp:posOffset>
            </wp:positionV>
            <wp:extent cx="74930" cy="142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4930" cy="142875"/>
                    </a:xfrm>
                    <a:prstGeom prst="rect">
                      <a:avLst/>
                    </a:prstGeom>
                    <a:noFill/>
                  </pic:spPr>
                </pic:pic>
              </a:graphicData>
            </a:graphic>
          </wp:anchor>
        </w:drawing>
        <w:drawing>
          <wp:anchor simplePos="0" relativeHeight="251657728" behindDoc="1" locked="0" layoutInCell="0" allowOverlap="1">
            <wp:simplePos x="0" y="0"/>
            <wp:positionH relativeFrom="column">
              <wp:posOffset>5181600</wp:posOffset>
            </wp:positionH>
            <wp:positionV relativeFrom="paragraph">
              <wp:posOffset>-415925</wp:posOffset>
            </wp:positionV>
            <wp:extent cx="74930" cy="142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4930" cy="14287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-137795</wp:posOffset>
            </wp:positionV>
            <wp:extent cx="1832610" cy="165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32610" cy="165100"/>
                    </a:xfrm>
                    <a:prstGeom prst="rect">
                      <a:avLst/>
                    </a:prstGeom>
                    <a:noFill/>
                  </pic:spPr>
                </pic:pic>
              </a:graphicData>
            </a:graphic>
          </wp:anchor>
        </w:drawing>
      </w:r>
    </w:p>
    <w:p>
      <w:pPr>
        <w:spacing w:after="0" w:line="5" w:lineRule="exact"/>
        <w:rPr>
          <w:sz w:val="20"/>
          <w:szCs w:val="20"/>
          <w:color w:val="auto"/>
        </w:rPr>
      </w:pPr>
    </w:p>
    <w:p>
      <w:pPr>
        <w:ind w:left="506" w:right="200" w:hanging="506"/>
        <w:spacing w:after="0" w:line="254" w:lineRule="auto"/>
        <w:tabs>
          <w:tab w:leader="none" w:pos="36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United States, revenues from services include fees received from our franchise offices of $12.8 million for both the years ended December 31, 2022 and 2021, respectively. These fees are primarily based on revenues generated by the franchise offices, which were $476.1 million and $477.6 million for the year ended December 31, 2022 and 2021, respectively.</w:t>
      </w:r>
    </w:p>
    <w:p>
      <w:pPr>
        <w:ind w:left="386" w:hanging="386"/>
        <w:spacing w:after="0"/>
        <w:tabs>
          <w:tab w:leader="none" w:pos="38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goodwill impairment charge for the year ended December 31, 2022 relates to our investment in the Netherlands.</w:t>
      </w:r>
    </w:p>
    <w:p>
      <w:pPr>
        <w:spacing w:after="0" w:line="5" w:lineRule="exact"/>
        <w:rPr>
          <w:rFonts w:ascii="Times New Roman" w:cs="Times New Roman" w:eastAsia="Times New Roman" w:hAnsi="Times New Roman"/>
          <w:sz w:val="16"/>
          <w:szCs w:val="16"/>
          <w:color w:val="auto"/>
        </w:rPr>
      </w:pPr>
    </w:p>
    <w:p>
      <w:pPr>
        <w:ind w:left="366" w:hanging="366"/>
        <w:spacing w:after="0"/>
        <w:tabs>
          <w:tab w:leader="none" w:pos="36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components of interest and other expenses, net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3424555</wp:posOffset>
            </wp:positionH>
            <wp:positionV relativeFrom="paragraph">
              <wp:posOffset>-604520</wp:posOffset>
            </wp:positionV>
            <wp:extent cx="175704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57045" cy="7620"/>
                    </a:xfrm>
                    <a:prstGeom prst="rect">
                      <a:avLst/>
                    </a:prstGeom>
                    <a:noFill/>
                  </pic:spPr>
                </pic:pic>
              </a:graphicData>
            </a:graphic>
          </wp:anchor>
        </w:drawing>
      </w:r>
    </w:p>
    <w:tbl>
      <w:tblPr>
        <w:tblLayout w:type="fixed"/>
        <w:tblInd w:w="6" w:type="dxa"/>
        <w:tblCellMar>
          <w:top w:w="0" w:type="dxa"/>
          <w:left w:w="0" w:type="dxa"/>
          <w:bottom w:w="0" w:type="dxa"/>
          <w:right w:w="0" w:type="dxa"/>
        </w:tblCellMar>
      </w:tblPr>
      <w:tr>
        <w:trPr>
          <w:trHeight w:val="210"/>
        </w:trPr>
        <w:tc>
          <w:tcPr>
            <w:tcW w:w="7340" w:type="dxa"/>
            <w:vAlign w:val="bottom"/>
          </w:tcPr>
          <w:p>
            <w:pPr>
              <w:spacing w:after="0"/>
              <w:rPr>
                <w:sz w:val="18"/>
                <w:szCs w:val="18"/>
                <w:color w:val="auto"/>
              </w:rPr>
            </w:pPr>
          </w:p>
        </w:tc>
        <w:tc>
          <w:tcPr>
            <w:tcW w:w="12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r>
      <w:tr>
        <w:trPr>
          <w:trHeight w:val="207"/>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220" w:type="dxa"/>
            <w:vAlign w:val="bottom"/>
            <w:shd w:val="clear" w:color="auto" w:fill="CFF0FC"/>
          </w:tcPr>
          <w:p>
            <w:pPr>
              <w:jc w:val="right"/>
              <w:ind w:right="106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20" w:type="dxa"/>
            <w:vAlign w:val="bottom"/>
            <w:shd w:val="clear" w:color="auto" w:fill="CFF0FC"/>
          </w:tcPr>
          <w:p>
            <w:pPr>
              <w:spacing w:after="0"/>
              <w:rPr>
                <w:sz w:val="17"/>
                <w:szCs w:val="17"/>
                <w:color w:val="auto"/>
              </w:rPr>
            </w:pP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2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(17.9 )</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(12.0 )</w:t>
            </w: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Foreign exchange loss</w:t>
            </w:r>
          </w:p>
        </w:tc>
        <w:tc>
          <w:tcPr>
            <w:tcW w:w="12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FF0FC"/>
          </w:tcPr>
          <w:p>
            <w:pPr>
              <w:spacing w:after="0"/>
              <w:rPr>
                <w:sz w:val="18"/>
                <w:szCs w:val="18"/>
                <w:color w:val="auto"/>
              </w:rPr>
            </w:pP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Miscellaneous income</w:t>
            </w:r>
          </w:p>
        </w:tc>
        <w:tc>
          <w:tcPr>
            <w:tcW w:w="12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(16.3 )</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(14.7 )</w:t>
            </w:r>
          </w:p>
        </w:tc>
      </w:tr>
      <w:tr>
        <w:trPr>
          <w:trHeight w:val="245"/>
        </w:trPr>
        <w:tc>
          <w:tcPr>
            <w:tcW w:w="734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jc w:val="right"/>
              <w:ind w:right="106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384"/>
        </w:trPr>
        <w:tc>
          <w:tcPr>
            <w:tcW w:w="7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-292100</wp:posOffset>
            </wp:positionV>
            <wp:extent cx="6731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-277495</wp:posOffset>
            </wp:positionV>
            <wp:extent cx="6731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-292100</wp:posOffset>
            </wp:positionV>
            <wp:extent cx="6731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-277495</wp:posOffset>
            </wp:positionV>
            <wp:extent cx="6731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306"/>
          </w:cols>
          <w:pgMar w:left="314" w:top="312" w:right="279" w:bottom="1440" w:gutter="0" w:footer="0" w:header="0"/>
        </w:sectPr>
      </w:pPr>
    </w:p>
    <w:bookmarkStart w:id="10" w:name="page11"/>
    <w:bookmarkEnd w:id="10"/>
    <w:p>
      <w:pPr>
        <w:ind w:left="5080"/>
        <w:spacing w:after="0"/>
        <w:rPr>
          <w:sz w:val="20"/>
          <w:szCs w:val="20"/>
          <w:color w:val="auto"/>
        </w:rPr>
      </w:pPr>
      <w:r>
        <w:rPr>
          <w:rFonts w:ascii="Times New Roman" w:cs="Times New Roman" w:eastAsia="Times New Roman" w:hAnsi="Times New Roman"/>
          <w:sz w:val="16"/>
          <w:szCs w:val="16"/>
          <w:color w:val="auto"/>
        </w:rPr>
        <w:t>ManpowerGroup</w:t>
      </w:r>
    </w:p>
    <w:p>
      <w:pPr>
        <w:spacing w:after="0" w:line="4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Consolidated Balance Sheets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218"/>
        </w:trPr>
        <w:tc>
          <w:tcPr>
            <w:tcW w:w="8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r>
      <w:tr>
        <w:trPr>
          <w:trHeight w:val="207"/>
        </w:trPr>
        <w:tc>
          <w:tcPr>
            <w:tcW w:w="8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(Unaudited)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1"/>
        </w:trPr>
        <w:tc>
          <w:tcPr>
            <w:tcW w:w="8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8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847.8</w:t>
            </w:r>
          </w:p>
        </w:tc>
        <w:tc>
          <w:tcPr>
            <w:tcW w:w="120" w:type="dxa"/>
            <w:vAlign w:val="bottom"/>
            <w:shd w:val="clear" w:color="auto" w:fill="CFF0FC"/>
          </w:tcPr>
          <w:p>
            <w:pPr>
              <w:spacing w:after="0"/>
              <w:rPr>
                <w:sz w:val="18"/>
                <w:szCs w:val="18"/>
                <w:color w:val="auto"/>
              </w:rPr>
            </w:pPr>
          </w:p>
        </w:tc>
      </w:tr>
      <w:tr>
        <w:trPr>
          <w:trHeight w:val="210"/>
        </w:trPr>
        <w:tc>
          <w:tcPr>
            <w:tcW w:w="8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5,448.2</w:t>
            </w:r>
          </w:p>
        </w:tc>
        <w:tc>
          <w:tcPr>
            <w:tcW w:w="120" w:type="dxa"/>
            <w:vAlign w:val="bottom"/>
          </w:tcPr>
          <w:p>
            <w:pPr>
              <w:spacing w:after="0"/>
              <w:rPr>
                <w:sz w:val="18"/>
                <w:szCs w:val="18"/>
                <w:color w:val="auto"/>
              </w:rPr>
            </w:pPr>
          </w:p>
        </w:tc>
      </w:tr>
      <w:tr>
        <w:trPr>
          <w:trHeight w:val="213"/>
        </w:trPr>
        <w:tc>
          <w:tcPr>
            <w:tcW w:w="82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5"/>
        </w:trPr>
        <w:tc>
          <w:tcPr>
            <w:tcW w:w="8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5,934.4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6,422.7</w:t>
            </w:r>
          </w:p>
        </w:tc>
        <w:tc>
          <w:tcPr>
            <w:tcW w:w="120" w:type="dxa"/>
            <w:vAlign w:val="bottom"/>
          </w:tcPr>
          <w:p>
            <w:pPr>
              <w:spacing w:after="0"/>
              <w:rPr>
                <w:sz w:val="17"/>
                <w:szCs w:val="17"/>
                <w:color w:val="auto"/>
              </w:rPr>
            </w:pPr>
          </w:p>
        </w:tc>
      </w:tr>
      <w:tr>
        <w:trPr>
          <w:trHeight w:val="216"/>
        </w:trPr>
        <w:tc>
          <w:tcPr>
            <w:tcW w:w="8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8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1,722.2</w:t>
            </w:r>
          </w:p>
        </w:tc>
        <w:tc>
          <w:tcPr>
            <w:tcW w:w="120" w:type="dxa"/>
            <w:vAlign w:val="bottom"/>
          </w:tcPr>
          <w:p>
            <w:pPr>
              <w:spacing w:after="0"/>
              <w:rPr>
                <w:sz w:val="18"/>
                <w:szCs w:val="18"/>
                <w:color w:val="auto"/>
              </w:rPr>
            </w:pPr>
          </w:p>
        </w:tc>
      </w:tr>
      <w:tr>
        <w:trPr>
          <w:trHeight w:val="216"/>
        </w:trPr>
        <w:tc>
          <w:tcPr>
            <w:tcW w:w="8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549.5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583.6</w:t>
            </w:r>
          </w:p>
        </w:tc>
        <w:tc>
          <w:tcPr>
            <w:tcW w:w="120" w:type="dxa"/>
            <w:vAlign w:val="bottom"/>
            <w:shd w:val="clear" w:color="auto" w:fill="CFF0FC"/>
          </w:tcPr>
          <w:p>
            <w:pPr>
              <w:spacing w:after="0"/>
              <w:rPr>
                <w:sz w:val="18"/>
                <w:szCs w:val="18"/>
                <w:color w:val="auto"/>
              </w:rPr>
            </w:pPr>
          </w:p>
        </w:tc>
      </w:tr>
      <w:tr>
        <w:trPr>
          <w:trHeight w:val="210"/>
        </w:trPr>
        <w:tc>
          <w:tcPr>
            <w:tcW w:w="8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373.4</w:t>
            </w:r>
          </w:p>
        </w:tc>
        <w:tc>
          <w:tcPr>
            <w:tcW w:w="120" w:type="dxa"/>
            <w:vAlign w:val="bottom"/>
          </w:tcPr>
          <w:p>
            <w:pPr>
              <w:spacing w:after="0"/>
              <w:rPr>
                <w:sz w:val="18"/>
                <w:szCs w:val="18"/>
                <w:color w:val="auto"/>
              </w:rPr>
            </w:pPr>
          </w:p>
        </w:tc>
      </w:tr>
      <w:tr>
        <w:trPr>
          <w:trHeight w:val="213"/>
        </w:trPr>
        <w:tc>
          <w:tcPr>
            <w:tcW w:w="82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540.5</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5"/>
        </w:trPr>
        <w:tc>
          <w:tcPr>
            <w:tcW w:w="8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other assets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3,289.4</w:t>
            </w:r>
          </w:p>
        </w:tc>
        <w:tc>
          <w:tcPr>
            <w:tcW w:w="120" w:type="dxa"/>
            <w:vAlign w:val="bottom"/>
          </w:tcPr>
          <w:p>
            <w:pPr>
              <w:spacing w:after="0"/>
              <w:rPr>
                <w:sz w:val="17"/>
                <w:szCs w:val="17"/>
                <w:color w:val="auto"/>
              </w:rPr>
            </w:pPr>
          </w:p>
        </w:tc>
      </w:tr>
      <w:tr>
        <w:trPr>
          <w:trHeight w:val="216"/>
        </w:trPr>
        <w:tc>
          <w:tcPr>
            <w:tcW w:w="8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8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Land, buildings, leasehold improvements and equipment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594.9</w:t>
            </w:r>
          </w:p>
        </w:tc>
        <w:tc>
          <w:tcPr>
            <w:tcW w:w="120" w:type="dxa"/>
            <w:vAlign w:val="bottom"/>
          </w:tcPr>
          <w:p>
            <w:pPr>
              <w:spacing w:after="0"/>
              <w:rPr>
                <w:sz w:val="18"/>
                <w:szCs w:val="18"/>
                <w:color w:val="auto"/>
              </w:rPr>
            </w:pPr>
          </w:p>
        </w:tc>
      </w:tr>
      <w:tr>
        <w:trPr>
          <w:trHeight w:val="213"/>
        </w:trPr>
        <w:tc>
          <w:tcPr>
            <w:tcW w:w="82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472.7</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478.1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5"/>
        </w:trPr>
        <w:tc>
          <w:tcPr>
            <w:tcW w:w="8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property and equipment</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20" w:type="dxa"/>
            <w:vAlign w:val="bottom"/>
          </w:tcPr>
          <w:p>
            <w:pPr>
              <w:spacing w:after="0"/>
              <w:rPr>
                <w:sz w:val="17"/>
                <w:szCs w:val="17"/>
                <w:color w:val="auto"/>
              </w:rPr>
            </w:pPr>
          </w:p>
        </w:tc>
      </w:tr>
      <w:tr>
        <w:trPr>
          <w:trHeight w:val="245"/>
        </w:trPr>
        <w:tc>
          <w:tcPr>
            <w:tcW w:w="820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9,130.4</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9,828.9</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89"/>
        </w:trPr>
        <w:tc>
          <w:tcPr>
            <w:tcW w:w="8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5"/>
        </w:trPr>
        <w:tc>
          <w:tcPr>
            <w:tcW w:w="8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8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2,831.4</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3,039.2</w:t>
            </w:r>
          </w:p>
        </w:tc>
        <w:tc>
          <w:tcPr>
            <w:tcW w:w="120" w:type="dxa"/>
            <w:vAlign w:val="bottom"/>
          </w:tcPr>
          <w:p>
            <w:pPr>
              <w:spacing w:after="0"/>
              <w:rPr>
                <w:sz w:val="18"/>
                <w:szCs w:val="18"/>
                <w:color w:val="auto"/>
              </w:rPr>
            </w:pPr>
          </w:p>
        </w:tc>
      </w:tr>
      <w:tr>
        <w:trPr>
          <w:trHeight w:val="216"/>
        </w:trPr>
        <w:tc>
          <w:tcPr>
            <w:tcW w:w="8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Employee compensation payable</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299.4</w:t>
            </w:r>
          </w:p>
        </w:tc>
        <w:tc>
          <w:tcPr>
            <w:tcW w:w="120" w:type="dxa"/>
            <w:vAlign w:val="bottom"/>
            <w:shd w:val="clear" w:color="auto" w:fill="CFF0FC"/>
          </w:tcPr>
          <w:p>
            <w:pPr>
              <w:spacing w:after="0"/>
              <w:rPr>
                <w:sz w:val="18"/>
                <w:szCs w:val="18"/>
                <w:color w:val="auto"/>
              </w:rPr>
            </w:pPr>
          </w:p>
        </w:tc>
      </w:tr>
      <w:tr>
        <w:trPr>
          <w:trHeight w:val="210"/>
        </w:trPr>
        <w:tc>
          <w:tcPr>
            <w:tcW w:w="8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liabilities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584.7</w:t>
            </w:r>
          </w:p>
        </w:tc>
        <w:tc>
          <w:tcPr>
            <w:tcW w:w="120" w:type="dxa"/>
            <w:vAlign w:val="bottom"/>
          </w:tcPr>
          <w:p>
            <w:pPr>
              <w:spacing w:after="0"/>
              <w:rPr>
                <w:sz w:val="18"/>
                <w:szCs w:val="18"/>
                <w:color w:val="auto"/>
              </w:rPr>
            </w:pPr>
          </w:p>
        </w:tc>
      </w:tr>
      <w:tr>
        <w:trPr>
          <w:trHeight w:val="216"/>
        </w:trPr>
        <w:tc>
          <w:tcPr>
            <w:tcW w:w="8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Accrued payroll taxes and insurance</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746.7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789.1</w:t>
            </w:r>
          </w:p>
        </w:tc>
        <w:tc>
          <w:tcPr>
            <w:tcW w:w="120" w:type="dxa"/>
            <w:vAlign w:val="bottom"/>
            <w:shd w:val="clear" w:color="auto" w:fill="CFF0FC"/>
          </w:tcPr>
          <w:p>
            <w:pPr>
              <w:spacing w:after="0"/>
              <w:rPr>
                <w:sz w:val="18"/>
                <w:szCs w:val="18"/>
                <w:color w:val="auto"/>
              </w:rPr>
            </w:pPr>
          </w:p>
        </w:tc>
      </w:tr>
      <w:tr>
        <w:trPr>
          <w:trHeight w:val="210"/>
        </w:trPr>
        <w:tc>
          <w:tcPr>
            <w:tcW w:w="8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Value added taxes payable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515.5</w:t>
            </w:r>
          </w:p>
        </w:tc>
        <w:tc>
          <w:tcPr>
            <w:tcW w:w="120" w:type="dxa"/>
            <w:vAlign w:val="bottom"/>
          </w:tcPr>
          <w:p>
            <w:pPr>
              <w:spacing w:after="0"/>
              <w:rPr>
                <w:sz w:val="18"/>
                <w:szCs w:val="18"/>
                <w:color w:val="auto"/>
              </w:rPr>
            </w:pPr>
          </w:p>
        </w:tc>
      </w:tr>
      <w:tr>
        <w:trPr>
          <w:trHeight w:val="213"/>
        </w:trPr>
        <w:tc>
          <w:tcPr>
            <w:tcW w:w="82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Short-term borrowings and current maturities of long-term debt</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5"/>
        </w:trPr>
        <w:tc>
          <w:tcPr>
            <w:tcW w:w="8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4,921.8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5,780.5</w:t>
            </w:r>
          </w:p>
        </w:tc>
        <w:tc>
          <w:tcPr>
            <w:tcW w:w="120" w:type="dxa"/>
            <w:vAlign w:val="bottom"/>
          </w:tcPr>
          <w:p>
            <w:pPr>
              <w:spacing w:after="0"/>
              <w:rPr>
                <w:sz w:val="17"/>
                <w:szCs w:val="17"/>
                <w:color w:val="auto"/>
              </w:rPr>
            </w:pPr>
          </w:p>
        </w:tc>
      </w:tr>
      <w:tr>
        <w:trPr>
          <w:trHeight w:val="216"/>
        </w:trPr>
        <w:tc>
          <w:tcPr>
            <w:tcW w:w="8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8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565.7</w:t>
            </w:r>
          </w:p>
        </w:tc>
        <w:tc>
          <w:tcPr>
            <w:tcW w:w="120" w:type="dxa"/>
            <w:vAlign w:val="bottom"/>
          </w:tcPr>
          <w:p>
            <w:pPr>
              <w:spacing w:after="0"/>
              <w:rPr>
                <w:sz w:val="18"/>
                <w:szCs w:val="18"/>
                <w:color w:val="auto"/>
              </w:rPr>
            </w:pPr>
          </w:p>
        </w:tc>
      </w:tr>
      <w:tr>
        <w:trPr>
          <w:trHeight w:val="216"/>
        </w:trPr>
        <w:tc>
          <w:tcPr>
            <w:tcW w:w="8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Long-term operating lease liability</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275.8</w:t>
            </w:r>
          </w:p>
        </w:tc>
        <w:tc>
          <w:tcPr>
            <w:tcW w:w="120" w:type="dxa"/>
            <w:vAlign w:val="bottom"/>
            <w:shd w:val="clear" w:color="auto" w:fill="CFF0FC"/>
          </w:tcPr>
          <w:p>
            <w:pPr>
              <w:spacing w:after="0"/>
              <w:rPr>
                <w:sz w:val="18"/>
                <w:szCs w:val="18"/>
                <w:color w:val="auto"/>
              </w:rPr>
            </w:pPr>
          </w:p>
        </w:tc>
      </w:tr>
      <w:tr>
        <w:trPr>
          <w:trHeight w:val="210"/>
        </w:trPr>
        <w:tc>
          <w:tcPr>
            <w:tcW w:w="8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524.0</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675.2</w:t>
            </w:r>
          </w:p>
        </w:tc>
        <w:tc>
          <w:tcPr>
            <w:tcW w:w="120" w:type="dxa"/>
            <w:vAlign w:val="bottom"/>
          </w:tcPr>
          <w:p>
            <w:pPr>
              <w:spacing w:after="0"/>
              <w:rPr>
                <w:sz w:val="18"/>
                <w:szCs w:val="18"/>
                <w:color w:val="auto"/>
              </w:rPr>
            </w:pPr>
          </w:p>
        </w:tc>
      </w:tr>
      <w:tr>
        <w:trPr>
          <w:trHeight w:val="208"/>
        </w:trPr>
        <w:tc>
          <w:tcPr>
            <w:tcW w:w="82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Total other liabilities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1,750.5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1,516.7</w:t>
            </w:r>
          </w:p>
        </w:tc>
        <w:tc>
          <w:tcPr>
            <w:tcW w:w="120" w:type="dxa"/>
            <w:vAlign w:val="bottom"/>
            <w:shd w:val="clear" w:color="auto" w:fill="CFF0FC"/>
          </w:tcPr>
          <w:p>
            <w:pPr>
              <w:spacing w:after="0"/>
              <w:rPr>
                <w:sz w:val="18"/>
                <w:szCs w:val="18"/>
                <w:color w:val="auto"/>
              </w:rPr>
            </w:pPr>
          </w:p>
        </w:tc>
      </w:tr>
      <w:tr>
        <w:trPr>
          <w:trHeight w:val="211"/>
        </w:trPr>
        <w:tc>
          <w:tcPr>
            <w:tcW w:w="8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8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ManpowerGroup shareholders' equity</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8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stock</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r>
      <w:tr>
        <w:trPr>
          <w:trHeight w:val="216"/>
        </w:trPr>
        <w:tc>
          <w:tcPr>
            <w:tcW w:w="8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3,484.2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3,444.7</w:t>
            </w:r>
          </w:p>
        </w:tc>
        <w:tc>
          <w:tcPr>
            <w:tcW w:w="120" w:type="dxa"/>
            <w:vAlign w:val="bottom"/>
            <w:shd w:val="clear" w:color="auto" w:fill="CFF0FC"/>
          </w:tcPr>
          <w:p>
            <w:pPr>
              <w:spacing w:after="0"/>
              <w:rPr>
                <w:sz w:val="18"/>
                <w:szCs w:val="18"/>
                <w:color w:val="auto"/>
              </w:rPr>
            </w:pPr>
          </w:p>
        </w:tc>
      </w:tr>
      <w:tr>
        <w:trPr>
          <w:trHeight w:val="210"/>
        </w:trPr>
        <w:tc>
          <w:tcPr>
            <w:tcW w:w="8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3,634.6</w:t>
            </w:r>
          </w:p>
        </w:tc>
        <w:tc>
          <w:tcPr>
            <w:tcW w:w="120" w:type="dxa"/>
            <w:vAlign w:val="bottom"/>
          </w:tcPr>
          <w:p>
            <w:pPr>
              <w:spacing w:after="0"/>
              <w:rPr>
                <w:sz w:val="18"/>
                <w:szCs w:val="18"/>
                <w:color w:val="auto"/>
              </w:rPr>
            </w:pPr>
          </w:p>
        </w:tc>
      </w:tr>
      <w:tr>
        <w:trPr>
          <w:trHeight w:val="216"/>
        </w:trPr>
        <w:tc>
          <w:tcPr>
            <w:tcW w:w="8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(458.7 )</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(389.4 )</w:t>
            </w:r>
          </w:p>
        </w:tc>
      </w:tr>
      <w:tr>
        <w:trPr>
          <w:trHeight w:val="210"/>
        </w:trPr>
        <w:tc>
          <w:tcPr>
            <w:tcW w:w="8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Treasury stock, at cost</w:t>
            </w:r>
          </w:p>
        </w:tc>
        <w:tc>
          <w:tcPr>
            <w:tcW w:w="20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(4,447.9 )</w:t>
            </w:r>
          </w:p>
        </w:tc>
        <w:tc>
          <w:tcPr>
            <w:tcW w:w="1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(4,169.4 )</w:t>
            </w:r>
          </w:p>
        </w:tc>
      </w:tr>
      <w:tr>
        <w:trPr>
          <w:trHeight w:val="205"/>
        </w:trPr>
        <w:tc>
          <w:tcPr>
            <w:tcW w:w="82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Total ManpowerGroup shareholders' equity</w:t>
            </w: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2,447.3</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2,521.7</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5"/>
        </w:trPr>
        <w:tc>
          <w:tcPr>
            <w:tcW w:w="8200" w:type="dxa"/>
            <w:vAlign w:val="bottom"/>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7"/>
                <w:szCs w:val="17"/>
                <w:color w:val="auto"/>
              </w:rPr>
            </w:pPr>
          </w:p>
        </w:tc>
      </w:tr>
      <w:tr>
        <w:trPr>
          <w:trHeight w:val="205"/>
        </w:trPr>
        <w:tc>
          <w:tcPr>
            <w:tcW w:w="82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2,458.1</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2,531.7</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5"/>
        </w:trPr>
        <w:tc>
          <w:tcPr>
            <w:tcW w:w="82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9,130.4</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9,828.9</w:t>
            </w:r>
          </w:p>
        </w:tc>
        <w:tc>
          <w:tcPr>
            <w:tcW w:w="120" w:type="dxa"/>
            <w:vAlign w:val="bottom"/>
          </w:tcPr>
          <w:p>
            <w:pPr>
              <w:spacing w:after="0"/>
              <w:rPr>
                <w:sz w:val="17"/>
                <w:szCs w:val="17"/>
                <w:color w:val="auto"/>
              </w:rPr>
            </w:pPr>
          </w:p>
        </w:tc>
      </w:tr>
      <w:tr>
        <w:trPr>
          <w:trHeight w:val="20"/>
        </w:trPr>
        <w:tc>
          <w:tcPr>
            <w:tcW w:w="8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4"/>
        </w:trPr>
        <w:tc>
          <w:tcPr>
            <w:tcW w:w="8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6199505</wp:posOffset>
            </wp:positionH>
            <wp:positionV relativeFrom="paragraph">
              <wp:posOffset>-5391150</wp:posOffset>
            </wp:positionV>
            <wp:extent cx="74930" cy="142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4930" cy="14287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-5391150</wp:posOffset>
            </wp:positionV>
            <wp:extent cx="67310" cy="142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6199505</wp:posOffset>
            </wp:positionH>
            <wp:positionV relativeFrom="paragraph">
              <wp:posOffset>-4572635</wp:posOffset>
            </wp:positionV>
            <wp:extent cx="74930" cy="142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4930" cy="14287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-4572635</wp:posOffset>
            </wp:positionV>
            <wp:extent cx="67310" cy="142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6199505</wp:posOffset>
            </wp:positionH>
            <wp:positionV relativeFrom="paragraph">
              <wp:posOffset>-4024630</wp:posOffset>
            </wp:positionV>
            <wp:extent cx="74930" cy="1504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4930" cy="15049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-4024630</wp:posOffset>
            </wp:positionV>
            <wp:extent cx="67310" cy="1504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10" cy="150495"/>
                    </a:xfrm>
                    <a:prstGeom prst="rect">
                      <a:avLst/>
                    </a:prstGeom>
                    <a:noFill/>
                  </pic:spPr>
                </pic:pic>
              </a:graphicData>
            </a:graphic>
          </wp:anchor>
        </w:drawing>
        <w:drawing>
          <wp:anchor simplePos="0" relativeHeight="251657728" behindDoc="1" locked="0" layoutInCell="0" allowOverlap="1">
            <wp:simplePos x="0" y="0"/>
            <wp:positionH relativeFrom="column">
              <wp:posOffset>6199505</wp:posOffset>
            </wp:positionH>
            <wp:positionV relativeFrom="paragraph">
              <wp:posOffset>-3739515</wp:posOffset>
            </wp:positionV>
            <wp:extent cx="946150" cy="157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46150" cy="157480"/>
                    </a:xfrm>
                    <a:prstGeom prst="rect">
                      <a:avLst/>
                    </a:prstGeom>
                    <a:noFill/>
                  </pic:spPr>
                </pic:pic>
              </a:graphicData>
            </a:graphic>
          </wp:anchor>
        </w:drawing>
        <w:drawing>
          <wp:anchor simplePos="0" relativeHeight="251657728" behindDoc="1" locked="0" layoutInCell="0" allowOverlap="1">
            <wp:simplePos x="0" y="0"/>
            <wp:positionH relativeFrom="column">
              <wp:posOffset>6199505</wp:posOffset>
            </wp:positionH>
            <wp:positionV relativeFrom="paragraph">
              <wp:posOffset>-2635250</wp:posOffset>
            </wp:positionV>
            <wp:extent cx="74930" cy="142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4930" cy="14287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-2635250</wp:posOffset>
            </wp:positionV>
            <wp:extent cx="67310" cy="142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6199505</wp:posOffset>
            </wp:positionH>
            <wp:positionV relativeFrom="paragraph">
              <wp:posOffset>-720090</wp:posOffset>
            </wp:positionV>
            <wp:extent cx="74930" cy="1504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4930" cy="15049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-720090</wp:posOffset>
            </wp:positionV>
            <wp:extent cx="67310" cy="1504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10" cy="150495"/>
                    </a:xfrm>
                    <a:prstGeom prst="rect">
                      <a:avLst/>
                    </a:prstGeom>
                    <a:noFill/>
                  </pic:spPr>
                </pic:pic>
              </a:graphicData>
            </a:graphic>
          </wp:anchor>
        </w:drawing>
        <w:drawing>
          <wp:anchor simplePos="0" relativeHeight="251657728" behindDoc="1" locked="0" layoutInCell="0" allowOverlap="1">
            <wp:simplePos x="0" y="0"/>
            <wp:positionH relativeFrom="column">
              <wp:posOffset>6199505</wp:posOffset>
            </wp:positionH>
            <wp:positionV relativeFrom="paragraph">
              <wp:posOffset>-434975</wp:posOffset>
            </wp:positionV>
            <wp:extent cx="74930" cy="165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4930" cy="16510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-434975</wp:posOffset>
            </wp:positionV>
            <wp:extent cx="67310" cy="165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10" cy="16510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11" w:name="page12"/>
    <w:bookmarkEnd w:id="11"/>
    <w:p>
      <w:pPr>
        <w:ind w:left="5080"/>
        <w:spacing w:after="0"/>
        <w:rPr>
          <w:sz w:val="20"/>
          <w:szCs w:val="20"/>
          <w:color w:val="auto"/>
        </w:rPr>
      </w:pPr>
      <w:r>
        <w:rPr>
          <w:rFonts w:ascii="Times New Roman" w:cs="Times New Roman" w:eastAsia="Times New Roman" w:hAnsi="Times New Roman"/>
          <w:sz w:val="16"/>
          <w:szCs w:val="16"/>
          <w:color w:val="auto"/>
        </w:rPr>
        <w:t>ManpowerGroup</w:t>
      </w:r>
    </w:p>
    <w:p>
      <w:pPr>
        <w:spacing w:after="0" w:line="4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color w:val="auto"/>
        </w:rPr>
        <w:t>Consolidated Statements of Cash Flows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8"/>
        </w:trPr>
        <w:tc>
          <w:tcPr>
            <w:tcW w:w="75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7580" w:type="dxa"/>
            <w:vAlign w:val="bottom"/>
          </w:tcPr>
          <w:p>
            <w:pPr>
              <w:spacing w:after="0"/>
              <w:rPr>
                <w:sz w:val="18"/>
                <w:szCs w:val="18"/>
                <w:color w:val="auto"/>
              </w:rPr>
            </w:pPr>
          </w:p>
        </w:tc>
        <w:tc>
          <w:tcPr>
            <w:tcW w:w="11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r>
      <w:tr>
        <w:trPr>
          <w:trHeight w:val="204"/>
        </w:trPr>
        <w:tc>
          <w:tcPr>
            <w:tcW w:w="7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w w:val="98"/>
              </w:rPr>
              <w:t>(Unaudited)</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1100" w:type="dxa"/>
            <w:vAlign w:val="bottom"/>
          </w:tcPr>
          <w:p>
            <w:pPr>
              <w:jc w:val="right"/>
              <w:ind w:right="92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373.8</w:t>
            </w:r>
          </w:p>
        </w:tc>
        <w:tc>
          <w:tcPr>
            <w:tcW w:w="120" w:type="dxa"/>
            <w:vAlign w:val="bottom"/>
          </w:tcPr>
          <w:p>
            <w:pPr>
              <w:spacing w:after="0"/>
              <w:rPr>
                <w:sz w:val="18"/>
                <w:szCs w:val="18"/>
                <w:color w:val="auto"/>
              </w:rPr>
            </w:pPr>
          </w:p>
        </w:tc>
        <w:tc>
          <w:tcPr>
            <w:tcW w:w="660" w:type="dxa"/>
            <w:vAlign w:val="bottom"/>
            <w:gridSpan w:val="2"/>
          </w:tcPr>
          <w:p>
            <w:pPr>
              <w:jc w:val="right"/>
              <w:ind w:right="32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382.4</w:t>
            </w:r>
          </w:p>
        </w:tc>
        <w:tc>
          <w:tcPr>
            <w:tcW w:w="120" w:type="dxa"/>
            <w:vAlign w:val="bottom"/>
          </w:tcPr>
          <w:p>
            <w:pPr>
              <w:spacing w:after="0"/>
              <w:rPr>
                <w:sz w:val="18"/>
                <w:szCs w:val="18"/>
                <w:color w:val="auto"/>
              </w:rPr>
            </w:pPr>
          </w:p>
        </w:tc>
      </w:tr>
      <w:tr>
        <w:trPr>
          <w:trHeight w:val="21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operating activities:</w:t>
            </w:r>
          </w:p>
        </w:tc>
        <w:tc>
          <w:tcPr>
            <w:tcW w:w="1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20" w:type="dxa"/>
            <w:vAlign w:val="bottom"/>
          </w:tcPr>
          <w:p>
            <w:pPr>
              <w:spacing w:after="0"/>
              <w:rPr>
                <w:sz w:val="18"/>
                <w:szCs w:val="18"/>
                <w:color w:val="auto"/>
              </w:rPr>
            </w:pPr>
          </w:p>
        </w:tc>
      </w:tr>
      <w:tr>
        <w:trPr>
          <w:trHeight w:val="216"/>
        </w:trPr>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Loss on sales of subsidiaries, net</w:t>
            </w:r>
          </w:p>
        </w:tc>
        <w:tc>
          <w:tcPr>
            <w:tcW w:w="1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Non-cash goodwill impairment charge</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Deferred income taxes</w:t>
            </w:r>
          </w:p>
        </w:tc>
        <w:tc>
          <w:tcPr>
            <w:tcW w:w="1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10"/>
        </w:trPr>
        <w:tc>
          <w:tcPr>
            <w:tcW w:w="7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18"/>
                <w:szCs w:val="18"/>
                <w:color w:val="auto"/>
              </w:rPr>
            </w:pPr>
          </w:p>
        </w:tc>
      </w:tr>
      <w:tr>
        <w:trPr>
          <w:trHeight w:val="216"/>
        </w:trPr>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Share-based compensation</w:t>
            </w:r>
          </w:p>
        </w:tc>
        <w:tc>
          <w:tcPr>
            <w:tcW w:w="1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20" w:type="dxa"/>
            <w:vAlign w:val="bottom"/>
            <w:shd w:val="clear" w:color="auto" w:fill="CFF0FC"/>
          </w:tcPr>
          <w:p>
            <w:pPr>
              <w:spacing w:after="0"/>
              <w:rPr>
                <w:sz w:val="18"/>
                <w:szCs w:val="18"/>
                <w:color w:val="auto"/>
              </w:rPr>
            </w:pP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1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(640.9 )</w:t>
            </w:r>
          </w:p>
        </w:tc>
      </w:tr>
      <w:tr>
        <w:trPr>
          <w:trHeight w:val="210"/>
        </w:trPr>
        <w:tc>
          <w:tcPr>
            <w:tcW w:w="7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20" w:type="dxa"/>
            <w:vAlign w:val="bottom"/>
          </w:tcPr>
          <w:p>
            <w:pPr>
              <w:spacing w:after="0"/>
              <w:rPr>
                <w:sz w:val="18"/>
                <w:szCs w:val="18"/>
                <w:color w:val="auto"/>
              </w:rPr>
            </w:pPr>
          </w:p>
        </w:tc>
      </w:tr>
      <w:tr>
        <w:trPr>
          <w:trHeight w:val="213"/>
        </w:trPr>
        <w:tc>
          <w:tcPr>
            <w:tcW w:w="7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 liabilities</w:t>
            </w:r>
          </w:p>
        </w:tc>
        <w:tc>
          <w:tcPr>
            <w:tcW w:w="11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(216.0 )</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697.5</w:t>
            </w:r>
          </w:p>
        </w:tc>
        <w:tc>
          <w:tcPr>
            <w:tcW w:w="120" w:type="dxa"/>
            <w:vAlign w:val="bottom"/>
            <w:shd w:val="clear" w:color="auto" w:fill="CFF0FC"/>
          </w:tcPr>
          <w:p>
            <w:pPr>
              <w:spacing w:after="0"/>
              <w:rPr>
                <w:sz w:val="18"/>
                <w:szCs w:val="18"/>
                <w:color w:val="auto"/>
              </w:rPr>
            </w:pPr>
          </w:p>
        </w:tc>
      </w:tr>
      <w:tr>
        <w:trPr>
          <w:trHeight w:val="205"/>
        </w:trPr>
        <w:tc>
          <w:tcPr>
            <w:tcW w:w="7580" w:type="dxa"/>
            <w:vAlign w:val="bottom"/>
            <w:tcBorders>
              <w:top w:val="single" w:sz="8" w:color="CFF0FC"/>
            </w:tcBorders>
          </w:tcPr>
          <w:p>
            <w:pPr>
              <w:ind w:left="48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1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423.3</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644.8</w:t>
            </w:r>
          </w:p>
        </w:tc>
        <w:tc>
          <w:tcPr>
            <w:tcW w:w="120" w:type="dxa"/>
            <w:vAlign w:val="bottom"/>
            <w:tcBorders>
              <w:top w:val="single" w:sz="8" w:color="CFF0FC"/>
            </w:tcBorders>
          </w:tcPr>
          <w:p>
            <w:pPr>
              <w:spacing w:after="0"/>
              <w:rPr>
                <w:sz w:val="17"/>
                <w:szCs w:val="17"/>
                <w:color w:val="auto"/>
              </w:rPr>
            </w:pPr>
          </w:p>
        </w:tc>
      </w:tr>
      <w:tr>
        <w:trPr>
          <w:trHeight w:val="208"/>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Capital expenditures</w:t>
            </w:r>
          </w:p>
        </w:tc>
        <w:tc>
          <w:tcPr>
            <w:tcW w:w="1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(75.6 )</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(64.2 )</w:t>
            </w:r>
          </w:p>
        </w:tc>
      </w:tr>
      <w:tr>
        <w:trPr>
          <w:trHeight w:val="216"/>
        </w:trPr>
        <w:tc>
          <w:tcPr>
            <w:tcW w:w="75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11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(924.4 )</w:t>
            </w:r>
          </w:p>
        </w:tc>
      </w:tr>
      <w:tr>
        <w:trPr>
          <w:trHeight w:val="210"/>
        </w:trPr>
        <w:tc>
          <w:tcPr>
            <w:tcW w:w="7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the sales of subsidiaries and property and equipment</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r>
      <w:tr>
        <w:trPr>
          <w:trHeight w:val="205"/>
        </w:trPr>
        <w:tc>
          <w:tcPr>
            <w:tcW w:w="758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110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(987.0</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7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75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Net change in short-term borrowings</w:t>
            </w:r>
          </w:p>
        </w:tc>
        <w:tc>
          <w:tcPr>
            <w:tcW w:w="1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10"/>
        </w:trPr>
        <w:tc>
          <w:tcPr>
            <w:tcW w:w="7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(repayments) proceeds of revolving debt facility</w:t>
            </w:r>
          </w:p>
        </w:tc>
        <w:tc>
          <w:tcPr>
            <w:tcW w:w="1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(75.0 )</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tcPr>
          <w:p>
            <w:pPr>
              <w:spacing w:after="0"/>
              <w:rPr>
                <w:sz w:val="18"/>
                <w:szCs w:val="18"/>
                <w:color w:val="auto"/>
              </w:rPr>
            </w:pPr>
          </w:p>
        </w:tc>
      </w:tr>
      <w:tr>
        <w:trPr>
          <w:trHeight w:val="216"/>
        </w:trPr>
        <w:tc>
          <w:tcPr>
            <w:tcW w:w="75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1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421.3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FF0FC"/>
          </w:tcPr>
          <w:p>
            <w:pPr>
              <w:spacing w:after="0"/>
              <w:rPr>
                <w:sz w:val="18"/>
                <w:szCs w:val="18"/>
                <w:color w:val="auto"/>
              </w:rPr>
            </w:pPr>
          </w:p>
        </w:tc>
      </w:tr>
      <w:tr>
        <w:trPr>
          <w:trHeight w:val="210"/>
        </w:trPr>
        <w:tc>
          <w:tcPr>
            <w:tcW w:w="7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1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(412.2 )</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16"/>
        </w:trPr>
        <w:tc>
          <w:tcPr>
            <w:tcW w:w="75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11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derivative settlement</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5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Payments of contingent consideration for acquisitions</w:t>
            </w:r>
          </w:p>
        </w:tc>
        <w:tc>
          <w:tcPr>
            <w:tcW w:w="11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(6.3 )</w:t>
            </w:r>
          </w:p>
        </w:tc>
      </w:tr>
      <w:tr>
        <w:trPr>
          <w:trHeight w:val="210"/>
        </w:trPr>
        <w:tc>
          <w:tcPr>
            <w:tcW w:w="7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share-based awards</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r>
      <w:tr>
        <w:trPr>
          <w:trHeight w:val="216"/>
        </w:trPr>
        <w:tc>
          <w:tcPr>
            <w:tcW w:w="75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Payments to noncontrolling interests</w:t>
            </w:r>
          </w:p>
        </w:tc>
        <w:tc>
          <w:tcPr>
            <w:tcW w:w="11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10"/>
        </w:trPr>
        <w:tc>
          <w:tcPr>
            <w:tcW w:w="7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share-based award transactions</w:t>
            </w:r>
          </w:p>
        </w:tc>
        <w:tc>
          <w:tcPr>
            <w:tcW w:w="1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(5.0 )</w:t>
            </w:r>
          </w:p>
        </w:tc>
      </w:tr>
      <w:tr>
        <w:trPr>
          <w:trHeight w:val="216"/>
        </w:trPr>
        <w:tc>
          <w:tcPr>
            <w:tcW w:w="75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1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(270.0 )</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(210.0 )</w:t>
            </w:r>
          </w:p>
        </w:tc>
      </w:tr>
      <w:tr>
        <w:trPr>
          <w:trHeight w:val="210"/>
        </w:trPr>
        <w:tc>
          <w:tcPr>
            <w:tcW w:w="7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Dividends paid</w:t>
            </w:r>
          </w:p>
        </w:tc>
        <w:tc>
          <w:tcPr>
            <w:tcW w:w="1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(139.9 )</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(136.6 )</w:t>
            </w:r>
          </w:p>
        </w:tc>
      </w:tr>
      <w:tr>
        <w:trPr>
          <w:trHeight w:val="205"/>
        </w:trPr>
        <w:tc>
          <w:tcPr>
            <w:tcW w:w="758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1100" w:type="dxa"/>
            <w:vAlign w:val="bottom"/>
            <w:tcBorders>
              <w:top w:val="single" w:sz="8" w:color="auto"/>
              <w:bottom w:val="single" w:sz="8" w:color="auto"/>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(482.1</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(283.7</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10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(64.7 )</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(93.4 )</w:t>
            </w:r>
          </w:p>
        </w:tc>
      </w:tr>
      <w:tr>
        <w:trPr>
          <w:trHeight w:val="208"/>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1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(719.3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1,567.1</w:t>
            </w:r>
          </w:p>
        </w:tc>
        <w:tc>
          <w:tcPr>
            <w:tcW w:w="120" w:type="dxa"/>
            <w:vAlign w:val="bottom"/>
          </w:tcPr>
          <w:p>
            <w:pPr>
              <w:spacing w:after="0"/>
              <w:rPr>
                <w:sz w:val="18"/>
                <w:szCs w:val="18"/>
                <w:color w:val="auto"/>
              </w:rPr>
            </w:pPr>
          </w:p>
        </w:tc>
      </w:tr>
      <w:tr>
        <w:trPr>
          <w:trHeight w:val="245"/>
        </w:trPr>
        <w:tc>
          <w:tcPr>
            <w:tcW w:w="7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100" w:type="dxa"/>
            <w:vAlign w:val="bottom"/>
            <w:tcBorders>
              <w:bottom w:val="single" w:sz="8" w:color="auto"/>
            </w:tcBorders>
            <w:shd w:val="clear" w:color="auto" w:fill="CFF0FC"/>
          </w:tcPr>
          <w:p>
            <w:pPr>
              <w:jc w:val="right"/>
              <w:ind w:right="92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639.0</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847.8</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384"/>
        </w:trPr>
        <w:tc>
          <w:tcPr>
            <w:tcW w:w="75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5854065</wp:posOffset>
            </wp:positionH>
            <wp:positionV relativeFrom="paragraph">
              <wp:posOffset>-3596640</wp:posOffset>
            </wp:positionV>
            <wp:extent cx="74930" cy="1504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4930" cy="15049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-3596640</wp:posOffset>
            </wp:positionV>
            <wp:extent cx="67310" cy="1504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10" cy="15049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-2762885</wp:posOffset>
            </wp:positionV>
            <wp:extent cx="74930" cy="142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4930" cy="14287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-2762885</wp:posOffset>
            </wp:positionV>
            <wp:extent cx="67310" cy="142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-855345</wp:posOffset>
            </wp:positionV>
            <wp:extent cx="74930" cy="1504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4930" cy="15049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-855345</wp:posOffset>
            </wp:positionV>
            <wp:extent cx="67310" cy="1504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10" cy="15049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-292100</wp:posOffset>
            </wp:positionV>
            <wp:extent cx="7493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-277495</wp:posOffset>
            </wp:positionV>
            <wp:extent cx="7493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-292100</wp:posOffset>
            </wp:positionV>
            <wp:extent cx="6731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-277495</wp:posOffset>
            </wp:positionV>
            <wp:extent cx="6731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6826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4070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7204075" cy="5407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2023-01-31T06:49:03Z</dcterms:created>
  <dcterms:modified xsi:type="dcterms:W3CDTF">2023-01-31T06:49:03Z</dcterms:modified>
</cp:coreProperties>
</file>