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April 21, 2015</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7"/>
              </w:rPr>
              <w:t>Wisconsin</w:t>
            </w:r>
          </w:p>
        </w:tc>
        <w:tc>
          <w:tcPr>
            <w:tcW w:w="2920" w:type="dxa"/>
            <w:vAlign w:val="bottom"/>
            <w:tcBorders>
              <w:bottom w:val="single" w:sz="8" w:color="auto"/>
            </w:tcBorders>
          </w:tcPr>
          <w:p>
            <w:pPr>
              <w:jc w:val="right"/>
              <w:ind w:right="1220"/>
              <w:spacing w:after="0"/>
              <w:rPr>
                <w:sz w:val="20"/>
                <w:szCs w:val="20"/>
                <w:color w:val="auto"/>
              </w:rPr>
            </w:pPr>
            <w:r>
              <w:rPr>
                <w:rFonts w:ascii="Arial" w:cs="Arial" w:eastAsia="Arial" w:hAnsi="Arial"/>
                <w:sz w:val="16"/>
                <w:szCs w:val="16"/>
                <w:b w:val="1"/>
                <w:bCs w:val="1"/>
                <w:color w:val="auto"/>
              </w:rPr>
              <w:t>1-10686</w:t>
            </w:r>
          </w:p>
        </w:tc>
        <w:tc>
          <w:tcPr>
            <w:tcW w:w="37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482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(Commission File Number)</w:t>
            </w:r>
          </w:p>
        </w:tc>
        <w:tc>
          <w:tcPr>
            <w:tcW w:w="370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91"/>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3"/>
        </w:trPr>
        <w:tc>
          <w:tcPr>
            <w:tcW w:w="4820" w:type="dxa"/>
            <w:vAlign w:val="bottom"/>
            <w:tcBorders>
              <w:bottom w:val="single" w:sz="8" w:color="auto"/>
            </w:tcBorders>
          </w:tcPr>
          <w:p>
            <w:pPr>
              <w:jc w:val="center"/>
              <w:ind w:left="1240"/>
              <w:spacing w:after="0"/>
              <w:rPr>
                <w:sz w:val="20"/>
                <w:szCs w:val="20"/>
                <w:color w:val="auto"/>
              </w:rPr>
            </w:pPr>
            <w:r>
              <w:rPr>
                <w:rFonts w:ascii="Arial" w:cs="Arial" w:eastAsia="Arial" w:hAnsi="Arial"/>
                <w:sz w:val="16"/>
                <w:szCs w:val="16"/>
                <w:b w:val="1"/>
                <w:bCs w:val="1"/>
                <w:color w:val="auto"/>
                <w:w w:val="91"/>
              </w:rPr>
              <w:t>Milwaukee, Wisconsin</w:t>
            </w:r>
          </w:p>
        </w:tc>
        <w:tc>
          <w:tcPr>
            <w:tcW w:w="2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92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4"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On April 21, 2015, we issued a press release announcing our results of operations for the three months ended March 31, 2015. A copy of the press release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80" w:type="dxa"/>
            <w:vAlign w:val="bottom"/>
          </w:tcPr>
          <w:p>
            <w:pPr>
              <w:ind w:left="40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412"/>
        </w:trPr>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28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16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10280" w:type="dxa"/>
            <w:vAlign w:val="bottom"/>
          </w:tcPr>
          <w:p>
            <w:pPr>
              <w:ind w:left="1040"/>
              <w:spacing w:after="0" w:line="180" w:lineRule="exact"/>
              <w:rPr>
                <w:sz w:val="20"/>
                <w:szCs w:val="20"/>
                <w:color w:val="auto"/>
              </w:rPr>
            </w:pPr>
            <w:r>
              <w:rPr>
                <w:rFonts w:ascii="Arial" w:cs="Arial" w:eastAsia="Arial" w:hAnsi="Arial"/>
                <w:sz w:val="16"/>
                <w:szCs w:val="16"/>
                <w:color w:val="auto"/>
              </w:rPr>
              <w:t>Press Release dated April 21, 2015</w:t>
            </w: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99.2</w:t>
            </w:r>
          </w:p>
        </w:tc>
        <w:tc>
          <w:tcPr>
            <w:tcW w:w="10280" w:type="dxa"/>
            <w:vAlign w:val="bottom"/>
          </w:tcPr>
          <w:p>
            <w:pPr>
              <w:ind w:left="1040"/>
              <w:spacing w:after="0"/>
              <w:rPr>
                <w:sz w:val="20"/>
                <w:szCs w:val="20"/>
                <w:color w:val="auto"/>
              </w:rPr>
            </w:pPr>
            <w:r>
              <w:rPr>
                <w:rFonts w:ascii="Arial" w:cs="Arial" w:eastAsia="Arial" w:hAnsi="Arial"/>
                <w:sz w:val="16"/>
                <w:szCs w:val="16"/>
                <w:color w:val="auto"/>
              </w:rPr>
              <w:t>Presentation materials for April 21, 2015 conference call</w:t>
            </w:r>
          </w:p>
        </w:tc>
      </w:tr>
      <w:tr>
        <w:trPr>
          <w:trHeight w:val="537"/>
        </w:trPr>
        <w:tc>
          <w:tcPr>
            <w:tcW w:w="1160" w:type="dxa"/>
            <w:vAlign w:val="bottom"/>
            <w:tcBorders>
              <w:bottom w:val="single" w:sz="8" w:color="808080"/>
            </w:tcBorders>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April 21,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555"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9940" w:type="dxa"/>
            <w:vAlign w:val="bottom"/>
          </w:tcPr>
          <w:p>
            <w:pPr>
              <w:ind w:left="360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9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50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9940" w:type="dxa"/>
            <w:vAlign w:val="bottom"/>
          </w:tcPr>
          <w:p>
            <w:pPr>
              <w:ind w:left="700"/>
              <w:spacing w:after="0" w:line="180" w:lineRule="exact"/>
              <w:rPr>
                <w:sz w:val="20"/>
                <w:szCs w:val="20"/>
                <w:color w:val="auto"/>
              </w:rPr>
            </w:pPr>
            <w:r>
              <w:rPr>
                <w:rFonts w:ascii="Arial" w:cs="Arial" w:eastAsia="Arial" w:hAnsi="Arial"/>
                <w:sz w:val="16"/>
                <w:szCs w:val="16"/>
                <w:color w:val="auto"/>
              </w:rPr>
              <w:t>Press Release dated April 21, 2015</w:t>
            </w:r>
          </w:p>
        </w:tc>
      </w:tr>
      <w:tr>
        <w:trPr>
          <w:trHeight w:val="205"/>
        </w:trPr>
        <w:tc>
          <w:tcPr>
            <w:tcW w:w="1500" w:type="dxa"/>
            <w:vAlign w:val="bottom"/>
          </w:tcPr>
          <w:p>
            <w:pPr>
              <w:spacing w:after="0"/>
              <w:rPr>
                <w:sz w:val="20"/>
                <w:szCs w:val="20"/>
                <w:color w:val="auto"/>
              </w:rPr>
            </w:pPr>
            <w:r>
              <w:rPr>
                <w:rFonts w:ascii="Arial" w:cs="Arial" w:eastAsia="Arial" w:hAnsi="Arial"/>
                <w:sz w:val="16"/>
                <w:szCs w:val="16"/>
                <w:color w:val="auto"/>
              </w:rPr>
              <w:t>99.2</w:t>
            </w:r>
          </w:p>
        </w:tc>
        <w:tc>
          <w:tcPr>
            <w:tcW w:w="9940" w:type="dxa"/>
            <w:vAlign w:val="bottom"/>
          </w:tcPr>
          <w:p>
            <w:pPr>
              <w:ind w:left="700"/>
              <w:spacing w:after="0"/>
              <w:rPr>
                <w:sz w:val="20"/>
                <w:szCs w:val="20"/>
                <w:color w:val="auto"/>
              </w:rPr>
            </w:pPr>
            <w:r>
              <w:rPr>
                <w:rFonts w:ascii="Arial" w:cs="Arial" w:eastAsia="Arial" w:hAnsi="Arial"/>
                <w:sz w:val="16"/>
                <w:szCs w:val="16"/>
                <w:color w:val="auto"/>
              </w:rPr>
              <w:t>Presentation materials for April 21, 2015 conference call</w:t>
            </w:r>
          </w:p>
        </w:tc>
      </w:tr>
    </w:tbl>
    <w:p>
      <w:pPr>
        <w:sectPr>
          <w:pgSz w:w="11900" w:h="16838" w:orient="portrait"/>
          <w:cols w:equalWidth="0" w:num="1">
            <w:col w:w="11440"/>
          </w:cols>
          <w:pgMar w:left="240" w:top="33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93115" cy="434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80"/>
        <w:spacing w:after="0"/>
        <w:tabs>
          <w:tab w:leader="none" w:pos="660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28"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Mike Van Handel</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michael.vanhandel@manpowergroup.com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ManpowerGroup Reports 1</w:t>
      </w:r>
      <w:r>
        <w:rPr>
          <w:rFonts w:ascii="Arial" w:cs="Arial" w:eastAsia="Arial" w:hAnsi="Arial"/>
          <w:sz w:val="22"/>
          <w:szCs w:val="22"/>
          <w:b w:val="1"/>
          <w:bCs w:val="1"/>
          <w:color w:val="auto"/>
          <w:vertAlign w:val="superscript"/>
        </w:rPr>
        <w:t>st</w:t>
      </w:r>
      <w:r>
        <w:rPr>
          <w:rFonts w:ascii="Arial" w:cs="Arial" w:eastAsia="Arial" w:hAnsi="Arial"/>
          <w:sz w:val="16"/>
          <w:szCs w:val="16"/>
          <w:b w:val="1"/>
          <w:bCs w:val="1"/>
          <w:color w:val="auto"/>
        </w:rPr>
        <w:t xml:space="preserve"> Quarter 2015 Results</w:t>
      </w:r>
    </w:p>
    <w:p>
      <w:pPr>
        <w:spacing w:after="0" w:line="155"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b w:val="1"/>
          <w:bCs w:val="1"/>
          <w:color w:val="auto"/>
        </w:rPr>
        <w:t xml:space="preserve">MILWAUKEE, April 21, 2015 -- </w:t>
      </w:r>
      <w:r>
        <w:rPr>
          <w:rFonts w:ascii="Arial" w:cs="Arial" w:eastAsia="Arial" w:hAnsi="Arial"/>
          <w:sz w:val="16"/>
          <w:szCs w:val="16"/>
          <w:color w:val="auto"/>
        </w:rPr>
        <w:t>ManpowerGroup (NYSE: MAN) today reported that net earnings for the three months ended March 31, 2015 were $65.7 million, or 83</w:t>
      </w:r>
      <w:r>
        <w:rPr>
          <w:rFonts w:ascii="Arial" w:cs="Arial" w:eastAsia="Arial" w:hAnsi="Arial"/>
          <w:sz w:val="16"/>
          <w:szCs w:val="16"/>
          <w:b w:val="1"/>
          <w:bCs w:val="1"/>
          <w:color w:val="auto"/>
        </w:rPr>
        <w:t xml:space="preserve"> </w:t>
      </w:r>
      <w:r>
        <w:rPr>
          <w:rFonts w:ascii="Arial" w:cs="Arial" w:eastAsia="Arial" w:hAnsi="Arial"/>
          <w:sz w:val="16"/>
          <w:szCs w:val="16"/>
          <w:color w:val="auto"/>
        </w:rPr>
        <w:t>cents per diluted share, compared to net earnings of $70.1 million, or 86 cents per diluted share, a year earlier. Revenues for the first quarter were $4.5 billion, a decrease of 7% from the prior year period.</w:t>
      </w:r>
    </w:p>
    <w:p>
      <w:pPr>
        <w:spacing w:after="0" w:line="185" w:lineRule="exact"/>
        <w:rPr>
          <w:sz w:val="20"/>
          <w:szCs w:val="20"/>
          <w:color w:val="auto"/>
        </w:rPr>
      </w:pPr>
    </w:p>
    <w:p>
      <w:pPr>
        <w:ind w:right="440" w:firstLine="593"/>
        <w:spacing w:after="0" w:line="264" w:lineRule="auto"/>
        <w:rPr>
          <w:sz w:val="20"/>
          <w:szCs w:val="20"/>
          <w:color w:val="auto"/>
        </w:rPr>
      </w:pPr>
      <w:r>
        <w:rPr>
          <w:rFonts w:ascii="Arial" w:cs="Arial" w:eastAsia="Arial" w:hAnsi="Arial"/>
          <w:sz w:val="16"/>
          <w:szCs w:val="16"/>
          <w:color w:val="auto"/>
        </w:rPr>
        <w:t>Financial results in the quarter were significantly impacted by the stronger US dollar relative to several foreign currencies compared to the prior year period. On a constant currency basis, revenues increased 7% and earnings per share increased 16%. Earnings per share in the quarter were negatively impacted 17 cents by changes in foreign currencies compared to the prior year.</w:t>
      </w:r>
    </w:p>
    <w:p>
      <w:pPr>
        <w:spacing w:after="0" w:line="186" w:lineRule="exact"/>
        <w:rPr>
          <w:sz w:val="20"/>
          <w:szCs w:val="20"/>
          <w:color w:val="auto"/>
        </w:rPr>
      </w:pPr>
    </w:p>
    <w:p>
      <w:pPr>
        <w:ind w:right="420" w:firstLine="593"/>
        <w:spacing w:after="0" w:line="282" w:lineRule="auto"/>
        <w:rPr>
          <w:sz w:val="20"/>
          <w:szCs w:val="20"/>
          <w:color w:val="auto"/>
        </w:rPr>
      </w:pPr>
      <w:r>
        <w:rPr>
          <w:rFonts w:ascii="Arial" w:cs="Arial" w:eastAsia="Arial" w:hAnsi="Arial"/>
          <w:sz w:val="15"/>
          <w:szCs w:val="15"/>
          <w:color w:val="auto"/>
        </w:rPr>
        <w:t>Jonas Prising, ManpowerGroup CEO, said, “2015 is off to a strong start as we built on the progress we made last year delivering good results in the first quarter. It is encouraging to see the early signs of more broad based improvement in Europe, setting the stage for what we believe could be a slow but sustained labor market recovery in that region. The strong start to the year gives us confidence that we are on the right track and that our focus on permanent recruitment and our market leading solutions offerings continues to pay off. We are well placed to seize further opportunities as economic trends improve.”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anticipate second quarter earnings per share will range between $1.21 to $1.29, which includes an estimated unfavorable currency impact of 29 cents.”</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conjunction with its first quarter earnings release, ManpowerGroup will broadcast its conference call live over the Internet on April 21, 2015 at 7:30 a.m. CDT</w:t>
      </w:r>
    </w:p>
    <w:p>
      <w:pPr>
        <w:spacing w:after="0" w:line="32" w:lineRule="exact"/>
        <w:rPr>
          <w:sz w:val="20"/>
          <w:szCs w:val="20"/>
          <w:color w:val="auto"/>
        </w:rPr>
      </w:pPr>
    </w:p>
    <w:p>
      <w:pPr>
        <w:ind w:right="780"/>
        <w:spacing w:after="0" w:line="261" w:lineRule="auto"/>
        <w:rPr>
          <w:sz w:val="20"/>
          <w:szCs w:val="20"/>
          <w:color w:val="auto"/>
        </w:rPr>
      </w:pPr>
      <w:r>
        <w:rPr>
          <w:rFonts w:ascii="Arial" w:cs="Arial" w:eastAsia="Arial" w:hAnsi="Arial"/>
          <w:sz w:val="16"/>
          <w:szCs w:val="16"/>
          <w:color w:val="auto"/>
        </w:rPr>
        <w:t xml:space="preserve">(8:30 a.m. EDT). Interested parties are invited to listen to the webcast and view the presentation by logging on to </w:t>
      </w:r>
      <w:r>
        <w:rPr>
          <w:rFonts w:ascii="Arial" w:cs="Arial" w:eastAsia="Arial" w:hAnsi="Arial"/>
          <w:sz w:val="16"/>
          <w:szCs w:val="16"/>
          <w:u w:val="single" w:color="auto"/>
          <w:color w:val="auto"/>
        </w:rPr>
        <w:t>http://www.manpowergroup.com</w:t>
      </w:r>
      <w:r>
        <w:rPr>
          <w:rFonts w:ascii="Arial" w:cs="Arial" w:eastAsia="Arial" w:hAnsi="Arial"/>
          <w:sz w:val="16"/>
          <w:szCs w:val="16"/>
          <w:color w:val="auto"/>
        </w:rPr>
        <w:t xml:space="preserve"> in the section titled “Investor Relations.”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w:t>
      </w:r>
      <w:r>
        <w:rPr>
          <w:rFonts w:ascii="Arial" w:cs="Arial" w:eastAsia="Arial" w:hAnsi="Arial"/>
          <w:sz w:val="16"/>
          <w:szCs w:val="16"/>
          <w:color w:val="auto"/>
        </w:rPr>
        <w:t xml:space="preserve"> in the section titled “Investor Relations.”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4" w:lineRule="exact"/>
        <w:rPr>
          <w:sz w:val="20"/>
          <w:szCs w:val="20"/>
          <w:color w:val="auto"/>
        </w:rPr>
      </w:pPr>
    </w:p>
    <w:p>
      <w:pPr>
        <w:ind w:right="460"/>
        <w:spacing w:after="0" w:line="277" w:lineRule="auto"/>
        <w:rPr>
          <w:sz w:val="20"/>
          <w:szCs w:val="20"/>
          <w:color w:val="auto"/>
        </w:rPr>
      </w:pPr>
      <w:r>
        <w:rPr>
          <w:rFonts w:ascii="Arial" w:cs="Arial" w:eastAsia="Arial" w:hAnsi="Arial"/>
          <w:sz w:val="15"/>
          <w:szCs w:val="15"/>
          <w:b w:val="1"/>
          <w:bCs w:val="1"/>
          <w:color w:val="auto"/>
        </w:rPr>
        <w:t xml:space="preserve">ManpowerGroup® (NYSE: MAN) is the world’s workforce expert, creating innovative workforce solutions for more than 65 years. As workforce experts, we connect more than 600,000 people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5"/>
          <w:szCs w:val="15"/>
          <w:b w:val="1"/>
          <w:bCs w:val="1"/>
          <w:u w:val="single" w:color="auto"/>
          <w:color w:val="auto"/>
        </w:rPr>
        <w:t>www.manpowergroup.com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2014, which information is incorporated herein by reference.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3"/>
              </w:rPr>
              <w:t>Three Months Ended March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4,542.2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4,904.0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3,780.2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4,087.5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639.2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689.6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16.1%</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92"/>
        </w:trPr>
        <w:tc>
          <w:tcPr>
            <w:tcW w:w="60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47.6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0.83</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0.88</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-5.7%</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0.83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0.86</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-3.5%</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78.7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79.8</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-1.4%</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81.2</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-2.0%</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200" w:hanging="4"/>
        <w:spacing w:after="0" w:line="351" w:lineRule="auto"/>
        <w:tabs>
          <w:tab w:leader="none" w:pos="222"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Revenues from services include fees received from our franchise offices of $5.5 million for both the three months ended March 31, 2015 and 2014. These fees are primarily based on revenues generated by the franchise offices, which were $249.9 million and $256.6 million for the three months ended March 31,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316865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3"/>
              </w:rPr>
              <w:t>Three Months Ended March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359.3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350.6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16.1%</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1,040.8</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1,217.3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274.7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20.0%</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1,537.1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1,722.0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8.4%</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533.1</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573.7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4,542.2</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4,904.0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36.8%</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68.4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23.7%</w:t>
            </w: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20.2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161.3</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(26.2)</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gridSpan w:val="2"/>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(8.2)</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r>
      <w:tr>
        <w:trPr>
          <w:trHeight w:val="192"/>
        </w:trPr>
        <w:tc>
          <w:tcPr>
            <w:tcW w:w="6080" w:type="dxa"/>
            <w:vAlign w:val="bottom"/>
            <w:gridSpan w:val="2"/>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(9.2)</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117.7</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ind w:left="4" w:right="340" w:hanging="4"/>
        <w:spacing w:after="0" w:line="264" w:lineRule="auto"/>
        <w:tabs>
          <w:tab w:leader="none" w:pos="222"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$3.4 million for both the three months ended March 31, 2015 and 2014. These fees are primarily based on revenues generated by the franchise offices, which were $168.7 million and $169.1 million for the three months ended March 31, 2015 and 2014,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2014</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8.6</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(0.5)</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(0.9)</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 (gain)</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20"/>
              <w:spacing w:after="0"/>
              <w:rPr>
                <w:sz w:val="20"/>
                <w:szCs w:val="20"/>
                <w:color w:val="auto"/>
              </w:rPr>
            </w:pPr>
            <w:r>
              <w:rPr>
                <w:rFonts w:ascii="Arial" w:cs="Arial" w:eastAsia="Arial" w:hAnsi="Arial"/>
                <w:sz w:val="16"/>
                <w:szCs w:val="16"/>
                <w:color w:val="auto"/>
              </w:rPr>
              <w:t>(1.2)</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2.7</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9.2</w:t>
            </w:r>
          </w:p>
        </w:tc>
      </w:tr>
      <w:tr>
        <w:trPr>
          <w:trHeight w:val="224"/>
        </w:trPr>
        <w:tc>
          <w:tcPr>
            <w:tcW w:w="6080" w:type="dxa"/>
            <w:vAlign w:val="bottom"/>
            <w:tcBorders>
              <w:top w:val="single" w:sz="8" w:color="CCEEFF"/>
              <w:bottom w:val="single" w:sz="8" w:color="808080"/>
            </w:tcBorders>
          </w:tcPr>
          <w:p>
            <w:pPr>
              <w:spacing w:after="0"/>
              <w:rPr>
                <w:sz w:val="19"/>
                <w:szCs w:val="19"/>
                <w:color w:val="auto"/>
              </w:rPr>
            </w:pPr>
          </w:p>
        </w:tc>
        <w:tc>
          <w:tcPr>
            <w:tcW w:w="440" w:type="dxa"/>
            <w:vAlign w:val="bottom"/>
            <w:tcBorders>
              <w:top w:val="single" w:sz="8" w:color="auto"/>
              <w:bottom w:val="single" w:sz="8" w:color="808080"/>
            </w:tcBorders>
          </w:tcPr>
          <w:p>
            <w:pPr>
              <w:spacing w:after="0"/>
              <w:rPr>
                <w:sz w:val="19"/>
                <w:szCs w:val="19"/>
                <w:color w:val="auto"/>
              </w:rPr>
            </w:pPr>
          </w:p>
        </w:tc>
        <w:tc>
          <w:tcPr>
            <w:tcW w:w="700" w:type="dxa"/>
            <w:vAlign w:val="bottom"/>
            <w:tcBorders>
              <w:top w:val="single" w:sz="8" w:color="auto"/>
              <w:bottom w:val="single" w:sz="8" w:color="808080"/>
            </w:tcBorders>
          </w:tcPr>
          <w:p>
            <w:pPr>
              <w:spacing w:after="0"/>
              <w:rPr>
                <w:sz w:val="19"/>
                <w:szCs w:val="19"/>
                <w:color w:val="auto"/>
              </w:rPr>
            </w:pPr>
          </w:p>
        </w:tc>
        <w:tc>
          <w:tcPr>
            <w:tcW w:w="220" w:type="dxa"/>
            <w:vAlign w:val="bottom"/>
            <w:tcBorders>
              <w:top w:val="single" w:sz="8" w:color="CCEEFF"/>
              <w:bottom w:val="single" w:sz="8" w:color="808080"/>
            </w:tcBorders>
          </w:tcPr>
          <w:p>
            <w:pPr>
              <w:spacing w:after="0"/>
              <w:rPr>
                <w:sz w:val="19"/>
                <w:szCs w:val="19"/>
                <w:color w:val="auto"/>
              </w:rPr>
            </w:pPr>
          </w:p>
        </w:tc>
        <w:tc>
          <w:tcPr>
            <w:tcW w:w="440" w:type="dxa"/>
            <w:vAlign w:val="bottom"/>
            <w:tcBorders>
              <w:top w:val="single" w:sz="8" w:color="auto"/>
              <w:bottom w:val="single" w:sz="8" w:color="808080"/>
            </w:tcBorders>
          </w:tcPr>
          <w:p>
            <w:pPr>
              <w:spacing w:after="0"/>
              <w:rPr>
                <w:sz w:val="19"/>
                <w:szCs w:val="19"/>
                <w:color w:val="auto"/>
              </w:rPr>
            </w:pPr>
          </w:p>
        </w:tc>
        <w:tc>
          <w:tcPr>
            <w:tcW w:w="680" w:type="dxa"/>
            <w:vAlign w:val="bottom"/>
            <w:tcBorders>
              <w:top w:val="single" w:sz="8" w:color="auto"/>
              <w:bottom w:val="single" w:sz="8" w:color="808080"/>
            </w:tcBorders>
          </w:tcPr>
          <w:p>
            <w:pPr>
              <w:spacing w:after="0"/>
              <w:rPr>
                <w:sz w:val="19"/>
                <w:szCs w:val="19"/>
                <w:color w:val="auto"/>
              </w:rPr>
            </w:pPr>
          </w:p>
        </w:tc>
        <w:tc>
          <w:tcPr>
            <w:tcW w:w="2880" w:type="dxa"/>
            <w:vAlign w:val="bottom"/>
            <w:tcBorders>
              <w:top w:val="single" w:sz="8" w:color="CCEEFF"/>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469" w:right="21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627.6</w:t>
            </w: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699.2</w:t>
            </w: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4,134.5</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147.8</w:t>
            </w: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Future income tax benefits</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52.2</w:t>
            </w: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5,033.7</w:t>
            </w: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1,075.2</w:t>
            </w: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286.8</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637.7</w:t>
            </w: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Total other assets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1,979.2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1,999.7</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and equipment: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Land, buildings, leasehold improvements and equipment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633.5</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484.4</w:t>
            </w: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40"/>
              <w:spacing w:after="0"/>
              <w:rPr>
                <w:sz w:val="20"/>
                <w:szCs w:val="20"/>
                <w:color w:val="auto"/>
              </w:rPr>
            </w:pPr>
            <w:r>
              <w:rPr>
                <w:rFonts w:ascii="Arial" w:cs="Arial" w:eastAsia="Arial" w:hAnsi="Arial"/>
                <w:sz w:val="16"/>
                <w:szCs w:val="16"/>
                <w:color w:val="auto"/>
              </w:rPr>
              <w:t>Net property and equipment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149.1</w:t>
            </w: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6,855.1</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7,182.5</w:t>
            </w:r>
          </w:p>
        </w:tc>
      </w:tr>
      <w:tr>
        <w:trPr>
          <w:trHeight w:val="180"/>
        </w:trPr>
        <w:tc>
          <w:tcPr>
            <w:tcW w:w="20" w:type="dxa"/>
            <w:vAlign w:val="bottom"/>
          </w:tcPr>
          <w:p>
            <w:pPr>
              <w:spacing w:after="0"/>
              <w:rPr>
                <w:sz w:val="15"/>
                <w:szCs w:val="15"/>
                <w:color w:val="auto"/>
              </w:rPr>
            </w:pPr>
          </w:p>
        </w:tc>
        <w:tc>
          <w:tcPr>
            <w:tcW w:w="880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1,574.2</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1,542.7</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compensation payable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204.5</w:t>
            </w: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493.3</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payroll taxes and insurance</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622.4</w:t>
            </w: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Value added taxes payable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399.0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466.3</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Short-term borrowings and current maturities of long-term debt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45.2</w:t>
            </w: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3,374.4</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423.9</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long-term liabilities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441.2</w:t>
            </w: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Total other liabilities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833.5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865.1</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in excess of par value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3,084.2</w:t>
            </w: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1,733.5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1,667.8</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(155.2)</w:t>
            </w: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Treasury stock, at cost</w:t>
            </w: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(1,702.3)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(1,654.9)</w:t>
            </w: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2,943.0</w:t>
            </w: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6,855.1</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7,182.5</w:t>
            </w: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120" w:type="dxa"/>
            <w:vAlign w:val="bottom"/>
            <w:gridSpan w:val="5"/>
          </w:tcPr>
          <w:p>
            <w:pPr>
              <w:jc w:val="center"/>
              <w:ind w:left="302"/>
              <w:spacing w:after="0"/>
              <w:rPr>
                <w:sz w:val="20"/>
                <w:szCs w:val="20"/>
                <w:color w:val="auto"/>
              </w:rPr>
            </w:pPr>
            <w:r>
              <w:rPr>
                <w:rFonts w:ascii="Arial" w:cs="Arial" w:eastAsia="Arial" w:hAnsi="Arial"/>
                <w:sz w:val="16"/>
                <w:szCs w:val="16"/>
                <w:b w:val="1"/>
                <w:bCs w:val="1"/>
                <w:color w:val="auto"/>
                <w:w w:val="92"/>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w w:val="95"/>
              </w:rPr>
              <w:t>March 31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6"/>
                <w:szCs w:val="16"/>
                <w:color w:val="auto"/>
                <w:w w:val="93"/>
              </w:rPr>
              <w:t>(Unaudited)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65.7</w:t>
            </w:r>
          </w:p>
        </w:tc>
        <w:tc>
          <w:tcPr>
            <w:tcW w:w="8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(used in) operating activities:</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share-based awards</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provided by (used in) operating activities</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financing activities</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Change in cash and cash equivalents</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699.2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737.6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627.6</w:t>
            </w:r>
          </w:p>
        </w:tc>
        <w:tc>
          <w:tcPr>
            <w:tcW w:w="140" w:type="dxa"/>
            <w:vAlign w:val="bottom"/>
          </w:tcPr>
          <w:p>
            <w:pPr>
              <w:spacing w:after="0"/>
              <w:rPr>
                <w:sz w:val="16"/>
                <w:szCs w:val="16"/>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696.5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469" w:right="219" w:bottom="1440" w:gutter="0" w:footer="0" w:header="0"/>
        </w:sectPr>
      </w:pPr>
    </w:p>
    <w:bookmarkStart w:id="9" w:name="page10"/>
    <w:bookmarkEnd w:id="9"/>
    <w:p>
      <w:pPr>
        <w:ind w:left="9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28575</wp:posOffset>
            </wp:positionV>
            <wp:extent cx="7320280" cy="5883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91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5891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6036310</wp:posOffset>
            </wp:positionV>
            <wp:extent cx="72669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drawing>
          <wp:anchor simplePos="0" relativeHeight="251657728" behindDoc="1" locked="0" layoutInCell="0" allowOverlap="1">
            <wp:simplePos x="0" y="0"/>
            <wp:positionH relativeFrom="page">
              <wp:posOffset>714375</wp:posOffset>
            </wp:positionH>
            <wp:positionV relativeFrom="page">
              <wp:posOffset>1621790</wp:posOffset>
            </wp:positionV>
            <wp:extent cx="6330950" cy="2784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30950" cy="278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2019-12-06T05:15:09Z</dcterms:created>
  <dcterms:modified xsi:type="dcterms:W3CDTF">2019-12-06T05:15:09Z</dcterms:modified>
</cp:coreProperties>
</file>