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11,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802005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Board of Directors has accepted the retirement of Terry Hueneke from the Board, effective April 14, 2014, in accordance with the retirement policy in the Company’s Corporate Governance Guidelines.</w:t>
      </w:r>
    </w:p>
    <w:p>
      <w:pPr>
        <w:spacing w:after="0" w:line="200" w:lineRule="exact"/>
        <w:rPr>
          <w:sz w:val="20"/>
          <w:szCs w:val="20"/>
          <w:color w:val="auto"/>
        </w:rPr>
      </w:pPr>
    </w:p>
    <w:p>
      <w:pPr>
        <w:spacing w:after="0" w:line="23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Effective February 11, 2014, the Company amended its Amended and Restated By-Laws (the “By-Laws”) to allow for the chairman of the board to also hold the office of executive chairman.</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full text of the amendment to the By-Laws with the amendments marked, which is attached hereto as Exhibit 3.1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60" w:type="dxa"/>
            <w:vAlign w:val="bottom"/>
          </w:tcPr>
          <w:p>
            <w:pPr>
              <w:jc w:val="right"/>
              <w:ind w:right="970"/>
              <w:spacing w:after="0"/>
              <w:rPr>
                <w:sz w:val="20"/>
                <w:szCs w:val="20"/>
                <w:color w:val="auto"/>
              </w:rPr>
            </w:pPr>
            <w:r>
              <w:rPr>
                <w:rFonts w:ascii="Arial" w:cs="Arial" w:eastAsia="Arial" w:hAnsi="Arial"/>
                <w:sz w:val="18"/>
                <w:szCs w:val="18"/>
                <w:color w:val="auto"/>
              </w:rPr>
              <w:t>3.1</w:t>
            </w:r>
          </w:p>
        </w:tc>
        <w:tc>
          <w:tcPr>
            <w:tcW w:w="10040" w:type="dxa"/>
            <w:vAlign w:val="bottom"/>
          </w:tcPr>
          <w:p>
            <w:pPr>
              <w:ind w:left="800"/>
              <w:spacing w:after="0"/>
              <w:rPr>
                <w:sz w:val="20"/>
                <w:szCs w:val="20"/>
                <w:color w:val="auto"/>
              </w:rPr>
            </w:pPr>
            <w:r>
              <w:rPr>
                <w:rFonts w:ascii="Arial" w:cs="Arial" w:eastAsia="Arial" w:hAnsi="Arial"/>
                <w:sz w:val="18"/>
                <w:szCs w:val="18"/>
                <w:color w:val="auto"/>
              </w:rPr>
              <w:t>Amendments to Articles III. and IV. of the Amended and Restated By-Laws of ManpowerGroup Inc.</w:t>
            </w:r>
          </w:p>
        </w:tc>
        <w:tc>
          <w:tcPr>
            <w:tcW w:w="0" w:type="dxa"/>
            <w:vAlign w:val="bottom"/>
          </w:tcPr>
          <w:p>
            <w:pPr>
              <w:spacing w:after="0"/>
              <w:rPr>
                <w:sz w:val="1"/>
                <w:szCs w:val="1"/>
                <w:color w:val="auto"/>
              </w:rPr>
            </w:pPr>
          </w:p>
        </w:tc>
      </w:tr>
      <w:tr>
        <w:trPr>
          <w:trHeight w:val="1225"/>
        </w:trPr>
        <w:tc>
          <w:tcPr>
            <w:tcW w:w="20" w:type="dxa"/>
            <w:vAlign w:val="bottom"/>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640" w:type="dxa"/>
            <w:vAlign w:val="bottom"/>
            <w:gridSpan w:val="2"/>
          </w:tcPr>
          <w:p>
            <w:pPr>
              <w:ind w:left="1460"/>
              <w:spacing w:after="0"/>
              <w:rPr>
                <w:sz w:val="20"/>
                <w:szCs w:val="20"/>
                <w:color w:val="auto"/>
              </w:rPr>
            </w:pPr>
            <w:r>
              <w:rPr>
                <w:rFonts w:ascii="Arial" w:cs="Arial" w:eastAsia="Arial" w:hAnsi="Arial"/>
                <w:sz w:val="18"/>
                <w:szCs w:val="18"/>
                <w:color w:val="auto"/>
              </w:rPr>
              <w:t>MANPOWERGROUP INC.</w:t>
            </w:r>
          </w:p>
        </w:tc>
        <w:tc>
          <w:tcPr>
            <w:tcW w:w="1460" w:type="dxa"/>
            <w:vAlign w:val="bottom"/>
          </w:tcPr>
          <w:p>
            <w:pPr>
              <w:spacing w:after="0"/>
              <w:rPr>
                <w:sz w:val="20"/>
                <w:szCs w:val="20"/>
                <w:color w:val="auto"/>
              </w:rPr>
            </w:pPr>
          </w:p>
        </w:tc>
      </w:tr>
      <w:tr>
        <w:trPr>
          <w:trHeight w:val="439"/>
        </w:trPr>
        <w:tc>
          <w:tcPr>
            <w:tcW w:w="3320" w:type="dxa"/>
            <w:vAlign w:val="bottom"/>
          </w:tcPr>
          <w:p>
            <w:pPr>
              <w:spacing w:after="0"/>
              <w:rPr>
                <w:sz w:val="20"/>
                <w:szCs w:val="20"/>
                <w:color w:val="auto"/>
              </w:rPr>
            </w:pPr>
            <w:r>
              <w:rPr>
                <w:rFonts w:ascii="Arial" w:cs="Arial" w:eastAsia="Arial" w:hAnsi="Arial"/>
                <w:sz w:val="18"/>
                <w:szCs w:val="18"/>
                <w:color w:val="auto"/>
              </w:rPr>
              <w:t>Dated: February 13, 2014</w:t>
            </w:r>
          </w:p>
        </w:tc>
        <w:tc>
          <w:tcPr>
            <w:tcW w:w="2000" w:type="dxa"/>
            <w:vAlign w:val="bottom"/>
          </w:tcPr>
          <w:p>
            <w:pPr>
              <w:ind w:left="14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Richard Buchband</w:t>
            </w:r>
          </w:p>
        </w:tc>
        <w:tc>
          <w:tcPr>
            <w:tcW w:w="1460" w:type="dxa"/>
            <w:vAlign w:val="bottom"/>
          </w:tcPr>
          <w:p>
            <w:pPr>
              <w:spacing w:after="0"/>
              <w:rPr>
                <w:sz w:val="24"/>
                <w:szCs w:val="24"/>
                <w:color w:val="auto"/>
              </w:rPr>
            </w:pPr>
          </w:p>
        </w:tc>
      </w:tr>
      <w:tr>
        <w:trPr>
          <w:trHeight w:val="202"/>
        </w:trPr>
        <w:tc>
          <w:tcPr>
            <w:tcW w:w="3320" w:type="dxa"/>
            <w:vAlign w:val="bottom"/>
          </w:tcPr>
          <w:p>
            <w:pPr>
              <w:spacing w:after="0"/>
              <w:rPr>
                <w:sz w:val="17"/>
                <w:szCs w:val="17"/>
                <w:color w:val="auto"/>
              </w:rPr>
            </w:pPr>
          </w:p>
        </w:tc>
        <w:tc>
          <w:tcPr>
            <w:tcW w:w="2000" w:type="dxa"/>
            <w:vAlign w:val="bottom"/>
          </w:tcPr>
          <w:p>
            <w:pPr>
              <w:ind w:left="1460"/>
              <w:spacing w:after="0" w:line="201" w:lineRule="exact"/>
              <w:rPr>
                <w:sz w:val="20"/>
                <w:szCs w:val="20"/>
                <w:color w:val="auto"/>
              </w:rPr>
            </w:pPr>
            <w:r>
              <w:rPr>
                <w:rFonts w:ascii="Arial" w:cs="Arial" w:eastAsia="Arial" w:hAnsi="Arial"/>
                <w:sz w:val="18"/>
                <w:szCs w:val="18"/>
                <w:color w:val="auto"/>
                <w:w w:val="98"/>
              </w:rPr>
              <w:t>Name:</w:t>
            </w:r>
          </w:p>
        </w:tc>
        <w:tc>
          <w:tcPr>
            <w:tcW w:w="4640" w:type="dxa"/>
            <w:vAlign w:val="bottom"/>
          </w:tcPr>
          <w:p>
            <w:pPr>
              <w:ind w:left="140"/>
              <w:spacing w:after="0" w:line="201" w:lineRule="exact"/>
              <w:rPr>
                <w:sz w:val="20"/>
                <w:szCs w:val="20"/>
                <w:color w:val="auto"/>
              </w:rPr>
            </w:pPr>
            <w:r>
              <w:rPr>
                <w:rFonts w:ascii="Arial" w:cs="Arial" w:eastAsia="Arial" w:hAnsi="Arial"/>
                <w:sz w:val="18"/>
                <w:szCs w:val="18"/>
                <w:color w:val="auto"/>
              </w:rPr>
              <w:t>Richard Buchband</w:t>
            </w:r>
          </w:p>
        </w:tc>
        <w:tc>
          <w:tcPr>
            <w:tcW w:w="14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p>
        </w:tc>
        <w:tc>
          <w:tcPr>
            <w:tcW w:w="2000" w:type="dxa"/>
            <w:vAlign w:val="bottom"/>
          </w:tcPr>
          <w:p>
            <w:pPr>
              <w:ind w:left="146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1460" w:type="dxa"/>
            <w:vAlign w:val="bottom"/>
          </w:tcPr>
          <w:p>
            <w:pPr>
              <w:spacing w:after="0"/>
              <w:rPr>
                <w:sz w:val="20"/>
                <w:szCs w:val="20"/>
                <w:color w:val="auto"/>
              </w:rPr>
            </w:pPr>
          </w:p>
        </w:tc>
      </w:tr>
      <w:tr>
        <w:trPr>
          <w:trHeight w:val="1212"/>
        </w:trPr>
        <w:tc>
          <w:tcPr>
            <w:tcW w:w="33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Amendments to Article III. and IV. of the Amended and Restated By-Laws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By-laws of ManpowerGroup Inc.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 BOARD OF DIRECTORS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w:t>
      </w:r>
      <w:r>
        <w:rPr>
          <w:rFonts w:ascii="Arial" w:cs="Arial" w:eastAsia="Arial" w:hAnsi="Arial"/>
          <w:sz w:val="18"/>
          <w:szCs w:val="18"/>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Number, Tenure and, Qualifications and Election</w:t>
      </w:r>
      <w:r>
        <w:rPr>
          <w:rFonts w:ascii="Arial" w:cs="Arial" w:eastAsia="Arial" w:hAnsi="Arial"/>
          <w:sz w:val="18"/>
          <w:szCs w:val="18"/>
          <w:color w:val="auto"/>
        </w:rPr>
        <w:t>.</w:t>
      </w:r>
    </w:p>
    <w:p>
      <w:pPr>
        <w:spacing w:after="0" w:line="279" w:lineRule="exact"/>
        <w:rPr>
          <w:sz w:val="20"/>
          <w:szCs w:val="20"/>
          <w:color w:val="auto"/>
        </w:rPr>
      </w:pPr>
    </w:p>
    <w:p>
      <w:pPr>
        <w:ind w:left="660" w:right="340" w:firstLine="1293"/>
        <w:spacing w:after="0" w:line="259" w:lineRule="auto"/>
        <w:tabs>
          <w:tab w:leader="none" w:pos="237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240" w:lineRule="exact"/>
        <w:rPr>
          <w:rFonts w:ascii="Arial" w:cs="Arial" w:eastAsia="Arial" w:hAnsi="Arial"/>
          <w:sz w:val="18"/>
          <w:szCs w:val="18"/>
          <w:color w:val="auto"/>
        </w:rPr>
      </w:pPr>
    </w:p>
    <w:p>
      <w:pPr>
        <w:ind w:left="660" w:firstLine="1293"/>
        <w:spacing w:after="0" w:line="293" w:lineRule="auto"/>
        <w:tabs>
          <w:tab w:leader="none" w:pos="2382"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Tenure.</w:t>
      </w:r>
      <w:r>
        <w:rPr>
          <w:rFonts w:ascii="Arial" w:cs="Arial" w:eastAsia="Arial" w:hAnsi="Arial"/>
          <w:sz w:val="16"/>
          <w:szCs w:val="16"/>
          <w:color w:val="auto"/>
        </w:rPr>
        <w:t xml:space="preserve"> At the 2014 annual meeting of shareholders, the successors of the directors whose terms expire at the meeting shall be elected for a term expiring at the 2015 annual meeting of shareholders and until their successors shall be elected and shall qualify; at the 2015 annual meeting of shareholders, the successors of the directors whose terms expire at that meeting shall be elected for a term expiring at the 2016 annual meeting of shareholders and until their successors shall be elected and shall qualify; and at each annual meeting of shareholders thereafter, the successors of the directors whose terms expire at that meeting shall be elected for terms expiring at the next annual meeting of shareholders and until the successors of such directors shall be duly and shall qualify, until such director resigns or until there is a decrease in the number of directors.</w:t>
      </w:r>
    </w:p>
    <w:p>
      <w:pPr>
        <w:spacing w:after="0" w:line="218" w:lineRule="exact"/>
        <w:rPr>
          <w:rFonts w:ascii="Arial" w:cs="Arial" w:eastAsia="Arial" w:hAnsi="Arial"/>
          <w:sz w:val="16"/>
          <w:szCs w:val="16"/>
          <w:color w:val="auto"/>
        </w:rPr>
      </w:pPr>
    </w:p>
    <w:p>
      <w:pPr>
        <w:ind w:left="660" w:right="480" w:firstLine="1293"/>
        <w:spacing w:after="0" w:line="259" w:lineRule="auto"/>
        <w:tabs>
          <w:tab w:leader="none" w:pos="241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Qualifications</w:t>
      </w:r>
      <w:r>
        <w:rPr>
          <w:rFonts w:ascii="Arial" w:cs="Arial" w:eastAsia="Arial" w:hAnsi="Arial"/>
          <w:sz w:val="18"/>
          <w:szCs w:val="18"/>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240" w:lineRule="exact"/>
        <w:rPr>
          <w:rFonts w:ascii="Arial" w:cs="Arial" w:eastAsia="Arial" w:hAnsi="Arial"/>
          <w:sz w:val="18"/>
          <w:szCs w:val="18"/>
          <w:color w:val="auto"/>
        </w:rPr>
      </w:pPr>
    </w:p>
    <w:p>
      <w:pPr>
        <w:ind w:left="660" w:right="20" w:firstLine="1293"/>
        <w:spacing w:after="0" w:line="291" w:lineRule="auto"/>
        <w:tabs>
          <w:tab w:leader="none" w:pos="2382"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3.2(d),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non-votesnot counted as votes cast).</w:t>
      </w:r>
    </w:p>
    <w:p>
      <w:pPr>
        <w:spacing w:after="0" w:line="194" w:lineRule="exact"/>
        <w:rPr>
          <w:sz w:val="20"/>
          <w:szCs w:val="20"/>
          <w:color w:val="auto"/>
        </w:rPr>
      </w:pPr>
    </w:p>
    <w:p>
      <w:pPr>
        <w:ind w:left="660" w:right="240"/>
        <w:spacing w:after="0" w:line="293" w:lineRule="auto"/>
        <w:rPr>
          <w:sz w:val="20"/>
          <w:szCs w:val="20"/>
          <w:color w:val="auto"/>
        </w:rPr>
      </w:pPr>
      <w:r>
        <w:rPr>
          <w:rFonts w:ascii="Arial" w:cs="Arial" w:eastAsia="Arial" w:hAnsi="Arial"/>
          <w:sz w:val="16"/>
          <w:szCs w:val="16"/>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Nominating and Governance Committee. Any such resignation shall be effective only upon its acceptance by the Board of Directors. The Nominating and Governance Committee shall recommend to the Board of Directors whether to accept or reject the tendered resignation,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92"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director who has tendered his or her resignation in accordance with this By-Law shall not participate in the Nominating and Governance Committee’s or the Board of Directors’ deliberations or decision with respect to the tendered resignation. If one or more directors’ resignations are accepted by the Board, the Nominating and Governance Committee shall recommend to the Board of Directors whether to fill such vacancy or vacancies or to reduce the size of the Board.</w:t>
      </w:r>
    </w:p>
    <w:p>
      <w:pPr>
        <w:spacing w:after="0" w:line="214"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In the event that a director does not promptly tender his or her resignation pursuant to the requirements of this Section, the Nominating and Governance Committee shall recommend to the Board of Directors whether to take such actions as may be necessary to reduce the size of the Board to eliminate such director’s position,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 If all the members of the Nominating and Governance Committee are required under this By-Law to resign, then the Board of Directors shall make its decision with respect to the tendered resignations, the size of the Board or any vacancy, as the case may be, without the recommendation of the Nominating and Governance Committee.</w:t>
      </w:r>
    </w:p>
    <w:p>
      <w:pPr>
        <w:spacing w:after="0" w:line="19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200" w:lineRule="exact"/>
        <w:rPr>
          <w:sz w:val="20"/>
          <w:szCs w:val="20"/>
          <w:color w:val="auto"/>
        </w:rPr>
      </w:pPr>
    </w:p>
    <w:p>
      <w:pPr>
        <w:ind w:right="620" w:firstLine="648"/>
        <w:spacing w:after="0" w:line="30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Removal</w:t>
      </w:r>
      <w:r>
        <w:rPr>
          <w:rFonts w:ascii="Arial" w:cs="Arial" w:eastAsia="Arial" w:hAnsi="Arial"/>
          <w:sz w:val="16"/>
          <w:szCs w:val="16"/>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3.2(d), such director and the Board of Directors shall proceed in accordance with the requirements of Section 3.2(d) with respect to such resignation.</w:t>
      </w:r>
    </w:p>
    <w:p>
      <w:pPr>
        <w:sectPr>
          <w:pgSz w:w="11900" w:h="16912" w:orient="portrait"/>
          <w:cols w:equalWidth="0" w:num="1">
            <w:col w:w="11420"/>
          </w:cols>
          <w:pgMar w:left="240" w:top="364" w:right="239" w:bottom="0" w:gutter="0" w:footer="0" w:header="0"/>
        </w:sectPr>
      </w:pPr>
    </w:p>
    <w:bookmarkStart w:id="6" w:name="page7"/>
    <w:bookmarkEnd w:id="6"/>
    <w:p>
      <w:pPr>
        <w:ind w:right="20" w:firstLine="648"/>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Vacancies</w:t>
      </w:r>
      <w:r>
        <w:rPr>
          <w:rFonts w:ascii="Arial" w:cs="Arial" w:eastAsia="Arial" w:hAnsi="Arial"/>
          <w:sz w:val="18"/>
          <w:szCs w:val="18"/>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such director’s successor shall be duly elected and shall qualify. A vacancy that will occur at a specific later date may be filled before the vacancy occurs, but the new director will not take office until the vacancy occurs.</w:t>
      </w:r>
    </w:p>
    <w:p>
      <w:pPr>
        <w:spacing w:after="0" w:line="22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committee may not do any of the following:</w:t>
      </w:r>
    </w:p>
    <w:p>
      <w:pPr>
        <w:spacing w:after="0" w:line="219" w:lineRule="exact"/>
        <w:rPr>
          <w:sz w:val="20"/>
          <w:szCs w:val="20"/>
          <w:color w:val="auto"/>
        </w:rPr>
      </w:pPr>
    </w:p>
    <w:p>
      <w:pPr>
        <w:ind w:left="660" w:right="520" w:firstLine="1293"/>
        <w:spacing w:after="0" w:line="277" w:lineRule="auto"/>
        <w:tabs>
          <w:tab w:leader="none" w:pos="2372"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or recommend to shareholders for approval any action or matter expressly required by the Wisconsin business corporation law to be submitted to shareholders for approval; or</w:t>
      </w:r>
    </w:p>
    <w:p>
      <w:pPr>
        <w:spacing w:after="0" w:line="224" w:lineRule="exact"/>
        <w:rPr>
          <w:rFonts w:ascii="Arial" w:cs="Arial" w:eastAsia="Arial" w:hAnsi="Arial"/>
          <w:sz w:val="18"/>
          <w:szCs w:val="18"/>
          <w:color w:val="auto"/>
        </w:rPr>
      </w:pPr>
    </w:p>
    <w:p>
      <w:pPr>
        <w:ind w:left="2380" w:hanging="427"/>
        <w:spacing w:after="0"/>
        <w:tabs>
          <w:tab w:leader="none" w:pos="2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 amend, or repeal any by-law of the Corporation.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20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Compensation</w:t>
      </w:r>
      <w:r>
        <w:rPr>
          <w:rFonts w:ascii="Arial" w:cs="Arial" w:eastAsia="Arial" w:hAnsi="Arial"/>
          <w:sz w:val="18"/>
          <w:szCs w:val="18"/>
          <w:color w:val="auto"/>
        </w:rPr>
        <w:t>. Except as provided in the Articles of Incorporation, the Board of Directors, irrespective of any personal interest of any of its members, may fix the compensation of directors.</w:t>
      </w:r>
    </w:p>
    <w:p>
      <w:pPr>
        <w:spacing w:after="0" w:line="19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Regular Meeting</w:t>
      </w:r>
      <w:r>
        <w:rPr>
          <w:rFonts w:ascii="Arial" w:cs="Arial" w:eastAsia="Arial" w:hAnsi="Arial"/>
          <w:sz w:val="18"/>
          <w:szCs w:val="18"/>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or at the request of the Chairman of the Board, the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21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Notice; Waiver</w:t>
      </w:r>
      <w:r>
        <w:rPr>
          <w:rFonts w:ascii="Arial" w:cs="Arial" w:eastAsia="Arial" w:hAnsi="Arial"/>
          <w:sz w:val="16"/>
          <w:szCs w:val="16"/>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19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21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Quorum; Voting</w:t>
      </w:r>
      <w:r>
        <w:rPr>
          <w:rFonts w:ascii="Arial" w:cs="Arial" w:eastAsia="Arial" w:hAnsi="Arial"/>
          <w:sz w:val="18"/>
          <w:szCs w:val="18"/>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220"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193"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Informal Action Without Meeting</w:t>
      </w:r>
      <w:r>
        <w:rPr>
          <w:rFonts w:ascii="Arial" w:cs="Arial" w:eastAsia="Arial" w:hAnsi="Arial"/>
          <w:sz w:val="16"/>
          <w:szCs w:val="16"/>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ectPr>
          <w:pgSz w:w="11900" w:h="16838" w:orient="portrait"/>
          <w:cols w:equalWidth="0" w:num="1">
            <w:col w:w="11420"/>
          </w:cols>
          <w:pgMar w:left="240" w:top="368" w:right="239" w:bottom="0" w:gutter="0" w:footer="0" w:header="0"/>
        </w:sectPr>
      </w:pPr>
    </w:p>
    <w:bookmarkStart w:id="7" w:name="page8"/>
    <w:bookmarkEnd w:id="7"/>
    <w:p>
      <w:pPr>
        <w:ind w:right="60" w:firstLine="648"/>
        <w:spacing w:after="0" w:line="271"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Telephonic or Other Meetings</w:t>
      </w:r>
      <w:r>
        <w:rPr>
          <w:rFonts w:ascii="Arial" w:cs="Arial" w:eastAsia="Arial" w:hAnsi="Arial"/>
          <w:sz w:val="17"/>
          <w:szCs w:val="17"/>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 (iii) 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20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w:t>
      </w:r>
      <w:r>
        <w:rPr>
          <w:rFonts w:ascii="Arial" w:cs="Arial" w:eastAsia="Arial" w:hAnsi="Arial"/>
          <w:sz w:val="17"/>
          <w:szCs w:val="17"/>
          <w:color w:val="auto"/>
          <w:strike w:val="1"/>
        </w:rPr>
        <w:t>. The</w:t>
      </w:r>
      <w:r>
        <w:rPr>
          <w:rFonts w:ascii="Arial" w:cs="Arial" w:eastAsia="Arial" w:hAnsi="Arial"/>
          <w:sz w:val="17"/>
          <w:szCs w:val="17"/>
          <w:u w:val="single" w:color="auto"/>
          <w:color w:val="auto"/>
        </w:rPr>
        <w:t>, but such removal shall be without prejudice to the contract rights, if any, of the person so</w:t>
      </w:r>
      <w:r>
        <w:rPr>
          <w:rFonts w:ascii="Arial" w:cs="Arial" w:eastAsia="Arial" w:hAnsi="Arial"/>
          <w:sz w:val="17"/>
          <w:szCs w:val="17"/>
          <w:color w:val="auto"/>
        </w:rPr>
        <w:t xml:space="preserve"> </w:t>
      </w:r>
      <w:r>
        <w:rPr>
          <w:rFonts w:ascii="Arial" w:cs="Arial" w:eastAsia="Arial" w:hAnsi="Arial"/>
          <w:sz w:val="17"/>
          <w:szCs w:val="17"/>
          <w:u w:val="single" w:color="auto"/>
          <w:color w:val="auto"/>
        </w:rPr>
        <w:t>removed, if the Chairman of the Board has been appointed as a principal officer of the Corporation pursuant to Section 4.1. Unless appointed as a principal officer of the Corporation pursuant to Section 4.1, the</w:t>
      </w:r>
      <w:r>
        <w:rPr>
          <w:rFonts w:ascii="Arial" w:cs="Arial" w:eastAsia="Arial" w:hAnsi="Arial"/>
          <w:sz w:val="17"/>
          <w:szCs w:val="17"/>
          <w:color w:val="auto"/>
        </w:rPr>
        <w:t xml:space="preserve"> Chairman of the Board shall not be an officer or employee of the Corporation by virtue of such position. </w:t>
      </w:r>
      <w:r>
        <w:rPr>
          <w:rFonts w:ascii="Arial" w:cs="Arial" w:eastAsia="Arial" w:hAnsi="Arial"/>
          <w:sz w:val="17"/>
          <w:szCs w:val="17"/>
          <w:color w:val="auto"/>
          <w:strike w:val="1"/>
        </w:rPr>
        <w:t>The</w:t>
      </w:r>
      <w:r>
        <w:rPr>
          <w:rFonts w:ascii="Arial" w:cs="Arial" w:eastAsia="Arial" w:hAnsi="Arial"/>
          <w:sz w:val="17"/>
          <w:szCs w:val="17"/>
          <w:u w:val="single" w:color="auto"/>
          <w:color w:val="auto"/>
        </w:rPr>
        <w:t>In addition to such authority, duties and responsibilities established by the Board of Directors pursuant to Section 4.2 if the Chairman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Board has been appointed as a principal officer of the Corporation pursuant to Section 4.1, the</w:t>
      </w:r>
      <w:r>
        <w:rPr>
          <w:rFonts w:ascii="Arial" w:cs="Arial" w:eastAsia="Arial" w:hAnsi="Arial"/>
          <w:sz w:val="17"/>
          <w:szCs w:val="17"/>
          <w:color w:val="auto"/>
        </w:rPr>
        <w:t xml:space="preserve"> Chairman of the Board shall preside at all annual and special meetings of shareholders and all regular and special meetings of the Board of Directors, in each case except as he delegates to the Chief Executive Officer or as otherwise may be determined by the Board of Directors.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 OFFICERS</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Principal Officers</w:t>
      </w:r>
      <w:r>
        <w:rPr>
          <w:rFonts w:ascii="Arial" w:cs="Arial" w:eastAsia="Arial" w:hAnsi="Arial"/>
          <w:sz w:val="18"/>
          <w:szCs w:val="18"/>
          <w:color w:val="auto"/>
        </w:rPr>
        <w:t xml:space="preserve">. The principal officers of the Corporation shall be appointed by the Board of Directors and shall be comprised of a Chief Executive Officer, a President or two or more Presidents, as determined by the Board of Directors, and an Executive Vice President and Chief Financial Officer. </w:t>
      </w:r>
      <w:r>
        <w:rPr>
          <w:rFonts w:ascii="Arial" w:cs="Arial" w:eastAsia="Arial" w:hAnsi="Arial"/>
          <w:sz w:val="18"/>
          <w:szCs w:val="18"/>
          <w:u w:val="single" w:color="auto"/>
          <w:color w:val="auto"/>
        </w:rPr>
        <w:t>Furthermore, the Board of Directors may appoint the Chairman of the Board to hold the principal officer position of Executive Chairman. In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 of such appointment, the Chairman of the Board may be referred to as Executive Chairman.</w:t>
      </w:r>
      <w:r>
        <w:rPr>
          <w:rFonts w:ascii="Arial" w:cs="Arial" w:eastAsia="Arial" w:hAnsi="Arial"/>
          <w:sz w:val="18"/>
          <w:szCs w:val="18"/>
          <w:color w:val="auto"/>
        </w:rPr>
        <w:t xml:space="preserve"> The Chief Executive Officer shall have the authority, subject to such requirements, terms and conditions as may be prescribed by the Board of Directors, to appoint such other officers of the Corporation as the Chief Executive Officer deems necessary or appropriate, to prescribe their powers and duties, and to delegate authority to them. Each of the officers shall hold office until a successor for such office is appointed or until his or her earlier death or removal by the Board of Directors or by the Chief Executive Officer if such officer was initially appointed by him. </w:t>
      </w:r>
      <w:r>
        <w:rPr>
          <w:rFonts w:ascii="Arial" w:cs="Arial" w:eastAsia="Arial" w:hAnsi="Arial"/>
          <w:sz w:val="18"/>
          <w:szCs w:val="18"/>
          <w:u w:val="single" w:color="auto"/>
          <w:color w:val="auto"/>
        </w:rPr>
        <w:t>At the end of the term of a Chairman of the Board appointed as a principal officer of the Corporation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pursuant to this Section 4.1 where there is no successor, his or her authority, duties and responsibilities prescribed pursuant to Section 4.2 shall revert to the Chief Executive Officer.</w:t>
      </w:r>
      <w:r>
        <w:rPr>
          <w:rFonts w:ascii="Arial" w:cs="Arial" w:eastAsia="Arial" w:hAnsi="Arial"/>
          <w:sz w:val="18"/>
          <w:szCs w:val="18"/>
          <w:color w:val="auto"/>
        </w:rPr>
        <w:t xml:space="preserve"> At the end of the term of a President where there is no successor, his or her responsibilities and authority shall revert to the Chief Executive Officer.</w:t>
      </w:r>
    </w:p>
    <w:p>
      <w:pPr>
        <w:spacing w:after="0" w:line="22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Duties of Principal Officers</w:t>
      </w:r>
      <w:r>
        <w:rPr>
          <w:rFonts w:ascii="Arial" w:cs="Arial" w:eastAsia="Arial" w:hAnsi="Arial"/>
          <w:sz w:val="16"/>
          <w:szCs w:val="16"/>
          <w:color w:val="auto"/>
        </w:rPr>
        <w:t xml:space="preserve">. Subject to such requirements, terms and conditions as may be prescribed by the Board of Directors and the duties established by the Board of Directors for the </w:t>
      </w:r>
      <w:r>
        <w:rPr>
          <w:rFonts w:ascii="Arial" w:cs="Arial" w:eastAsia="Arial" w:hAnsi="Arial"/>
          <w:sz w:val="16"/>
          <w:szCs w:val="16"/>
          <w:u w:val="single" w:color="auto"/>
          <w:color w:val="auto"/>
        </w:rPr>
        <w:t>Chairman of the Board, if appointed as a principal officer of the Corporation pursuant to 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the</w:t>
      </w:r>
      <w:r>
        <w:rPr>
          <w:rFonts w:ascii="Arial" w:cs="Arial" w:eastAsia="Arial" w:hAnsi="Arial"/>
          <w:sz w:val="16"/>
          <w:szCs w:val="16"/>
          <w:color w:val="auto"/>
        </w:rPr>
        <w:t xml:space="preserve"> President or Presidents, the Chief Executive Officer shall have overall responsibility for the business and affairs of the Corporation including such duties as are regularly and customarily performed by the chief executive officer of a corporation. Without limiting the foregoing, the Chief Executive Officer shall have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Chief Executive Officer shall preside at annual and special meetings of shareholders. The Chief Executive Officer shall have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President shall have such authority as is assigned to the person holding that office by the Board of Directors or the Chief Executive Officer. In the absence of the Chief Executive Officer or in the event of his death, inability or refusal to act, a President will have the authority to perform the duties of the Chief Executive Officer and when so acting shall have all the powers of and be subject to all the restrictions upon the Chief Executive Officer. Without limiting the foregoing, the President shall be responsible for the management of the business and affairs of the Corporation within the area of responsibility assigned to him. Within such area of responsibility, the President shall have the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Executive Vice President and Chief Financial Officer shall be the chief financial officer of the Corporation and perform such duties as are regularly and customarily performed by individuals generally holding the position of chief financial officer of a corporation.</w:t>
      </w:r>
    </w:p>
    <w:p>
      <w:pPr>
        <w:spacing w:after="0" w:line="19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u w:val="single" w:color="auto"/>
          <w:color w:val="auto"/>
        </w:rPr>
        <w:t>In addition to the authority, duties and responsibilities specified in Section 3.15, the Chairman of the Board, if appointed as a principal officer of the Corporation pursuant to Section 4.1, shall have such authority, duties and responsibilities as may be prescribed from time to time by the Board of Directors.</w:t>
      </w:r>
    </w:p>
    <w:p>
      <w:pPr>
        <w:spacing w:after="0" w:line="15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of the Corporation may be removed by the Board of Directors, and any officer of the Corporation appointed by the Chief Executive Officer may be removed by the Chief Executive Officer whenever in his or her judgment the best interests of the Corporation will be served thereby, but such removal shall be without prejudice to the contract rights, if any, of the person so removed. Election or appointment shall not in and of itself create contract rights.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Vice Presidents</w:t>
      </w:r>
      <w:r>
        <w:rPr>
          <w:rFonts w:ascii="Arial" w:cs="Arial" w:eastAsia="Arial" w:hAnsi="Arial"/>
          <w:sz w:val="18"/>
          <w:szCs w:val="18"/>
          <w:color w:val="auto"/>
        </w:rPr>
        <w:t>. One or more of the Vice Presidents may be designated as Executive Vice President or Senior Vice President. The Chief Executive Officer or a President may appoint one or more Vice Presidents who shall have such duties and responsibilities as are designated by the Chief Executive Officer or President, whoever makes such appointment. Any Vice President shall perform such duties as are incident to the area of responsibility assigned in the appointment of Vice President or as may be prescribed from time to time by the Board of Directors, a President, or the Chief Executive Officer.</w:t>
      </w:r>
    </w:p>
    <w:p>
      <w:pPr>
        <w:spacing w:after="0" w:line="21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w:t>
      </w:r>
    </w:p>
    <w:p>
      <w:pPr>
        <w:sectPr>
          <w:pgSz w:w="11900" w:h="16838" w:orient="portrait"/>
          <w:cols w:equalWidth="0" w:num="1">
            <w:col w:w="11420"/>
          </w:cols>
          <w:pgMar w:left="240" w:top="125" w:right="239" w:bottom="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Secretary by such shareholder and (vi) perform all duties incident to the office of Secretary and such other duties as may be prescribed from time to time by the Board of Directors or the President and Chief Executive Officer.</w:t>
      </w:r>
    </w:p>
    <w:p>
      <w:pPr>
        <w:spacing w:after="0" w:line="19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Chief Executive Officer.</w:t>
      </w:r>
    </w:p>
    <w:p>
      <w:pPr>
        <w:spacing w:after="0" w:line="19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Assistant Secretaries and Assistant Treasurers</w:t>
      </w:r>
      <w:r>
        <w:rPr>
          <w:rFonts w:ascii="Arial" w:cs="Arial" w:eastAsia="Arial" w:hAnsi="Arial"/>
          <w:sz w:val="16"/>
          <w:szCs w:val="16"/>
          <w:color w:val="auto"/>
        </w:rPr>
        <w:t>. An Assistant Secretary, if any, when authorized by the Board of Directors, may sign with the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Chief Executive Officer or the Secretary or the Treasurer, respectively.</w:t>
      </w:r>
    </w:p>
    <w:p>
      <w:pPr>
        <w:spacing w:after="0" w:line="18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sectPr>
      <w:pgSz w:w="11900" w:h="16838" w:orient="portrait"/>
      <w:cols w:equalWidth="0" w:num="1">
        <w:col w:w="11240"/>
      </w:cols>
      <w:pgMar w:left="2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2019-12-06T03:55:58Z</dcterms:created>
  <dcterms:modified xsi:type="dcterms:W3CDTF">2019-12-06T03:55:58Z</dcterms:modified>
</cp:coreProperties>
</file>