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restart"/>
          </w:tcPr>
          <w:p>
            <w:pPr>
              <w:spacing w:after="0" w:line="250" w:lineRule="exact"/>
              <w:rPr>
                <w:rFonts w:ascii="Arial" w:cs="Arial" w:eastAsia="Arial" w:hAnsi="Arial"/>
                <w:sz w:val="22"/>
                <w:szCs w:val="22"/>
                <w:color w:val="0000EE"/>
                <w:w w:val="95"/>
              </w:rPr>
            </w:pPr>
            <w:hyperlink r:id="rId12">
              <w:r>
                <w:rPr>
                  <w:rFonts w:ascii="Arial" w:cs="Arial" w:eastAsia="Arial" w:hAnsi="Arial"/>
                  <w:sz w:val="22"/>
                  <w:szCs w:val="22"/>
                  <w:color w:val="0000EE"/>
                  <w:w w:val="95"/>
                </w:rPr>
                <w:t>SWAN MARA E</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20" w:type="dxa"/>
            <w:vAlign w:val="bottom"/>
            <w:tcBorders>
              <w:bottom w:val="single" w:sz="8" w:color="0000EE"/>
            </w:tcBorders>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8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90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continue"/>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6"/>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40" w:type="dxa"/>
            <w:vAlign w:val="bottom"/>
            <w:gridSpan w:val="2"/>
            <w:vMerge w:val="restart"/>
          </w:tcPr>
          <w:p>
            <w:pPr>
              <w:ind w:left="720"/>
              <w:spacing w:after="0"/>
              <w:rPr>
                <w:sz w:val="20"/>
                <w:szCs w:val="20"/>
                <w:color w:val="auto"/>
              </w:rPr>
            </w:pPr>
            <w:r>
              <w:rPr>
                <w:rFonts w:ascii="Arial" w:cs="Arial" w:eastAsia="Arial" w:hAnsi="Arial"/>
                <w:sz w:val="18"/>
                <w:szCs w:val="18"/>
                <w:color w:val="0000FF"/>
              </w:rPr>
              <w:t>EVP</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10/29/2019</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3"/>
          </w:tcPr>
          <w:p>
            <w:pPr>
              <w:spacing w:after="0" w:line="198" w:lineRule="exact"/>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8"/>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10/29/2019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2,198</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92.02</w:t>
            </w:r>
            <w:r>
              <w:rPr>
                <w:rFonts w:ascii="Arial" w:cs="Arial" w:eastAsia="Arial" w:hAnsi="Arial"/>
                <w:sz w:val="22"/>
                <w:szCs w:val="22"/>
                <w:color w:val="008000"/>
                <w:w w:val="93"/>
                <w:vertAlign w:val="superscript"/>
              </w:rPr>
              <w:t>(1)</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5,030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8"/>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$92.00 to $92.03. Upon request, the reporting person will provide to the SEC staff, the issuer, or any security holder of the issuer, full information regarding the number of shares sold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10/30/2019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2019-12-24T04:57:00Z</dcterms:created>
  <dcterms:modified xsi:type="dcterms:W3CDTF">2019-12-24T04:57:00Z</dcterms:modified>
</cp:coreProperties>
</file>