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jc w:val="center"/>
        <w:spacing w:after="0" w:line="239"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April 19, 2022</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MANPOWERGROUP INC.</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6"/>
              </w:rPr>
              <w:t>Wisconsin</w:t>
            </w:r>
          </w:p>
        </w:tc>
        <w:tc>
          <w:tcPr>
            <w:tcW w:w="3080" w:type="dxa"/>
            <w:vAlign w:val="bottom"/>
            <w:gridSpan w:val="3"/>
          </w:tcPr>
          <w:p>
            <w:pPr>
              <w:jc w:val="right"/>
              <w:ind w:right="1540"/>
              <w:spacing w:after="0"/>
              <w:rPr>
                <w:sz w:val="20"/>
                <w:szCs w:val="20"/>
                <w:color w:val="auto"/>
              </w:rPr>
            </w:pPr>
            <w:r>
              <w:rPr>
                <w:rFonts w:ascii="Times New Roman" w:cs="Times New Roman" w:eastAsia="Times New Roman" w:hAnsi="Times New Roman"/>
                <w:sz w:val="16"/>
                <w:szCs w:val="16"/>
                <w:b w:val="1"/>
                <w:bCs w:val="1"/>
                <w:color w:val="auto"/>
              </w:rPr>
              <w:t>1-10686</w:t>
            </w:r>
          </w:p>
        </w:tc>
        <w:tc>
          <w:tcPr>
            <w:tcW w:w="3820" w:type="dxa"/>
            <w:vAlign w:val="bottom"/>
            <w:gridSpan w:val="2"/>
          </w:tcPr>
          <w:p>
            <w:pPr>
              <w:jc w:val="right"/>
              <w:ind w:right="1341"/>
              <w:spacing w:after="0"/>
              <w:rPr>
                <w:sz w:val="20"/>
                <w:szCs w:val="20"/>
                <w:color w:val="auto"/>
              </w:rPr>
            </w:pPr>
            <w:r>
              <w:rPr>
                <w:rFonts w:ascii="Times New Roman" w:cs="Times New Roman" w:eastAsia="Times New Roman" w:hAnsi="Times New Roman"/>
                <w:sz w:val="16"/>
                <w:szCs w:val="16"/>
                <w:b w:val="1"/>
                <w:bCs w:val="1"/>
                <w:color w:val="auto"/>
              </w:rPr>
              <w:t>39-1672779</w:t>
            </w:r>
          </w:p>
        </w:tc>
      </w:tr>
      <w:tr>
        <w:trPr>
          <w:trHeight w:val="200"/>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(State or other jurisdiction of incorporation)</w:t>
            </w:r>
          </w:p>
        </w:tc>
        <w:tc>
          <w:tcPr>
            <w:tcW w:w="2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(IRS Employer Identification No.)</w:t>
            </w:r>
          </w:p>
        </w:tc>
      </w:tr>
      <w:tr>
        <w:trPr>
          <w:trHeight w:val="258"/>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7"/>
              </w:rPr>
              <w:t>100 Manpower Place</w:t>
            </w: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0" w:type="dxa"/>
            <w:vAlign w:val="bottom"/>
          </w:tcPr>
          <w:p>
            <w:pPr>
              <w:spacing w:after="0"/>
              <w:rPr>
                <w:sz w:val="22"/>
                <w:szCs w:val="22"/>
                <w:color w:val="auto"/>
              </w:rPr>
            </w:pPr>
          </w:p>
        </w:tc>
      </w:tr>
      <w:tr>
        <w:trPr>
          <w:trHeight w:val="196"/>
        </w:trPr>
        <w:tc>
          <w:tcPr>
            <w:tcW w:w="4360" w:type="dxa"/>
            <w:vAlign w:val="bottom"/>
            <w:tcBorders>
              <w:bottom w:val="single" w:sz="8" w:color="auto"/>
            </w:tcBorders>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Milwaukee, Wisconsin</w:t>
            </w:r>
          </w:p>
        </w:tc>
        <w:tc>
          <w:tcPr>
            <w:tcW w:w="104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2"/>
          </w:tcPr>
          <w:p>
            <w:pPr>
              <w:jc w:val="right"/>
              <w:ind w:right="2421"/>
              <w:spacing w:after="0"/>
              <w:rPr>
                <w:sz w:val="20"/>
                <w:szCs w:val="20"/>
                <w:color w:val="auto"/>
              </w:rPr>
            </w:pPr>
            <w:r>
              <w:rPr>
                <w:rFonts w:ascii="Times New Roman" w:cs="Times New Roman" w:eastAsia="Times New Roman" w:hAnsi="Times New Roman"/>
                <w:sz w:val="16"/>
                <w:szCs w:val="16"/>
                <w:b w:val="1"/>
                <w:bCs w:val="1"/>
                <w:color w:val="auto"/>
              </w:rPr>
              <w:t>53212</w:t>
            </w:r>
          </w:p>
        </w:tc>
      </w:tr>
      <w:tr>
        <w:trPr>
          <w:trHeight w:val="200"/>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ind w:right="1721"/>
              <w:spacing w:after="0"/>
              <w:rPr>
                <w:sz w:val="20"/>
                <w:szCs w:val="20"/>
                <w:color w:val="auto"/>
              </w:rPr>
            </w:pPr>
            <w:r>
              <w:rPr>
                <w:rFonts w:ascii="Times New Roman" w:cs="Times New Roman" w:eastAsia="Times New Roman" w:hAnsi="Times New Roman"/>
                <w:sz w:val="16"/>
                <w:szCs w:val="16"/>
                <w:b w:val="1"/>
                <w:bCs w:val="1"/>
                <w:color w:val="auto"/>
                <w:w w:val="96"/>
              </w:rPr>
              <w:t>(Zip Code)</w:t>
            </w:r>
          </w:p>
        </w:tc>
      </w:tr>
    </w:tbl>
    <w:p>
      <w:pPr>
        <w:spacing w:after="0" w:line="71"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color w:val="auto"/>
        </w:rPr>
        <w:t>Registrant's telephone number, including area code: (414) 961-1000</w:t>
      </w:r>
    </w:p>
    <w:p>
      <w:pPr>
        <w:spacing w:after="0" w:line="112"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8"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8"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8"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7"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6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165"/>
        </w:trPr>
        <w:tc>
          <w:tcPr>
            <w:tcW w:w="376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tcPr>
          <w:p>
            <w:pPr>
              <w:spacing w:after="0"/>
              <w:rPr>
                <w:sz w:val="14"/>
                <w:szCs w:val="14"/>
                <w:color w:val="auto"/>
              </w:rPr>
            </w:pPr>
          </w:p>
        </w:tc>
      </w:tr>
      <w:tr>
        <w:trPr>
          <w:trHeight w:val="137"/>
        </w:trPr>
        <w:tc>
          <w:tcPr>
            <w:tcW w:w="3760" w:type="dxa"/>
            <w:vAlign w:val="bottom"/>
            <w:tcBorders>
              <w:left w:val="single" w:sz="8" w:color="auto"/>
              <w:bottom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Title of each class</w:t>
            </w:r>
          </w:p>
        </w:tc>
        <w:tc>
          <w:tcPr>
            <w:tcW w:w="3760" w:type="dxa"/>
            <w:vAlign w:val="bottom"/>
            <w:tcBorders>
              <w:bottom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Trading Symbol(s)</w:t>
            </w:r>
          </w:p>
        </w:tc>
        <w:tc>
          <w:tcPr>
            <w:tcW w:w="3740" w:type="dxa"/>
            <w:vAlign w:val="bottom"/>
            <w:tcBorders>
              <w:bottom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53"/>
        </w:trPr>
        <w:tc>
          <w:tcPr>
            <w:tcW w:w="3760" w:type="dxa"/>
            <w:vAlign w:val="bottom"/>
            <w:tcBorders>
              <w:left w:val="single" w:sz="8" w:color="auto"/>
              <w:bottom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color w:val="auto"/>
                <w:w w:val="98"/>
              </w:rPr>
              <w:t>Common Stock, $.01 par value</w:t>
            </w:r>
          </w:p>
        </w:tc>
        <w:tc>
          <w:tcPr>
            <w:tcW w:w="3760" w:type="dxa"/>
            <w:vAlign w:val="bottom"/>
            <w:tcBorders>
              <w:bottom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color w:val="auto"/>
              </w:rPr>
              <w:t>MAN</w:t>
            </w:r>
          </w:p>
        </w:tc>
        <w:tc>
          <w:tcPr>
            <w:tcW w:w="3740" w:type="dxa"/>
            <w:vAlign w:val="bottom"/>
            <w:tcBorders>
              <w:bottom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color w:val="auto"/>
                <w:w w:val="97"/>
              </w:rPr>
              <w:t>New York Stock Exchange</w:t>
            </w:r>
          </w:p>
        </w:tc>
      </w:tr>
    </w:tbl>
    <w:p>
      <w:pPr>
        <w:spacing w:after="0" w:line="137" w:lineRule="exact"/>
        <w:rPr>
          <w:sz w:val="24"/>
          <w:szCs w:val="24"/>
          <w:color w:val="auto"/>
        </w:rPr>
      </w:pPr>
    </w:p>
    <w:p>
      <w:pPr>
        <w:ind w:right="240"/>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6" w:lineRule="exact"/>
        <w:rPr>
          <w:sz w:val="24"/>
          <w:szCs w:val="24"/>
          <w:color w:val="auto"/>
        </w:rPr>
      </w:pPr>
    </w:p>
    <w:p>
      <w:pPr>
        <w:ind w:right="320"/>
        <w:spacing w:after="0" w:line="245"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389890</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93"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71"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20"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6"/>
          <w:szCs w:val="16"/>
          <w:color w:val="auto"/>
        </w:rPr>
        <w:t>On April 19, 2022, we issued a press release announcing our results of operations for the three months ended March 31, 2022 and 2021. A copy of the press release is attached hereto as Exhibit 99.1 and is incorporated herein by reference.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4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8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80" w:type="dxa"/>
            <w:vAlign w:val="bottom"/>
            <w:gridSpan w:val="3"/>
          </w:tcPr>
          <w:p>
            <w:pPr>
              <w:spacing w:after="0" w:line="145" w:lineRule="exact"/>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Press Release dated April 19, 2022</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400" w:type="dxa"/>
            <w:vAlign w:val="bottom"/>
            <w:vMerge w:val="restart"/>
          </w:tcPr>
          <w:p>
            <w:pPr>
              <w:ind w:left="20"/>
              <w:spacing w:after="0" w:line="158" w:lineRule="exact"/>
              <w:rPr>
                <w:rFonts w:ascii="Times New Roman" w:cs="Times New Roman" w:eastAsia="Times New Roman" w:hAnsi="Times New Roman"/>
                <w:sz w:val="16"/>
                <w:szCs w:val="16"/>
                <w:color w:val="0000FF"/>
                <w:w w:val="96"/>
              </w:rPr>
            </w:pPr>
            <w:hyperlink w:anchor="page10">
              <w:r>
                <w:rPr>
                  <w:rFonts w:ascii="Times New Roman" w:cs="Times New Roman" w:eastAsia="Times New Roman" w:hAnsi="Times New Roman"/>
                  <w:sz w:val="16"/>
                  <w:szCs w:val="16"/>
                  <w:color w:val="0000FF"/>
                  <w:w w:val="96"/>
                </w:rPr>
                <w:t>2022 Conference Call</w:t>
              </w:r>
            </w:hyperlink>
          </w:p>
        </w:tc>
        <w:tc>
          <w:tcPr>
            <w:tcW w:w="6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 w:type="dxa"/>
            <w:vAlign w:val="bottom"/>
            <w:gridSpan w:val="2"/>
            <w:vMerge w:val="restart"/>
          </w:tcPr>
          <w:p>
            <w:pPr>
              <w:spacing w:after="0" w:line="158" w:lineRule="exact"/>
              <w:rPr>
                <w:sz w:val="20"/>
                <w:szCs w:val="20"/>
                <w:color w:val="auto"/>
              </w:rPr>
            </w:pPr>
            <w:r>
              <w:rPr>
                <w:rFonts w:ascii="Times New Roman" w:cs="Times New Roman" w:eastAsia="Times New Roman" w:hAnsi="Times New Roman"/>
                <w:sz w:val="16"/>
                <w:szCs w:val="16"/>
                <w:color w:val="auto"/>
              </w:rPr>
              <w:t>99.2</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tcPr>
          <w:p>
            <w:pPr>
              <w:spacing w:after="0" w:line="145" w:lineRule="exact"/>
              <w:rPr>
                <w:rFonts w:ascii="Times New Roman" w:cs="Times New Roman" w:eastAsia="Times New Roman" w:hAnsi="Times New Roman"/>
                <w:sz w:val="16"/>
                <w:szCs w:val="16"/>
                <w:color w:val="0000FF"/>
                <w:w w:val="98"/>
              </w:rPr>
            </w:pPr>
            <w:hyperlink w:anchor="page10">
              <w:r>
                <w:rPr>
                  <w:rFonts w:ascii="Times New Roman" w:cs="Times New Roman" w:eastAsia="Times New Roman" w:hAnsi="Times New Roman"/>
                  <w:sz w:val="16"/>
                  <w:szCs w:val="16"/>
                  <w:color w:val="0000FF"/>
                  <w:w w:val="98"/>
                </w:rPr>
                <w:t>Presentation materials for April 19,</w:t>
              </w:r>
            </w:hyperlink>
          </w:p>
        </w:tc>
        <w:tc>
          <w:tcPr>
            <w:tcW w:w="1400" w:type="dxa"/>
            <w:vAlign w:val="bottom"/>
            <w:vMerge w:val="continue"/>
          </w:tcPr>
          <w:p>
            <w:pPr>
              <w:spacing w:after="0"/>
              <w:rPr>
                <w:sz w:val="13"/>
                <w:szCs w:val="13"/>
                <w:color w:val="auto"/>
              </w:rPr>
            </w:pPr>
          </w:p>
        </w:tc>
        <w:tc>
          <w:tcPr>
            <w:tcW w:w="6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gridSpan w:val="2"/>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r>
        <w:trPr>
          <w:trHeight w:val="1233"/>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73" w:lineRule="exact"/>
        <w:rPr>
          <w:sz w:val="20"/>
          <w:szCs w:val="20"/>
          <w:color w:val="auto"/>
        </w:rPr>
      </w:pPr>
    </w:p>
    <w:p>
      <w:pPr>
        <w:ind w:right="40" w:firstLine="510"/>
        <w:spacing w:after="0" w:line="26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MANPOWERGROUP INC.</w:t>
            </w:r>
          </w:p>
        </w:tc>
      </w:tr>
      <w:tr>
        <w:trPr>
          <w:trHeight w:val="342"/>
        </w:trPr>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8"/>
              </w:rPr>
              <w:t>Dated:April 19, 2022</w:t>
            </w:r>
          </w:p>
        </w:tc>
        <w:tc>
          <w:tcPr>
            <w:tcW w:w="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 John T. McGinnis</w:t>
            </w:r>
          </w:p>
        </w:tc>
      </w:tr>
      <w:tr>
        <w:trPr>
          <w:trHeight w:val="165"/>
        </w:trPr>
        <w:tc>
          <w:tcPr>
            <w:tcW w:w="740" w:type="dxa"/>
            <w:vAlign w:val="bottom"/>
          </w:tcPr>
          <w:p>
            <w:pPr>
              <w:spacing w:after="0"/>
              <w:rPr>
                <w:sz w:val="14"/>
                <w:szCs w:val="14"/>
                <w:color w:val="auto"/>
              </w:rPr>
            </w:pPr>
          </w:p>
        </w:tc>
        <w:tc>
          <w:tcPr>
            <w:tcW w:w="4560" w:type="dxa"/>
            <w:vAlign w:val="bottom"/>
            <w:tcBorders>
              <w:top w:val="single" w:sz="8" w:color="auto"/>
            </w:tcBorders>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Times New Roman" w:cs="Times New Roman" w:eastAsia="Times New Roman" w:hAnsi="Times New Roman"/>
                <w:sz w:val="16"/>
                <w:szCs w:val="16"/>
                <w:color w:val="auto"/>
              </w:rPr>
              <w:t>Name:</w:t>
            </w:r>
          </w:p>
        </w:tc>
        <w:tc>
          <w:tcPr>
            <w:tcW w:w="506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6"/>
                <w:szCs w:val="16"/>
                <w:color w:val="auto"/>
              </w:rPr>
              <w:t>John T. McGinnis</w:t>
            </w:r>
          </w:p>
        </w:tc>
      </w:tr>
      <w:tr>
        <w:trPr>
          <w:trHeight w:val="158"/>
        </w:trPr>
        <w:tc>
          <w:tcPr>
            <w:tcW w:w="74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900" w:type="dxa"/>
            <w:vAlign w:val="bottom"/>
          </w:tcPr>
          <w:p>
            <w:pPr>
              <w:ind w:left="180"/>
              <w:spacing w:after="0" w:line="158" w:lineRule="exact"/>
              <w:rPr>
                <w:sz w:val="20"/>
                <w:szCs w:val="20"/>
                <w:color w:val="auto"/>
              </w:rPr>
            </w:pPr>
            <w:r>
              <w:rPr>
                <w:rFonts w:ascii="Times New Roman" w:cs="Times New Roman" w:eastAsia="Times New Roman" w:hAnsi="Times New Roman"/>
                <w:sz w:val="16"/>
                <w:szCs w:val="16"/>
                <w:color w:val="auto"/>
              </w:rPr>
              <w:t>Title:</w:t>
            </w:r>
          </w:p>
        </w:tc>
        <w:tc>
          <w:tcPr>
            <w:tcW w:w="50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Executive Vice President and</w:t>
            </w:r>
          </w:p>
        </w:tc>
      </w:tr>
      <w:tr>
        <w:trPr>
          <w:trHeight w:val="206"/>
        </w:trPr>
        <w:tc>
          <w:tcPr>
            <w:tcW w:w="7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471"/>
        </w:trPr>
        <w:tc>
          <w:tcPr>
            <w:tcW w:w="74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-652780</wp:posOffset>
            </wp:positionV>
            <wp:extent cx="152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4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3" w:name="page4"/>
    <w:bookmarkEnd w:id="3"/>
    <w:p>
      <w:pPr>
        <w:ind w:left="10440"/>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1344295" cy="720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44295" cy="72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6760" w:val="left"/>
        </w:tabs>
        <w:rPr>
          <w:sz w:val="20"/>
          <w:szCs w:val="20"/>
          <w:color w:val="auto"/>
        </w:rPr>
      </w:pPr>
      <w:r>
        <w:rPr>
          <w:rFonts w:ascii="Times New Roman" w:cs="Times New Roman" w:eastAsia="Times New Roman" w:hAnsi="Times New Roman"/>
          <w:sz w:val="16"/>
          <w:szCs w:val="16"/>
          <w:b w:val="1"/>
          <w:bCs w:val="1"/>
          <w:color w:val="auto"/>
        </w:rPr>
        <w:t>FOR IMMEDIATE RELEASE</w:t>
      </w:r>
      <w:r>
        <w:rPr>
          <w:sz w:val="20"/>
          <w:szCs w:val="20"/>
          <w:color w:val="auto"/>
        </w:rPr>
        <w:tab/>
      </w:r>
      <w:r>
        <w:rPr>
          <w:rFonts w:ascii="Times New Roman" w:cs="Times New Roman" w:eastAsia="Times New Roman" w:hAnsi="Times New Roman"/>
          <w:sz w:val="15"/>
          <w:szCs w:val="15"/>
          <w:b w:val="1"/>
          <w:bCs w:val="1"/>
          <w:color w:val="auto"/>
        </w:rPr>
        <w:t>Contact:</w:t>
      </w:r>
    </w:p>
    <w:p>
      <w:pPr>
        <w:spacing w:after="0" w:line="17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Nick Hengst</w:t>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+1.414.906.7356</w:t>
      </w:r>
    </w:p>
    <w:p>
      <w:pPr>
        <w:ind w:left="6780"/>
        <w:spacing w:after="0"/>
        <w:rPr>
          <w:sz w:val="20"/>
          <w:szCs w:val="20"/>
          <w:color w:val="auto"/>
        </w:rPr>
      </w:pPr>
      <w:r>
        <w:rPr>
          <w:rFonts w:ascii="Times New Roman" w:cs="Times New Roman" w:eastAsia="Times New Roman" w:hAnsi="Times New Roman"/>
          <w:sz w:val="16"/>
          <w:szCs w:val="16"/>
          <w:color w:val="auto"/>
        </w:rPr>
        <w:t>nicholas.hengst@manpowergroup.com</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ManpowerGroup Reports 1</w:t>
      </w:r>
      <w:r>
        <w:rPr>
          <w:rFonts w:ascii="Arial" w:cs="Arial" w:eastAsia="Arial" w:hAnsi="Arial"/>
          <w:sz w:val="25"/>
          <w:szCs w:val="25"/>
          <w:b w:val="1"/>
          <w:bCs w:val="1"/>
          <w:color w:val="auto"/>
          <w:vertAlign w:val="superscript"/>
        </w:rPr>
        <w:t>st</w:t>
      </w:r>
      <w:r>
        <w:rPr>
          <w:rFonts w:ascii="Arial" w:cs="Arial" w:eastAsia="Arial" w:hAnsi="Arial"/>
          <w:sz w:val="19"/>
          <w:szCs w:val="19"/>
          <w:b w:val="1"/>
          <w:bCs w:val="1"/>
          <w:color w:val="auto"/>
        </w:rPr>
        <w:t xml:space="preserve"> Quarter 2022 Results</w:t>
      </w:r>
    </w:p>
    <w:p>
      <w:pPr>
        <w:spacing w:after="0" w:line="80" w:lineRule="exact"/>
        <w:rPr>
          <w:sz w:val="20"/>
          <w:szCs w:val="20"/>
          <w:color w:val="auto"/>
        </w:rPr>
      </w:pPr>
    </w:p>
    <w:p>
      <w:pPr>
        <w:ind w:left="1120" w:right="20" w:hanging="375"/>
        <w:spacing w:after="0" w:line="272" w:lineRule="auto"/>
        <w:tabs>
          <w:tab w:leader="none" w:pos="112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Good revenue growth and record levels of permanent recruitment activity, resulting in 4% revenue increase (10% constant currency (CC)) and gross profit margin of 17.4%</w:t>
      </w:r>
    </w:p>
    <w:p>
      <w:pPr>
        <w:spacing w:after="0" w:line="29" w:lineRule="exact"/>
        <w:rPr>
          <w:rFonts w:ascii="Times New Roman" w:cs="Times New Roman" w:eastAsia="Times New Roman" w:hAnsi="Times New Roman"/>
          <w:sz w:val="17"/>
          <w:szCs w:val="17"/>
          <w:color w:val="auto"/>
        </w:rPr>
      </w:pPr>
    </w:p>
    <w:p>
      <w:pPr>
        <w:ind w:left="1120" w:right="20" w:hanging="375"/>
        <w:spacing w:after="0" w:line="272" w:lineRule="auto"/>
        <w:tabs>
          <w:tab w:leader="none" w:pos="112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Strong performance of higher margin brands during the quarter with Experis recording 31% revenue growth (15% organic CC) and Talent Solutions 10% revenue growth (13% CC). Manpower delivered solid growth (-2% as reported; +5% organic CC).</w:t>
      </w:r>
    </w:p>
    <w:p>
      <w:pPr>
        <w:spacing w:after="0" w:line="29" w:lineRule="exact"/>
        <w:rPr>
          <w:rFonts w:ascii="Times New Roman" w:cs="Times New Roman" w:eastAsia="Times New Roman" w:hAnsi="Times New Roman"/>
          <w:sz w:val="17"/>
          <w:szCs w:val="17"/>
          <w:color w:val="auto"/>
        </w:rPr>
      </w:pPr>
    </w:p>
    <w:p>
      <w:pPr>
        <w:ind w:left="1120" w:hanging="375"/>
        <w:spacing w:after="0"/>
        <w:tabs>
          <w:tab w:leader="none" w:pos="112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Improved profitability with expanded EBITA and operating profit margins during the quarter</w:t>
      </w:r>
    </w:p>
    <w:p>
      <w:pPr>
        <w:spacing w:after="0" w:line="87" w:lineRule="exact"/>
        <w:rPr>
          <w:rFonts w:ascii="Times New Roman" w:cs="Times New Roman" w:eastAsia="Times New Roman" w:hAnsi="Times New Roman"/>
          <w:sz w:val="17"/>
          <w:szCs w:val="17"/>
          <w:color w:val="auto"/>
        </w:rPr>
      </w:pPr>
    </w:p>
    <w:p>
      <w:pPr>
        <w:ind w:left="1120" w:hanging="375"/>
        <w:spacing w:after="0"/>
        <w:tabs>
          <w:tab w:leader="none" w:pos="112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growth in earnings per share year over year</w:t>
      </w:r>
    </w:p>
    <w:p>
      <w:pPr>
        <w:spacing w:after="0" w:line="87" w:lineRule="exact"/>
        <w:rPr>
          <w:rFonts w:ascii="Times New Roman" w:cs="Times New Roman" w:eastAsia="Times New Roman" w:hAnsi="Times New Roman"/>
          <w:sz w:val="17"/>
          <w:szCs w:val="17"/>
          <w:color w:val="auto"/>
        </w:rPr>
      </w:pPr>
    </w:p>
    <w:p>
      <w:pPr>
        <w:ind w:left="1120" w:right="20" w:hanging="375"/>
        <w:spacing w:after="0" w:line="272" w:lineRule="auto"/>
        <w:tabs>
          <w:tab w:leader="none" w:pos="112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Company repurchased $60 million of common stock during the quarter; reduced incremental acquisition debt from $75 million to $50 million</w:t>
      </w:r>
    </w:p>
    <w:p>
      <w:pPr>
        <w:spacing w:after="0" w:line="275" w:lineRule="exact"/>
        <w:rPr>
          <w:sz w:val="20"/>
          <w:szCs w:val="20"/>
          <w:color w:val="auto"/>
        </w:rPr>
      </w:pPr>
    </w:p>
    <w:p>
      <w:pPr>
        <w:jc w:val="both"/>
        <w:ind w:right="20"/>
        <w:spacing w:after="0" w:line="363" w:lineRule="auto"/>
        <w:rPr>
          <w:sz w:val="20"/>
          <w:szCs w:val="20"/>
          <w:color w:val="auto"/>
        </w:rPr>
      </w:pPr>
      <w:r>
        <w:rPr>
          <w:rFonts w:ascii="Arial" w:cs="Arial" w:eastAsia="Arial" w:hAnsi="Arial"/>
          <w:sz w:val="17"/>
          <w:szCs w:val="17"/>
          <w:b w:val="1"/>
          <w:bCs w:val="1"/>
          <w:color w:val="auto"/>
        </w:rPr>
        <w:t xml:space="preserve">MILWAUKEE, April 19, 2022 -- </w:t>
      </w:r>
      <w:r>
        <w:rPr>
          <w:rFonts w:ascii="Arial" w:cs="Arial" w:eastAsia="Arial" w:hAnsi="Arial"/>
          <w:sz w:val="17"/>
          <w:szCs w:val="17"/>
          <w:color w:val="auto"/>
        </w:rPr>
        <w:t>ManpowerGroup (NYSE: MAN) today reported net earnings of $1.68 per diluted share for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March 31, 2022 compared to $1.11 per diluted share in the prior year period. Net earnings in the quarter were $91.6 million compared to $62.0 million a year earlier. Revenues for the first quarter were $5.1 billion, a 4% increase from the prior year period.</w:t>
      </w:r>
    </w:p>
    <w:p>
      <w:pPr>
        <w:spacing w:after="0" w:line="2" w:lineRule="exact"/>
        <w:rPr>
          <w:sz w:val="20"/>
          <w:szCs w:val="20"/>
          <w:color w:val="auto"/>
        </w:rPr>
      </w:pPr>
    </w:p>
    <w:p>
      <w:pPr>
        <w:jc w:val="both"/>
        <w:ind w:firstLine="294"/>
        <w:spacing w:after="0" w:line="363" w:lineRule="auto"/>
        <w:rPr>
          <w:sz w:val="20"/>
          <w:szCs w:val="20"/>
          <w:color w:val="auto"/>
        </w:rPr>
      </w:pPr>
      <w:r>
        <w:rPr>
          <w:rFonts w:ascii="Arial" w:cs="Arial" w:eastAsia="Arial" w:hAnsi="Arial"/>
          <w:sz w:val="17"/>
          <w:szCs w:val="17"/>
          <w:color w:val="auto"/>
        </w:rPr>
        <w:t>The current year quarter included integration costs from the U.S. Experis acquisition and the net loss related to the sale of our Russia business in January. These costs reduced earnings per share by $0.20 in the current quarter. Excluding these costs, earnings per share was $1.88 per diluted share in the quarter.</w:t>
      </w:r>
    </w:p>
    <w:p>
      <w:pPr>
        <w:jc w:val="both"/>
        <w:ind w:right="20" w:firstLine="231"/>
        <w:spacing w:after="0" w:line="363" w:lineRule="auto"/>
        <w:rPr>
          <w:sz w:val="20"/>
          <w:szCs w:val="20"/>
          <w:color w:val="auto"/>
        </w:rPr>
      </w:pPr>
      <w:r>
        <w:rPr>
          <w:rFonts w:ascii="Arial" w:cs="Arial" w:eastAsia="Arial" w:hAnsi="Arial"/>
          <w:sz w:val="17"/>
          <w:szCs w:val="17"/>
          <w:color w:val="auto"/>
        </w:rPr>
        <w:t>Financial results in the quarter were also impacted by the stronger U.S. dollar relative to foreign currencies compared to the prior year period, resulting in a 10 cent negative impact to earnings per share in the quarter compared to the prior year. On a constant currency basis, revenues increased 10% (6% organic constant currency) compared to the prior year period. Excluding the net impact of integration costs and the loss from our Russia disposition, on a constant currency basis net earnings per diluted share increased 64% during the quarter.</w:t>
      </w:r>
    </w:p>
    <w:p>
      <w:pPr>
        <w:jc w:val="both"/>
        <w:ind w:right="20" w:firstLine="217"/>
        <w:spacing w:after="0" w:line="404" w:lineRule="auto"/>
        <w:rPr>
          <w:sz w:val="20"/>
          <w:szCs w:val="20"/>
          <w:color w:val="auto"/>
        </w:rPr>
      </w:pPr>
      <w:r>
        <w:rPr>
          <w:rFonts w:ascii="Arial" w:cs="Arial" w:eastAsia="Arial" w:hAnsi="Arial"/>
          <w:sz w:val="17"/>
          <w:szCs w:val="17"/>
          <w:color w:val="auto"/>
        </w:rPr>
        <w:t>Jonas Prising, ManpowerGroup Chairman &amp; CEO, said, “Our first quarter results demonstrate very good execution of our strategic initiatives to improve our business mix and strong demand for our higher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122555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4" w:name="page5"/>
    <w:bookmarkEnd w:id="4"/>
    <w:p>
      <w:pPr>
        <w:jc w:val="both"/>
        <w:spacing w:after="0" w:line="363" w:lineRule="auto"/>
        <w:rPr>
          <w:sz w:val="20"/>
          <w:szCs w:val="20"/>
          <w:color w:val="auto"/>
        </w:rPr>
      </w:pPr>
      <w:r>
        <w:rPr>
          <w:rFonts w:ascii="Arial" w:cs="Arial" w:eastAsia="Arial" w:hAnsi="Arial"/>
          <w:sz w:val="17"/>
          <w:szCs w:val="17"/>
          <w:color w:val="auto"/>
        </w:rPr>
        <w:t>offerings. Even with the tragic events unfolding in Ukraine we continue to see good growth opportunities overall for our staffing and workforce solutions services in Europe as well as globally.</w:t>
      </w:r>
    </w:p>
    <w:p>
      <w:pPr>
        <w:jc w:val="both"/>
        <w:ind w:right="20" w:firstLine="428"/>
        <w:spacing w:after="0" w:line="363" w:lineRule="auto"/>
        <w:rPr>
          <w:sz w:val="20"/>
          <w:szCs w:val="20"/>
          <w:color w:val="auto"/>
        </w:rPr>
      </w:pPr>
      <w:r>
        <w:rPr>
          <w:rFonts w:ascii="Arial" w:cs="Arial" w:eastAsia="Arial" w:hAnsi="Arial"/>
          <w:sz w:val="17"/>
          <w:szCs w:val="17"/>
          <w:color w:val="auto"/>
        </w:rPr>
        <w:t>I am very proud of how our ManpowerGroup teams are bringing our values to life, especially in Poland and neighboring European countries: providing immediate humanitarian support to refugees from Ukraine, acting swiftly to assess, reskill and match them to employment opportunities, and working closely with our clients to advise and redefine roles to help people find work and start new lives.</w:t>
      </w:r>
    </w:p>
    <w:p>
      <w:pPr>
        <w:ind w:left="240"/>
        <w:spacing w:after="0"/>
        <w:rPr>
          <w:sz w:val="20"/>
          <w:szCs w:val="20"/>
          <w:color w:val="auto"/>
        </w:rPr>
      </w:pPr>
      <w:r>
        <w:rPr>
          <w:rFonts w:ascii="Arial" w:cs="Arial" w:eastAsia="Arial" w:hAnsi="Arial"/>
          <w:sz w:val="17"/>
          <w:szCs w:val="17"/>
          <w:color w:val="auto"/>
        </w:rPr>
        <w:t>Overall, we made good progress during the first quarter and believe that our focus on profitable growth positions us well in 2022.</w:t>
      </w:r>
    </w:p>
    <w:p>
      <w:pPr>
        <w:spacing w:after="0" w:line="100" w:lineRule="exact"/>
        <w:rPr>
          <w:sz w:val="20"/>
          <w:szCs w:val="20"/>
          <w:color w:val="auto"/>
        </w:rPr>
      </w:pPr>
    </w:p>
    <w:p>
      <w:pPr>
        <w:jc w:val="both"/>
        <w:ind w:right="20" w:firstLine="220"/>
        <w:spacing w:after="0" w:line="363" w:lineRule="auto"/>
        <w:rPr>
          <w:sz w:val="20"/>
          <w:szCs w:val="20"/>
          <w:color w:val="auto"/>
        </w:rPr>
      </w:pPr>
      <w:r>
        <w:rPr>
          <w:rFonts w:ascii="Arial" w:cs="Arial" w:eastAsia="Arial" w:hAnsi="Arial"/>
          <w:sz w:val="17"/>
          <w:szCs w:val="17"/>
          <w:color w:val="auto"/>
        </w:rPr>
        <w:t>We anticipate diluted earnings per share in the second quarter will be between $2.31 and $2.39, which includes an estimated unfavorable currency impact of 19 cents. Our guidance excludes expected integration costs ranging from $4 million to $6 million.”</w:t>
      </w:r>
    </w:p>
    <w:p>
      <w:pPr>
        <w:jc w:val="both"/>
        <w:ind w:firstLine="159"/>
        <w:spacing w:after="0" w:line="363" w:lineRule="auto"/>
        <w:rPr>
          <w:sz w:val="20"/>
          <w:szCs w:val="20"/>
          <w:color w:val="auto"/>
        </w:rPr>
      </w:pPr>
      <w:r>
        <w:rPr>
          <w:rFonts w:ascii="Arial" w:cs="Arial" w:eastAsia="Arial" w:hAnsi="Arial"/>
          <w:sz w:val="17"/>
          <w:szCs w:val="17"/>
          <w:color w:val="auto"/>
        </w:rPr>
        <w:t xml:space="preserve">In conjunction with its first quarter earnings release, ManpowerGroup will broadcast its conference call live over the Internet on April 19, 2022 at 7:30 a.m. central time (8:30 a.m. eastern time). Prepared remarks for the conference call are included within the Investor Relations section of our website at manpowergroup.com. Interested parties are invited to listen to the webcast and view the presentation by logging on to </w:t>
      </w:r>
      <w:r>
        <w:rPr>
          <w:rFonts w:ascii="Arial" w:cs="Arial" w:eastAsia="Arial" w:hAnsi="Arial"/>
          <w:sz w:val="17"/>
          <w:szCs w:val="17"/>
          <w:color w:val="0000FF"/>
        </w:rPr>
        <w:t>http://investor.manpowergroup.com/</w:t>
      </w:r>
      <w:r>
        <w:rPr>
          <w:rFonts w:ascii="Arial" w:cs="Arial" w:eastAsia="Arial" w:hAnsi="Arial"/>
          <w:sz w:val="17"/>
          <w:szCs w:val="17"/>
          <w:color w:val="000000"/>
        </w:rPr>
        <w:t>in the section titled “Investor Relations.”</w:t>
      </w:r>
    </w:p>
    <w:p>
      <w:pPr>
        <w:ind w:left="140"/>
        <w:spacing w:after="0"/>
        <w:rPr>
          <w:sz w:val="20"/>
          <w:szCs w:val="20"/>
          <w:color w:val="auto"/>
        </w:rPr>
      </w:pPr>
      <w:r>
        <w:rPr>
          <w:rFonts w:ascii="Arial" w:cs="Arial" w:eastAsia="Arial" w:hAnsi="Arial"/>
          <w:sz w:val="17"/>
          <w:szCs w:val="17"/>
          <w:color w:val="auto"/>
        </w:rPr>
        <w:t xml:space="preserve">Supplemental financial information referenced in the conference call can be found at </w:t>
      </w:r>
      <w:r>
        <w:rPr>
          <w:rFonts w:ascii="Arial" w:cs="Arial" w:eastAsia="Arial" w:hAnsi="Arial"/>
          <w:sz w:val="17"/>
          <w:szCs w:val="17"/>
          <w:color w:val="0000FF"/>
        </w:rPr>
        <w:t>http://investor.manpowergroup.com/</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4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75 countries and territories and has done so for over 70 years. We are recognized consistently for our diversity - as a best place to work for Women, Inclusion, Equality and Disability and in 2022 ManpowerGroup was named one of the World's Most Ethical Companies for the 13th year - all confirming our position as the brand of choice for in-demand talent.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This news release contains statements, including statements regarding economic and geopolitical uncertainty, financial outlook, and the Company’s strategic initiatives and brands that are forward-looking in nature and, accordingly, are subject to risks and uncertainties regarding the Company’s expected future results.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2021,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300355</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81" w:right="319" w:bottom="1440" w:gutter="0" w:footer="0" w:header="0"/>
        </w:sectPr>
      </w:pPr>
    </w:p>
    <w:bookmarkStart w:id="5" w:name="page6"/>
    <w:bookmarkEnd w:id="5"/>
    <w:p>
      <w:pPr>
        <w:jc w:val="center"/>
        <w:ind w:right="-4"/>
        <w:spacing w:after="0"/>
        <w:rPr>
          <w:sz w:val="20"/>
          <w:szCs w:val="20"/>
          <w:color w:val="auto"/>
        </w:rPr>
      </w:pPr>
      <w:r>
        <w:rPr>
          <w:rFonts w:ascii="Times New Roman" w:cs="Times New Roman" w:eastAsia="Times New Roman" w:hAnsi="Times New Roman"/>
          <w:sz w:val="16"/>
          <w:szCs w:val="16"/>
          <w:color w:val="auto"/>
        </w:rPr>
        <w:t>ManpowerGroup</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Results of Operations</w:t>
      </w:r>
    </w:p>
    <w:p>
      <w:pPr>
        <w:jc w:val="center"/>
        <w:ind w:right="-4"/>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51" w:lineRule="exact"/>
        <w:rPr>
          <w:sz w:val="20"/>
          <w:szCs w:val="20"/>
          <w:color w:val="auto"/>
        </w:rPr>
      </w:pPr>
    </w:p>
    <w:tbl>
      <w:tblPr>
        <w:tblLayout w:type="fixed"/>
        <w:tblInd w:w="5"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8"/>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9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r>
      <w:tr>
        <w:trPr>
          <w:trHeight w:val="169"/>
        </w:trPr>
        <w:tc>
          <w:tcPr>
            <w:tcW w:w="5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720"/>
              <w:spacing w:after="0" w:line="169" w:lineRule="exact"/>
              <w:rPr>
                <w:sz w:val="20"/>
                <w:szCs w:val="20"/>
                <w:color w:val="auto"/>
              </w:rPr>
            </w:pPr>
            <w:r>
              <w:rPr>
                <w:rFonts w:ascii="Times New Roman" w:cs="Times New Roman" w:eastAsia="Times New Roman" w:hAnsi="Times New Roman"/>
                <w:sz w:val="16"/>
                <w:szCs w:val="16"/>
                <w:b w:val="1"/>
                <w:bCs w:val="1"/>
                <w:color w:val="auto"/>
                <w:w w:val="97"/>
              </w:rPr>
              <w:t>% Variance</w:t>
            </w: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1"/>
        </w:trPr>
        <w:tc>
          <w:tcPr>
            <w:tcW w:w="5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3"/>
          </w:tcPr>
          <w:p>
            <w:pPr>
              <w:ind w:left="60"/>
              <w:spacing w:after="0" w:line="151" w:lineRule="exact"/>
              <w:rPr>
                <w:sz w:val="20"/>
                <w:szCs w:val="20"/>
                <w:color w:val="auto"/>
              </w:rPr>
            </w:pPr>
            <w:r>
              <w:rPr>
                <w:rFonts w:ascii="Times New Roman" w:cs="Times New Roman" w:eastAsia="Times New Roman" w:hAnsi="Times New Roman"/>
                <w:sz w:val="16"/>
                <w:szCs w:val="16"/>
                <w:b w:val="1"/>
                <w:bCs w:val="1"/>
                <w:color w:val="auto"/>
              </w:rPr>
              <w:t>Amount</w:t>
            </w:r>
          </w:p>
        </w:tc>
        <w:tc>
          <w:tcPr>
            <w:tcW w:w="920" w:type="dxa"/>
            <w:vAlign w:val="bottom"/>
          </w:tcPr>
          <w:p>
            <w:pPr>
              <w:ind w:left="40"/>
              <w:spacing w:after="0" w:line="151"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240" w:type="dxa"/>
            <w:vAlign w:val="bottom"/>
          </w:tcPr>
          <w:p>
            <w:pPr>
              <w:spacing w:after="0"/>
              <w:rPr>
                <w:sz w:val="13"/>
                <w:szCs w:val="13"/>
                <w:color w:val="auto"/>
              </w:rPr>
            </w:pPr>
          </w:p>
        </w:tc>
      </w:tr>
      <w:tr>
        <w:trPr>
          <w:trHeight w:val="196"/>
        </w:trPr>
        <w:tc>
          <w:tcPr>
            <w:tcW w:w="52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40" w:type="dxa"/>
            <w:vAlign w:val="bottom"/>
          </w:tcPr>
          <w:p>
            <w:pPr>
              <w:spacing w:after="0"/>
              <w:rPr>
                <w:sz w:val="17"/>
                <w:szCs w:val="17"/>
                <w:color w:val="auto"/>
              </w:rPr>
            </w:pPr>
          </w:p>
        </w:tc>
      </w:tr>
      <w:tr>
        <w:trPr>
          <w:trHeight w:val="169"/>
        </w:trPr>
        <w:tc>
          <w:tcPr>
            <w:tcW w:w="5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gridSpan w:val="4"/>
          </w:tcPr>
          <w:p>
            <w:pPr>
              <w:ind w:left="120"/>
              <w:spacing w:after="0" w:line="169" w:lineRule="exact"/>
              <w:rPr>
                <w:sz w:val="20"/>
                <w:szCs w:val="20"/>
                <w:color w:val="auto"/>
              </w:rPr>
            </w:pPr>
            <w:r>
              <w:rPr>
                <w:rFonts w:ascii="Times New Roman" w:cs="Times New Roman" w:eastAsia="Times New Roman" w:hAnsi="Times New Roman"/>
                <w:sz w:val="16"/>
                <w:szCs w:val="16"/>
                <w:color w:val="auto"/>
              </w:rPr>
              <w:t>(Unaudited)</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7"/>
        </w:trPr>
        <w:tc>
          <w:tcPr>
            <w:tcW w:w="52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color w:val="auto"/>
              </w:rPr>
              <w:t>Revenues from services (a)</w:t>
            </w:r>
          </w:p>
        </w:tc>
        <w:tc>
          <w:tcPr>
            <w:tcW w:w="820" w:type="dxa"/>
            <w:vAlign w:val="bottom"/>
            <w:shd w:val="clear" w:color="auto" w:fill="CFF0FC"/>
          </w:tcPr>
          <w:p>
            <w:pPr>
              <w:jc w:val="right"/>
              <w:ind w:right="64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w w:val="95"/>
              </w:rPr>
              <w:t>5,143.3</w:t>
            </w:r>
          </w:p>
        </w:tc>
        <w:tc>
          <w:tcPr>
            <w:tcW w:w="1040" w:type="dxa"/>
            <w:vAlign w:val="bottom"/>
            <w:gridSpan w:val="3"/>
            <w:shd w:val="clear" w:color="auto" w:fill="CFF0FC"/>
          </w:tcPr>
          <w:p>
            <w:pPr>
              <w:jc w:val="right"/>
              <w:ind w:right="661"/>
              <w:spacing w:after="0" w:line="178"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w w:val="91"/>
              </w:rPr>
              <w:t>4,924.4</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4.4 %</w:t>
            </w:r>
          </w:p>
        </w:tc>
        <w:tc>
          <w:tcPr>
            <w:tcW w:w="3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9.8 %</w:t>
            </w:r>
          </w:p>
        </w:tc>
      </w:tr>
      <w:tr>
        <w:trPr>
          <w:trHeight w:val="177"/>
        </w:trPr>
        <w:tc>
          <w:tcPr>
            <w:tcW w:w="528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Cost of services</w:t>
            </w: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95"/>
              </w:rPr>
              <w:t>4,246.2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91"/>
              </w:rPr>
              <w:t>4,156.3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2.2 %</w:t>
            </w:r>
          </w:p>
        </w:tc>
        <w:tc>
          <w:tcPr>
            <w:tcW w:w="380" w:type="dxa"/>
            <w:vAlign w:val="bottom"/>
          </w:tcPr>
          <w:p>
            <w:pPr>
              <w:spacing w:after="0"/>
              <w:rPr>
                <w:sz w:val="15"/>
                <w:szCs w:val="15"/>
                <w:color w:val="auto"/>
              </w:rPr>
            </w:pPr>
          </w:p>
        </w:tc>
        <w:tc>
          <w:tcPr>
            <w:tcW w:w="1160" w:type="dxa"/>
            <w:vAlign w:val="bottom"/>
            <w:gridSpan w:val="2"/>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7.6 %</w:t>
            </w:r>
          </w:p>
        </w:tc>
      </w:tr>
      <w:tr>
        <w:trPr>
          <w:trHeight w:val="169"/>
        </w:trPr>
        <w:tc>
          <w:tcPr>
            <w:tcW w:w="5280" w:type="dxa"/>
            <w:vAlign w:val="bottom"/>
            <w:shd w:val="clear" w:color="auto" w:fill="CFF0FC"/>
          </w:tcPr>
          <w:p>
            <w:pPr>
              <w:ind w:left="80"/>
              <w:spacing w:after="0" w:line="169" w:lineRule="exact"/>
              <w:rPr>
                <w:sz w:val="20"/>
                <w:szCs w:val="20"/>
                <w:color w:val="auto"/>
              </w:rPr>
            </w:pPr>
            <w:r>
              <w:rPr>
                <w:rFonts w:ascii="Times New Roman" w:cs="Times New Roman" w:eastAsia="Times New Roman" w:hAnsi="Times New Roman"/>
                <w:sz w:val="16"/>
                <w:szCs w:val="16"/>
                <w:color w:val="auto"/>
              </w:rPr>
              <w:t>Gross profit</w:t>
            </w: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897.1</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768.1</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16.8 %</w:t>
            </w:r>
          </w:p>
        </w:tc>
        <w:tc>
          <w:tcPr>
            <w:tcW w:w="3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22.2 %</w:t>
            </w:r>
          </w:p>
        </w:tc>
      </w:tr>
      <w:tr>
        <w:trPr>
          <w:trHeight w:val="177"/>
        </w:trPr>
        <w:tc>
          <w:tcPr>
            <w:tcW w:w="528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Selling and administrative expenses</w:t>
            </w: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758.4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669.7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13.2 %</w:t>
            </w:r>
          </w:p>
        </w:tc>
        <w:tc>
          <w:tcPr>
            <w:tcW w:w="380" w:type="dxa"/>
            <w:vAlign w:val="bottom"/>
          </w:tcPr>
          <w:p>
            <w:pPr>
              <w:spacing w:after="0"/>
              <w:rPr>
                <w:sz w:val="15"/>
                <w:szCs w:val="15"/>
                <w:color w:val="auto"/>
              </w:rPr>
            </w:pPr>
          </w:p>
        </w:tc>
        <w:tc>
          <w:tcPr>
            <w:tcW w:w="1160" w:type="dxa"/>
            <w:vAlign w:val="bottom"/>
            <w:gridSpan w:val="2"/>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18.2 %</w:t>
            </w:r>
          </w:p>
        </w:tc>
      </w:tr>
      <w:tr>
        <w:trPr>
          <w:trHeight w:val="169"/>
        </w:trPr>
        <w:tc>
          <w:tcPr>
            <w:tcW w:w="5280" w:type="dxa"/>
            <w:vAlign w:val="bottom"/>
            <w:shd w:val="clear" w:color="auto" w:fill="CFF0FC"/>
          </w:tcPr>
          <w:p>
            <w:pPr>
              <w:ind w:left="80"/>
              <w:spacing w:after="0" w:line="169" w:lineRule="exact"/>
              <w:rPr>
                <w:sz w:val="20"/>
                <w:szCs w:val="20"/>
                <w:color w:val="auto"/>
              </w:rPr>
            </w:pPr>
            <w:r>
              <w:rPr>
                <w:rFonts w:ascii="Times New Roman" w:cs="Times New Roman" w:eastAsia="Times New Roman" w:hAnsi="Times New Roman"/>
                <w:sz w:val="16"/>
                <w:szCs w:val="16"/>
                <w:color w:val="auto"/>
              </w:rPr>
              <w:t>Operating profit</w:t>
            </w: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138.7</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98.4</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40.9 %</w:t>
            </w:r>
          </w:p>
        </w:tc>
        <w:tc>
          <w:tcPr>
            <w:tcW w:w="3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49.3 %</w:t>
            </w:r>
          </w:p>
        </w:tc>
      </w:tr>
      <w:tr>
        <w:trPr>
          <w:trHeight w:val="177"/>
        </w:trPr>
        <w:tc>
          <w:tcPr>
            <w:tcW w:w="528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Interest and other expenses, net</w:t>
            </w: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5.4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-50.8 %</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9"/>
        </w:trPr>
        <w:tc>
          <w:tcPr>
            <w:tcW w:w="5280" w:type="dxa"/>
            <w:vAlign w:val="bottom"/>
            <w:shd w:val="clear" w:color="auto" w:fill="CFF0FC"/>
          </w:tcPr>
          <w:p>
            <w:pPr>
              <w:ind w:left="80"/>
              <w:spacing w:after="0" w:line="169" w:lineRule="exact"/>
              <w:rPr>
                <w:sz w:val="20"/>
                <w:szCs w:val="20"/>
                <w:color w:val="auto"/>
              </w:rPr>
            </w:pPr>
            <w:r>
              <w:rPr>
                <w:rFonts w:ascii="Times New Roman" w:cs="Times New Roman" w:eastAsia="Times New Roman" w:hAnsi="Times New Roman"/>
                <w:sz w:val="16"/>
                <w:szCs w:val="16"/>
                <w:color w:val="auto"/>
              </w:rPr>
              <w:t>Earnings before income taxes</w:t>
            </w: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136.0</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93.0</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46.3 %</w:t>
            </w:r>
          </w:p>
        </w:tc>
        <w:tc>
          <w:tcPr>
            <w:tcW w:w="3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54.7 %</w:t>
            </w:r>
          </w:p>
        </w:tc>
      </w:tr>
      <w:tr>
        <w:trPr>
          <w:trHeight w:val="177"/>
        </w:trPr>
        <w:tc>
          <w:tcPr>
            <w:tcW w:w="528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Provision for income taxes</w:t>
            </w: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44.4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31.0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43.2 %</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9"/>
        </w:trPr>
        <w:tc>
          <w:tcPr>
            <w:tcW w:w="5280" w:type="dxa"/>
            <w:vAlign w:val="bottom"/>
            <w:tcBorders>
              <w:bottom w:val="single" w:sz="8" w:color="CFF0FC"/>
            </w:tcBorders>
            <w:shd w:val="clear" w:color="auto" w:fill="CFF0FC"/>
          </w:tcPr>
          <w:p>
            <w:pPr>
              <w:ind w:left="80"/>
              <w:spacing w:after="0" w:line="158" w:lineRule="exact"/>
              <w:rPr>
                <w:sz w:val="20"/>
                <w:szCs w:val="20"/>
                <w:color w:val="auto"/>
              </w:rPr>
            </w:pPr>
            <w:r>
              <w:rPr>
                <w:rFonts w:ascii="Times New Roman" w:cs="Times New Roman" w:eastAsia="Times New Roman" w:hAnsi="Times New Roman"/>
                <w:sz w:val="16"/>
                <w:szCs w:val="16"/>
                <w:color w:val="auto"/>
              </w:rPr>
              <w:t>Net earnings</w:t>
            </w:r>
          </w:p>
        </w:tc>
        <w:tc>
          <w:tcPr>
            <w:tcW w:w="820" w:type="dxa"/>
            <w:vAlign w:val="bottom"/>
            <w:tcBorders>
              <w:bottom w:val="single" w:sz="8" w:color="auto"/>
            </w:tcBorders>
            <w:shd w:val="clear" w:color="auto" w:fill="CFF0FC"/>
          </w:tcPr>
          <w:p>
            <w:pPr>
              <w:jc w:val="right"/>
              <w:ind w:right="641"/>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91.6</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61"/>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FF0FC"/>
          </w:tcPr>
          <w:p>
            <w:pPr>
              <w:jc w:val="right"/>
              <w:spacing w:after="0" w:line="158" w:lineRule="exact"/>
              <w:rPr>
                <w:sz w:val="20"/>
                <w:szCs w:val="20"/>
                <w:color w:val="auto"/>
              </w:rPr>
            </w:pPr>
            <w:r>
              <w:rPr>
                <w:rFonts w:ascii="Times New Roman" w:cs="Times New Roman" w:eastAsia="Times New Roman" w:hAnsi="Times New Roman"/>
                <w:sz w:val="16"/>
                <w:szCs w:val="16"/>
                <w:color w:val="auto"/>
              </w:rPr>
              <w:t>62.0</w:t>
            </w: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47.8 %</w:t>
            </w:r>
          </w:p>
        </w:tc>
        <w:tc>
          <w:tcPr>
            <w:tcW w:w="3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gridSpan w:val="2"/>
            <w:shd w:val="clear" w:color="auto" w:fill="CFF0FC"/>
          </w:tcPr>
          <w:p>
            <w:pPr>
              <w:jc w:val="right"/>
              <w:ind w:right="100"/>
              <w:spacing w:after="0" w:line="158" w:lineRule="exact"/>
              <w:rPr>
                <w:sz w:val="20"/>
                <w:szCs w:val="20"/>
                <w:color w:val="auto"/>
              </w:rPr>
            </w:pPr>
            <w:r>
              <w:rPr>
                <w:rFonts w:ascii="Times New Roman" w:cs="Times New Roman" w:eastAsia="Times New Roman" w:hAnsi="Times New Roman"/>
                <w:sz w:val="16"/>
                <w:szCs w:val="16"/>
                <w:color w:val="auto"/>
              </w:rPr>
              <w:t>56.3 %</w:t>
            </w:r>
          </w:p>
        </w:tc>
      </w:tr>
      <w:tr>
        <w:trPr>
          <w:trHeight w:val="153"/>
        </w:trPr>
        <w:tc>
          <w:tcPr>
            <w:tcW w:w="528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Net earnings per share - basic</w:t>
            </w:r>
          </w:p>
        </w:tc>
        <w:tc>
          <w:tcPr>
            <w:tcW w:w="820" w:type="dxa"/>
            <w:vAlign w:val="bottom"/>
          </w:tcPr>
          <w:p>
            <w:pPr>
              <w:jc w:val="right"/>
              <w:ind w:right="641"/>
              <w:spacing w:after="0" w:line="153" w:lineRule="exact"/>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1.71</w:t>
            </w:r>
          </w:p>
        </w:tc>
        <w:tc>
          <w:tcPr>
            <w:tcW w:w="1040" w:type="dxa"/>
            <w:vAlign w:val="bottom"/>
            <w:gridSpan w:val="3"/>
          </w:tcPr>
          <w:p>
            <w:pPr>
              <w:jc w:val="right"/>
              <w:ind w:right="661"/>
              <w:spacing w:after="0" w:line="153"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1.12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6"/>
                <w:szCs w:val="16"/>
                <w:color w:val="auto"/>
              </w:rPr>
              <w:t>52.7 %</w:t>
            </w: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5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193"/>
        </w:trPr>
        <w:tc>
          <w:tcPr>
            <w:tcW w:w="5280" w:type="dxa"/>
            <w:vAlign w:val="bottom"/>
            <w:tcBorders>
              <w:bottom w:val="single" w:sz="8" w:color="CFF0FC"/>
            </w:tcBorders>
            <w:shd w:val="clear" w:color="auto" w:fill="CFF0FC"/>
          </w:tcPr>
          <w:p>
            <w:pPr>
              <w:spacing w:after="0" w:line="153" w:lineRule="exact"/>
              <w:rPr>
                <w:sz w:val="20"/>
                <w:szCs w:val="20"/>
                <w:color w:val="auto"/>
              </w:rPr>
            </w:pPr>
            <w:r>
              <w:rPr>
                <w:rFonts w:ascii="Times New Roman" w:cs="Times New Roman" w:eastAsia="Times New Roman" w:hAnsi="Times New Roman"/>
                <w:sz w:val="16"/>
                <w:szCs w:val="16"/>
                <w:color w:val="auto"/>
              </w:rPr>
              <w:t>Net earnings per share - diluted</w:t>
            </w:r>
          </w:p>
        </w:tc>
        <w:tc>
          <w:tcPr>
            <w:tcW w:w="820" w:type="dxa"/>
            <w:vAlign w:val="bottom"/>
            <w:tcBorders>
              <w:bottom w:val="single" w:sz="8" w:color="auto"/>
            </w:tcBorders>
            <w:shd w:val="clear" w:color="auto" w:fill="CFF0FC"/>
          </w:tcPr>
          <w:p>
            <w:pPr>
              <w:jc w:val="right"/>
              <w:ind w:right="641"/>
              <w:spacing w:after="0" w:line="153" w:lineRule="exact"/>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6"/>
                <w:szCs w:val="16"/>
                <w:color w:val="auto"/>
              </w:rPr>
              <w:t>1.68</w:t>
            </w:r>
          </w:p>
        </w:tc>
        <w:tc>
          <w:tcPr>
            <w:tcW w:w="220" w:type="dxa"/>
            <w:vAlign w:val="bottom"/>
            <w:tcBorders>
              <w:bottom w:val="single" w:sz="8" w:color="CFF0FC"/>
            </w:tcBorders>
            <w:gridSpan w:val="2"/>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ind w:right="661"/>
              <w:spacing w:after="0" w:line="153"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6"/>
                <w:szCs w:val="16"/>
                <w:color w:val="auto"/>
              </w:rPr>
              <w:t>1.11</w:t>
            </w:r>
          </w:p>
        </w:tc>
        <w:tc>
          <w:tcPr>
            <w:tcW w:w="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gridSpan w:val="2"/>
            <w:shd w:val="clear" w:color="auto" w:fill="CFF0FC"/>
          </w:tcPr>
          <w:p>
            <w:pPr>
              <w:jc w:val="right"/>
              <w:ind w:right="100"/>
              <w:spacing w:after="0" w:line="153" w:lineRule="exact"/>
              <w:rPr>
                <w:sz w:val="20"/>
                <w:szCs w:val="20"/>
                <w:color w:val="auto"/>
              </w:rPr>
            </w:pPr>
            <w:r>
              <w:rPr>
                <w:rFonts w:ascii="Times New Roman" w:cs="Times New Roman" w:eastAsia="Times New Roman" w:hAnsi="Times New Roman"/>
                <w:sz w:val="16"/>
                <w:szCs w:val="16"/>
                <w:color w:val="auto"/>
              </w:rPr>
              <w:t>51.4 %</w:t>
            </w:r>
          </w:p>
        </w:tc>
        <w:tc>
          <w:tcPr>
            <w:tcW w:w="38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gridSpan w:val="2"/>
            <w:shd w:val="clear" w:color="auto" w:fill="CFF0FC"/>
          </w:tcPr>
          <w:p>
            <w:pPr>
              <w:jc w:val="right"/>
              <w:ind w:right="100"/>
              <w:spacing w:after="0" w:line="153" w:lineRule="exact"/>
              <w:rPr>
                <w:sz w:val="20"/>
                <w:szCs w:val="20"/>
                <w:color w:val="auto"/>
              </w:rPr>
            </w:pPr>
            <w:r>
              <w:rPr>
                <w:rFonts w:ascii="Times New Roman" w:cs="Times New Roman" w:eastAsia="Times New Roman" w:hAnsi="Times New Roman"/>
                <w:sz w:val="16"/>
                <w:szCs w:val="16"/>
                <w:color w:val="auto"/>
              </w:rPr>
              <w:t>60.4 %</w:t>
            </w:r>
          </w:p>
        </w:tc>
      </w:tr>
      <w:tr>
        <w:trPr>
          <w:trHeight w:val="153"/>
        </w:trPr>
        <w:tc>
          <w:tcPr>
            <w:tcW w:w="528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Weighted average shares - basic</w:t>
            </w: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6"/>
                <w:szCs w:val="16"/>
                <w:color w:val="auto"/>
              </w:rPr>
              <w:t>53.6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6"/>
                <w:szCs w:val="16"/>
                <w:color w:val="auto"/>
              </w:rPr>
              <w:t>55.1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6"/>
                <w:szCs w:val="16"/>
                <w:color w:val="auto"/>
              </w:rPr>
              <w:t>-2.8 %</w:t>
            </w: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5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3"/>
        </w:trPr>
        <w:tc>
          <w:tcPr>
            <w:tcW w:w="5280" w:type="dxa"/>
            <w:vAlign w:val="bottom"/>
            <w:tcBorders>
              <w:bottom w:val="single" w:sz="8" w:color="CFF0FC"/>
            </w:tcBorders>
            <w:shd w:val="clear" w:color="auto" w:fill="CFF0FC"/>
          </w:tcPr>
          <w:p>
            <w:pPr>
              <w:spacing w:after="0" w:line="153" w:lineRule="exact"/>
              <w:rPr>
                <w:sz w:val="20"/>
                <w:szCs w:val="20"/>
                <w:color w:val="auto"/>
              </w:rPr>
            </w:pPr>
            <w:r>
              <w:rPr>
                <w:rFonts w:ascii="Times New Roman" w:cs="Times New Roman" w:eastAsia="Times New Roman" w:hAnsi="Times New Roman"/>
                <w:sz w:val="16"/>
                <w:szCs w:val="16"/>
                <w:color w:val="auto"/>
              </w:rPr>
              <w:t>Weighted average shares - diluted</w:t>
            </w:r>
          </w:p>
        </w:tc>
        <w:tc>
          <w:tcPr>
            <w:tcW w:w="82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6"/>
                <w:szCs w:val="16"/>
                <w:color w:val="auto"/>
              </w:rPr>
              <w:t>54.4</w:t>
            </w:r>
          </w:p>
        </w:tc>
        <w:tc>
          <w:tcPr>
            <w:tcW w:w="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6"/>
                <w:szCs w:val="16"/>
                <w:color w:val="auto"/>
              </w:rPr>
              <w:t>55.7</w:t>
            </w:r>
          </w:p>
        </w:tc>
        <w:tc>
          <w:tcPr>
            <w:tcW w:w="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gridSpan w:val="2"/>
            <w:shd w:val="clear" w:color="auto" w:fill="CFF0FC"/>
          </w:tcPr>
          <w:p>
            <w:pPr>
              <w:jc w:val="right"/>
              <w:ind w:right="100"/>
              <w:spacing w:after="0" w:line="153" w:lineRule="exact"/>
              <w:rPr>
                <w:sz w:val="20"/>
                <w:szCs w:val="20"/>
                <w:color w:val="auto"/>
              </w:rPr>
            </w:pPr>
            <w:r>
              <w:rPr>
                <w:rFonts w:ascii="Times New Roman" w:cs="Times New Roman" w:eastAsia="Times New Roman" w:hAnsi="Times New Roman"/>
                <w:sz w:val="16"/>
                <w:szCs w:val="16"/>
                <w:color w:val="auto"/>
              </w:rPr>
              <w:t>-2.3 %</w:t>
            </w:r>
          </w:p>
        </w:tc>
        <w:tc>
          <w:tcPr>
            <w:tcW w:w="3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-562610</wp:posOffset>
            </wp:positionV>
            <wp:extent cx="450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-547370</wp:posOffset>
            </wp:positionV>
            <wp:extent cx="450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-562610</wp:posOffset>
            </wp:positionV>
            <wp:extent cx="3746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-547370</wp:posOffset>
            </wp:positionV>
            <wp:extent cx="3746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-292100</wp:posOffset>
            </wp:positionV>
            <wp:extent cx="450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-277495</wp:posOffset>
            </wp:positionV>
            <wp:extent cx="4508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-292100</wp:posOffset>
            </wp:positionV>
            <wp:extent cx="3746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-277495</wp:posOffset>
            </wp:positionV>
            <wp:extent cx="3746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-21590</wp:posOffset>
            </wp:positionV>
            <wp:extent cx="4508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-6985</wp:posOffset>
            </wp:positionV>
            <wp:extent cx="4508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-21590</wp:posOffset>
            </wp:positionV>
            <wp:extent cx="3746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-6985</wp:posOffset>
            </wp:positionV>
            <wp:extent cx="3746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465" cy="7620"/>
                    </a:xfrm>
                    <a:prstGeom prst="rect">
                      <a:avLst/>
                    </a:prstGeom>
                    <a:noFill/>
                  </pic:spPr>
                </pic:pic>
              </a:graphicData>
            </a:graphic>
          </wp:anchor>
        </w:drawing>
      </w:r>
    </w:p>
    <w:p>
      <w:pPr>
        <w:jc w:val="both"/>
        <w:ind w:left="505" w:hanging="505"/>
        <w:spacing w:after="0" w:line="236" w:lineRule="auto"/>
        <w:tabs>
          <w:tab w:leader="none" w:pos="50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$3.6 million for both the three months ended March 31, 2022 and 2021. These fees are primarily based on revenues generated by the franchise offices, which were $265.2 million and $249.1 million for the three months ended March 31,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513715</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36" w:right="319" w:bottom="1440" w:gutter="0" w:footer="0" w:header="0"/>
        </w:sectPr>
      </w:pPr>
    </w:p>
    <w:bookmarkStart w:id="6" w:name="page7"/>
    <w:bookmarkEnd w:id="6"/>
    <w:p>
      <w:pPr>
        <w:ind w:left="5086"/>
        <w:spacing w:after="0"/>
        <w:rPr>
          <w:sz w:val="20"/>
          <w:szCs w:val="20"/>
          <w:color w:val="auto"/>
        </w:rPr>
      </w:pPr>
      <w:r>
        <w:rPr>
          <w:rFonts w:ascii="Times New Roman" w:cs="Times New Roman" w:eastAsia="Times New Roman" w:hAnsi="Times New Roman"/>
          <w:sz w:val="16"/>
          <w:szCs w:val="16"/>
          <w:color w:val="auto"/>
        </w:rPr>
        <w:t>ManpowerGroup</w:t>
      </w:r>
    </w:p>
    <w:p>
      <w:pPr>
        <w:spacing w:after="0" w:line="29" w:lineRule="exact"/>
        <w:rPr>
          <w:sz w:val="20"/>
          <w:szCs w:val="20"/>
          <w:color w:val="auto"/>
        </w:rPr>
      </w:pPr>
    </w:p>
    <w:p>
      <w:pPr>
        <w:ind w:left="4906"/>
        <w:spacing w:after="0"/>
        <w:rPr>
          <w:sz w:val="20"/>
          <w:szCs w:val="20"/>
          <w:color w:val="auto"/>
        </w:rPr>
      </w:pPr>
      <w:r>
        <w:rPr>
          <w:rFonts w:ascii="Times New Roman" w:cs="Times New Roman" w:eastAsia="Times New Roman" w:hAnsi="Times New Roman"/>
          <w:sz w:val="16"/>
          <w:szCs w:val="16"/>
          <w:color w:val="auto"/>
        </w:rPr>
        <w:t>Operating Unit Results</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(In millions)</w:t>
      </w:r>
    </w:p>
    <w:p>
      <w:pPr>
        <w:spacing w:after="0" w:line="163" w:lineRule="exact"/>
        <w:rPr>
          <w:sz w:val="20"/>
          <w:szCs w:val="20"/>
          <w:color w:val="auto"/>
        </w:rPr>
      </w:pPr>
    </w:p>
    <w:tbl>
      <w:tblPr>
        <w:tblLayout w:type="fixed"/>
        <w:tblInd w:w="6"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7"/>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9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r>
      <w:tr>
        <w:trPr>
          <w:trHeight w:val="169"/>
        </w:trPr>
        <w:tc>
          <w:tcPr>
            <w:tcW w:w="5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720"/>
              <w:spacing w:after="0" w:line="169" w:lineRule="exact"/>
              <w:rPr>
                <w:sz w:val="20"/>
                <w:szCs w:val="20"/>
                <w:color w:val="auto"/>
              </w:rPr>
            </w:pPr>
            <w:r>
              <w:rPr>
                <w:rFonts w:ascii="Times New Roman" w:cs="Times New Roman" w:eastAsia="Times New Roman" w:hAnsi="Times New Roman"/>
                <w:sz w:val="16"/>
                <w:szCs w:val="16"/>
                <w:b w:val="1"/>
                <w:bCs w:val="1"/>
                <w:color w:val="auto"/>
                <w:w w:val="97"/>
              </w:rPr>
              <w:t>% Variance</w:t>
            </w: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1"/>
        </w:trPr>
        <w:tc>
          <w:tcPr>
            <w:tcW w:w="5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3"/>
          </w:tcPr>
          <w:p>
            <w:pPr>
              <w:ind w:left="60"/>
              <w:spacing w:after="0" w:line="151" w:lineRule="exact"/>
              <w:rPr>
                <w:sz w:val="20"/>
                <w:szCs w:val="20"/>
                <w:color w:val="auto"/>
              </w:rPr>
            </w:pPr>
            <w:r>
              <w:rPr>
                <w:rFonts w:ascii="Times New Roman" w:cs="Times New Roman" w:eastAsia="Times New Roman" w:hAnsi="Times New Roman"/>
                <w:sz w:val="16"/>
                <w:szCs w:val="16"/>
                <w:b w:val="1"/>
                <w:bCs w:val="1"/>
                <w:color w:val="auto"/>
              </w:rPr>
              <w:t>Amount</w:t>
            </w:r>
          </w:p>
        </w:tc>
        <w:tc>
          <w:tcPr>
            <w:tcW w:w="920" w:type="dxa"/>
            <w:vAlign w:val="bottom"/>
          </w:tcPr>
          <w:p>
            <w:pPr>
              <w:ind w:left="40"/>
              <w:spacing w:after="0" w:line="151"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240" w:type="dxa"/>
            <w:vAlign w:val="bottom"/>
          </w:tcPr>
          <w:p>
            <w:pPr>
              <w:spacing w:after="0"/>
              <w:rPr>
                <w:sz w:val="13"/>
                <w:szCs w:val="13"/>
                <w:color w:val="auto"/>
              </w:rPr>
            </w:pPr>
          </w:p>
        </w:tc>
      </w:tr>
      <w:tr>
        <w:trPr>
          <w:trHeight w:val="196"/>
        </w:trPr>
        <w:tc>
          <w:tcPr>
            <w:tcW w:w="5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40" w:type="dxa"/>
            <w:vAlign w:val="bottom"/>
          </w:tcPr>
          <w:p>
            <w:pPr>
              <w:spacing w:after="0"/>
              <w:rPr>
                <w:sz w:val="17"/>
                <w:szCs w:val="17"/>
                <w:color w:val="auto"/>
              </w:rPr>
            </w:pPr>
          </w:p>
        </w:tc>
      </w:tr>
      <w:tr>
        <w:trPr>
          <w:trHeight w:val="169"/>
        </w:trPr>
        <w:tc>
          <w:tcPr>
            <w:tcW w:w="5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4"/>
          </w:tcPr>
          <w:p>
            <w:pPr>
              <w:ind w:left="760"/>
              <w:spacing w:after="0" w:line="169" w:lineRule="exact"/>
              <w:rPr>
                <w:sz w:val="20"/>
                <w:szCs w:val="20"/>
                <w:color w:val="auto"/>
              </w:rPr>
            </w:pPr>
            <w:r>
              <w:rPr>
                <w:rFonts w:ascii="Times New Roman" w:cs="Times New Roman" w:eastAsia="Times New Roman" w:hAnsi="Times New Roman"/>
                <w:sz w:val="16"/>
                <w:szCs w:val="16"/>
                <w:color w:val="auto"/>
              </w:rPr>
              <w:t>(Unaudited)</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7"/>
        </w:trPr>
        <w:tc>
          <w:tcPr>
            <w:tcW w:w="52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color w:val="auto"/>
              </w:rPr>
              <w:t>Revenues from Services:</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77"/>
        </w:trPr>
        <w:tc>
          <w:tcPr>
            <w:tcW w:w="5280" w:type="dxa"/>
            <w:vAlign w:val="bottom"/>
          </w:tcPr>
          <w:p>
            <w:pPr>
              <w:ind w:left="160"/>
              <w:spacing w:after="0" w:line="178" w:lineRule="exact"/>
              <w:rPr>
                <w:sz w:val="20"/>
                <w:szCs w:val="20"/>
                <w:color w:val="auto"/>
              </w:rPr>
            </w:pPr>
            <w:r>
              <w:rPr>
                <w:rFonts w:ascii="Times New Roman" w:cs="Times New Roman" w:eastAsia="Times New Roman" w:hAnsi="Times New Roman"/>
                <w:sz w:val="16"/>
                <w:szCs w:val="16"/>
                <w:color w:val="auto"/>
              </w:rPr>
              <w:t>Americas:</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7"/>
        </w:trPr>
        <w:tc>
          <w:tcPr>
            <w:tcW w:w="5280" w:type="dxa"/>
            <w:vAlign w:val="bottom"/>
            <w:shd w:val="clear" w:color="auto" w:fill="CFF0FC"/>
          </w:tcPr>
          <w:p>
            <w:pPr>
              <w:ind w:left="400"/>
              <w:spacing w:after="0" w:line="178" w:lineRule="exact"/>
              <w:rPr>
                <w:sz w:val="20"/>
                <w:szCs w:val="20"/>
                <w:color w:val="auto"/>
              </w:rPr>
            </w:pPr>
            <w:r>
              <w:rPr>
                <w:rFonts w:ascii="Times New Roman" w:cs="Times New Roman" w:eastAsia="Times New Roman" w:hAnsi="Times New Roman"/>
                <w:sz w:val="16"/>
                <w:szCs w:val="16"/>
                <w:color w:val="auto"/>
              </w:rPr>
              <w:t>United States (a)</w:t>
            </w:r>
          </w:p>
        </w:tc>
        <w:tc>
          <w:tcPr>
            <w:tcW w:w="280" w:type="dxa"/>
            <w:vAlign w:val="bottom"/>
            <w:shd w:val="clear" w:color="auto" w:fill="CFF0FC"/>
          </w:tcPr>
          <w:p>
            <w:pPr>
              <w:jc w:val="right"/>
              <w:ind w:right="10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889.4</w:t>
            </w:r>
          </w:p>
        </w:tc>
        <w:tc>
          <w:tcPr>
            <w:tcW w:w="8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21"/>
              <w:spacing w:after="0" w:line="178"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608.8</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46.1 %</w:t>
            </w:r>
          </w:p>
        </w:tc>
        <w:tc>
          <w:tcPr>
            <w:tcW w:w="3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46.1 %</w:t>
            </w:r>
          </w:p>
        </w:tc>
      </w:tr>
      <w:tr>
        <w:trPr>
          <w:trHeight w:val="177"/>
        </w:trPr>
        <w:tc>
          <w:tcPr>
            <w:tcW w:w="5280" w:type="dxa"/>
            <w:vAlign w:val="bottom"/>
          </w:tcPr>
          <w:p>
            <w:pPr>
              <w:ind w:left="400"/>
              <w:spacing w:after="0" w:line="178" w:lineRule="exact"/>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361.8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394.1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-8.2 %</w:t>
            </w:r>
          </w:p>
        </w:tc>
        <w:tc>
          <w:tcPr>
            <w:tcW w:w="380" w:type="dxa"/>
            <w:vAlign w:val="bottom"/>
          </w:tcPr>
          <w:p>
            <w:pPr>
              <w:spacing w:after="0"/>
              <w:rPr>
                <w:sz w:val="15"/>
                <w:szCs w:val="15"/>
                <w:color w:val="auto"/>
              </w:rPr>
            </w:pPr>
          </w:p>
        </w:tc>
        <w:tc>
          <w:tcPr>
            <w:tcW w:w="1160" w:type="dxa"/>
            <w:vAlign w:val="bottom"/>
            <w:gridSpan w:val="2"/>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-5.9 %</w:t>
            </w:r>
          </w:p>
        </w:tc>
      </w:tr>
      <w:tr>
        <w:trPr>
          <w:trHeight w:val="169"/>
        </w:trPr>
        <w:tc>
          <w:tcPr>
            <w:tcW w:w="52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1,251.2</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1,002.9</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gridSpan w:val="2"/>
            <w:shd w:val="clear" w:color="auto" w:fill="CFF0FC"/>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24.8 %</w:t>
            </w:r>
          </w:p>
        </w:tc>
        <w:tc>
          <w:tcPr>
            <w:tcW w:w="38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gridSpan w:val="2"/>
            <w:shd w:val="clear" w:color="auto" w:fill="CFF0FC"/>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25.7 %</w:t>
            </w:r>
          </w:p>
        </w:tc>
      </w:tr>
      <w:tr>
        <w:trPr>
          <w:trHeight w:val="169"/>
        </w:trPr>
        <w:tc>
          <w:tcPr>
            <w:tcW w:w="5280" w:type="dxa"/>
            <w:vAlign w:val="bottom"/>
          </w:tcPr>
          <w:p>
            <w:pPr>
              <w:ind w:left="160"/>
              <w:spacing w:after="0" w:line="169" w:lineRule="exact"/>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7"/>
        </w:trPr>
        <w:tc>
          <w:tcPr>
            <w:tcW w:w="5280" w:type="dxa"/>
            <w:vAlign w:val="bottom"/>
            <w:shd w:val="clear" w:color="auto" w:fill="CFF0FC"/>
          </w:tcPr>
          <w:p>
            <w:pPr>
              <w:ind w:left="400"/>
              <w:spacing w:after="0" w:line="178" w:lineRule="exact"/>
              <w:rPr>
                <w:sz w:val="20"/>
                <w:szCs w:val="20"/>
                <w:color w:val="auto"/>
              </w:rPr>
            </w:pPr>
            <w:r>
              <w:rPr>
                <w:rFonts w:ascii="Times New Roman" w:cs="Times New Roman" w:eastAsia="Times New Roman" w:hAnsi="Times New Roman"/>
                <w:sz w:val="16"/>
                <w:szCs w:val="16"/>
                <w:color w:val="auto"/>
              </w:rPr>
              <w:t>France</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1,192.4</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1,188.9</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0.3 %</w:t>
            </w:r>
          </w:p>
        </w:tc>
        <w:tc>
          <w:tcPr>
            <w:tcW w:w="3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7.7 %</w:t>
            </w:r>
          </w:p>
        </w:tc>
      </w:tr>
      <w:tr>
        <w:trPr>
          <w:trHeight w:val="177"/>
        </w:trPr>
        <w:tc>
          <w:tcPr>
            <w:tcW w:w="5280" w:type="dxa"/>
            <w:vAlign w:val="bottom"/>
          </w:tcPr>
          <w:p>
            <w:pPr>
              <w:ind w:left="400"/>
              <w:spacing w:after="0" w:line="178" w:lineRule="exact"/>
              <w:rPr>
                <w:sz w:val="20"/>
                <w:szCs w:val="20"/>
                <w:color w:val="auto"/>
              </w:rPr>
            </w:pPr>
            <w:r>
              <w:rPr>
                <w:rFonts w:ascii="Times New Roman" w:cs="Times New Roman" w:eastAsia="Times New Roman" w:hAnsi="Times New Roman"/>
                <w:sz w:val="16"/>
                <w:szCs w:val="16"/>
                <w:color w:val="auto"/>
              </w:rPr>
              <w:t>Italy</w:t>
            </w:r>
          </w:p>
        </w:tc>
        <w:tc>
          <w:tcPr>
            <w:tcW w:w="28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445.0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402.8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10.5 %</w:t>
            </w:r>
          </w:p>
        </w:tc>
        <w:tc>
          <w:tcPr>
            <w:tcW w:w="380" w:type="dxa"/>
            <w:vAlign w:val="bottom"/>
          </w:tcPr>
          <w:p>
            <w:pPr>
              <w:spacing w:after="0"/>
              <w:rPr>
                <w:sz w:val="15"/>
                <w:szCs w:val="15"/>
                <w:color w:val="auto"/>
              </w:rPr>
            </w:pPr>
          </w:p>
        </w:tc>
        <w:tc>
          <w:tcPr>
            <w:tcW w:w="1160" w:type="dxa"/>
            <w:vAlign w:val="bottom"/>
            <w:gridSpan w:val="2"/>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18.6 %</w:t>
            </w:r>
          </w:p>
        </w:tc>
      </w:tr>
      <w:tr>
        <w:trPr>
          <w:trHeight w:val="177"/>
        </w:trPr>
        <w:tc>
          <w:tcPr>
            <w:tcW w:w="5280" w:type="dxa"/>
            <w:vAlign w:val="bottom"/>
            <w:tcBorders>
              <w:bottom w:val="single" w:sz="8" w:color="CFF0FC"/>
            </w:tcBorders>
            <w:shd w:val="clear" w:color="auto" w:fill="CFF0FC"/>
          </w:tcPr>
          <w:p>
            <w:pPr>
              <w:ind w:left="400"/>
              <w:spacing w:after="0" w:line="178" w:lineRule="exact"/>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556.5</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568.6</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gridSpan w:val="2"/>
            <w:shd w:val="clear" w:color="auto" w:fill="CFF0FC"/>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-2.1 %</w:t>
            </w:r>
          </w:p>
        </w:tc>
        <w:tc>
          <w:tcPr>
            <w:tcW w:w="38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gridSpan w:val="2"/>
            <w:shd w:val="clear" w:color="auto" w:fill="CFF0FC"/>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2.7 %</w:t>
            </w:r>
          </w:p>
        </w:tc>
      </w:tr>
      <w:tr>
        <w:trPr>
          <w:trHeight w:val="169"/>
        </w:trPr>
        <w:tc>
          <w:tcPr>
            <w:tcW w:w="5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2,193.9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2,160.3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1.6 %</w:t>
            </w:r>
          </w:p>
        </w:tc>
        <w:tc>
          <w:tcPr>
            <w:tcW w:w="380" w:type="dxa"/>
            <w:vAlign w:val="bottom"/>
          </w:tcPr>
          <w:p>
            <w:pPr>
              <w:spacing w:after="0"/>
              <w:rPr>
                <w:sz w:val="14"/>
                <w:szCs w:val="14"/>
                <w:color w:val="auto"/>
              </w:rPr>
            </w:pPr>
          </w:p>
        </w:tc>
        <w:tc>
          <w:tcPr>
            <w:tcW w:w="1160" w:type="dxa"/>
            <w:vAlign w:val="bottom"/>
            <w:gridSpan w:val="2"/>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8.4 %</w:t>
            </w:r>
          </w:p>
        </w:tc>
      </w:tr>
      <w:tr>
        <w:trPr>
          <w:trHeight w:val="169"/>
        </w:trPr>
        <w:tc>
          <w:tcPr>
            <w:tcW w:w="5280" w:type="dxa"/>
            <w:vAlign w:val="bottom"/>
            <w:shd w:val="clear" w:color="auto" w:fill="CFF0FC"/>
          </w:tcPr>
          <w:p>
            <w:pPr>
              <w:ind w:left="160"/>
              <w:spacing w:after="0" w:line="169" w:lineRule="exact"/>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1,094.5</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1,133.8</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-3.5 %</w:t>
            </w:r>
          </w:p>
        </w:tc>
        <w:tc>
          <w:tcPr>
            <w:tcW w:w="3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2.0 %</w:t>
            </w:r>
          </w:p>
        </w:tc>
      </w:tr>
      <w:tr>
        <w:trPr>
          <w:trHeight w:val="177"/>
        </w:trPr>
        <w:tc>
          <w:tcPr>
            <w:tcW w:w="5280" w:type="dxa"/>
            <w:vAlign w:val="bottom"/>
          </w:tcPr>
          <w:p>
            <w:pPr>
              <w:ind w:left="160"/>
              <w:spacing w:after="0" w:line="178" w:lineRule="exact"/>
              <w:rPr>
                <w:sz w:val="20"/>
                <w:szCs w:val="20"/>
                <w:color w:val="auto"/>
              </w:rPr>
            </w:pPr>
            <w:r>
              <w:rPr>
                <w:rFonts w:ascii="Times New Roman" w:cs="Times New Roman" w:eastAsia="Times New Roman" w:hAnsi="Times New Roman"/>
                <w:sz w:val="16"/>
                <w:szCs w:val="16"/>
                <w:color w:val="auto"/>
              </w:rPr>
              <w:t>APME</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618.2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627.4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-1.5 %</w:t>
            </w:r>
          </w:p>
        </w:tc>
        <w:tc>
          <w:tcPr>
            <w:tcW w:w="380" w:type="dxa"/>
            <w:vAlign w:val="bottom"/>
          </w:tcPr>
          <w:p>
            <w:pPr>
              <w:spacing w:after="0"/>
              <w:rPr>
                <w:sz w:val="15"/>
                <w:szCs w:val="15"/>
                <w:color w:val="auto"/>
              </w:rPr>
            </w:pPr>
          </w:p>
        </w:tc>
        <w:tc>
          <w:tcPr>
            <w:tcW w:w="1160" w:type="dxa"/>
            <w:vAlign w:val="bottom"/>
            <w:gridSpan w:val="2"/>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6.0 %</w:t>
            </w:r>
          </w:p>
        </w:tc>
      </w:tr>
      <w:tr>
        <w:trPr>
          <w:trHeight w:val="169"/>
        </w:trPr>
        <w:tc>
          <w:tcPr>
            <w:tcW w:w="52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5,157.8</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4,924.4</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r>
      <w:tr>
        <w:trPr>
          <w:trHeight w:val="169"/>
        </w:trPr>
        <w:tc>
          <w:tcPr>
            <w:tcW w:w="5280" w:type="dxa"/>
            <w:vAlign w:val="bottom"/>
          </w:tcPr>
          <w:p>
            <w:pPr>
              <w:ind w:left="160"/>
              <w:spacing w:after="0" w:line="169" w:lineRule="exact"/>
              <w:rPr>
                <w:sz w:val="20"/>
                <w:szCs w:val="20"/>
                <w:color w:val="auto"/>
              </w:rPr>
            </w:pPr>
            <w:r>
              <w:rPr>
                <w:rFonts w:ascii="Times New Roman" w:cs="Times New Roman" w:eastAsia="Times New Roman" w:hAnsi="Times New Roman"/>
                <w:sz w:val="16"/>
                <w:szCs w:val="16"/>
                <w:color w:val="auto"/>
              </w:rPr>
              <w:t>Intercompany Eliminations</w:t>
            </w:r>
          </w:p>
        </w:tc>
        <w:tc>
          <w:tcPr>
            <w:tcW w:w="280" w:type="dxa"/>
            <w:vAlign w:val="bottom"/>
          </w:tcPr>
          <w:p>
            <w:pPr>
              <w:spacing w:after="0"/>
              <w:rPr>
                <w:sz w:val="14"/>
                <w:szCs w:val="14"/>
                <w:color w:val="auto"/>
              </w:rPr>
            </w:pPr>
          </w:p>
        </w:tc>
        <w:tc>
          <w:tcPr>
            <w:tcW w:w="110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6"/>
                <w:szCs w:val="16"/>
                <w:color w:val="auto"/>
              </w:rPr>
              <w:t>(14.5 )</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4"/>
          </w:tcPr>
          <w:p>
            <w:pPr>
              <w:jc w:val="right"/>
              <w:ind w:right="480"/>
              <w:spacing w:after="0" w:line="169"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9"/>
        </w:trPr>
        <w:tc>
          <w:tcPr>
            <w:tcW w:w="52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5,143.3</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4,924.4</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gridSpan w:val="2"/>
            <w:shd w:val="clear" w:color="auto" w:fill="CFF0FC"/>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4.4 %</w:t>
            </w:r>
          </w:p>
        </w:tc>
        <w:tc>
          <w:tcPr>
            <w:tcW w:w="38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gridSpan w:val="2"/>
            <w:shd w:val="clear" w:color="auto" w:fill="CFF0FC"/>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9.8 %</w:t>
            </w:r>
          </w:p>
        </w:tc>
      </w:tr>
      <w:tr>
        <w:trPr>
          <w:trHeight w:val="169"/>
        </w:trPr>
        <w:tc>
          <w:tcPr>
            <w:tcW w:w="5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Operating Unit Profit:</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7"/>
        </w:trPr>
        <w:tc>
          <w:tcPr>
            <w:tcW w:w="5280" w:type="dxa"/>
            <w:vAlign w:val="bottom"/>
            <w:shd w:val="clear" w:color="auto" w:fill="CFF0FC"/>
          </w:tcPr>
          <w:p>
            <w:pPr>
              <w:ind w:left="160"/>
              <w:spacing w:after="0" w:line="178" w:lineRule="exact"/>
              <w:rPr>
                <w:sz w:val="20"/>
                <w:szCs w:val="20"/>
                <w:color w:val="auto"/>
              </w:rPr>
            </w:pPr>
            <w:r>
              <w:rPr>
                <w:rFonts w:ascii="Times New Roman" w:cs="Times New Roman" w:eastAsia="Times New Roman" w:hAnsi="Times New Roman"/>
                <w:sz w:val="16"/>
                <w:szCs w:val="16"/>
                <w:color w:val="auto"/>
              </w:rPr>
              <w:t>Americas:</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77"/>
        </w:trPr>
        <w:tc>
          <w:tcPr>
            <w:tcW w:w="5280" w:type="dxa"/>
            <w:vAlign w:val="bottom"/>
          </w:tcPr>
          <w:p>
            <w:pPr>
              <w:ind w:left="400"/>
              <w:spacing w:after="0" w:line="178" w:lineRule="exact"/>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Pr>
          <w:p>
            <w:pPr>
              <w:jc w:val="right"/>
              <w:ind w:right="10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58.3</w:t>
            </w:r>
          </w:p>
        </w:tc>
        <w:tc>
          <w:tcPr>
            <w:tcW w:w="80" w:type="dxa"/>
            <w:vAlign w:val="bottom"/>
          </w:tcPr>
          <w:p>
            <w:pPr>
              <w:spacing w:after="0"/>
              <w:rPr>
                <w:sz w:val="15"/>
                <w:szCs w:val="15"/>
                <w:color w:val="auto"/>
              </w:rPr>
            </w:pPr>
          </w:p>
        </w:tc>
        <w:tc>
          <w:tcPr>
            <w:tcW w:w="340" w:type="dxa"/>
            <w:vAlign w:val="bottom"/>
            <w:gridSpan w:val="2"/>
          </w:tcPr>
          <w:p>
            <w:pPr>
              <w:jc w:val="right"/>
              <w:ind w:right="21"/>
              <w:spacing w:after="0" w:line="178"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29.2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99.5 %</w:t>
            </w:r>
          </w:p>
        </w:tc>
        <w:tc>
          <w:tcPr>
            <w:tcW w:w="380" w:type="dxa"/>
            <w:vAlign w:val="bottom"/>
          </w:tcPr>
          <w:p>
            <w:pPr>
              <w:spacing w:after="0"/>
              <w:rPr>
                <w:sz w:val="15"/>
                <w:szCs w:val="15"/>
                <w:color w:val="auto"/>
              </w:rPr>
            </w:pPr>
          </w:p>
        </w:tc>
        <w:tc>
          <w:tcPr>
            <w:tcW w:w="1160" w:type="dxa"/>
            <w:vAlign w:val="bottom"/>
            <w:gridSpan w:val="2"/>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99.5 %</w:t>
            </w:r>
          </w:p>
        </w:tc>
      </w:tr>
      <w:tr>
        <w:trPr>
          <w:trHeight w:val="177"/>
        </w:trPr>
        <w:tc>
          <w:tcPr>
            <w:tcW w:w="5280" w:type="dxa"/>
            <w:vAlign w:val="bottom"/>
            <w:tcBorders>
              <w:bottom w:val="single" w:sz="8" w:color="CFF0FC"/>
            </w:tcBorders>
            <w:shd w:val="clear" w:color="auto" w:fill="CFF0FC"/>
          </w:tcPr>
          <w:p>
            <w:pPr>
              <w:ind w:left="400"/>
              <w:spacing w:after="0" w:line="178" w:lineRule="exact"/>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14.5</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14.9</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gridSpan w:val="2"/>
            <w:shd w:val="clear" w:color="auto" w:fill="CFF0FC"/>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-2.3 %</w:t>
            </w:r>
          </w:p>
        </w:tc>
        <w:tc>
          <w:tcPr>
            <w:tcW w:w="38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gridSpan w:val="2"/>
            <w:shd w:val="clear" w:color="auto" w:fill="CFF0FC"/>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0.6 %</w:t>
            </w:r>
          </w:p>
        </w:tc>
      </w:tr>
      <w:tr>
        <w:trPr>
          <w:trHeight w:val="169"/>
        </w:trPr>
        <w:tc>
          <w:tcPr>
            <w:tcW w:w="5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72.8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44.1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65.2 %</w:t>
            </w:r>
          </w:p>
        </w:tc>
        <w:tc>
          <w:tcPr>
            <w:tcW w:w="380" w:type="dxa"/>
            <w:vAlign w:val="bottom"/>
          </w:tcPr>
          <w:p>
            <w:pPr>
              <w:spacing w:after="0"/>
              <w:rPr>
                <w:sz w:val="14"/>
                <w:szCs w:val="14"/>
                <w:color w:val="auto"/>
              </w:rPr>
            </w:pPr>
          </w:p>
        </w:tc>
        <w:tc>
          <w:tcPr>
            <w:tcW w:w="1160" w:type="dxa"/>
            <w:vAlign w:val="bottom"/>
            <w:gridSpan w:val="2"/>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66.2 %</w:t>
            </w:r>
          </w:p>
        </w:tc>
      </w:tr>
      <w:tr>
        <w:trPr>
          <w:trHeight w:val="169"/>
        </w:trPr>
        <w:tc>
          <w:tcPr>
            <w:tcW w:w="5280" w:type="dxa"/>
            <w:vAlign w:val="bottom"/>
            <w:shd w:val="clear" w:color="auto" w:fill="CFF0FC"/>
          </w:tcPr>
          <w:p>
            <w:pPr>
              <w:ind w:left="160"/>
              <w:spacing w:after="0" w:line="169" w:lineRule="exact"/>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r>
      <w:tr>
        <w:trPr>
          <w:trHeight w:val="177"/>
        </w:trPr>
        <w:tc>
          <w:tcPr>
            <w:tcW w:w="5280" w:type="dxa"/>
            <w:vAlign w:val="bottom"/>
          </w:tcPr>
          <w:p>
            <w:pPr>
              <w:ind w:left="400"/>
              <w:spacing w:after="0" w:line="178" w:lineRule="exact"/>
              <w:rPr>
                <w:sz w:val="20"/>
                <w:szCs w:val="20"/>
                <w:color w:val="auto"/>
              </w:rPr>
            </w:pPr>
            <w:r>
              <w:rPr>
                <w:rFonts w:ascii="Times New Roman" w:cs="Times New Roman" w:eastAsia="Times New Roman" w:hAnsi="Times New Roman"/>
                <w:sz w:val="16"/>
                <w:szCs w:val="16"/>
                <w:color w:val="auto"/>
              </w:rPr>
              <w:t>France</w:t>
            </w:r>
          </w:p>
        </w:tc>
        <w:tc>
          <w:tcPr>
            <w:tcW w:w="28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49.6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42.6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16.4 %</w:t>
            </w:r>
          </w:p>
        </w:tc>
        <w:tc>
          <w:tcPr>
            <w:tcW w:w="380" w:type="dxa"/>
            <w:vAlign w:val="bottom"/>
          </w:tcPr>
          <w:p>
            <w:pPr>
              <w:spacing w:after="0"/>
              <w:rPr>
                <w:sz w:val="15"/>
                <w:szCs w:val="15"/>
                <w:color w:val="auto"/>
              </w:rPr>
            </w:pPr>
          </w:p>
        </w:tc>
        <w:tc>
          <w:tcPr>
            <w:tcW w:w="1160" w:type="dxa"/>
            <w:vAlign w:val="bottom"/>
            <w:gridSpan w:val="2"/>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25.1 %</w:t>
            </w:r>
          </w:p>
        </w:tc>
      </w:tr>
      <w:tr>
        <w:trPr>
          <w:trHeight w:val="177"/>
        </w:trPr>
        <w:tc>
          <w:tcPr>
            <w:tcW w:w="5280" w:type="dxa"/>
            <w:vAlign w:val="bottom"/>
            <w:shd w:val="clear" w:color="auto" w:fill="CFF0FC"/>
          </w:tcPr>
          <w:p>
            <w:pPr>
              <w:ind w:left="400"/>
              <w:spacing w:after="0" w:line="178" w:lineRule="exact"/>
              <w:rPr>
                <w:sz w:val="20"/>
                <w:szCs w:val="20"/>
                <w:color w:val="auto"/>
              </w:rPr>
            </w:pPr>
            <w:r>
              <w:rPr>
                <w:rFonts w:ascii="Times New Roman" w:cs="Times New Roman" w:eastAsia="Times New Roman" w:hAnsi="Times New Roman"/>
                <w:sz w:val="16"/>
                <w:szCs w:val="16"/>
                <w:color w:val="auto"/>
              </w:rPr>
              <w:t>Italy</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29.0</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19.4</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49.6 %</w:t>
            </w:r>
          </w:p>
        </w:tc>
        <w:tc>
          <w:tcPr>
            <w:tcW w:w="3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60.7 %</w:t>
            </w:r>
          </w:p>
        </w:tc>
      </w:tr>
      <w:tr>
        <w:trPr>
          <w:trHeight w:val="177"/>
        </w:trPr>
        <w:tc>
          <w:tcPr>
            <w:tcW w:w="5280" w:type="dxa"/>
            <w:vAlign w:val="bottom"/>
          </w:tcPr>
          <w:p>
            <w:pPr>
              <w:ind w:left="400"/>
              <w:spacing w:after="0" w:line="178" w:lineRule="exact"/>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16.6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45.7 %</w:t>
            </w:r>
          </w:p>
        </w:tc>
        <w:tc>
          <w:tcPr>
            <w:tcW w:w="380" w:type="dxa"/>
            <w:vAlign w:val="bottom"/>
          </w:tcPr>
          <w:p>
            <w:pPr>
              <w:spacing w:after="0"/>
              <w:rPr>
                <w:sz w:val="15"/>
                <w:szCs w:val="15"/>
                <w:color w:val="auto"/>
              </w:rPr>
            </w:pPr>
          </w:p>
        </w:tc>
        <w:tc>
          <w:tcPr>
            <w:tcW w:w="1160" w:type="dxa"/>
            <w:vAlign w:val="bottom"/>
            <w:gridSpan w:val="2"/>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50.0 %</w:t>
            </w:r>
          </w:p>
        </w:tc>
      </w:tr>
      <w:tr>
        <w:trPr>
          <w:trHeight w:val="169"/>
        </w:trPr>
        <w:tc>
          <w:tcPr>
            <w:tcW w:w="52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95.2</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73.4</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gridSpan w:val="2"/>
            <w:shd w:val="clear" w:color="auto" w:fill="CFF0FC"/>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29.7 %</w:t>
            </w:r>
          </w:p>
        </w:tc>
        <w:tc>
          <w:tcPr>
            <w:tcW w:w="38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gridSpan w:val="2"/>
            <w:shd w:val="clear" w:color="auto" w:fill="CFF0FC"/>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38.4 %</w:t>
            </w:r>
          </w:p>
        </w:tc>
      </w:tr>
      <w:tr>
        <w:trPr>
          <w:trHeight w:val="169"/>
        </w:trPr>
        <w:tc>
          <w:tcPr>
            <w:tcW w:w="5280" w:type="dxa"/>
            <w:vAlign w:val="bottom"/>
          </w:tcPr>
          <w:p>
            <w:pPr>
              <w:ind w:left="160"/>
              <w:spacing w:after="0" w:line="169" w:lineRule="exact"/>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-32.4 %</w:t>
            </w:r>
          </w:p>
        </w:tc>
        <w:tc>
          <w:tcPr>
            <w:tcW w:w="380" w:type="dxa"/>
            <w:vAlign w:val="bottom"/>
          </w:tcPr>
          <w:p>
            <w:pPr>
              <w:spacing w:after="0"/>
              <w:rPr>
                <w:sz w:val="14"/>
                <w:szCs w:val="14"/>
                <w:color w:val="auto"/>
              </w:rPr>
            </w:pPr>
          </w:p>
        </w:tc>
        <w:tc>
          <w:tcPr>
            <w:tcW w:w="1160" w:type="dxa"/>
            <w:vAlign w:val="bottom"/>
            <w:gridSpan w:val="2"/>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-35.3 %</w:t>
            </w:r>
          </w:p>
        </w:tc>
      </w:tr>
      <w:tr>
        <w:trPr>
          <w:trHeight w:val="177"/>
        </w:trPr>
        <w:tc>
          <w:tcPr>
            <w:tcW w:w="5280" w:type="dxa"/>
            <w:vAlign w:val="bottom"/>
            <w:tcBorders>
              <w:bottom w:val="single" w:sz="8" w:color="CFF0FC"/>
            </w:tcBorders>
            <w:shd w:val="clear" w:color="auto" w:fill="CFF0FC"/>
          </w:tcPr>
          <w:p>
            <w:pPr>
              <w:ind w:left="160"/>
              <w:spacing w:after="0" w:line="178" w:lineRule="exact"/>
              <w:rPr>
                <w:sz w:val="20"/>
                <w:szCs w:val="20"/>
                <w:color w:val="auto"/>
              </w:rPr>
            </w:pPr>
            <w:r>
              <w:rPr>
                <w:rFonts w:ascii="Times New Roman" w:cs="Times New Roman" w:eastAsia="Times New Roman" w:hAnsi="Times New Roman"/>
                <w:sz w:val="16"/>
                <w:szCs w:val="16"/>
                <w:color w:val="auto"/>
              </w:rPr>
              <w:t>APME</w:t>
            </w: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19.0</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18.8</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gridSpan w:val="2"/>
            <w:shd w:val="clear" w:color="auto" w:fill="CFF0FC"/>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0.8 %</w:t>
            </w:r>
          </w:p>
        </w:tc>
        <w:tc>
          <w:tcPr>
            <w:tcW w:w="38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gridSpan w:val="2"/>
            <w:shd w:val="clear" w:color="auto" w:fill="CFF0FC"/>
          </w:tcPr>
          <w:p>
            <w:pPr>
              <w:jc w:val="right"/>
              <w:ind w:right="100"/>
              <w:spacing w:after="0" w:line="178" w:lineRule="exact"/>
              <w:rPr>
                <w:sz w:val="20"/>
                <w:szCs w:val="20"/>
                <w:color w:val="auto"/>
              </w:rPr>
            </w:pPr>
            <w:r>
              <w:rPr>
                <w:rFonts w:ascii="Times New Roman" w:cs="Times New Roman" w:eastAsia="Times New Roman" w:hAnsi="Times New Roman"/>
                <w:sz w:val="16"/>
                <w:szCs w:val="16"/>
                <w:color w:val="auto"/>
              </w:rPr>
              <w:t>10.1 %</w:t>
            </w:r>
          </w:p>
        </w:tc>
      </w:tr>
      <w:tr>
        <w:trPr>
          <w:trHeight w:val="169"/>
        </w:trPr>
        <w:tc>
          <w:tcPr>
            <w:tcW w:w="5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190.3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141.1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7"/>
        </w:trPr>
        <w:tc>
          <w:tcPr>
            <w:tcW w:w="52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color w:val="auto"/>
              </w:rPr>
              <w:t>Corporate expenses</w:t>
            </w:r>
          </w:p>
        </w:tc>
        <w:tc>
          <w:tcPr>
            <w:tcW w:w="2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0"/>
              <w:spacing w:after="0" w:line="178" w:lineRule="exact"/>
              <w:rPr>
                <w:sz w:val="20"/>
                <w:szCs w:val="20"/>
                <w:color w:val="auto"/>
              </w:rPr>
            </w:pPr>
            <w:r>
              <w:rPr>
                <w:rFonts w:ascii="Times New Roman" w:cs="Times New Roman" w:eastAsia="Times New Roman" w:hAnsi="Times New Roman"/>
                <w:sz w:val="16"/>
                <w:szCs w:val="16"/>
                <w:color w:val="auto"/>
              </w:rPr>
              <w:t>(42.0 )</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
              <w:spacing w:after="0" w:line="178" w:lineRule="exact"/>
              <w:rPr>
                <w:sz w:val="20"/>
                <w:szCs w:val="20"/>
                <w:color w:val="auto"/>
              </w:rPr>
            </w:pPr>
            <w:r>
              <w:rPr>
                <w:rFonts w:ascii="Times New Roman" w:cs="Times New Roman" w:eastAsia="Times New Roman" w:hAnsi="Times New Roman"/>
                <w:sz w:val="16"/>
                <w:szCs w:val="16"/>
                <w:color w:val="auto"/>
              </w:rPr>
              <w:t>(37.2 )</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77"/>
        </w:trPr>
        <w:tc>
          <w:tcPr>
            <w:tcW w:w="528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Intangible asset amortization expense</w:t>
            </w:r>
          </w:p>
        </w:tc>
        <w:tc>
          <w:tcPr>
            <w:tcW w:w="280" w:type="dxa"/>
            <w:vAlign w:val="bottom"/>
          </w:tcPr>
          <w:p>
            <w:pPr>
              <w:spacing w:after="0"/>
              <w:rPr>
                <w:sz w:val="15"/>
                <w:szCs w:val="15"/>
                <w:color w:val="auto"/>
              </w:rPr>
            </w:pPr>
          </w:p>
        </w:tc>
        <w:tc>
          <w:tcPr>
            <w:tcW w:w="1100" w:type="dxa"/>
            <w:vAlign w:val="bottom"/>
            <w:gridSpan w:val="2"/>
          </w:tcPr>
          <w:p>
            <w:pPr>
              <w:jc w:val="right"/>
              <w:ind w:right="20"/>
              <w:spacing w:after="0" w:line="178" w:lineRule="exact"/>
              <w:rPr>
                <w:sz w:val="20"/>
                <w:szCs w:val="20"/>
                <w:color w:val="auto"/>
              </w:rPr>
            </w:pPr>
            <w:r>
              <w:rPr>
                <w:rFonts w:ascii="Times New Roman" w:cs="Times New Roman" w:eastAsia="Times New Roman" w:hAnsi="Times New Roman"/>
                <w:sz w:val="16"/>
                <w:szCs w:val="16"/>
                <w:color w:val="auto"/>
              </w:rPr>
              <w:t>(9.6 )</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
              <w:spacing w:after="0" w:line="178" w:lineRule="exact"/>
              <w:rPr>
                <w:sz w:val="20"/>
                <w:szCs w:val="20"/>
                <w:color w:val="auto"/>
              </w:rPr>
            </w:pPr>
            <w:r>
              <w:rPr>
                <w:rFonts w:ascii="Times New Roman" w:cs="Times New Roman" w:eastAsia="Times New Roman" w:hAnsi="Times New Roman"/>
                <w:sz w:val="16"/>
                <w:szCs w:val="16"/>
                <w:color w:val="auto"/>
              </w:rPr>
              <w:t>(5.5 )</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9"/>
        </w:trPr>
        <w:tc>
          <w:tcPr>
            <w:tcW w:w="5280" w:type="dxa"/>
            <w:vAlign w:val="bottom"/>
            <w:shd w:val="clear" w:color="auto" w:fill="CFF0FC"/>
          </w:tcPr>
          <w:p>
            <w:pPr>
              <w:ind w:left="240"/>
              <w:spacing w:after="0" w:line="169" w:lineRule="exact"/>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138.7</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98.4</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40.9 %</w:t>
            </w:r>
          </w:p>
        </w:tc>
        <w:tc>
          <w:tcPr>
            <w:tcW w:w="3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49.3 %</w:t>
            </w:r>
          </w:p>
        </w:tc>
      </w:tr>
      <w:tr>
        <w:trPr>
          <w:trHeight w:val="177"/>
        </w:trPr>
        <w:tc>
          <w:tcPr>
            <w:tcW w:w="528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Interest and other expenses, net (b)</w:t>
            </w:r>
          </w:p>
        </w:tc>
        <w:tc>
          <w:tcPr>
            <w:tcW w:w="280" w:type="dxa"/>
            <w:vAlign w:val="bottom"/>
          </w:tcPr>
          <w:p>
            <w:pPr>
              <w:spacing w:after="0"/>
              <w:rPr>
                <w:sz w:val="15"/>
                <w:szCs w:val="15"/>
                <w:color w:val="auto"/>
              </w:rPr>
            </w:pPr>
          </w:p>
        </w:tc>
        <w:tc>
          <w:tcPr>
            <w:tcW w:w="1100" w:type="dxa"/>
            <w:vAlign w:val="bottom"/>
            <w:gridSpan w:val="2"/>
          </w:tcPr>
          <w:p>
            <w:pPr>
              <w:jc w:val="right"/>
              <w:ind w:right="20"/>
              <w:spacing w:after="0" w:line="178" w:lineRule="exact"/>
              <w:rPr>
                <w:sz w:val="20"/>
                <w:szCs w:val="20"/>
                <w:color w:val="auto"/>
              </w:rPr>
            </w:pPr>
            <w:r>
              <w:rPr>
                <w:rFonts w:ascii="Times New Roman" w:cs="Times New Roman" w:eastAsia="Times New Roman" w:hAnsi="Times New Roman"/>
                <w:sz w:val="16"/>
                <w:szCs w:val="16"/>
                <w:color w:val="auto"/>
              </w:rPr>
              <w:t>(2.7 )</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
              <w:spacing w:after="0" w:line="178" w:lineRule="exact"/>
              <w:rPr>
                <w:sz w:val="20"/>
                <w:szCs w:val="20"/>
                <w:color w:val="auto"/>
              </w:rPr>
            </w:pPr>
            <w:r>
              <w:rPr>
                <w:rFonts w:ascii="Times New Roman" w:cs="Times New Roman" w:eastAsia="Times New Roman" w:hAnsi="Times New Roman"/>
                <w:sz w:val="16"/>
                <w:szCs w:val="16"/>
                <w:color w:val="auto"/>
              </w:rPr>
              <w:t>(5.4 )</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9"/>
        </w:trPr>
        <w:tc>
          <w:tcPr>
            <w:tcW w:w="5280" w:type="dxa"/>
            <w:vAlign w:val="bottom"/>
            <w:tcBorders>
              <w:bottom w:val="single" w:sz="8" w:color="CFF0FC"/>
            </w:tcBorders>
            <w:shd w:val="clear" w:color="auto" w:fill="CFF0FC"/>
          </w:tcPr>
          <w:p>
            <w:pPr>
              <w:ind w:left="240"/>
              <w:spacing w:after="0" w:line="169" w:lineRule="exact"/>
              <w:rPr>
                <w:sz w:val="20"/>
                <w:szCs w:val="20"/>
                <w:color w:val="auto"/>
              </w:rPr>
            </w:pPr>
            <w:r>
              <w:rPr>
                <w:rFonts w:ascii="Times New Roman" w:cs="Times New Roman" w:eastAsia="Times New Roman" w:hAnsi="Times New Roman"/>
                <w:sz w:val="16"/>
                <w:szCs w:val="16"/>
                <w:color w:val="auto"/>
              </w:rPr>
              <w:t>Earnings before income taxes</w:t>
            </w:r>
          </w:p>
        </w:tc>
        <w:tc>
          <w:tcPr>
            <w:tcW w:w="280" w:type="dxa"/>
            <w:vAlign w:val="bottom"/>
            <w:tcBorders>
              <w:top w:val="single" w:sz="8" w:color="auto"/>
              <w:bottom w:val="single" w:sz="8" w:color="auto"/>
            </w:tcBorders>
            <w:shd w:val="clear" w:color="auto" w:fill="CFF0FC"/>
          </w:tcPr>
          <w:p>
            <w:pPr>
              <w:jc w:val="right"/>
              <w:ind w:right="101"/>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136.0</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1"/>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93.0</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-3278505</wp:posOffset>
            </wp:positionV>
            <wp:extent cx="60325" cy="5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-3278505</wp:posOffset>
            </wp:positionV>
            <wp:extent cx="52705" cy="5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-2820670</wp:posOffset>
            </wp:positionV>
            <wp:extent cx="60325" cy="5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-2820670</wp:posOffset>
            </wp:positionV>
            <wp:extent cx="52705" cy="5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-2347595</wp:posOffset>
            </wp:positionV>
            <wp:extent cx="60325" cy="5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-2347595</wp:posOffset>
            </wp:positionV>
            <wp:extent cx="52705" cy="5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-2106930</wp:posOffset>
            </wp:positionV>
            <wp:extent cx="60325" cy="5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-2106930</wp:posOffset>
            </wp:positionV>
            <wp:extent cx="52705" cy="5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-1649095</wp:posOffset>
            </wp:positionV>
            <wp:extent cx="60325" cy="5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-1649095</wp:posOffset>
            </wp:positionV>
            <wp:extent cx="52705" cy="5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-950595</wp:posOffset>
            </wp:positionV>
            <wp:extent cx="60325" cy="5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-950595</wp:posOffset>
            </wp:positionV>
            <wp:extent cx="52705" cy="5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-717550</wp:posOffset>
            </wp:positionV>
            <wp:extent cx="60325" cy="5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508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-717550</wp:posOffset>
            </wp:positionV>
            <wp:extent cx="52705" cy="50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-21590</wp:posOffset>
            </wp:positionV>
            <wp:extent cx="6032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-6985</wp:posOffset>
            </wp:positionV>
            <wp:extent cx="6032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-21590</wp:posOffset>
            </wp:positionV>
            <wp:extent cx="5270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-6985</wp:posOffset>
            </wp:positionV>
            <wp:extent cx="5270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705" cy="7620"/>
                    </a:xfrm>
                    <a:prstGeom prst="rect">
                      <a:avLst/>
                    </a:prstGeom>
                    <a:noFill/>
                  </pic:spPr>
                </pic:pic>
              </a:graphicData>
            </a:graphic>
          </wp:anchor>
        </w:drawing>
      </w:r>
    </w:p>
    <w:p>
      <w:pPr>
        <w:ind w:left="506" w:right="60" w:hanging="506"/>
        <w:spacing w:after="0" w:line="236" w:lineRule="auto"/>
        <w:tabs>
          <w:tab w:leader="none" w:pos="36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 fees received from our franchise offices of $2.9 million and $3.1 million for the three months ended March 31, 2022 and 2021, respectively. These fees are primarily based on revenues generated by the franchise offices, which were $110.8 million and $117.5 million for the three months ended March 31, 2022 and 2021, respectively.</w:t>
      </w:r>
    </w:p>
    <w:p>
      <w:pPr>
        <w:spacing w:after="0" w:line="43" w:lineRule="exact"/>
        <w:rPr>
          <w:rFonts w:ascii="Times New Roman" w:cs="Times New Roman" w:eastAsia="Times New Roman" w:hAnsi="Times New Roman"/>
          <w:sz w:val="16"/>
          <w:szCs w:val="16"/>
          <w:color w:val="auto"/>
        </w:rPr>
      </w:pPr>
    </w:p>
    <w:p>
      <w:pPr>
        <w:ind w:left="386" w:hanging="386"/>
        <w:spacing w:after="0"/>
        <w:tabs>
          <w:tab w:leader="none" w:pos="38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net were:</w:t>
      </w:r>
    </w:p>
    <w:p>
      <w:pPr>
        <w:spacing w:after="0" w:line="3"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7320" w:type="dxa"/>
            <w:vAlign w:val="bottom"/>
          </w:tcPr>
          <w:p>
            <w:pPr>
              <w:spacing w:after="0"/>
              <w:rPr>
                <w:sz w:val="16"/>
                <w:szCs w:val="16"/>
                <w:color w:val="auto"/>
              </w:rPr>
            </w:pPr>
          </w:p>
        </w:tc>
        <w:tc>
          <w:tcPr>
            <w:tcW w:w="12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6"/>
                <w:szCs w:val="16"/>
                <w:color w:val="auto"/>
              </w:rPr>
            </w:pPr>
          </w:p>
        </w:tc>
      </w:tr>
      <w:tr>
        <w:trPr>
          <w:trHeight w:val="169"/>
        </w:trPr>
        <w:tc>
          <w:tcPr>
            <w:tcW w:w="73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6"/>
                <w:szCs w:val="16"/>
                <w:color w:val="auto"/>
              </w:rPr>
              <w:t>Interest expense</w:t>
            </w:r>
          </w:p>
        </w:tc>
        <w:tc>
          <w:tcPr>
            <w:tcW w:w="1280" w:type="dxa"/>
            <w:vAlign w:val="bottom"/>
            <w:shd w:val="clear" w:color="auto" w:fill="CFF0FC"/>
          </w:tcPr>
          <w:p>
            <w:pPr>
              <w:jc w:val="right"/>
              <w:ind w:right="1121"/>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10.4</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41"/>
              <w:spacing w:after="0" w:line="169"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10.2</w:t>
            </w:r>
          </w:p>
        </w:tc>
        <w:tc>
          <w:tcPr>
            <w:tcW w:w="80" w:type="dxa"/>
            <w:vAlign w:val="bottom"/>
            <w:shd w:val="clear" w:color="auto" w:fill="CFF0FC"/>
          </w:tcPr>
          <w:p>
            <w:pPr>
              <w:spacing w:after="0"/>
              <w:rPr>
                <w:sz w:val="14"/>
                <w:szCs w:val="14"/>
                <w:color w:val="auto"/>
              </w:rPr>
            </w:pPr>
          </w:p>
        </w:tc>
      </w:tr>
      <w:tr>
        <w:trPr>
          <w:trHeight w:val="177"/>
        </w:trPr>
        <w:tc>
          <w:tcPr>
            <w:tcW w:w="732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Interest income</w:t>
            </w:r>
          </w:p>
        </w:tc>
        <w:tc>
          <w:tcPr>
            <w:tcW w:w="1280" w:type="dxa"/>
            <w:vAlign w:val="bottom"/>
          </w:tcPr>
          <w:p>
            <w:pPr>
              <w:spacing w:after="0"/>
              <w:rPr>
                <w:sz w:val="15"/>
                <w:szCs w:val="15"/>
                <w:color w:val="auto"/>
              </w:rPr>
            </w:pPr>
          </w:p>
        </w:tc>
        <w:tc>
          <w:tcPr>
            <w:tcW w:w="600" w:type="dxa"/>
            <w:vAlign w:val="bottom"/>
            <w:gridSpan w:val="2"/>
          </w:tcPr>
          <w:p>
            <w:pPr>
              <w:jc w:val="right"/>
              <w:ind w:right="20"/>
              <w:spacing w:after="0" w:line="178" w:lineRule="exact"/>
              <w:rPr>
                <w:sz w:val="20"/>
                <w:szCs w:val="20"/>
                <w:color w:val="auto"/>
              </w:rPr>
            </w:pPr>
            <w:r>
              <w:rPr>
                <w:rFonts w:ascii="Times New Roman" w:cs="Times New Roman" w:eastAsia="Times New Roman" w:hAnsi="Times New Roman"/>
                <w:sz w:val="16"/>
                <w:szCs w:val="16"/>
                <w:color w:val="auto"/>
              </w:rPr>
              <w:t>(2.8 )</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gridSpan w:val="2"/>
          </w:tcPr>
          <w:p>
            <w:pPr>
              <w:jc w:val="right"/>
              <w:ind w:right="20"/>
              <w:spacing w:after="0" w:line="178" w:lineRule="exact"/>
              <w:rPr>
                <w:sz w:val="20"/>
                <w:szCs w:val="20"/>
                <w:color w:val="auto"/>
              </w:rPr>
            </w:pPr>
            <w:r>
              <w:rPr>
                <w:rFonts w:ascii="Times New Roman" w:cs="Times New Roman" w:eastAsia="Times New Roman" w:hAnsi="Times New Roman"/>
                <w:sz w:val="16"/>
                <w:szCs w:val="16"/>
                <w:color w:val="auto"/>
              </w:rPr>
              <w:t>(3.1 )</w:t>
            </w:r>
          </w:p>
        </w:tc>
      </w:tr>
      <w:tr>
        <w:trPr>
          <w:trHeight w:val="177"/>
        </w:trPr>
        <w:tc>
          <w:tcPr>
            <w:tcW w:w="732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color w:val="auto"/>
              </w:rPr>
              <w:t>Foreign exchange loss</w:t>
            </w:r>
          </w:p>
        </w:tc>
        <w:tc>
          <w:tcPr>
            <w:tcW w:w="12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FF0FC"/>
          </w:tcPr>
          <w:p>
            <w:pPr>
              <w:spacing w:after="0"/>
              <w:rPr>
                <w:sz w:val="15"/>
                <w:szCs w:val="15"/>
                <w:color w:val="auto"/>
              </w:rPr>
            </w:pPr>
          </w:p>
        </w:tc>
      </w:tr>
      <w:tr>
        <w:trPr>
          <w:trHeight w:val="177"/>
        </w:trPr>
        <w:tc>
          <w:tcPr>
            <w:tcW w:w="732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Miscellaneous income</w:t>
            </w:r>
          </w:p>
        </w:tc>
        <w:tc>
          <w:tcPr>
            <w:tcW w:w="1280" w:type="dxa"/>
            <w:vAlign w:val="bottom"/>
          </w:tcPr>
          <w:p>
            <w:pPr>
              <w:spacing w:after="0"/>
              <w:rPr>
                <w:sz w:val="15"/>
                <w:szCs w:val="15"/>
                <w:color w:val="auto"/>
              </w:rPr>
            </w:pPr>
          </w:p>
        </w:tc>
        <w:tc>
          <w:tcPr>
            <w:tcW w:w="600" w:type="dxa"/>
            <w:vAlign w:val="bottom"/>
            <w:gridSpan w:val="2"/>
          </w:tcPr>
          <w:p>
            <w:pPr>
              <w:jc w:val="right"/>
              <w:ind w:right="20"/>
              <w:spacing w:after="0" w:line="178" w:lineRule="exact"/>
              <w:rPr>
                <w:sz w:val="20"/>
                <w:szCs w:val="20"/>
                <w:color w:val="auto"/>
              </w:rPr>
            </w:pPr>
            <w:r>
              <w:rPr>
                <w:rFonts w:ascii="Times New Roman" w:cs="Times New Roman" w:eastAsia="Times New Roman" w:hAnsi="Times New Roman"/>
                <w:sz w:val="16"/>
                <w:szCs w:val="16"/>
                <w:color w:val="auto"/>
              </w:rPr>
              <w:t>(6.7 )</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gridSpan w:val="2"/>
          </w:tcPr>
          <w:p>
            <w:pPr>
              <w:jc w:val="right"/>
              <w:ind w:right="20"/>
              <w:spacing w:after="0" w:line="178" w:lineRule="exact"/>
              <w:rPr>
                <w:sz w:val="20"/>
                <w:szCs w:val="20"/>
                <w:color w:val="auto"/>
              </w:rPr>
            </w:pPr>
            <w:r>
              <w:rPr>
                <w:rFonts w:ascii="Times New Roman" w:cs="Times New Roman" w:eastAsia="Times New Roman" w:hAnsi="Times New Roman"/>
                <w:sz w:val="16"/>
                <w:szCs w:val="16"/>
                <w:color w:val="auto"/>
              </w:rPr>
              <w:t>(4.2 )</w:t>
            </w:r>
          </w:p>
        </w:tc>
      </w:tr>
      <w:tr>
        <w:trPr>
          <w:trHeight w:val="209"/>
        </w:trPr>
        <w:tc>
          <w:tcPr>
            <w:tcW w:w="73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ind w:right="1121"/>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2.7</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ind w:right="241"/>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5.4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464"/>
        </w:trPr>
        <w:tc>
          <w:tcPr>
            <w:tcW w:w="73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5789930</wp:posOffset>
            </wp:positionH>
            <wp:positionV relativeFrom="paragraph">
              <wp:posOffset>-344805</wp:posOffset>
            </wp:positionV>
            <wp:extent cx="5270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-329565</wp:posOffset>
            </wp:positionV>
            <wp:extent cx="5270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-344805</wp:posOffset>
            </wp:positionV>
            <wp:extent cx="5270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-329565</wp:posOffset>
            </wp:positionV>
            <wp:extent cx="5270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6"/>
          </w:cols>
          <w:pgMar w:left="314" w:top="336" w:right="319" w:bottom="1440" w:gutter="0" w:footer="0" w:header="0"/>
        </w:sectPr>
      </w:pPr>
    </w:p>
    <w:bookmarkStart w:id="7" w:name="page8"/>
    <w:bookmarkEnd w:id="7"/>
    <w:p>
      <w:pPr>
        <w:ind w:left="5080"/>
        <w:spacing w:after="0"/>
        <w:rPr>
          <w:sz w:val="20"/>
          <w:szCs w:val="20"/>
          <w:color w:val="auto"/>
        </w:rPr>
      </w:pPr>
      <w:r>
        <w:rPr>
          <w:rFonts w:ascii="Times New Roman" w:cs="Times New Roman" w:eastAsia="Times New Roman" w:hAnsi="Times New Roman"/>
          <w:sz w:val="16"/>
          <w:szCs w:val="16"/>
          <w:color w:val="auto"/>
        </w:rPr>
        <w:t>ManpowerGroup</w:t>
      </w:r>
    </w:p>
    <w:p>
      <w:pPr>
        <w:spacing w:after="0" w:line="2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6"/>
        </w:trPr>
        <w:tc>
          <w:tcPr>
            <w:tcW w:w="7300" w:type="dxa"/>
            <w:vAlign w:val="bottom"/>
          </w:tcPr>
          <w:p>
            <w:pPr>
              <w:spacing w:after="0"/>
              <w:rPr>
                <w:sz w:val="17"/>
                <w:szCs w:val="17"/>
                <w:color w:val="auto"/>
              </w:rPr>
            </w:pPr>
          </w:p>
        </w:tc>
        <w:tc>
          <w:tcPr>
            <w:tcW w:w="12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r>
      <w:tr>
        <w:trPr>
          <w:trHeight w:val="169"/>
        </w:trPr>
        <w:tc>
          <w:tcPr>
            <w:tcW w:w="7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gridSpan w:val="4"/>
          </w:tcPr>
          <w:p>
            <w:pPr>
              <w:jc w:val="right"/>
              <w:ind w:right="21"/>
              <w:spacing w:after="0" w:line="169" w:lineRule="exact"/>
              <w:rPr>
                <w:sz w:val="20"/>
                <w:szCs w:val="20"/>
                <w:color w:val="auto"/>
              </w:rPr>
            </w:pPr>
            <w:r>
              <w:rPr>
                <w:rFonts w:ascii="Times New Roman" w:cs="Times New Roman" w:eastAsia="Times New Roman" w:hAnsi="Times New Roman"/>
                <w:sz w:val="16"/>
                <w:szCs w:val="16"/>
                <w:color w:val="auto"/>
              </w:rPr>
              <w:t>(Unaudited)</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7"/>
        </w:trPr>
        <w:tc>
          <w:tcPr>
            <w:tcW w:w="73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ASSETS</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7"/>
        </w:trPr>
        <w:tc>
          <w:tcPr>
            <w:tcW w:w="730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Current assets:</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7"/>
        </w:trPr>
        <w:tc>
          <w:tcPr>
            <w:tcW w:w="7300" w:type="dxa"/>
            <w:vAlign w:val="bottom"/>
            <w:shd w:val="clear" w:color="auto" w:fill="CFF0FC"/>
          </w:tcPr>
          <w:p>
            <w:pPr>
              <w:ind w:left="240"/>
              <w:spacing w:after="0" w:line="178" w:lineRule="exact"/>
              <w:rPr>
                <w:sz w:val="20"/>
                <w:szCs w:val="20"/>
                <w:color w:val="auto"/>
              </w:rPr>
            </w:pPr>
            <w:r>
              <w:rPr>
                <w:rFonts w:ascii="Times New Roman" w:cs="Times New Roman" w:eastAsia="Times New Roman" w:hAnsi="Times New Roman"/>
                <w:sz w:val="16"/>
                <w:szCs w:val="16"/>
                <w:color w:val="auto"/>
              </w:rPr>
              <w:t>Cash and cash equivalents</w:t>
            </w:r>
          </w:p>
        </w:tc>
        <w:tc>
          <w:tcPr>
            <w:tcW w:w="1260" w:type="dxa"/>
            <w:vAlign w:val="bottom"/>
            <w:shd w:val="clear" w:color="auto" w:fill="CFF0FC"/>
          </w:tcPr>
          <w:p>
            <w:pPr>
              <w:jc w:val="right"/>
              <w:ind w:right="108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777.3</w:t>
            </w:r>
          </w:p>
        </w:tc>
        <w:tc>
          <w:tcPr>
            <w:tcW w:w="8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61"/>
              <w:spacing w:after="0" w:line="178"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847.8</w:t>
            </w:r>
          </w:p>
        </w:tc>
        <w:tc>
          <w:tcPr>
            <w:tcW w:w="80" w:type="dxa"/>
            <w:vAlign w:val="bottom"/>
            <w:shd w:val="clear" w:color="auto" w:fill="CFF0FC"/>
          </w:tcPr>
          <w:p>
            <w:pPr>
              <w:spacing w:after="0"/>
              <w:rPr>
                <w:sz w:val="15"/>
                <w:szCs w:val="15"/>
                <w:color w:val="auto"/>
              </w:rPr>
            </w:pPr>
          </w:p>
        </w:tc>
      </w:tr>
      <w:tr>
        <w:trPr>
          <w:trHeight w:val="177"/>
        </w:trPr>
        <w:tc>
          <w:tcPr>
            <w:tcW w:w="7300" w:type="dxa"/>
            <w:vAlign w:val="bottom"/>
          </w:tcPr>
          <w:p>
            <w:pPr>
              <w:ind w:left="240"/>
              <w:spacing w:after="0" w:line="178" w:lineRule="exact"/>
              <w:rPr>
                <w:sz w:val="20"/>
                <w:szCs w:val="20"/>
                <w:color w:val="auto"/>
              </w:rPr>
            </w:pPr>
            <w:r>
              <w:rPr>
                <w:rFonts w:ascii="Times New Roman" w:cs="Times New Roman" w:eastAsia="Times New Roman" w:hAnsi="Times New Roman"/>
                <w:sz w:val="16"/>
                <w:szCs w:val="16"/>
                <w:color w:val="auto"/>
              </w:rPr>
              <w:t>Accounts receivable, net</w:t>
            </w:r>
          </w:p>
        </w:tc>
        <w:tc>
          <w:tcPr>
            <w:tcW w:w="1260" w:type="dxa"/>
            <w:vAlign w:val="bottom"/>
          </w:tcPr>
          <w:p>
            <w:pPr>
              <w:spacing w:after="0"/>
              <w:rPr>
                <w:sz w:val="15"/>
                <w:szCs w:val="15"/>
                <w:color w:val="auto"/>
              </w:rPr>
            </w:pP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5,440.0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5,448.2</w:t>
            </w:r>
          </w:p>
        </w:tc>
        <w:tc>
          <w:tcPr>
            <w:tcW w:w="80" w:type="dxa"/>
            <w:vAlign w:val="bottom"/>
          </w:tcPr>
          <w:p>
            <w:pPr>
              <w:spacing w:after="0"/>
              <w:rPr>
                <w:sz w:val="15"/>
                <w:szCs w:val="15"/>
                <w:color w:val="auto"/>
              </w:rPr>
            </w:pPr>
          </w:p>
        </w:tc>
      </w:tr>
      <w:tr>
        <w:trPr>
          <w:trHeight w:val="177"/>
        </w:trPr>
        <w:tc>
          <w:tcPr>
            <w:tcW w:w="7300" w:type="dxa"/>
            <w:vAlign w:val="bottom"/>
            <w:tcBorders>
              <w:bottom w:val="single" w:sz="8" w:color="CFF0FC"/>
            </w:tcBorders>
            <w:shd w:val="clear" w:color="auto" w:fill="CFF0FC"/>
          </w:tcPr>
          <w:p>
            <w:pPr>
              <w:ind w:left="240"/>
              <w:spacing w:after="0" w:line="178" w:lineRule="exact"/>
              <w:rPr>
                <w:sz w:val="20"/>
                <w:szCs w:val="20"/>
                <w:color w:val="auto"/>
              </w:rPr>
            </w:pPr>
            <w:r>
              <w:rPr>
                <w:rFonts w:ascii="Times New Roman" w:cs="Times New Roman" w:eastAsia="Times New Roman" w:hAnsi="Times New Roman"/>
                <w:sz w:val="16"/>
                <w:szCs w:val="16"/>
                <w:color w:val="auto"/>
              </w:rPr>
              <w:t>Prepaid expenses and other assets</w:t>
            </w:r>
          </w:p>
        </w:tc>
        <w:tc>
          <w:tcPr>
            <w:tcW w:w="12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152.2</w:t>
            </w:r>
          </w:p>
        </w:tc>
        <w:tc>
          <w:tcPr>
            <w:tcW w:w="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126.7</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69"/>
        </w:trPr>
        <w:tc>
          <w:tcPr>
            <w:tcW w:w="7300" w:type="dxa"/>
            <w:vAlign w:val="bottom"/>
          </w:tcPr>
          <w:p>
            <w:pPr>
              <w:ind w:left="400"/>
              <w:spacing w:after="0" w:line="169" w:lineRule="exact"/>
              <w:rPr>
                <w:sz w:val="20"/>
                <w:szCs w:val="20"/>
                <w:color w:val="auto"/>
              </w:rPr>
            </w:pPr>
            <w:r>
              <w:rPr>
                <w:rFonts w:ascii="Times New Roman" w:cs="Times New Roman" w:eastAsia="Times New Roman" w:hAnsi="Times New Roman"/>
                <w:sz w:val="16"/>
                <w:szCs w:val="16"/>
                <w:color w:val="auto"/>
              </w:rPr>
              <w:t>Total current assets</w:t>
            </w:r>
          </w:p>
        </w:tc>
        <w:tc>
          <w:tcPr>
            <w:tcW w:w="126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6,369.5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6,422.7</w:t>
            </w:r>
          </w:p>
        </w:tc>
        <w:tc>
          <w:tcPr>
            <w:tcW w:w="80" w:type="dxa"/>
            <w:vAlign w:val="bottom"/>
          </w:tcPr>
          <w:p>
            <w:pPr>
              <w:spacing w:after="0"/>
              <w:rPr>
                <w:sz w:val="14"/>
                <w:szCs w:val="14"/>
                <w:color w:val="auto"/>
              </w:rPr>
            </w:pPr>
          </w:p>
        </w:tc>
      </w:tr>
      <w:tr>
        <w:trPr>
          <w:trHeight w:val="177"/>
        </w:trPr>
        <w:tc>
          <w:tcPr>
            <w:tcW w:w="73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Other assets:</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7"/>
        </w:trPr>
        <w:tc>
          <w:tcPr>
            <w:tcW w:w="7300" w:type="dxa"/>
            <w:vAlign w:val="bottom"/>
          </w:tcPr>
          <w:p>
            <w:pPr>
              <w:ind w:left="240"/>
              <w:spacing w:after="0" w:line="178" w:lineRule="exact"/>
              <w:rPr>
                <w:sz w:val="20"/>
                <w:szCs w:val="20"/>
                <w:color w:val="auto"/>
              </w:rPr>
            </w:pPr>
            <w:r>
              <w:rPr>
                <w:rFonts w:ascii="Times New Roman" w:cs="Times New Roman" w:eastAsia="Times New Roman" w:hAnsi="Times New Roman"/>
                <w:sz w:val="16"/>
                <w:szCs w:val="16"/>
                <w:color w:val="auto"/>
              </w:rPr>
              <w:t>Goodwill</w:t>
            </w:r>
          </w:p>
        </w:tc>
        <w:tc>
          <w:tcPr>
            <w:tcW w:w="1260" w:type="dxa"/>
            <w:vAlign w:val="bottom"/>
          </w:tcPr>
          <w:p>
            <w:pPr>
              <w:spacing w:after="0"/>
              <w:rPr>
                <w:sz w:val="15"/>
                <w:szCs w:val="15"/>
                <w:color w:val="auto"/>
              </w:rPr>
            </w:pP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1,710.0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1,722.2</w:t>
            </w:r>
          </w:p>
        </w:tc>
        <w:tc>
          <w:tcPr>
            <w:tcW w:w="80" w:type="dxa"/>
            <w:vAlign w:val="bottom"/>
          </w:tcPr>
          <w:p>
            <w:pPr>
              <w:spacing w:after="0"/>
              <w:rPr>
                <w:sz w:val="15"/>
                <w:szCs w:val="15"/>
                <w:color w:val="auto"/>
              </w:rPr>
            </w:pPr>
          </w:p>
        </w:tc>
      </w:tr>
      <w:tr>
        <w:trPr>
          <w:trHeight w:val="177"/>
        </w:trPr>
        <w:tc>
          <w:tcPr>
            <w:tcW w:w="7300" w:type="dxa"/>
            <w:vAlign w:val="bottom"/>
            <w:shd w:val="clear" w:color="auto" w:fill="CFF0FC"/>
          </w:tcPr>
          <w:p>
            <w:pPr>
              <w:ind w:left="240"/>
              <w:spacing w:after="0" w:line="178" w:lineRule="exact"/>
              <w:rPr>
                <w:sz w:val="20"/>
                <w:szCs w:val="20"/>
                <w:color w:val="auto"/>
              </w:rPr>
            </w:pPr>
            <w:r>
              <w:rPr>
                <w:rFonts w:ascii="Times New Roman" w:cs="Times New Roman" w:eastAsia="Times New Roman" w:hAnsi="Times New Roman"/>
                <w:sz w:val="16"/>
                <w:szCs w:val="16"/>
                <w:color w:val="auto"/>
              </w:rPr>
              <w:t>Intangible assets, net</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573.0</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583.6</w:t>
            </w:r>
          </w:p>
        </w:tc>
        <w:tc>
          <w:tcPr>
            <w:tcW w:w="80" w:type="dxa"/>
            <w:vAlign w:val="bottom"/>
            <w:shd w:val="clear" w:color="auto" w:fill="CFF0FC"/>
          </w:tcPr>
          <w:p>
            <w:pPr>
              <w:spacing w:after="0"/>
              <w:rPr>
                <w:sz w:val="15"/>
                <w:szCs w:val="15"/>
                <w:color w:val="auto"/>
              </w:rPr>
            </w:pPr>
          </w:p>
        </w:tc>
      </w:tr>
      <w:tr>
        <w:trPr>
          <w:trHeight w:val="177"/>
        </w:trPr>
        <w:tc>
          <w:tcPr>
            <w:tcW w:w="7300" w:type="dxa"/>
            <w:vAlign w:val="bottom"/>
          </w:tcPr>
          <w:p>
            <w:pPr>
              <w:ind w:left="240"/>
              <w:spacing w:after="0" w:line="178" w:lineRule="exact"/>
              <w:rPr>
                <w:sz w:val="20"/>
                <w:szCs w:val="20"/>
                <w:color w:val="auto"/>
              </w:rPr>
            </w:pPr>
            <w:r>
              <w:rPr>
                <w:rFonts w:ascii="Times New Roman" w:cs="Times New Roman" w:eastAsia="Times New Roman" w:hAnsi="Times New Roman"/>
                <w:sz w:val="16"/>
                <w:szCs w:val="16"/>
                <w:color w:val="auto"/>
              </w:rPr>
              <w:t>Operating lease right-of-use asset</w:t>
            </w:r>
          </w:p>
        </w:tc>
        <w:tc>
          <w:tcPr>
            <w:tcW w:w="1260" w:type="dxa"/>
            <w:vAlign w:val="bottom"/>
          </w:tcPr>
          <w:p>
            <w:pPr>
              <w:spacing w:after="0"/>
              <w:rPr>
                <w:sz w:val="15"/>
                <w:szCs w:val="15"/>
                <w:color w:val="auto"/>
              </w:rPr>
            </w:pP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351.5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373.4</w:t>
            </w:r>
          </w:p>
        </w:tc>
        <w:tc>
          <w:tcPr>
            <w:tcW w:w="80" w:type="dxa"/>
            <w:vAlign w:val="bottom"/>
          </w:tcPr>
          <w:p>
            <w:pPr>
              <w:spacing w:after="0"/>
              <w:rPr>
                <w:sz w:val="15"/>
                <w:szCs w:val="15"/>
                <w:color w:val="auto"/>
              </w:rPr>
            </w:pPr>
          </w:p>
        </w:tc>
      </w:tr>
      <w:tr>
        <w:trPr>
          <w:trHeight w:val="177"/>
        </w:trPr>
        <w:tc>
          <w:tcPr>
            <w:tcW w:w="7300" w:type="dxa"/>
            <w:vAlign w:val="bottom"/>
            <w:tcBorders>
              <w:bottom w:val="single" w:sz="8" w:color="CFF0FC"/>
            </w:tcBorders>
            <w:shd w:val="clear" w:color="auto" w:fill="CFF0FC"/>
          </w:tcPr>
          <w:p>
            <w:pPr>
              <w:ind w:left="240"/>
              <w:spacing w:after="0" w:line="178" w:lineRule="exact"/>
              <w:rPr>
                <w:sz w:val="20"/>
                <w:szCs w:val="20"/>
                <w:color w:val="auto"/>
              </w:rPr>
            </w:pPr>
            <w:r>
              <w:rPr>
                <w:rFonts w:ascii="Times New Roman" w:cs="Times New Roman" w:eastAsia="Times New Roman" w:hAnsi="Times New Roman"/>
                <w:sz w:val="16"/>
                <w:szCs w:val="16"/>
                <w:color w:val="auto"/>
              </w:rPr>
              <w:t>Other assets</w:t>
            </w:r>
          </w:p>
        </w:tc>
        <w:tc>
          <w:tcPr>
            <w:tcW w:w="12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603.7</w:t>
            </w:r>
          </w:p>
        </w:tc>
        <w:tc>
          <w:tcPr>
            <w:tcW w:w="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610.2</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69"/>
        </w:trPr>
        <w:tc>
          <w:tcPr>
            <w:tcW w:w="7300" w:type="dxa"/>
            <w:vAlign w:val="bottom"/>
          </w:tcPr>
          <w:p>
            <w:pPr>
              <w:ind w:left="400"/>
              <w:spacing w:after="0" w:line="169" w:lineRule="exact"/>
              <w:rPr>
                <w:sz w:val="20"/>
                <w:szCs w:val="20"/>
                <w:color w:val="auto"/>
              </w:rPr>
            </w:pPr>
            <w:r>
              <w:rPr>
                <w:rFonts w:ascii="Times New Roman" w:cs="Times New Roman" w:eastAsia="Times New Roman" w:hAnsi="Times New Roman"/>
                <w:sz w:val="16"/>
                <w:szCs w:val="16"/>
                <w:color w:val="auto"/>
              </w:rPr>
              <w:t>Total other assets</w:t>
            </w:r>
          </w:p>
        </w:tc>
        <w:tc>
          <w:tcPr>
            <w:tcW w:w="126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3,238.2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3,289.4</w:t>
            </w:r>
          </w:p>
        </w:tc>
        <w:tc>
          <w:tcPr>
            <w:tcW w:w="80" w:type="dxa"/>
            <w:vAlign w:val="bottom"/>
          </w:tcPr>
          <w:p>
            <w:pPr>
              <w:spacing w:after="0"/>
              <w:rPr>
                <w:sz w:val="14"/>
                <w:szCs w:val="14"/>
                <w:color w:val="auto"/>
              </w:rPr>
            </w:pPr>
          </w:p>
        </w:tc>
      </w:tr>
      <w:tr>
        <w:trPr>
          <w:trHeight w:val="177"/>
        </w:trPr>
        <w:tc>
          <w:tcPr>
            <w:tcW w:w="73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Property and equipment:</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7"/>
        </w:trPr>
        <w:tc>
          <w:tcPr>
            <w:tcW w:w="7300" w:type="dxa"/>
            <w:vAlign w:val="bottom"/>
          </w:tcPr>
          <w:p>
            <w:pPr>
              <w:ind w:left="240"/>
              <w:spacing w:after="0" w:line="178" w:lineRule="exact"/>
              <w:rPr>
                <w:sz w:val="20"/>
                <w:szCs w:val="20"/>
                <w:color w:val="auto"/>
              </w:rPr>
            </w:pPr>
            <w:r>
              <w:rPr>
                <w:rFonts w:ascii="Times New Roman" w:cs="Times New Roman" w:eastAsia="Times New Roman" w:hAnsi="Times New Roman"/>
                <w:sz w:val="16"/>
                <w:szCs w:val="16"/>
                <w:color w:val="auto"/>
              </w:rPr>
              <w:t>Land, buildings, leasehold improvements and equipment</w:t>
            </w:r>
          </w:p>
        </w:tc>
        <w:tc>
          <w:tcPr>
            <w:tcW w:w="1260" w:type="dxa"/>
            <w:vAlign w:val="bottom"/>
          </w:tcPr>
          <w:p>
            <w:pPr>
              <w:spacing w:after="0"/>
              <w:rPr>
                <w:sz w:val="15"/>
                <w:szCs w:val="15"/>
                <w:color w:val="auto"/>
              </w:rPr>
            </w:pP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591.1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594.9</w:t>
            </w:r>
          </w:p>
        </w:tc>
        <w:tc>
          <w:tcPr>
            <w:tcW w:w="80" w:type="dxa"/>
            <w:vAlign w:val="bottom"/>
          </w:tcPr>
          <w:p>
            <w:pPr>
              <w:spacing w:after="0"/>
              <w:rPr>
                <w:sz w:val="15"/>
                <w:szCs w:val="15"/>
                <w:color w:val="auto"/>
              </w:rPr>
            </w:pPr>
          </w:p>
        </w:tc>
      </w:tr>
      <w:tr>
        <w:trPr>
          <w:trHeight w:val="177"/>
        </w:trPr>
        <w:tc>
          <w:tcPr>
            <w:tcW w:w="7300" w:type="dxa"/>
            <w:vAlign w:val="bottom"/>
            <w:tcBorders>
              <w:bottom w:val="single" w:sz="8" w:color="CFF0FC"/>
            </w:tcBorders>
            <w:shd w:val="clear" w:color="auto" w:fill="CFF0FC"/>
          </w:tcPr>
          <w:p>
            <w:pPr>
              <w:ind w:left="240"/>
              <w:spacing w:after="0" w:line="178" w:lineRule="exact"/>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2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477.7</w:t>
            </w:r>
          </w:p>
        </w:tc>
        <w:tc>
          <w:tcPr>
            <w:tcW w:w="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478.1</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69"/>
        </w:trPr>
        <w:tc>
          <w:tcPr>
            <w:tcW w:w="7300" w:type="dxa"/>
            <w:vAlign w:val="bottom"/>
          </w:tcPr>
          <w:p>
            <w:pPr>
              <w:ind w:left="400"/>
              <w:spacing w:after="0" w:line="169" w:lineRule="exact"/>
              <w:rPr>
                <w:sz w:val="20"/>
                <w:szCs w:val="20"/>
                <w:color w:val="auto"/>
              </w:rPr>
            </w:pPr>
            <w:r>
              <w:rPr>
                <w:rFonts w:ascii="Times New Roman" w:cs="Times New Roman" w:eastAsia="Times New Roman" w:hAnsi="Times New Roman"/>
                <w:sz w:val="16"/>
                <w:szCs w:val="16"/>
                <w:color w:val="auto"/>
              </w:rPr>
              <w:t>Net property and equipment</w:t>
            </w:r>
          </w:p>
        </w:tc>
        <w:tc>
          <w:tcPr>
            <w:tcW w:w="1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113.4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116.8</w:t>
            </w:r>
          </w:p>
        </w:tc>
        <w:tc>
          <w:tcPr>
            <w:tcW w:w="80" w:type="dxa"/>
            <w:vAlign w:val="bottom"/>
          </w:tcPr>
          <w:p>
            <w:pPr>
              <w:spacing w:after="0"/>
              <w:rPr>
                <w:sz w:val="14"/>
                <w:szCs w:val="14"/>
                <w:color w:val="auto"/>
              </w:rPr>
            </w:pPr>
          </w:p>
        </w:tc>
      </w:tr>
      <w:tr>
        <w:trPr>
          <w:trHeight w:val="209"/>
        </w:trPr>
        <w:tc>
          <w:tcPr>
            <w:tcW w:w="7300" w:type="dxa"/>
            <w:vAlign w:val="bottom"/>
            <w:tcBorders>
              <w:bottom w:val="single" w:sz="8" w:color="CFF0FC"/>
            </w:tcBorders>
            <w:shd w:val="clear" w:color="auto" w:fill="CFF0FC"/>
          </w:tcPr>
          <w:p>
            <w:pPr>
              <w:ind w:left="840"/>
              <w:spacing w:after="0" w:line="169" w:lineRule="exact"/>
              <w:rPr>
                <w:sz w:val="20"/>
                <w:szCs w:val="20"/>
                <w:color w:val="auto"/>
              </w:rPr>
            </w:pPr>
            <w:r>
              <w:rPr>
                <w:rFonts w:ascii="Times New Roman" w:cs="Times New Roman" w:eastAsia="Times New Roman" w:hAnsi="Times New Roman"/>
                <w:sz w:val="16"/>
                <w:szCs w:val="16"/>
                <w:color w:val="auto"/>
              </w:rPr>
              <w:t>Total assets</w:t>
            </w:r>
          </w:p>
        </w:tc>
        <w:tc>
          <w:tcPr>
            <w:tcW w:w="1260" w:type="dxa"/>
            <w:vAlign w:val="bottom"/>
            <w:tcBorders>
              <w:bottom w:val="single" w:sz="8" w:color="auto"/>
            </w:tcBorders>
            <w:shd w:val="clear" w:color="auto" w:fill="CFF0FC"/>
          </w:tcPr>
          <w:p>
            <w:pPr>
              <w:jc w:val="right"/>
              <w:ind w:right="1081"/>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9,721.1</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61"/>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9,828.9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153"/>
        </w:trPr>
        <w:tc>
          <w:tcPr>
            <w:tcW w:w="7300" w:type="dxa"/>
            <w:vAlign w:val="bottom"/>
          </w:tcPr>
          <w:p>
            <w:pPr>
              <w:spacing w:after="0" w:line="153"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7"/>
        </w:trPr>
        <w:tc>
          <w:tcPr>
            <w:tcW w:w="73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Current liabilities:</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7"/>
        </w:trPr>
        <w:tc>
          <w:tcPr>
            <w:tcW w:w="7300" w:type="dxa"/>
            <w:vAlign w:val="bottom"/>
          </w:tcPr>
          <w:p>
            <w:pPr>
              <w:ind w:left="240"/>
              <w:spacing w:after="0" w:line="178" w:lineRule="exact"/>
              <w:rPr>
                <w:sz w:val="20"/>
                <w:szCs w:val="20"/>
                <w:color w:val="auto"/>
              </w:rPr>
            </w:pPr>
            <w:r>
              <w:rPr>
                <w:rFonts w:ascii="Times New Roman" w:cs="Times New Roman" w:eastAsia="Times New Roman" w:hAnsi="Times New Roman"/>
                <w:sz w:val="16"/>
                <w:szCs w:val="16"/>
                <w:color w:val="auto"/>
              </w:rPr>
              <w:t>Accounts payable</w:t>
            </w:r>
          </w:p>
        </w:tc>
        <w:tc>
          <w:tcPr>
            <w:tcW w:w="1260" w:type="dxa"/>
            <w:vAlign w:val="bottom"/>
          </w:tcPr>
          <w:p>
            <w:pPr>
              <w:jc w:val="right"/>
              <w:ind w:right="108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3,153.2</w:t>
            </w:r>
          </w:p>
        </w:tc>
        <w:tc>
          <w:tcPr>
            <w:tcW w:w="80" w:type="dxa"/>
            <w:vAlign w:val="bottom"/>
          </w:tcPr>
          <w:p>
            <w:pPr>
              <w:spacing w:after="0"/>
              <w:rPr>
                <w:sz w:val="15"/>
                <w:szCs w:val="15"/>
                <w:color w:val="auto"/>
              </w:rPr>
            </w:pPr>
          </w:p>
        </w:tc>
        <w:tc>
          <w:tcPr>
            <w:tcW w:w="540" w:type="dxa"/>
            <w:vAlign w:val="bottom"/>
            <w:gridSpan w:val="2"/>
          </w:tcPr>
          <w:p>
            <w:pPr>
              <w:jc w:val="right"/>
              <w:ind w:right="161"/>
              <w:spacing w:after="0" w:line="178"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3,039.2</w:t>
            </w:r>
          </w:p>
        </w:tc>
        <w:tc>
          <w:tcPr>
            <w:tcW w:w="80" w:type="dxa"/>
            <w:vAlign w:val="bottom"/>
          </w:tcPr>
          <w:p>
            <w:pPr>
              <w:spacing w:after="0"/>
              <w:rPr>
                <w:sz w:val="15"/>
                <w:szCs w:val="15"/>
                <w:color w:val="auto"/>
              </w:rPr>
            </w:pPr>
          </w:p>
        </w:tc>
      </w:tr>
      <w:tr>
        <w:trPr>
          <w:trHeight w:val="177"/>
        </w:trPr>
        <w:tc>
          <w:tcPr>
            <w:tcW w:w="7300" w:type="dxa"/>
            <w:vAlign w:val="bottom"/>
            <w:shd w:val="clear" w:color="auto" w:fill="CFF0FC"/>
          </w:tcPr>
          <w:p>
            <w:pPr>
              <w:ind w:left="240"/>
              <w:spacing w:after="0" w:line="178" w:lineRule="exact"/>
              <w:rPr>
                <w:sz w:val="20"/>
                <w:szCs w:val="20"/>
                <w:color w:val="auto"/>
              </w:rPr>
            </w:pPr>
            <w:r>
              <w:rPr>
                <w:rFonts w:ascii="Times New Roman" w:cs="Times New Roman" w:eastAsia="Times New Roman" w:hAnsi="Times New Roman"/>
                <w:sz w:val="16"/>
                <w:szCs w:val="16"/>
                <w:color w:val="auto"/>
              </w:rPr>
              <w:t>Employee compensation payable</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228.9</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299.4</w:t>
            </w:r>
          </w:p>
        </w:tc>
        <w:tc>
          <w:tcPr>
            <w:tcW w:w="80" w:type="dxa"/>
            <w:vAlign w:val="bottom"/>
            <w:shd w:val="clear" w:color="auto" w:fill="CFF0FC"/>
          </w:tcPr>
          <w:p>
            <w:pPr>
              <w:spacing w:after="0"/>
              <w:rPr>
                <w:sz w:val="15"/>
                <w:szCs w:val="15"/>
                <w:color w:val="auto"/>
              </w:rPr>
            </w:pPr>
          </w:p>
        </w:tc>
      </w:tr>
      <w:tr>
        <w:trPr>
          <w:trHeight w:val="177"/>
        </w:trPr>
        <w:tc>
          <w:tcPr>
            <w:tcW w:w="7300" w:type="dxa"/>
            <w:vAlign w:val="bottom"/>
          </w:tcPr>
          <w:p>
            <w:pPr>
              <w:ind w:left="240"/>
              <w:spacing w:after="0" w:line="178" w:lineRule="exact"/>
              <w:rPr>
                <w:sz w:val="20"/>
                <w:szCs w:val="20"/>
                <w:color w:val="auto"/>
              </w:rPr>
            </w:pPr>
            <w:r>
              <w:rPr>
                <w:rFonts w:ascii="Times New Roman" w:cs="Times New Roman" w:eastAsia="Times New Roman" w:hAnsi="Times New Roman"/>
                <w:sz w:val="16"/>
                <w:szCs w:val="16"/>
                <w:color w:val="auto"/>
              </w:rPr>
              <w:t>Accrued liabilities</w:t>
            </w:r>
          </w:p>
        </w:tc>
        <w:tc>
          <w:tcPr>
            <w:tcW w:w="1260" w:type="dxa"/>
            <w:vAlign w:val="bottom"/>
          </w:tcPr>
          <w:p>
            <w:pPr>
              <w:spacing w:after="0"/>
              <w:rPr>
                <w:sz w:val="15"/>
                <w:szCs w:val="15"/>
                <w:color w:val="auto"/>
              </w:rPr>
            </w:pP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589.6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584.7</w:t>
            </w:r>
          </w:p>
        </w:tc>
        <w:tc>
          <w:tcPr>
            <w:tcW w:w="80" w:type="dxa"/>
            <w:vAlign w:val="bottom"/>
          </w:tcPr>
          <w:p>
            <w:pPr>
              <w:spacing w:after="0"/>
              <w:rPr>
                <w:sz w:val="15"/>
                <w:szCs w:val="15"/>
                <w:color w:val="auto"/>
              </w:rPr>
            </w:pPr>
          </w:p>
        </w:tc>
      </w:tr>
      <w:tr>
        <w:trPr>
          <w:trHeight w:val="177"/>
        </w:trPr>
        <w:tc>
          <w:tcPr>
            <w:tcW w:w="7300" w:type="dxa"/>
            <w:vAlign w:val="bottom"/>
            <w:shd w:val="clear" w:color="auto" w:fill="CFF0FC"/>
          </w:tcPr>
          <w:p>
            <w:pPr>
              <w:ind w:left="240"/>
              <w:spacing w:after="0" w:line="178" w:lineRule="exact"/>
              <w:rPr>
                <w:sz w:val="20"/>
                <w:szCs w:val="20"/>
                <w:color w:val="auto"/>
              </w:rPr>
            </w:pPr>
            <w:r>
              <w:rPr>
                <w:rFonts w:ascii="Times New Roman" w:cs="Times New Roman" w:eastAsia="Times New Roman" w:hAnsi="Times New Roman"/>
                <w:sz w:val="16"/>
                <w:szCs w:val="16"/>
                <w:color w:val="auto"/>
              </w:rPr>
              <w:t>Accrued payroll taxes and insurance</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733.2</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789.1</w:t>
            </w:r>
          </w:p>
        </w:tc>
        <w:tc>
          <w:tcPr>
            <w:tcW w:w="80" w:type="dxa"/>
            <w:vAlign w:val="bottom"/>
            <w:shd w:val="clear" w:color="auto" w:fill="CFF0FC"/>
          </w:tcPr>
          <w:p>
            <w:pPr>
              <w:spacing w:after="0"/>
              <w:rPr>
                <w:sz w:val="15"/>
                <w:szCs w:val="15"/>
                <w:color w:val="auto"/>
              </w:rPr>
            </w:pPr>
          </w:p>
        </w:tc>
      </w:tr>
      <w:tr>
        <w:trPr>
          <w:trHeight w:val="177"/>
        </w:trPr>
        <w:tc>
          <w:tcPr>
            <w:tcW w:w="7300" w:type="dxa"/>
            <w:vAlign w:val="bottom"/>
          </w:tcPr>
          <w:p>
            <w:pPr>
              <w:ind w:left="240"/>
              <w:spacing w:after="0" w:line="178" w:lineRule="exact"/>
              <w:rPr>
                <w:sz w:val="20"/>
                <w:szCs w:val="20"/>
                <w:color w:val="auto"/>
              </w:rPr>
            </w:pPr>
            <w:r>
              <w:rPr>
                <w:rFonts w:ascii="Times New Roman" w:cs="Times New Roman" w:eastAsia="Times New Roman" w:hAnsi="Times New Roman"/>
                <w:sz w:val="16"/>
                <w:szCs w:val="16"/>
                <w:color w:val="auto"/>
              </w:rPr>
              <w:t>Value added taxes payable</w:t>
            </w:r>
          </w:p>
        </w:tc>
        <w:tc>
          <w:tcPr>
            <w:tcW w:w="1260" w:type="dxa"/>
            <w:vAlign w:val="bottom"/>
          </w:tcPr>
          <w:p>
            <w:pPr>
              <w:spacing w:after="0"/>
              <w:rPr>
                <w:sz w:val="15"/>
                <w:szCs w:val="15"/>
                <w:color w:val="auto"/>
              </w:rPr>
            </w:pP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479.7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515.5</w:t>
            </w:r>
          </w:p>
        </w:tc>
        <w:tc>
          <w:tcPr>
            <w:tcW w:w="80" w:type="dxa"/>
            <w:vAlign w:val="bottom"/>
          </w:tcPr>
          <w:p>
            <w:pPr>
              <w:spacing w:after="0"/>
              <w:rPr>
                <w:sz w:val="15"/>
                <w:szCs w:val="15"/>
                <w:color w:val="auto"/>
              </w:rPr>
            </w:pPr>
          </w:p>
        </w:tc>
      </w:tr>
      <w:tr>
        <w:trPr>
          <w:trHeight w:val="177"/>
        </w:trPr>
        <w:tc>
          <w:tcPr>
            <w:tcW w:w="7300" w:type="dxa"/>
            <w:vAlign w:val="bottom"/>
            <w:tcBorders>
              <w:bottom w:val="single" w:sz="8" w:color="CFF0FC"/>
            </w:tcBorders>
            <w:shd w:val="clear" w:color="auto" w:fill="CFF0FC"/>
          </w:tcPr>
          <w:p>
            <w:pPr>
              <w:ind w:left="240"/>
              <w:spacing w:after="0" w:line="178" w:lineRule="exact"/>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12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512.6</w:t>
            </w:r>
          </w:p>
        </w:tc>
        <w:tc>
          <w:tcPr>
            <w:tcW w:w="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552.6</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69"/>
        </w:trPr>
        <w:tc>
          <w:tcPr>
            <w:tcW w:w="7300" w:type="dxa"/>
            <w:vAlign w:val="bottom"/>
          </w:tcPr>
          <w:p>
            <w:pPr>
              <w:ind w:left="560"/>
              <w:spacing w:after="0" w:line="169" w:lineRule="exact"/>
              <w:rPr>
                <w:sz w:val="20"/>
                <w:szCs w:val="20"/>
                <w:color w:val="auto"/>
              </w:rPr>
            </w:pPr>
            <w:r>
              <w:rPr>
                <w:rFonts w:ascii="Times New Roman" w:cs="Times New Roman" w:eastAsia="Times New Roman" w:hAnsi="Times New Roman"/>
                <w:sz w:val="16"/>
                <w:szCs w:val="16"/>
                <w:color w:val="auto"/>
              </w:rPr>
              <w:t>Total current liabilities</w:t>
            </w:r>
          </w:p>
        </w:tc>
        <w:tc>
          <w:tcPr>
            <w:tcW w:w="126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5,697.2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5,780.5</w:t>
            </w:r>
          </w:p>
        </w:tc>
        <w:tc>
          <w:tcPr>
            <w:tcW w:w="80" w:type="dxa"/>
            <w:vAlign w:val="bottom"/>
          </w:tcPr>
          <w:p>
            <w:pPr>
              <w:spacing w:after="0"/>
              <w:rPr>
                <w:sz w:val="14"/>
                <w:szCs w:val="14"/>
                <w:color w:val="auto"/>
              </w:rPr>
            </w:pPr>
          </w:p>
        </w:tc>
      </w:tr>
      <w:tr>
        <w:trPr>
          <w:trHeight w:val="177"/>
        </w:trPr>
        <w:tc>
          <w:tcPr>
            <w:tcW w:w="73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Other liabilities:</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7"/>
        </w:trPr>
        <w:tc>
          <w:tcPr>
            <w:tcW w:w="7300" w:type="dxa"/>
            <w:vAlign w:val="bottom"/>
          </w:tcPr>
          <w:p>
            <w:pPr>
              <w:ind w:left="240"/>
              <w:spacing w:after="0" w:line="178" w:lineRule="exact"/>
              <w:rPr>
                <w:sz w:val="20"/>
                <w:szCs w:val="20"/>
                <w:color w:val="auto"/>
              </w:rPr>
            </w:pPr>
            <w:r>
              <w:rPr>
                <w:rFonts w:ascii="Times New Roman" w:cs="Times New Roman" w:eastAsia="Times New Roman" w:hAnsi="Times New Roman"/>
                <w:sz w:val="16"/>
                <w:szCs w:val="16"/>
                <w:color w:val="auto"/>
              </w:rPr>
              <w:t>Long-term debt</w:t>
            </w:r>
          </w:p>
        </w:tc>
        <w:tc>
          <w:tcPr>
            <w:tcW w:w="1260" w:type="dxa"/>
            <w:vAlign w:val="bottom"/>
          </w:tcPr>
          <w:p>
            <w:pPr>
              <w:spacing w:after="0"/>
              <w:rPr>
                <w:sz w:val="15"/>
                <w:szCs w:val="15"/>
                <w:color w:val="auto"/>
              </w:rPr>
            </w:pP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551.3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565.7</w:t>
            </w:r>
          </w:p>
        </w:tc>
        <w:tc>
          <w:tcPr>
            <w:tcW w:w="80" w:type="dxa"/>
            <w:vAlign w:val="bottom"/>
          </w:tcPr>
          <w:p>
            <w:pPr>
              <w:spacing w:after="0"/>
              <w:rPr>
                <w:sz w:val="15"/>
                <w:szCs w:val="15"/>
                <w:color w:val="auto"/>
              </w:rPr>
            </w:pPr>
          </w:p>
        </w:tc>
      </w:tr>
      <w:tr>
        <w:trPr>
          <w:trHeight w:val="177"/>
        </w:trPr>
        <w:tc>
          <w:tcPr>
            <w:tcW w:w="7300" w:type="dxa"/>
            <w:vAlign w:val="bottom"/>
            <w:shd w:val="clear" w:color="auto" w:fill="CFF0FC"/>
          </w:tcPr>
          <w:p>
            <w:pPr>
              <w:ind w:left="240"/>
              <w:spacing w:after="0" w:line="178" w:lineRule="exact"/>
              <w:rPr>
                <w:sz w:val="20"/>
                <w:szCs w:val="20"/>
                <w:color w:val="auto"/>
              </w:rPr>
            </w:pPr>
            <w:r>
              <w:rPr>
                <w:rFonts w:ascii="Times New Roman" w:cs="Times New Roman" w:eastAsia="Times New Roman" w:hAnsi="Times New Roman"/>
                <w:sz w:val="16"/>
                <w:szCs w:val="16"/>
                <w:color w:val="auto"/>
              </w:rPr>
              <w:t>Long-term operating lease liability</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256.3</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275.8</w:t>
            </w:r>
          </w:p>
        </w:tc>
        <w:tc>
          <w:tcPr>
            <w:tcW w:w="80" w:type="dxa"/>
            <w:vAlign w:val="bottom"/>
            <w:shd w:val="clear" w:color="auto" w:fill="CFF0FC"/>
          </w:tcPr>
          <w:p>
            <w:pPr>
              <w:spacing w:after="0"/>
              <w:rPr>
                <w:sz w:val="15"/>
                <w:szCs w:val="15"/>
                <w:color w:val="auto"/>
              </w:rPr>
            </w:pPr>
          </w:p>
        </w:tc>
      </w:tr>
      <w:tr>
        <w:trPr>
          <w:trHeight w:val="177"/>
        </w:trPr>
        <w:tc>
          <w:tcPr>
            <w:tcW w:w="7300" w:type="dxa"/>
            <w:vAlign w:val="bottom"/>
          </w:tcPr>
          <w:p>
            <w:pPr>
              <w:ind w:left="240"/>
              <w:spacing w:after="0" w:line="178" w:lineRule="exact"/>
              <w:rPr>
                <w:sz w:val="20"/>
                <w:szCs w:val="20"/>
                <w:color w:val="auto"/>
              </w:rPr>
            </w:pPr>
            <w:r>
              <w:rPr>
                <w:rFonts w:ascii="Times New Roman" w:cs="Times New Roman" w:eastAsia="Times New Roman" w:hAnsi="Times New Roman"/>
                <w:sz w:val="16"/>
                <w:szCs w:val="16"/>
                <w:color w:val="auto"/>
              </w:rPr>
              <w:t>Other long-term liabilities</w:t>
            </w:r>
          </w:p>
        </w:tc>
        <w:tc>
          <w:tcPr>
            <w:tcW w:w="1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660.2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675.2</w:t>
            </w:r>
          </w:p>
        </w:tc>
        <w:tc>
          <w:tcPr>
            <w:tcW w:w="80" w:type="dxa"/>
            <w:vAlign w:val="bottom"/>
          </w:tcPr>
          <w:p>
            <w:pPr>
              <w:spacing w:after="0"/>
              <w:rPr>
                <w:sz w:val="15"/>
                <w:szCs w:val="15"/>
                <w:color w:val="auto"/>
              </w:rPr>
            </w:pPr>
          </w:p>
        </w:tc>
      </w:tr>
      <w:tr>
        <w:trPr>
          <w:trHeight w:val="169"/>
        </w:trPr>
        <w:tc>
          <w:tcPr>
            <w:tcW w:w="7300" w:type="dxa"/>
            <w:vAlign w:val="bottom"/>
            <w:shd w:val="clear" w:color="auto" w:fill="CFF0FC"/>
          </w:tcPr>
          <w:p>
            <w:pPr>
              <w:ind w:left="560"/>
              <w:spacing w:after="0" w:line="169" w:lineRule="exact"/>
              <w:rPr>
                <w:sz w:val="20"/>
                <w:szCs w:val="20"/>
                <w:color w:val="auto"/>
              </w:rPr>
            </w:pPr>
            <w:r>
              <w:rPr>
                <w:rFonts w:ascii="Times New Roman" w:cs="Times New Roman" w:eastAsia="Times New Roman" w:hAnsi="Times New Roman"/>
                <w:sz w:val="16"/>
                <w:szCs w:val="16"/>
                <w:color w:val="auto"/>
              </w:rPr>
              <w:t>Total other liabilities</w:t>
            </w:r>
          </w:p>
        </w:tc>
        <w:tc>
          <w:tcPr>
            <w:tcW w:w="12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1,467.8</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1,516.7</w:t>
            </w:r>
          </w:p>
        </w:tc>
        <w:tc>
          <w:tcPr>
            <w:tcW w:w="80" w:type="dxa"/>
            <w:vAlign w:val="bottom"/>
            <w:shd w:val="clear" w:color="auto" w:fill="CFF0FC"/>
          </w:tcPr>
          <w:p>
            <w:pPr>
              <w:spacing w:after="0"/>
              <w:rPr>
                <w:sz w:val="14"/>
                <w:szCs w:val="14"/>
                <w:color w:val="auto"/>
              </w:rPr>
            </w:pPr>
          </w:p>
        </w:tc>
      </w:tr>
      <w:tr>
        <w:trPr>
          <w:trHeight w:val="177"/>
        </w:trPr>
        <w:tc>
          <w:tcPr>
            <w:tcW w:w="730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Shareholders' equity:</w:t>
            </w: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7"/>
        </w:trPr>
        <w:tc>
          <w:tcPr>
            <w:tcW w:w="7300" w:type="dxa"/>
            <w:vAlign w:val="bottom"/>
            <w:shd w:val="clear" w:color="auto" w:fill="CFF0FC"/>
          </w:tcPr>
          <w:p>
            <w:pPr>
              <w:ind w:left="80"/>
              <w:spacing w:after="0" w:line="178" w:lineRule="exact"/>
              <w:rPr>
                <w:sz w:val="20"/>
                <w:szCs w:val="20"/>
                <w:color w:val="auto"/>
              </w:rPr>
            </w:pPr>
            <w:r>
              <w:rPr>
                <w:rFonts w:ascii="Times New Roman" w:cs="Times New Roman" w:eastAsia="Times New Roman" w:hAnsi="Times New Roman"/>
                <w:sz w:val="16"/>
                <w:szCs w:val="16"/>
                <w:color w:val="auto"/>
              </w:rPr>
              <w:t>ManpowerGroup shareholders' equity</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7"/>
        </w:trPr>
        <w:tc>
          <w:tcPr>
            <w:tcW w:w="7300" w:type="dxa"/>
            <w:vAlign w:val="bottom"/>
          </w:tcPr>
          <w:p>
            <w:pPr>
              <w:ind w:left="320"/>
              <w:spacing w:after="0" w:line="178" w:lineRule="exact"/>
              <w:rPr>
                <w:sz w:val="20"/>
                <w:szCs w:val="20"/>
                <w:color w:val="auto"/>
              </w:rPr>
            </w:pPr>
            <w:r>
              <w:rPr>
                <w:rFonts w:ascii="Times New Roman" w:cs="Times New Roman" w:eastAsia="Times New Roman" w:hAnsi="Times New Roman"/>
                <w:sz w:val="16"/>
                <w:szCs w:val="16"/>
                <w:color w:val="auto"/>
              </w:rPr>
              <w:t>Common stock</w:t>
            </w:r>
          </w:p>
        </w:tc>
        <w:tc>
          <w:tcPr>
            <w:tcW w:w="1260" w:type="dxa"/>
            <w:vAlign w:val="bottom"/>
          </w:tcPr>
          <w:p>
            <w:pPr>
              <w:spacing w:after="0"/>
              <w:rPr>
                <w:sz w:val="15"/>
                <w:szCs w:val="15"/>
                <w:color w:val="auto"/>
              </w:rPr>
            </w:pP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5"/>
                <w:szCs w:val="15"/>
                <w:color w:val="auto"/>
              </w:rPr>
            </w:pPr>
          </w:p>
        </w:tc>
      </w:tr>
      <w:tr>
        <w:trPr>
          <w:trHeight w:val="177"/>
        </w:trPr>
        <w:tc>
          <w:tcPr>
            <w:tcW w:w="7300" w:type="dxa"/>
            <w:vAlign w:val="bottom"/>
            <w:shd w:val="clear" w:color="auto" w:fill="CFF0FC"/>
          </w:tcPr>
          <w:p>
            <w:pPr>
              <w:ind w:left="320"/>
              <w:spacing w:after="0" w:line="178" w:lineRule="exact"/>
              <w:rPr>
                <w:sz w:val="20"/>
                <w:szCs w:val="20"/>
                <w:color w:val="auto"/>
              </w:rPr>
            </w:pPr>
            <w:r>
              <w:rPr>
                <w:rFonts w:ascii="Times New Roman" w:cs="Times New Roman" w:eastAsia="Times New Roman" w:hAnsi="Times New Roman"/>
                <w:sz w:val="16"/>
                <w:szCs w:val="16"/>
                <w:color w:val="auto"/>
              </w:rPr>
              <w:t>Capital in excess of par value</w:t>
            </w:r>
          </w:p>
        </w:tc>
        <w:tc>
          <w:tcPr>
            <w:tcW w:w="12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3,455.2</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3,444.7</w:t>
            </w:r>
          </w:p>
        </w:tc>
        <w:tc>
          <w:tcPr>
            <w:tcW w:w="80" w:type="dxa"/>
            <w:vAlign w:val="bottom"/>
            <w:shd w:val="clear" w:color="auto" w:fill="CFF0FC"/>
          </w:tcPr>
          <w:p>
            <w:pPr>
              <w:spacing w:after="0"/>
              <w:rPr>
                <w:sz w:val="15"/>
                <w:szCs w:val="15"/>
                <w:color w:val="auto"/>
              </w:rPr>
            </w:pPr>
          </w:p>
        </w:tc>
      </w:tr>
      <w:tr>
        <w:trPr>
          <w:trHeight w:val="177"/>
        </w:trPr>
        <w:tc>
          <w:tcPr>
            <w:tcW w:w="7300" w:type="dxa"/>
            <w:vAlign w:val="bottom"/>
          </w:tcPr>
          <w:p>
            <w:pPr>
              <w:ind w:left="320"/>
              <w:spacing w:after="0" w:line="178" w:lineRule="exact"/>
              <w:rPr>
                <w:sz w:val="20"/>
                <w:szCs w:val="20"/>
                <w:color w:val="auto"/>
              </w:rPr>
            </w:pPr>
            <w:r>
              <w:rPr>
                <w:rFonts w:ascii="Times New Roman" w:cs="Times New Roman" w:eastAsia="Times New Roman" w:hAnsi="Times New Roman"/>
                <w:sz w:val="16"/>
                <w:szCs w:val="16"/>
                <w:color w:val="auto"/>
              </w:rPr>
              <w:t>Retained earnings</w:t>
            </w:r>
          </w:p>
        </w:tc>
        <w:tc>
          <w:tcPr>
            <w:tcW w:w="1260" w:type="dxa"/>
            <w:vAlign w:val="bottom"/>
          </w:tcPr>
          <w:p>
            <w:pPr>
              <w:spacing w:after="0"/>
              <w:rPr>
                <w:sz w:val="15"/>
                <w:szCs w:val="15"/>
                <w:color w:val="auto"/>
              </w:rPr>
            </w:pPr>
          </w:p>
        </w:tc>
        <w:tc>
          <w:tcPr>
            <w:tcW w:w="5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3,726.2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3,634.6</w:t>
            </w:r>
          </w:p>
        </w:tc>
        <w:tc>
          <w:tcPr>
            <w:tcW w:w="80" w:type="dxa"/>
            <w:vAlign w:val="bottom"/>
          </w:tcPr>
          <w:p>
            <w:pPr>
              <w:spacing w:after="0"/>
              <w:rPr>
                <w:sz w:val="15"/>
                <w:szCs w:val="15"/>
                <w:color w:val="auto"/>
              </w:rPr>
            </w:pPr>
          </w:p>
        </w:tc>
      </w:tr>
      <w:tr>
        <w:trPr>
          <w:trHeight w:val="177"/>
        </w:trPr>
        <w:tc>
          <w:tcPr>
            <w:tcW w:w="7300" w:type="dxa"/>
            <w:vAlign w:val="bottom"/>
            <w:shd w:val="clear" w:color="auto" w:fill="CFF0FC"/>
          </w:tcPr>
          <w:p>
            <w:pPr>
              <w:ind w:left="320"/>
              <w:spacing w:after="0" w:line="178" w:lineRule="exact"/>
              <w:rPr>
                <w:sz w:val="20"/>
                <w:szCs w:val="20"/>
                <w:color w:val="auto"/>
              </w:rPr>
            </w:pPr>
            <w:r>
              <w:rPr>
                <w:rFonts w:ascii="Times New Roman" w:cs="Times New Roman" w:eastAsia="Times New Roman" w:hAnsi="Times New Roman"/>
                <w:sz w:val="16"/>
                <w:szCs w:val="16"/>
                <w:color w:val="auto"/>
              </w:rPr>
              <w:t>Accumulated other comprehensive loss</w:t>
            </w:r>
          </w:p>
        </w:tc>
        <w:tc>
          <w:tcPr>
            <w:tcW w:w="12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0"/>
              <w:spacing w:after="0" w:line="178" w:lineRule="exact"/>
              <w:rPr>
                <w:sz w:val="20"/>
                <w:szCs w:val="20"/>
                <w:color w:val="auto"/>
              </w:rPr>
            </w:pPr>
            <w:r>
              <w:rPr>
                <w:rFonts w:ascii="Times New Roman" w:cs="Times New Roman" w:eastAsia="Times New Roman" w:hAnsi="Times New Roman"/>
                <w:sz w:val="16"/>
                <w:szCs w:val="16"/>
                <w:color w:val="auto"/>
              </w:rPr>
              <w:t>(399.6 )</w:t>
            </w: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0"/>
              <w:spacing w:after="0" w:line="178" w:lineRule="exact"/>
              <w:rPr>
                <w:sz w:val="20"/>
                <w:szCs w:val="20"/>
                <w:color w:val="auto"/>
              </w:rPr>
            </w:pPr>
            <w:r>
              <w:rPr>
                <w:rFonts w:ascii="Times New Roman" w:cs="Times New Roman" w:eastAsia="Times New Roman" w:hAnsi="Times New Roman"/>
                <w:sz w:val="16"/>
                <w:szCs w:val="16"/>
                <w:color w:val="auto"/>
              </w:rPr>
              <w:t>(389.4 )</w:t>
            </w:r>
          </w:p>
        </w:tc>
      </w:tr>
      <w:tr>
        <w:trPr>
          <w:trHeight w:val="177"/>
        </w:trPr>
        <w:tc>
          <w:tcPr>
            <w:tcW w:w="7300" w:type="dxa"/>
            <w:vAlign w:val="bottom"/>
          </w:tcPr>
          <w:p>
            <w:pPr>
              <w:ind w:left="320"/>
              <w:spacing w:after="0" w:line="178" w:lineRule="exact"/>
              <w:rPr>
                <w:sz w:val="20"/>
                <w:szCs w:val="20"/>
                <w:color w:val="auto"/>
              </w:rPr>
            </w:pPr>
            <w:r>
              <w:rPr>
                <w:rFonts w:ascii="Times New Roman" w:cs="Times New Roman" w:eastAsia="Times New Roman" w:hAnsi="Times New Roman"/>
                <w:sz w:val="16"/>
                <w:szCs w:val="16"/>
                <w:color w:val="auto"/>
              </w:rPr>
              <w:t>Treasury stock, at cost</w:t>
            </w:r>
          </w:p>
        </w:tc>
        <w:tc>
          <w:tcPr>
            <w:tcW w:w="1260" w:type="dxa"/>
            <w:vAlign w:val="bottom"/>
          </w:tcPr>
          <w:p>
            <w:pPr>
              <w:spacing w:after="0"/>
              <w:rPr>
                <w:sz w:val="15"/>
                <w:szCs w:val="15"/>
                <w:color w:val="auto"/>
              </w:rPr>
            </w:pPr>
          </w:p>
        </w:tc>
        <w:tc>
          <w:tcPr>
            <w:tcW w:w="620" w:type="dxa"/>
            <w:vAlign w:val="bottom"/>
            <w:gridSpan w:val="2"/>
          </w:tcPr>
          <w:p>
            <w:pPr>
              <w:jc w:val="right"/>
              <w:ind w:right="20"/>
              <w:spacing w:after="0" w:line="178" w:lineRule="exact"/>
              <w:rPr>
                <w:sz w:val="20"/>
                <w:szCs w:val="20"/>
                <w:color w:val="auto"/>
              </w:rPr>
            </w:pPr>
            <w:r>
              <w:rPr>
                <w:rFonts w:ascii="Times New Roman" w:cs="Times New Roman" w:eastAsia="Times New Roman" w:hAnsi="Times New Roman"/>
                <w:sz w:val="16"/>
                <w:szCs w:val="16"/>
                <w:color w:val="auto"/>
                <w:w w:val="92"/>
              </w:rPr>
              <w:t>(4,237.5 )</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gridSpan w:val="2"/>
          </w:tcPr>
          <w:p>
            <w:pPr>
              <w:jc w:val="right"/>
              <w:ind w:right="20"/>
              <w:spacing w:after="0" w:line="178" w:lineRule="exact"/>
              <w:rPr>
                <w:sz w:val="20"/>
                <w:szCs w:val="20"/>
                <w:color w:val="auto"/>
              </w:rPr>
            </w:pPr>
            <w:r>
              <w:rPr>
                <w:rFonts w:ascii="Times New Roman" w:cs="Times New Roman" w:eastAsia="Times New Roman" w:hAnsi="Times New Roman"/>
                <w:sz w:val="16"/>
                <w:szCs w:val="16"/>
                <w:color w:val="auto"/>
              </w:rPr>
              <w:t>(4,169.4 )</w:t>
            </w:r>
          </w:p>
        </w:tc>
      </w:tr>
      <w:tr>
        <w:trPr>
          <w:trHeight w:val="169"/>
        </w:trPr>
        <w:tc>
          <w:tcPr>
            <w:tcW w:w="7300" w:type="dxa"/>
            <w:vAlign w:val="bottom"/>
            <w:tcBorders>
              <w:bottom w:val="single" w:sz="8" w:color="CFF0FC"/>
            </w:tcBorders>
            <w:shd w:val="clear" w:color="auto" w:fill="CFF0FC"/>
          </w:tcPr>
          <w:p>
            <w:pPr>
              <w:jc w:val="right"/>
              <w:ind w:right="4041"/>
              <w:spacing w:after="0" w:line="169" w:lineRule="exact"/>
              <w:rPr>
                <w:sz w:val="20"/>
                <w:szCs w:val="20"/>
                <w:color w:val="auto"/>
              </w:rPr>
            </w:pPr>
            <w:r>
              <w:rPr>
                <w:rFonts w:ascii="Times New Roman" w:cs="Times New Roman" w:eastAsia="Times New Roman" w:hAnsi="Times New Roman"/>
                <w:sz w:val="16"/>
                <w:szCs w:val="16"/>
                <w:color w:val="auto"/>
              </w:rPr>
              <w:t>Total ManpowerGroup shareholders' equity</w:t>
            </w:r>
          </w:p>
        </w:tc>
        <w:tc>
          <w:tcPr>
            <w:tcW w:w="126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2,545.5</w:t>
            </w: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14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2,521.7</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9"/>
        </w:trPr>
        <w:tc>
          <w:tcPr>
            <w:tcW w:w="7300" w:type="dxa"/>
            <w:vAlign w:val="bottom"/>
          </w:tcPr>
          <w:p>
            <w:pPr>
              <w:ind w:left="80"/>
              <w:spacing w:after="0" w:line="169" w:lineRule="exact"/>
              <w:rPr>
                <w:sz w:val="20"/>
                <w:szCs w:val="20"/>
                <w:color w:val="auto"/>
              </w:rPr>
            </w:pPr>
            <w:r>
              <w:rPr>
                <w:rFonts w:ascii="Times New Roman" w:cs="Times New Roman" w:eastAsia="Times New Roman" w:hAnsi="Times New Roman"/>
                <w:sz w:val="16"/>
                <w:szCs w:val="16"/>
                <w:color w:val="auto"/>
              </w:rPr>
              <w:t>Noncontrolling interests</w:t>
            </w:r>
          </w:p>
        </w:tc>
        <w:tc>
          <w:tcPr>
            <w:tcW w:w="1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4"/>
                <w:szCs w:val="14"/>
                <w:color w:val="auto"/>
              </w:rPr>
            </w:pPr>
          </w:p>
        </w:tc>
      </w:tr>
      <w:tr>
        <w:trPr>
          <w:trHeight w:val="169"/>
        </w:trPr>
        <w:tc>
          <w:tcPr>
            <w:tcW w:w="7300" w:type="dxa"/>
            <w:vAlign w:val="bottom"/>
            <w:tcBorders>
              <w:bottom w:val="single" w:sz="8" w:color="CFF0FC"/>
            </w:tcBorders>
            <w:shd w:val="clear" w:color="auto" w:fill="CFF0FC"/>
          </w:tcPr>
          <w:p>
            <w:pPr>
              <w:ind w:left="560"/>
              <w:spacing w:after="0" w:line="169" w:lineRule="exact"/>
              <w:rPr>
                <w:sz w:val="20"/>
                <w:szCs w:val="20"/>
                <w:color w:val="auto"/>
              </w:rPr>
            </w:pPr>
            <w:r>
              <w:rPr>
                <w:rFonts w:ascii="Times New Roman" w:cs="Times New Roman" w:eastAsia="Times New Roman" w:hAnsi="Times New Roman"/>
                <w:sz w:val="16"/>
                <w:szCs w:val="16"/>
                <w:color w:val="auto"/>
              </w:rPr>
              <w:t>Total shareholders' equity</w:t>
            </w:r>
          </w:p>
        </w:tc>
        <w:tc>
          <w:tcPr>
            <w:tcW w:w="126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2,556.1</w:t>
            </w: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2,531.7</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9"/>
        </w:trPr>
        <w:tc>
          <w:tcPr>
            <w:tcW w:w="7300" w:type="dxa"/>
            <w:vAlign w:val="bottom"/>
          </w:tcPr>
          <w:p>
            <w:pPr>
              <w:jc w:val="right"/>
              <w:ind w:right="4041"/>
              <w:spacing w:after="0" w:line="169" w:lineRule="exact"/>
              <w:rPr>
                <w:sz w:val="20"/>
                <w:szCs w:val="20"/>
                <w:color w:val="auto"/>
              </w:rPr>
            </w:pPr>
            <w:r>
              <w:rPr>
                <w:rFonts w:ascii="Times New Roman" w:cs="Times New Roman" w:eastAsia="Times New Roman" w:hAnsi="Times New Roman"/>
                <w:sz w:val="16"/>
                <w:szCs w:val="16"/>
                <w:color w:val="auto"/>
              </w:rPr>
              <w:t>Total liabilities and shareholders' equity</w:t>
            </w:r>
          </w:p>
        </w:tc>
        <w:tc>
          <w:tcPr>
            <w:tcW w:w="1260" w:type="dxa"/>
            <w:vAlign w:val="bottom"/>
          </w:tcPr>
          <w:p>
            <w:pPr>
              <w:jc w:val="right"/>
              <w:ind w:right="1081"/>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9,721.1</w:t>
            </w:r>
          </w:p>
        </w:tc>
        <w:tc>
          <w:tcPr>
            <w:tcW w:w="80" w:type="dxa"/>
            <w:vAlign w:val="bottom"/>
          </w:tcPr>
          <w:p>
            <w:pPr>
              <w:spacing w:after="0"/>
              <w:rPr>
                <w:sz w:val="14"/>
                <w:szCs w:val="14"/>
                <w:color w:val="auto"/>
              </w:rPr>
            </w:pPr>
          </w:p>
        </w:tc>
        <w:tc>
          <w:tcPr>
            <w:tcW w:w="540" w:type="dxa"/>
            <w:vAlign w:val="bottom"/>
            <w:gridSpan w:val="2"/>
          </w:tcPr>
          <w:p>
            <w:pPr>
              <w:jc w:val="right"/>
              <w:ind w:right="161"/>
              <w:spacing w:after="0" w:line="169"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9,828.9</w:t>
            </w:r>
          </w:p>
        </w:tc>
        <w:tc>
          <w:tcPr>
            <w:tcW w:w="80" w:type="dxa"/>
            <w:vAlign w:val="bottom"/>
          </w:tcPr>
          <w:p>
            <w:pPr>
              <w:spacing w:after="0"/>
              <w:rPr>
                <w:sz w:val="14"/>
                <w:szCs w:val="14"/>
                <w:color w:val="auto"/>
              </w:rPr>
            </w:pPr>
          </w:p>
        </w:tc>
      </w:tr>
      <w:tr>
        <w:trPr>
          <w:trHeight w:val="20"/>
        </w:trPr>
        <w:tc>
          <w:tcPr>
            <w:tcW w:w="73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4"/>
        </w:trPr>
        <w:tc>
          <w:tcPr>
            <w:tcW w:w="7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5779135</wp:posOffset>
            </wp:positionH>
            <wp:positionV relativeFrom="paragraph">
              <wp:posOffset>-4607560</wp:posOffset>
            </wp:positionV>
            <wp:extent cx="52705" cy="50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-4607560</wp:posOffset>
            </wp:positionV>
            <wp:extent cx="52705" cy="50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-3924300</wp:posOffset>
            </wp:positionV>
            <wp:extent cx="52705" cy="50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-3924300</wp:posOffset>
            </wp:positionV>
            <wp:extent cx="52705" cy="50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-3466465</wp:posOffset>
            </wp:positionV>
            <wp:extent cx="52705" cy="50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-3466465</wp:posOffset>
            </wp:positionV>
            <wp:extent cx="52705" cy="50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-3228340</wp:posOffset>
            </wp:positionV>
            <wp:extent cx="5270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-3213735</wp:posOffset>
            </wp:positionV>
            <wp:extent cx="5270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-3228340</wp:posOffset>
            </wp:positionV>
            <wp:extent cx="5270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-3213735</wp:posOffset>
            </wp:positionV>
            <wp:extent cx="5270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-2302510</wp:posOffset>
            </wp:positionV>
            <wp:extent cx="52705" cy="50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-2302510</wp:posOffset>
            </wp:positionV>
            <wp:extent cx="52705" cy="50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-702945</wp:posOffset>
            </wp:positionV>
            <wp:extent cx="52705" cy="50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-702945</wp:posOffset>
            </wp:positionV>
            <wp:extent cx="52705" cy="50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-462280</wp:posOffset>
            </wp:positionV>
            <wp:extent cx="52705" cy="50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-462280</wp:posOffset>
            </wp:positionV>
            <wp:extent cx="52705" cy="50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36" w:right="319" w:bottom="1440" w:gutter="0" w:footer="0" w:header="0"/>
        </w:sectPr>
      </w:pPr>
    </w:p>
    <w:bookmarkStart w:id="8" w:name="page9"/>
    <w:bookmarkEnd w:id="8"/>
    <w:p>
      <w:pPr>
        <w:ind w:left="5080"/>
        <w:spacing w:after="0"/>
        <w:rPr>
          <w:sz w:val="20"/>
          <w:szCs w:val="20"/>
          <w:color w:val="auto"/>
        </w:rPr>
      </w:pPr>
      <w:r>
        <w:rPr>
          <w:rFonts w:ascii="Times New Roman" w:cs="Times New Roman" w:eastAsia="Times New Roman" w:hAnsi="Times New Roman"/>
          <w:sz w:val="16"/>
          <w:szCs w:val="16"/>
          <w:color w:val="auto"/>
        </w:rPr>
        <w:t>ManpowerGroup</w:t>
      </w:r>
    </w:p>
    <w:p>
      <w:pPr>
        <w:spacing w:after="0" w:line="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75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69"/>
        </w:trPr>
        <w:tc>
          <w:tcPr>
            <w:tcW w:w="7560" w:type="dxa"/>
            <w:vAlign w:val="bottom"/>
          </w:tcPr>
          <w:p>
            <w:pPr>
              <w:spacing w:after="0"/>
              <w:rPr>
                <w:sz w:val="14"/>
                <w:szCs w:val="14"/>
                <w:color w:val="auto"/>
              </w:rPr>
            </w:pPr>
          </w:p>
        </w:tc>
        <w:tc>
          <w:tcPr>
            <w:tcW w:w="10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01"/>
              <w:spacing w:after="0" w:line="169" w:lineRule="exact"/>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4"/>
                <w:szCs w:val="14"/>
                <w:color w:val="auto"/>
              </w:rPr>
            </w:pPr>
          </w:p>
        </w:tc>
      </w:tr>
      <w:tr>
        <w:trPr>
          <w:trHeight w:val="169"/>
        </w:trPr>
        <w:tc>
          <w:tcPr>
            <w:tcW w:w="7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20" w:type="dxa"/>
            <w:vAlign w:val="bottom"/>
            <w:gridSpan w:val="4"/>
          </w:tcPr>
          <w:p>
            <w:pPr>
              <w:jc w:val="center"/>
              <w:spacing w:after="0" w:line="169" w:lineRule="exact"/>
              <w:rPr>
                <w:sz w:val="20"/>
                <w:szCs w:val="20"/>
                <w:color w:val="auto"/>
              </w:rPr>
            </w:pPr>
            <w:r>
              <w:rPr>
                <w:rFonts w:ascii="Times New Roman" w:cs="Times New Roman" w:eastAsia="Times New Roman" w:hAnsi="Times New Roman"/>
                <w:sz w:val="16"/>
                <w:szCs w:val="16"/>
                <w:color w:val="auto"/>
                <w:w w:val="98"/>
              </w:rPr>
              <w:t>(Unaudited)</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7"/>
        </w:trPr>
        <w:tc>
          <w:tcPr>
            <w:tcW w:w="756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7"/>
        </w:trPr>
        <w:tc>
          <w:tcPr>
            <w:tcW w:w="7560" w:type="dxa"/>
            <w:vAlign w:val="bottom"/>
          </w:tcPr>
          <w:p>
            <w:pPr>
              <w:ind w:left="80"/>
              <w:spacing w:after="0" w:line="178" w:lineRule="exact"/>
              <w:rPr>
                <w:sz w:val="20"/>
                <w:szCs w:val="20"/>
                <w:color w:val="auto"/>
              </w:rPr>
            </w:pPr>
            <w:r>
              <w:rPr>
                <w:rFonts w:ascii="Times New Roman" w:cs="Times New Roman" w:eastAsia="Times New Roman" w:hAnsi="Times New Roman"/>
                <w:sz w:val="16"/>
                <w:szCs w:val="16"/>
                <w:color w:val="auto"/>
              </w:rPr>
              <w:t>Net earnings</w:t>
            </w:r>
          </w:p>
        </w:tc>
        <w:tc>
          <w:tcPr>
            <w:tcW w:w="1040" w:type="dxa"/>
            <w:vAlign w:val="bottom"/>
          </w:tcPr>
          <w:p>
            <w:pPr>
              <w:jc w:val="right"/>
              <w:ind w:right="881"/>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91.6</w:t>
            </w:r>
          </w:p>
        </w:tc>
        <w:tc>
          <w:tcPr>
            <w:tcW w:w="80" w:type="dxa"/>
            <w:vAlign w:val="bottom"/>
          </w:tcPr>
          <w:p>
            <w:pPr>
              <w:spacing w:after="0"/>
              <w:rPr>
                <w:sz w:val="15"/>
                <w:szCs w:val="15"/>
                <w:color w:val="auto"/>
              </w:rPr>
            </w:pPr>
          </w:p>
        </w:tc>
        <w:tc>
          <w:tcPr>
            <w:tcW w:w="800" w:type="dxa"/>
            <w:vAlign w:val="bottom"/>
            <w:gridSpan w:val="2"/>
          </w:tcPr>
          <w:p>
            <w:pPr>
              <w:jc w:val="right"/>
              <w:ind w:right="441"/>
              <w:spacing w:after="0" w:line="178"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62.0</w:t>
            </w:r>
          </w:p>
        </w:tc>
        <w:tc>
          <w:tcPr>
            <w:tcW w:w="80" w:type="dxa"/>
            <w:vAlign w:val="bottom"/>
          </w:tcPr>
          <w:p>
            <w:pPr>
              <w:spacing w:after="0"/>
              <w:rPr>
                <w:sz w:val="15"/>
                <w:szCs w:val="15"/>
                <w:color w:val="auto"/>
              </w:rPr>
            </w:pPr>
          </w:p>
        </w:tc>
      </w:tr>
      <w:tr>
        <w:trPr>
          <w:trHeight w:val="177"/>
        </w:trPr>
        <w:tc>
          <w:tcPr>
            <w:tcW w:w="7560" w:type="dxa"/>
            <w:vAlign w:val="bottom"/>
            <w:shd w:val="clear" w:color="auto" w:fill="CFF0FC"/>
          </w:tcPr>
          <w:p>
            <w:pPr>
              <w:ind w:left="80"/>
              <w:spacing w:after="0" w:line="178" w:lineRule="exact"/>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7"/>
        </w:trPr>
        <w:tc>
          <w:tcPr>
            <w:tcW w:w="7560" w:type="dxa"/>
            <w:vAlign w:val="bottom"/>
          </w:tcPr>
          <w:p>
            <w:pPr>
              <w:ind w:left="480"/>
              <w:spacing w:after="0" w:line="178"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tcPr>
          <w:p>
            <w:pPr>
              <w:spacing w:after="0"/>
              <w:rPr>
                <w:sz w:val="15"/>
                <w:szCs w:val="15"/>
                <w:color w:val="auto"/>
              </w:rPr>
            </w:pPr>
          </w:p>
        </w:tc>
        <w:tc>
          <w:tcPr>
            <w:tcW w:w="6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21.3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17.9</w:t>
            </w:r>
          </w:p>
        </w:tc>
        <w:tc>
          <w:tcPr>
            <w:tcW w:w="80" w:type="dxa"/>
            <w:vAlign w:val="bottom"/>
          </w:tcPr>
          <w:p>
            <w:pPr>
              <w:spacing w:after="0"/>
              <w:rPr>
                <w:sz w:val="15"/>
                <w:szCs w:val="15"/>
                <w:color w:val="auto"/>
              </w:rPr>
            </w:pPr>
          </w:p>
        </w:tc>
      </w:tr>
      <w:tr>
        <w:trPr>
          <w:trHeight w:val="177"/>
        </w:trPr>
        <w:tc>
          <w:tcPr>
            <w:tcW w:w="7560" w:type="dxa"/>
            <w:vAlign w:val="bottom"/>
            <w:shd w:val="clear" w:color="auto" w:fill="CFF0FC"/>
          </w:tcPr>
          <w:p>
            <w:pPr>
              <w:ind w:left="480"/>
              <w:spacing w:after="0" w:line="178" w:lineRule="exact"/>
              <w:rPr>
                <w:sz w:val="20"/>
                <w:szCs w:val="20"/>
                <w:color w:val="auto"/>
              </w:rPr>
            </w:pPr>
            <w:r>
              <w:rPr>
                <w:rFonts w:ascii="Times New Roman" w:cs="Times New Roman" w:eastAsia="Times New Roman" w:hAnsi="Times New Roman"/>
                <w:sz w:val="16"/>
                <w:szCs w:val="16"/>
                <w:color w:val="auto"/>
              </w:rPr>
              <w:t>Non-cash loss on sale of a subsidiary</w:t>
            </w: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1"/>
              <w:spacing w:after="0" w:line="178" w:lineRule="exact"/>
              <w:rPr>
                <w:sz w:val="20"/>
                <w:szCs w:val="20"/>
                <w:color w:val="auto"/>
              </w:rPr>
            </w:pPr>
            <w:r>
              <w:rPr>
                <w:rFonts w:ascii="Times New Roman" w:cs="Times New Roman" w:eastAsia="Times New Roman" w:hAnsi="Times New Roman"/>
                <w:sz w:val="16"/>
                <w:szCs w:val="16"/>
                <w:color w:val="auto"/>
              </w:rPr>
              <w:t>—</w:t>
            </w:r>
          </w:p>
        </w:tc>
      </w:tr>
      <w:tr>
        <w:trPr>
          <w:trHeight w:val="177"/>
        </w:trPr>
        <w:tc>
          <w:tcPr>
            <w:tcW w:w="7560" w:type="dxa"/>
            <w:vAlign w:val="bottom"/>
          </w:tcPr>
          <w:p>
            <w:pPr>
              <w:ind w:left="480"/>
              <w:spacing w:after="0" w:line="178" w:lineRule="exact"/>
              <w:rPr>
                <w:sz w:val="20"/>
                <w:szCs w:val="20"/>
                <w:color w:val="auto"/>
              </w:rPr>
            </w:pPr>
            <w:r>
              <w:rPr>
                <w:rFonts w:ascii="Times New Roman" w:cs="Times New Roman" w:eastAsia="Times New Roman" w:hAnsi="Times New Roman"/>
                <w:sz w:val="16"/>
                <w:szCs w:val="16"/>
                <w:color w:val="auto"/>
              </w:rPr>
              <w:t>Deferred income taxes</w:t>
            </w:r>
          </w:p>
        </w:tc>
        <w:tc>
          <w:tcPr>
            <w:tcW w:w="1040" w:type="dxa"/>
            <w:vAlign w:val="bottom"/>
          </w:tcPr>
          <w:p>
            <w:pPr>
              <w:spacing w:after="0"/>
              <w:rPr>
                <w:sz w:val="15"/>
                <w:szCs w:val="15"/>
                <w:color w:val="auto"/>
              </w:rPr>
            </w:pPr>
          </w:p>
        </w:tc>
        <w:tc>
          <w:tcPr>
            <w:tcW w:w="6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color w:val="auto"/>
              </w:rPr>
              <w:t>(10.6 )</w:t>
            </w:r>
          </w:p>
        </w:tc>
      </w:tr>
      <w:tr>
        <w:trPr>
          <w:trHeight w:val="177"/>
        </w:trPr>
        <w:tc>
          <w:tcPr>
            <w:tcW w:w="7560" w:type="dxa"/>
            <w:vAlign w:val="bottom"/>
            <w:shd w:val="clear" w:color="auto" w:fill="CFF0FC"/>
          </w:tcPr>
          <w:p>
            <w:pPr>
              <w:ind w:left="480"/>
              <w:spacing w:after="0" w:line="178" w:lineRule="exact"/>
              <w:rPr>
                <w:sz w:val="20"/>
                <w:szCs w:val="20"/>
                <w:color w:val="auto"/>
              </w:rPr>
            </w:pPr>
            <w:r>
              <w:rPr>
                <w:rFonts w:ascii="Times New Roman" w:cs="Times New Roman" w:eastAsia="Times New Roman" w:hAnsi="Times New Roman"/>
                <w:sz w:val="16"/>
                <w:szCs w:val="16"/>
                <w:color w:val="auto"/>
              </w:rPr>
              <w:t>Provision for doubtful accounts</w:t>
            </w: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5.2</w:t>
            </w:r>
          </w:p>
        </w:tc>
        <w:tc>
          <w:tcPr>
            <w:tcW w:w="80" w:type="dxa"/>
            <w:vAlign w:val="bottom"/>
            <w:shd w:val="clear" w:color="auto" w:fill="CFF0FC"/>
          </w:tcPr>
          <w:p>
            <w:pPr>
              <w:spacing w:after="0"/>
              <w:rPr>
                <w:sz w:val="15"/>
                <w:szCs w:val="15"/>
                <w:color w:val="auto"/>
              </w:rPr>
            </w:pPr>
          </w:p>
        </w:tc>
      </w:tr>
      <w:tr>
        <w:trPr>
          <w:trHeight w:val="177"/>
        </w:trPr>
        <w:tc>
          <w:tcPr>
            <w:tcW w:w="7560" w:type="dxa"/>
            <w:vAlign w:val="bottom"/>
          </w:tcPr>
          <w:p>
            <w:pPr>
              <w:ind w:left="480"/>
              <w:spacing w:after="0" w:line="178" w:lineRule="exact"/>
              <w:rPr>
                <w:sz w:val="20"/>
                <w:szCs w:val="20"/>
                <w:color w:val="auto"/>
              </w:rPr>
            </w:pPr>
            <w:r>
              <w:rPr>
                <w:rFonts w:ascii="Times New Roman" w:cs="Times New Roman" w:eastAsia="Times New Roman" w:hAnsi="Times New Roman"/>
                <w:sz w:val="16"/>
                <w:szCs w:val="16"/>
                <w:color w:val="auto"/>
              </w:rPr>
              <w:t>Share-based compensation</w:t>
            </w:r>
          </w:p>
        </w:tc>
        <w:tc>
          <w:tcPr>
            <w:tcW w:w="1040" w:type="dxa"/>
            <w:vAlign w:val="bottom"/>
          </w:tcPr>
          <w:p>
            <w:pPr>
              <w:spacing w:after="0"/>
              <w:rPr>
                <w:sz w:val="15"/>
                <w:szCs w:val="15"/>
                <w:color w:val="auto"/>
              </w:rPr>
            </w:pPr>
          </w:p>
        </w:tc>
        <w:tc>
          <w:tcPr>
            <w:tcW w:w="6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5"/>
                <w:szCs w:val="15"/>
                <w:color w:val="auto"/>
              </w:rPr>
            </w:pPr>
          </w:p>
        </w:tc>
      </w:tr>
      <w:tr>
        <w:trPr>
          <w:trHeight w:val="177"/>
        </w:trPr>
        <w:tc>
          <w:tcPr>
            <w:tcW w:w="7560" w:type="dxa"/>
            <w:vAlign w:val="bottom"/>
            <w:shd w:val="clear" w:color="auto" w:fill="CFF0FC"/>
          </w:tcPr>
          <w:p>
            <w:pPr>
              <w:ind w:left="80"/>
              <w:spacing w:after="0" w:line="178" w:lineRule="exact"/>
              <w:rPr>
                <w:sz w:val="20"/>
                <w:szCs w:val="20"/>
                <w:color w:val="auto"/>
              </w:rPr>
            </w:pPr>
            <w:r>
              <w:rPr>
                <w:rFonts w:ascii="Times New Roman" w:cs="Times New Roman" w:eastAsia="Times New Roman" w:hAnsi="Times New Roman"/>
                <w:sz w:val="16"/>
                <w:szCs w:val="16"/>
                <w:color w:val="auto"/>
              </w:rPr>
              <w:t>Changes in operating assets and liabilities, excluding the impact of dispositions:</w:t>
            </w: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7"/>
        </w:trPr>
        <w:tc>
          <w:tcPr>
            <w:tcW w:w="7560" w:type="dxa"/>
            <w:vAlign w:val="bottom"/>
          </w:tcPr>
          <w:p>
            <w:pPr>
              <w:ind w:left="480"/>
              <w:spacing w:after="0" w:line="178" w:lineRule="exact"/>
              <w:rPr>
                <w:sz w:val="20"/>
                <w:szCs w:val="20"/>
                <w:color w:val="auto"/>
              </w:rPr>
            </w:pPr>
            <w:r>
              <w:rPr>
                <w:rFonts w:ascii="Times New Roman" w:cs="Times New Roman" w:eastAsia="Times New Roman" w:hAnsi="Times New Roman"/>
                <w:sz w:val="16"/>
                <w:szCs w:val="16"/>
                <w:color w:val="auto"/>
              </w:rPr>
              <w:t>Accounts receivable</w:t>
            </w:r>
          </w:p>
        </w:tc>
        <w:tc>
          <w:tcPr>
            <w:tcW w:w="1040" w:type="dxa"/>
            <w:vAlign w:val="bottom"/>
          </w:tcPr>
          <w:p>
            <w:pPr>
              <w:spacing w:after="0"/>
              <w:rPr>
                <w:sz w:val="15"/>
                <w:szCs w:val="15"/>
                <w:color w:val="auto"/>
              </w:rPr>
            </w:pPr>
          </w:p>
        </w:tc>
        <w:tc>
          <w:tcPr>
            <w:tcW w:w="72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color w:val="auto"/>
              </w:rPr>
              <w:t>(96.9 )</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color w:val="auto"/>
              </w:rPr>
              <w:t>(94.5 )</w:t>
            </w:r>
          </w:p>
        </w:tc>
      </w:tr>
      <w:tr>
        <w:trPr>
          <w:trHeight w:val="177"/>
        </w:trPr>
        <w:tc>
          <w:tcPr>
            <w:tcW w:w="7560" w:type="dxa"/>
            <w:vAlign w:val="bottom"/>
            <w:shd w:val="clear" w:color="auto" w:fill="CFF0FC"/>
          </w:tcPr>
          <w:p>
            <w:pPr>
              <w:ind w:left="480"/>
              <w:spacing w:after="0" w:line="178" w:lineRule="exact"/>
              <w:rPr>
                <w:sz w:val="20"/>
                <w:szCs w:val="20"/>
                <w:color w:val="auto"/>
              </w:rPr>
            </w:pPr>
            <w:r>
              <w:rPr>
                <w:rFonts w:ascii="Times New Roman" w:cs="Times New Roman" w:eastAsia="Times New Roman" w:hAnsi="Times New Roman"/>
                <w:sz w:val="16"/>
                <w:szCs w:val="16"/>
                <w:color w:val="auto"/>
              </w:rPr>
              <w:t>Other assets</w:t>
            </w:r>
          </w:p>
        </w:tc>
        <w:tc>
          <w:tcPr>
            <w:tcW w:w="10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(17.1 )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(39.5 )</w:t>
            </w:r>
          </w:p>
        </w:tc>
      </w:tr>
      <w:tr>
        <w:trPr>
          <w:trHeight w:val="177"/>
        </w:trPr>
        <w:tc>
          <w:tcPr>
            <w:tcW w:w="7560" w:type="dxa"/>
            <w:vAlign w:val="bottom"/>
          </w:tcPr>
          <w:p>
            <w:pPr>
              <w:ind w:left="480"/>
              <w:spacing w:after="0" w:line="178" w:lineRule="exact"/>
              <w:rPr>
                <w:sz w:val="20"/>
                <w:szCs w:val="20"/>
                <w:color w:val="auto"/>
              </w:rPr>
            </w:pPr>
            <w:r>
              <w:rPr>
                <w:rFonts w:ascii="Times New Roman" w:cs="Times New Roman" w:eastAsia="Times New Roman" w:hAnsi="Times New Roman"/>
                <w:sz w:val="16"/>
                <w:szCs w:val="16"/>
                <w:color w:val="auto"/>
              </w:rPr>
              <w:t>Other liabilities</w:t>
            </w: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47.9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192.9</w:t>
            </w:r>
          </w:p>
        </w:tc>
        <w:tc>
          <w:tcPr>
            <w:tcW w:w="80" w:type="dxa"/>
            <w:vAlign w:val="bottom"/>
          </w:tcPr>
          <w:p>
            <w:pPr>
              <w:spacing w:after="0"/>
              <w:rPr>
                <w:sz w:val="15"/>
                <w:szCs w:val="15"/>
                <w:color w:val="auto"/>
              </w:rPr>
            </w:pPr>
          </w:p>
        </w:tc>
      </w:tr>
      <w:tr>
        <w:trPr>
          <w:trHeight w:val="169"/>
        </w:trPr>
        <w:tc>
          <w:tcPr>
            <w:tcW w:w="7560" w:type="dxa"/>
            <w:vAlign w:val="bottom"/>
            <w:tcBorders>
              <w:bottom w:val="single" w:sz="8" w:color="CFF0FC"/>
            </w:tcBorders>
            <w:shd w:val="clear" w:color="auto" w:fill="CFF0FC"/>
          </w:tcPr>
          <w:p>
            <w:pPr>
              <w:ind w:left="960"/>
              <w:spacing w:after="0" w:line="169" w:lineRule="exact"/>
              <w:rPr>
                <w:sz w:val="20"/>
                <w:szCs w:val="20"/>
                <w:color w:val="auto"/>
              </w:rPr>
            </w:pPr>
            <w:r>
              <w:rPr>
                <w:rFonts w:ascii="Times New Roman" w:cs="Times New Roman" w:eastAsia="Times New Roman" w:hAnsi="Times New Roman"/>
                <w:sz w:val="16"/>
                <w:szCs w:val="16"/>
                <w:color w:val="auto"/>
              </w:rPr>
              <w:t>Cash provided by operating activities</w:t>
            </w:r>
          </w:p>
        </w:tc>
        <w:tc>
          <w:tcPr>
            <w:tcW w:w="10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70.6</w:t>
            </w: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140.9</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9"/>
        </w:trPr>
        <w:tc>
          <w:tcPr>
            <w:tcW w:w="756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7"/>
        </w:trPr>
        <w:tc>
          <w:tcPr>
            <w:tcW w:w="7560" w:type="dxa"/>
            <w:vAlign w:val="bottom"/>
            <w:shd w:val="clear" w:color="auto" w:fill="CFF0FC"/>
          </w:tcPr>
          <w:p>
            <w:pPr>
              <w:ind w:left="400"/>
              <w:spacing w:after="0" w:line="178" w:lineRule="exact"/>
              <w:rPr>
                <w:sz w:val="20"/>
                <w:szCs w:val="20"/>
                <w:color w:val="auto"/>
              </w:rPr>
            </w:pPr>
            <w:r>
              <w:rPr>
                <w:rFonts w:ascii="Times New Roman" w:cs="Times New Roman" w:eastAsia="Times New Roman" w:hAnsi="Times New Roman"/>
                <w:sz w:val="16"/>
                <w:szCs w:val="16"/>
                <w:color w:val="auto"/>
              </w:rPr>
              <w:t>Capital expenditures</w:t>
            </w:r>
          </w:p>
        </w:tc>
        <w:tc>
          <w:tcPr>
            <w:tcW w:w="10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(19.4 )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(12.7 )</w:t>
            </w:r>
          </w:p>
        </w:tc>
      </w:tr>
      <w:tr>
        <w:trPr>
          <w:trHeight w:val="177"/>
        </w:trPr>
        <w:tc>
          <w:tcPr>
            <w:tcW w:w="7560" w:type="dxa"/>
            <w:vAlign w:val="bottom"/>
          </w:tcPr>
          <w:p>
            <w:pPr>
              <w:ind w:left="400"/>
              <w:spacing w:after="0" w:line="178" w:lineRule="exact"/>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1040" w:type="dxa"/>
            <w:vAlign w:val="bottom"/>
          </w:tcPr>
          <w:p>
            <w:pPr>
              <w:spacing w:after="0"/>
              <w:rPr>
                <w:sz w:val="15"/>
                <w:szCs w:val="15"/>
                <w:color w:val="auto"/>
              </w:rPr>
            </w:pPr>
          </w:p>
        </w:tc>
        <w:tc>
          <w:tcPr>
            <w:tcW w:w="720" w:type="dxa"/>
            <w:vAlign w:val="bottom"/>
            <w:gridSpan w:val="2"/>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color w:val="auto"/>
              </w:rPr>
              <w:t>(7.1 )</w:t>
            </w:r>
          </w:p>
        </w:tc>
      </w:tr>
      <w:tr>
        <w:trPr>
          <w:trHeight w:val="177"/>
        </w:trPr>
        <w:tc>
          <w:tcPr>
            <w:tcW w:w="7560" w:type="dxa"/>
            <w:vAlign w:val="bottom"/>
            <w:tcBorders>
              <w:bottom w:val="single" w:sz="8" w:color="CFF0FC"/>
            </w:tcBorders>
            <w:shd w:val="clear" w:color="auto" w:fill="CFF0FC"/>
          </w:tcPr>
          <w:p>
            <w:pPr>
              <w:ind w:left="400"/>
              <w:spacing w:after="0" w:line="178" w:lineRule="exact"/>
              <w:rPr>
                <w:sz w:val="20"/>
                <w:szCs w:val="20"/>
                <w:color w:val="auto"/>
              </w:rPr>
            </w:pPr>
            <w:r>
              <w:rPr>
                <w:rFonts w:ascii="Times New Roman" w:cs="Times New Roman" w:eastAsia="Times New Roman" w:hAnsi="Times New Roman"/>
                <w:sz w:val="16"/>
                <w:szCs w:val="16"/>
                <w:color w:val="auto"/>
              </w:rPr>
              <w:t>Proceeds from the sale of subsidiaries and property and equipment</w:t>
            </w:r>
          </w:p>
        </w:tc>
        <w:tc>
          <w:tcPr>
            <w:tcW w:w="10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0.8</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0.7</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69"/>
        </w:trPr>
        <w:tc>
          <w:tcPr>
            <w:tcW w:w="7560" w:type="dxa"/>
            <w:vAlign w:val="bottom"/>
          </w:tcPr>
          <w:p>
            <w:pPr>
              <w:ind w:left="960"/>
              <w:spacing w:after="0" w:line="169" w:lineRule="exact"/>
              <w:rPr>
                <w:sz w:val="20"/>
                <w:szCs w:val="20"/>
                <w:color w:val="auto"/>
              </w:rPr>
            </w:pPr>
            <w:r>
              <w:rPr>
                <w:rFonts w:ascii="Times New Roman" w:cs="Times New Roman" w:eastAsia="Times New Roman" w:hAnsi="Times New Roman"/>
                <w:sz w:val="16"/>
                <w:szCs w:val="16"/>
                <w:color w:val="auto"/>
              </w:rPr>
              <w:t>Cash used in investing activities</w:t>
            </w:r>
          </w:p>
        </w:tc>
        <w:tc>
          <w:tcPr>
            <w:tcW w:w="1040" w:type="dxa"/>
            <w:vAlign w:val="bottom"/>
          </w:tcPr>
          <w:p>
            <w:pPr>
              <w:spacing w:after="0"/>
              <w:rPr>
                <w:sz w:val="14"/>
                <w:szCs w:val="14"/>
                <w:color w:val="auto"/>
              </w:rPr>
            </w:pPr>
          </w:p>
        </w:tc>
        <w:tc>
          <w:tcPr>
            <w:tcW w:w="7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rPr>
              <w:t>(18.6 )</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rPr>
              <w:t>(19.1 )</w:t>
            </w:r>
          </w:p>
        </w:tc>
      </w:tr>
      <w:tr>
        <w:trPr>
          <w:trHeight w:val="169"/>
        </w:trPr>
        <w:tc>
          <w:tcPr>
            <w:tcW w:w="756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4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7"/>
        </w:trPr>
        <w:tc>
          <w:tcPr>
            <w:tcW w:w="7560" w:type="dxa"/>
            <w:vAlign w:val="bottom"/>
          </w:tcPr>
          <w:p>
            <w:pPr>
              <w:ind w:left="400"/>
              <w:spacing w:after="0" w:line="178" w:lineRule="exact"/>
              <w:rPr>
                <w:sz w:val="20"/>
                <w:szCs w:val="20"/>
                <w:color w:val="auto"/>
              </w:rPr>
            </w:pPr>
            <w:r>
              <w:rPr>
                <w:rFonts w:ascii="Times New Roman" w:cs="Times New Roman" w:eastAsia="Times New Roman" w:hAnsi="Times New Roman"/>
                <w:sz w:val="16"/>
                <w:szCs w:val="16"/>
                <w:color w:val="auto"/>
              </w:rPr>
              <w:t>Net change in short-term borrowings</w:t>
            </w:r>
          </w:p>
        </w:tc>
        <w:tc>
          <w:tcPr>
            <w:tcW w:w="1040" w:type="dxa"/>
            <w:vAlign w:val="bottom"/>
          </w:tcPr>
          <w:p>
            <w:pPr>
              <w:spacing w:after="0"/>
              <w:rPr>
                <w:sz w:val="15"/>
                <w:szCs w:val="15"/>
                <w:color w:val="auto"/>
              </w:rPr>
            </w:pPr>
          </w:p>
        </w:tc>
        <w:tc>
          <w:tcPr>
            <w:tcW w:w="72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color w:val="auto"/>
              </w:rPr>
              <w:t>(3.7 )</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5"/>
                <w:szCs w:val="15"/>
                <w:color w:val="auto"/>
              </w:rPr>
            </w:pPr>
          </w:p>
        </w:tc>
      </w:tr>
      <w:tr>
        <w:trPr>
          <w:trHeight w:val="177"/>
        </w:trPr>
        <w:tc>
          <w:tcPr>
            <w:tcW w:w="7560" w:type="dxa"/>
            <w:vAlign w:val="bottom"/>
            <w:shd w:val="clear" w:color="auto" w:fill="CFF0FC"/>
          </w:tcPr>
          <w:p>
            <w:pPr>
              <w:ind w:left="400"/>
              <w:spacing w:after="0" w:line="178" w:lineRule="exact"/>
              <w:rPr>
                <w:sz w:val="20"/>
                <w:szCs w:val="20"/>
                <w:color w:val="auto"/>
              </w:rPr>
            </w:pPr>
            <w:r>
              <w:rPr>
                <w:rFonts w:ascii="Times New Roman" w:cs="Times New Roman" w:eastAsia="Times New Roman" w:hAnsi="Times New Roman"/>
                <w:sz w:val="16"/>
                <w:szCs w:val="16"/>
                <w:color w:val="auto"/>
              </w:rPr>
              <w:t>Repayments of revolving debt facility</w:t>
            </w:r>
          </w:p>
        </w:tc>
        <w:tc>
          <w:tcPr>
            <w:tcW w:w="10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(25.0 )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1"/>
              <w:spacing w:after="0" w:line="178" w:lineRule="exact"/>
              <w:rPr>
                <w:sz w:val="20"/>
                <w:szCs w:val="20"/>
                <w:color w:val="auto"/>
              </w:rPr>
            </w:pPr>
            <w:r>
              <w:rPr>
                <w:rFonts w:ascii="Times New Roman" w:cs="Times New Roman" w:eastAsia="Times New Roman" w:hAnsi="Times New Roman"/>
                <w:sz w:val="16"/>
                <w:szCs w:val="16"/>
                <w:color w:val="auto"/>
              </w:rPr>
              <w:t>—</w:t>
            </w:r>
          </w:p>
        </w:tc>
      </w:tr>
      <w:tr>
        <w:trPr>
          <w:trHeight w:val="177"/>
        </w:trPr>
        <w:tc>
          <w:tcPr>
            <w:tcW w:w="7560" w:type="dxa"/>
            <w:vAlign w:val="bottom"/>
          </w:tcPr>
          <w:p>
            <w:pPr>
              <w:ind w:left="400"/>
              <w:spacing w:after="0" w:line="178" w:lineRule="exact"/>
              <w:rPr>
                <w:sz w:val="20"/>
                <w:szCs w:val="20"/>
                <w:color w:val="auto"/>
              </w:rPr>
            </w:pPr>
            <w:r>
              <w:rPr>
                <w:rFonts w:ascii="Times New Roman" w:cs="Times New Roman" w:eastAsia="Times New Roman" w:hAnsi="Times New Roman"/>
                <w:sz w:val="16"/>
                <w:szCs w:val="16"/>
                <w:color w:val="auto"/>
              </w:rPr>
              <w:t>Proceeds from long-term debt</w:t>
            </w:r>
          </w:p>
        </w:tc>
        <w:tc>
          <w:tcPr>
            <w:tcW w:w="1040" w:type="dxa"/>
            <w:vAlign w:val="bottom"/>
          </w:tcPr>
          <w:p>
            <w:pPr>
              <w:spacing w:after="0"/>
              <w:rPr>
                <w:sz w:val="15"/>
                <w:szCs w:val="15"/>
                <w:color w:val="auto"/>
              </w:rPr>
            </w:pPr>
          </w:p>
        </w:tc>
        <w:tc>
          <w:tcPr>
            <w:tcW w:w="6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5"/>
                <w:szCs w:val="15"/>
                <w:color w:val="auto"/>
              </w:rPr>
            </w:pPr>
          </w:p>
        </w:tc>
      </w:tr>
      <w:tr>
        <w:trPr>
          <w:trHeight w:val="177"/>
        </w:trPr>
        <w:tc>
          <w:tcPr>
            <w:tcW w:w="7560" w:type="dxa"/>
            <w:vAlign w:val="bottom"/>
            <w:shd w:val="clear" w:color="auto" w:fill="CFF0FC"/>
          </w:tcPr>
          <w:p>
            <w:pPr>
              <w:ind w:left="400"/>
              <w:spacing w:after="0" w:line="178" w:lineRule="exact"/>
              <w:rPr>
                <w:sz w:val="20"/>
                <w:szCs w:val="20"/>
                <w:color w:val="auto"/>
              </w:rPr>
            </w:pPr>
            <w:r>
              <w:rPr>
                <w:rFonts w:ascii="Times New Roman" w:cs="Times New Roman" w:eastAsia="Times New Roman" w:hAnsi="Times New Roman"/>
                <w:sz w:val="16"/>
                <w:szCs w:val="16"/>
                <w:color w:val="auto"/>
              </w:rPr>
              <w:t>Repayments of long-term debt</w:t>
            </w:r>
          </w:p>
        </w:tc>
        <w:tc>
          <w:tcPr>
            <w:tcW w:w="10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(2.2 )</w:t>
            </w:r>
          </w:p>
        </w:tc>
      </w:tr>
      <w:tr>
        <w:trPr>
          <w:trHeight w:val="177"/>
        </w:trPr>
        <w:tc>
          <w:tcPr>
            <w:tcW w:w="7560" w:type="dxa"/>
            <w:vAlign w:val="bottom"/>
          </w:tcPr>
          <w:p>
            <w:pPr>
              <w:ind w:left="400"/>
              <w:spacing w:after="0" w:line="178" w:lineRule="exact"/>
              <w:rPr>
                <w:sz w:val="20"/>
                <w:szCs w:val="20"/>
                <w:color w:val="auto"/>
              </w:rPr>
            </w:pPr>
            <w:r>
              <w:rPr>
                <w:rFonts w:ascii="Times New Roman" w:cs="Times New Roman" w:eastAsia="Times New Roman" w:hAnsi="Times New Roman"/>
                <w:sz w:val="16"/>
                <w:szCs w:val="16"/>
                <w:color w:val="auto"/>
              </w:rPr>
              <w:t>Payments of contingent consideration for acquisitions</w:t>
            </w:r>
          </w:p>
        </w:tc>
        <w:tc>
          <w:tcPr>
            <w:tcW w:w="1040" w:type="dxa"/>
            <w:vAlign w:val="bottom"/>
          </w:tcPr>
          <w:p>
            <w:pPr>
              <w:spacing w:after="0"/>
              <w:rPr>
                <w:sz w:val="15"/>
                <w:szCs w:val="15"/>
                <w:color w:val="auto"/>
              </w:rPr>
            </w:pPr>
          </w:p>
        </w:tc>
        <w:tc>
          <w:tcPr>
            <w:tcW w:w="720" w:type="dxa"/>
            <w:vAlign w:val="bottom"/>
            <w:gridSpan w:val="2"/>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color w:val="auto"/>
              </w:rPr>
              <w:t>(5.8 )</w:t>
            </w:r>
          </w:p>
        </w:tc>
      </w:tr>
      <w:tr>
        <w:trPr>
          <w:trHeight w:val="177"/>
        </w:trPr>
        <w:tc>
          <w:tcPr>
            <w:tcW w:w="7560" w:type="dxa"/>
            <w:vAlign w:val="bottom"/>
            <w:shd w:val="clear" w:color="auto" w:fill="CFF0FC"/>
          </w:tcPr>
          <w:p>
            <w:pPr>
              <w:ind w:left="400"/>
              <w:spacing w:after="0" w:line="178" w:lineRule="exact"/>
              <w:rPr>
                <w:sz w:val="20"/>
                <w:szCs w:val="20"/>
                <w:color w:val="auto"/>
              </w:rPr>
            </w:pPr>
            <w:r>
              <w:rPr>
                <w:rFonts w:ascii="Times New Roman" w:cs="Times New Roman" w:eastAsia="Times New Roman" w:hAnsi="Times New Roman"/>
                <w:sz w:val="16"/>
                <w:szCs w:val="16"/>
                <w:color w:val="auto"/>
              </w:rPr>
              <w:t>Proceeds from share-based awards</w:t>
            </w: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FF0FC"/>
          </w:tcPr>
          <w:p>
            <w:pPr>
              <w:spacing w:after="0"/>
              <w:rPr>
                <w:sz w:val="15"/>
                <w:szCs w:val="15"/>
                <w:color w:val="auto"/>
              </w:rPr>
            </w:pPr>
          </w:p>
        </w:tc>
      </w:tr>
      <w:tr>
        <w:trPr>
          <w:trHeight w:val="177"/>
        </w:trPr>
        <w:tc>
          <w:tcPr>
            <w:tcW w:w="7560" w:type="dxa"/>
            <w:vAlign w:val="bottom"/>
          </w:tcPr>
          <w:p>
            <w:pPr>
              <w:ind w:left="400"/>
              <w:spacing w:after="0" w:line="178" w:lineRule="exact"/>
              <w:rPr>
                <w:sz w:val="20"/>
                <w:szCs w:val="20"/>
                <w:color w:val="auto"/>
              </w:rPr>
            </w:pPr>
            <w:r>
              <w:rPr>
                <w:rFonts w:ascii="Times New Roman" w:cs="Times New Roman" w:eastAsia="Times New Roman" w:hAnsi="Times New Roman"/>
                <w:sz w:val="16"/>
                <w:szCs w:val="16"/>
                <w:color w:val="auto"/>
              </w:rPr>
              <w:t>Other share-based award transactions</w:t>
            </w:r>
          </w:p>
        </w:tc>
        <w:tc>
          <w:tcPr>
            <w:tcW w:w="1040" w:type="dxa"/>
            <w:vAlign w:val="bottom"/>
          </w:tcPr>
          <w:p>
            <w:pPr>
              <w:spacing w:after="0"/>
              <w:rPr>
                <w:sz w:val="15"/>
                <w:szCs w:val="15"/>
                <w:color w:val="auto"/>
              </w:rPr>
            </w:pPr>
          </w:p>
        </w:tc>
        <w:tc>
          <w:tcPr>
            <w:tcW w:w="72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color w:val="auto"/>
              </w:rPr>
              <w:t>(8.2 )</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color w:val="auto"/>
              </w:rPr>
              <w:t>(4.6 )</w:t>
            </w:r>
          </w:p>
        </w:tc>
      </w:tr>
      <w:tr>
        <w:trPr>
          <w:trHeight w:val="177"/>
        </w:trPr>
        <w:tc>
          <w:tcPr>
            <w:tcW w:w="7560" w:type="dxa"/>
            <w:vAlign w:val="bottom"/>
            <w:shd w:val="clear" w:color="auto" w:fill="CFF0FC"/>
          </w:tcPr>
          <w:p>
            <w:pPr>
              <w:ind w:left="400"/>
              <w:spacing w:after="0" w:line="178" w:lineRule="exact"/>
              <w:rPr>
                <w:sz w:val="20"/>
                <w:szCs w:val="20"/>
                <w:color w:val="auto"/>
              </w:rPr>
            </w:pPr>
            <w:r>
              <w:rPr>
                <w:rFonts w:ascii="Times New Roman" w:cs="Times New Roman" w:eastAsia="Times New Roman" w:hAnsi="Times New Roman"/>
                <w:sz w:val="16"/>
                <w:szCs w:val="16"/>
                <w:color w:val="auto"/>
              </w:rPr>
              <w:t>Repurchases of common stock</w:t>
            </w:r>
          </w:p>
        </w:tc>
        <w:tc>
          <w:tcPr>
            <w:tcW w:w="10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(59.9 )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(100.1 )</w:t>
            </w:r>
          </w:p>
        </w:tc>
      </w:tr>
      <w:tr>
        <w:trPr>
          <w:trHeight w:val="20"/>
        </w:trPr>
        <w:tc>
          <w:tcPr>
            <w:tcW w:w="75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69"/>
        </w:trPr>
        <w:tc>
          <w:tcPr>
            <w:tcW w:w="7560" w:type="dxa"/>
            <w:vAlign w:val="bottom"/>
          </w:tcPr>
          <w:p>
            <w:pPr>
              <w:ind w:left="960"/>
              <w:spacing w:after="0" w:line="169" w:lineRule="exact"/>
              <w:rPr>
                <w:sz w:val="20"/>
                <w:szCs w:val="20"/>
                <w:color w:val="auto"/>
              </w:rPr>
            </w:pPr>
            <w:r>
              <w:rPr>
                <w:rFonts w:ascii="Times New Roman" w:cs="Times New Roman" w:eastAsia="Times New Roman" w:hAnsi="Times New Roman"/>
                <w:sz w:val="16"/>
                <w:szCs w:val="16"/>
                <w:color w:val="auto"/>
              </w:rPr>
              <w:t>Cash used in financing activities</w:t>
            </w:r>
          </w:p>
        </w:tc>
        <w:tc>
          <w:tcPr>
            <w:tcW w:w="1040" w:type="dxa"/>
            <w:vAlign w:val="bottom"/>
          </w:tcPr>
          <w:p>
            <w:pPr>
              <w:spacing w:after="0"/>
              <w:rPr>
                <w:sz w:val="14"/>
                <w:szCs w:val="14"/>
                <w:color w:val="auto"/>
              </w:rPr>
            </w:pPr>
          </w:p>
        </w:tc>
        <w:tc>
          <w:tcPr>
            <w:tcW w:w="7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rPr>
              <w:t>(95.8 )</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rPr>
              <w:t>(106.0 )</w:t>
            </w:r>
          </w:p>
        </w:tc>
      </w:tr>
      <w:tr>
        <w:trPr>
          <w:trHeight w:val="169"/>
        </w:trPr>
        <w:tc>
          <w:tcPr>
            <w:tcW w:w="7560" w:type="dxa"/>
            <w:vAlign w:val="bottom"/>
            <w:tcBorders>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6"/>
                <w:szCs w:val="16"/>
                <w:color w:val="auto"/>
              </w:rPr>
              <w:t>Effect of exchange rate changes on cash</w:t>
            </w:r>
          </w:p>
        </w:tc>
        <w:tc>
          <w:tcPr>
            <w:tcW w:w="104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(26.7</w:t>
            </w:r>
          </w:p>
        </w:tc>
        <w:tc>
          <w:tcPr>
            <w:tcW w:w="80" w:type="dxa"/>
            <w:vAlign w:val="bottom"/>
            <w:tcBorders>
              <w:bottom w:val="single" w:sz="8" w:color="CFF0FC"/>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(60.2</w:t>
            </w:r>
          </w:p>
        </w:tc>
        <w:tc>
          <w:tcPr>
            <w:tcW w:w="80" w:type="dxa"/>
            <w:vAlign w:val="bottom"/>
            <w:tcBorders>
              <w:bottom w:val="single" w:sz="8" w:color="CFF0FC"/>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r>
      <w:tr>
        <w:trPr>
          <w:trHeight w:val="169"/>
        </w:trPr>
        <w:tc>
          <w:tcPr>
            <w:tcW w:w="75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Change in cash and cash equivalents</w:t>
            </w:r>
          </w:p>
        </w:tc>
        <w:tc>
          <w:tcPr>
            <w:tcW w:w="1040" w:type="dxa"/>
            <w:vAlign w:val="bottom"/>
          </w:tcPr>
          <w:p>
            <w:pPr>
              <w:spacing w:after="0"/>
              <w:rPr>
                <w:sz w:val="14"/>
                <w:szCs w:val="14"/>
                <w:color w:val="auto"/>
              </w:rPr>
            </w:pPr>
          </w:p>
        </w:tc>
        <w:tc>
          <w:tcPr>
            <w:tcW w:w="7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rPr>
              <w:t>(70.5 )</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rPr>
              <w:t>(44.4 )</w:t>
            </w:r>
          </w:p>
        </w:tc>
      </w:tr>
      <w:tr>
        <w:trPr>
          <w:trHeight w:val="177"/>
        </w:trPr>
        <w:tc>
          <w:tcPr>
            <w:tcW w:w="7560" w:type="dxa"/>
            <w:vAlign w:val="bottom"/>
            <w:tcBorders>
              <w:bottom w:val="single" w:sz="8" w:color="CFF0FC"/>
            </w:tcBorders>
            <w:shd w:val="clear" w:color="auto" w:fill="CFF0FC"/>
          </w:tcPr>
          <w:p>
            <w:pPr>
              <w:spacing w:after="0" w:line="178" w:lineRule="exact"/>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040" w:type="dxa"/>
            <w:vAlign w:val="bottom"/>
            <w:tcBorders>
              <w:bottom w:val="single" w:sz="8" w:color="auto"/>
            </w:tcBorders>
            <w:shd w:val="clear" w:color="auto" w:fill="CFF0FC"/>
          </w:tcPr>
          <w:p>
            <w:pPr>
              <w:jc w:val="right"/>
              <w:ind w:right="881"/>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847.8</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44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right"/>
              <w:spacing w:after="0" w:line="178" w:lineRule="exact"/>
              <w:rPr>
                <w:sz w:val="20"/>
                <w:szCs w:val="20"/>
                <w:color w:val="auto"/>
              </w:rPr>
            </w:pPr>
            <w:r>
              <w:rPr>
                <w:rFonts w:ascii="Times New Roman" w:cs="Times New Roman" w:eastAsia="Times New Roman" w:hAnsi="Times New Roman"/>
                <w:sz w:val="16"/>
                <w:szCs w:val="16"/>
                <w:color w:val="auto"/>
              </w:rPr>
              <w:t>1,567.1</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69"/>
        </w:trPr>
        <w:tc>
          <w:tcPr>
            <w:tcW w:w="75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Cash and cash equivalents, end of period</w:t>
            </w:r>
          </w:p>
        </w:tc>
        <w:tc>
          <w:tcPr>
            <w:tcW w:w="1040" w:type="dxa"/>
            <w:vAlign w:val="bottom"/>
          </w:tcPr>
          <w:p>
            <w:pPr>
              <w:jc w:val="right"/>
              <w:ind w:right="881"/>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777.3</w:t>
            </w:r>
          </w:p>
        </w:tc>
        <w:tc>
          <w:tcPr>
            <w:tcW w:w="80" w:type="dxa"/>
            <w:vAlign w:val="bottom"/>
          </w:tcPr>
          <w:p>
            <w:pPr>
              <w:spacing w:after="0"/>
              <w:rPr>
                <w:sz w:val="14"/>
                <w:szCs w:val="14"/>
                <w:color w:val="auto"/>
              </w:rPr>
            </w:pPr>
          </w:p>
        </w:tc>
        <w:tc>
          <w:tcPr>
            <w:tcW w:w="800" w:type="dxa"/>
            <w:vAlign w:val="bottom"/>
            <w:gridSpan w:val="2"/>
          </w:tcPr>
          <w:p>
            <w:pPr>
              <w:jc w:val="right"/>
              <w:ind w:right="441"/>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1,522.7</w:t>
            </w:r>
          </w:p>
        </w:tc>
        <w:tc>
          <w:tcPr>
            <w:tcW w:w="80" w:type="dxa"/>
            <w:vAlign w:val="bottom"/>
          </w:tcPr>
          <w:p>
            <w:pPr>
              <w:spacing w:after="0"/>
              <w:rPr>
                <w:sz w:val="14"/>
                <w:szCs w:val="14"/>
                <w:color w:val="auto"/>
              </w:rPr>
            </w:pPr>
          </w:p>
        </w:tc>
      </w:tr>
      <w:tr>
        <w:trPr>
          <w:trHeight w:val="20"/>
        </w:trPr>
        <w:tc>
          <w:tcPr>
            <w:tcW w:w="7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4"/>
        </w:trPr>
        <w:tc>
          <w:tcPr>
            <w:tcW w:w="7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5869305</wp:posOffset>
            </wp:positionH>
            <wp:positionV relativeFrom="paragraph">
              <wp:posOffset>-2534920</wp:posOffset>
            </wp:positionV>
            <wp:extent cx="52705" cy="5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-2534920</wp:posOffset>
            </wp:positionV>
            <wp:extent cx="52705" cy="50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-2077085</wp:posOffset>
            </wp:positionV>
            <wp:extent cx="52705" cy="50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-2077085</wp:posOffset>
            </wp:positionV>
            <wp:extent cx="52705" cy="50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-935355</wp:posOffset>
            </wp:positionV>
            <wp:extent cx="52705" cy="50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-935355</wp:posOffset>
            </wp:positionV>
            <wp:extent cx="52705" cy="50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-695325</wp:posOffset>
            </wp:positionV>
            <wp:extent cx="52705" cy="50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-695325</wp:posOffset>
            </wp:positionV>
            <wp:extent cx="52705" cy="50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-462280</wp:posOffset>
            </wp:positionV>
            <wp:extent cx="52705" cy="50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7093585</wp:posOffset>
            </wp:positionH>
            <wp:positionV relativeFrom="paragraph">
              <wp:posOffset>-462280</wp:posOffset>
            </wp:positionV>
            <wp:extent cx="52705" cy="50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705" cy="508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36" w:right="31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682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5851525</wp:posOffset>
            </wp:positionV>
            <wp:extent cx="717486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4070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2022-04-19T06:48:21Z</dcterms:created>
  <dcterms:modified xsi:type="dcterms:W3CDTF">2022-04-19T06:48:21Z</dcterms:modified>
</cp:coreProperties>
</file>