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tabs>
          <w:tab w:leader="none" w:pos="50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4"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MANPOWER INC.</w:t>
      </w:r>
    </w:p>
    <w:p>
      <w:pPr>
        <w:spacing w:after="0" w:line="201"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w:t>
      </w:r>
    </w:p>
    <w:p>
      <w:pPr>
        <w:spacing w:after="0" w:line="20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56418H100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56418H100</w:t>
      </w:r>
    </w:p>
    <w:p>
      <w:pPr>
        <w:spacing w:after="0" w:line="200" w:lineRule="exact"/>
        <w:rPr>
          <w:sz w:val="24"/>
          <w:szCs w:val="24"/>
          <w:color w:val="auto"/>
        </w:rPr>
      </w:pPr>
    </w:p>
    <w:p>
      <w:pPr>
        <w:sectPr>
          <w:pgSz w:w="11900" w:h="16838" w:orient="portrait"/>
          <w:cols w:equalWidth="0" w:num="2">
            <w:col w:w="960" w:space="200"/>
            <w:col w:w="9059"/>
          </w:cols>
          <w:pgMar w:left="240" w:top="244" w:right="1440" w:bottom="0" w:gutter="0" w:footer="0" w:header="0"/>
          <w:type w:val="continuous"/>
        </w:sectPr>
      </w:pPr>
    </w:p>
    <w:p>
      <w:pPr>
        <w:spacing w:after="0" w:line="24" w:lineRule="exact"/>
        <w:rPr>
          <w:sz w:val="24"/>
          <w:szCs w:val="24"/>
          <w:color w:val="auto"/>
        </w:rPr>
      </w:pPr>
    </w:p>
    <w:p>
      <w:pPr>
        <w:jc w:val="both"/>
        <w:ind w:left="640" w:right="2619" w:hanging="639"/>
        <w:spacing w:after="0" w:line="290" w:lineRule="auto"/>
        <w:tabs>
          <w:tab w:leader="none" w:pos="62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Names of Reporting Persons            MELLON FINANCIAL CORPORATION SS or IRS Identification Nos. Of Above Person   IRS No. 25-1233834</w:t>
      </w:r>
    </w:p>
    <w:p>
      <w:pPr>
        <w:sectPr>
          <w:pgSz w:w="11900" w:h="16838" w:orient="portrait"/>
          <w:cols w:equalWidth="0" w:num="1">
            <w:col w:w="10219"/>
          </w:cols>
          <w:pgMar w:left="240" w:top="244" w:right="1440" w:bottom="0" w:gutter="0" w:footer="0" w:header="0"/>
          <w:type w:val="continuous"/>
        </w:sectPr>
      </w:pPr>
    </w:p>
    <w:p>
      <w:pPr>
        <w:spacing w:after="0" w:line="16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160"/>
        <w:spacing w:after="0"/>
        <w:tabs>
          <w:tab w:leader="none" w:pos="1780" w:val="left"/>
          <w:tab w:leader="none" w:pos="2720" w:val="left"/>
          <w:tab w:leader="none" w:pos="3460" w:val="left"/>
          <w:tab w:leader="none" w:pos="44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(b)</w:t>
        <w:tab/>
        <w:t>(</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220" w:type="dxa"/>
            <w:vAlign w:val="bottom"/>
            <w:gridSpan w:val="3"/>
          </w:tcPr>
          <w:p>
            <w:pPr>
              <w:spacing w:after="0"/>
              <w:rPr>
                <w:sz w:val="20"/>
                <w:szCs w:val="20"/>
                <w:color w:val="auto"/>
              </w:rPr>
            </w:pPr>
            <w:r>
              <w:rPr>
                <w:rFonts w:ascii="Courier New" w:cs="Courier New" w:eastAsia="Courier New" w:hAnsi="Courier New"/>
                <w:sz w:val="18"/>
                <w:szCs w:val="18"/>
                <w:color w:val="auto"/>
              </w:rPr>
              <w:t>(4)   Citizenship or Place of Organization</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Pennsylvania</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2,545,504</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23,980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4,120,343</w:t>
            </w:r>
          </w:p>
        </w:tc>
      </w:tr>
      <w:tr>
        <w:trPr>
          <w:trHeight w:val="405"/>
        </w:trPr>
        <w:tc>
          <w:tcPr>
            <w:tcW w:w="238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183,880</w:t>
            </w:r>
          </w:p>
        </w:tc>
      </w:tr>
    </w:tbl>
    <w:p>
      <w:pPr>
        <w:spacing w:after="0" w:line="207"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4,329,937</w:t>
      </w:r>
    </w:p>
    <w:p>
      <w:pPr>
        <w:spacing w:after="0" w:line="218"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5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(11)</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Percent</w:t>
            </w:r>
          </w:p>
        </w:tc>
        <w:tc>
          <w:tcPr>
            <w:tcW w:w="4780" w:type="dxa"/>
            <w:vAlign w:val="bottom"/>
          </w:tcPr>
          <w:p>
            <w:pPr>
              <w:ind w:left="40"/>
              <w:spacing w:after="0"/>
              <w:rPr>
                <w:sz w:val="20"/>
                <w:szCs w:val="20"/>
                <w:color w:val="auto"/>
              </w:rPr>
            </w:pPr>
            <w:r>
              <w:rPr>
                <w:rFonts w:ascii="Courier New" w:cs="Courier New" w:eastAsia="Courier New" w:hAnsi="Courier New"/>
                <w:sz w:val="18"/>
                <w:szCs w:val="18"/>
                <w:color w:val="auto"/>
              </w:rPr>
              <w:t>of Class Represented by Amount in Row (9)</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5.09%</w:t>
            </w:r>
          </w:p>
        </w:tc>
        <w:tc>
          <w:tcPr>
            <w:tcW w:w="260" w:type="dxa"/>
            <w:vAlign w:val="bottom"/>
          </w:tcPr>
          <w:p>
            <w:pPr>
              <w:spacing w:after="0"/>
              <w:rPr>
                <w:sz w:val="24"/>
                <w:szCs w:val="24"/>
                <w:color w:val="auto"/>
              </w:rPr>
            </w:pPr>
          </w:p>
        </w:tc>
      </w:tr>
      <w:tr>
        <w:trPr>
          <w:trHeight w:val="405"/>
        </w:trPr>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(12)</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Type of</w:t>
            </w:r>
          </w:p>
        </w:tc>
        <w:tc>
          <w:tcPr>
            <w:tcW w:w="4780" w:type="dxa"/>
            <w:vAlign w:val="bottom"/>
          </w:tcPr>
          <w:p>
            <w:pPr>
              <w:ind w:left="40"/>
              <w:spacing w:after="0"/>
              <w:rPr>
                <w:sz w:val="20"/>
                <w:szCs w:val="20"/>
                <w:color w:val="auto"/>
              </w:rPr>
            </w:pPr>
            <w:r>
              <w:rPr>
                <w:rFonts w:ascii="Courier New" w:cs="Courier New" w:eastAsia="Courier New" w:hAnsi="Courier New"/>
                <w:sz w:val="18"/>
                <w:szCs w:val="18"/>
                <w:color w:val="auto"/>
              </w:rPr>
              <w:t>Reporting Person (See Instructions)</w:t>
            </w:r>
          </w:p>
        </w:tc>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HC</w:t>
            </w:r>
          </w:p>
        </w:tc>
        <w:tc>
          <w:tcPr>
            <w:tcW w:w="26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SCHEDULE 13G</w:t>
      </w:r>
    </w:p>
    <w:p>
      <w:pPr>
        <w:jc w:val="center"/>
        <w:ind w:right="1459"/>
        <w:spacing w:after="0" w:line="238" w:lineRule="auto"/>
        <w:rPr>
          <w:sz w:val="20"/>
          <w:szCs w:val="20"/>
          <w:color w:val="auto"/>
        </w:rPr>
      </w:pPr>
      <w:r>
        <w:rPr>
          <w:rFonts w:ascii="Courier New" w:cs="Courier New" w:eastAsia="Courier New" w:hAnsi="Courier New"/>
          <w:sz w:val="18"/>
          <w:szCs w:val="18"/>
          <w:color w:val="auto"/>
        </w:rPr>
        <w:t>(Under the Securities and Exchange Act of 1934)</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MANPOWER INC.</w:t>
      </w:r>
    </w:p>
    <w:p>
      <w:pPr>
        <w:spacing w:after="0" w:line="200" w:lineRule="exact"/>
        <w:rPr>
          <w:sz w:val="24"/>
          <w:szCs w:val="24"/>
          <w:color w:val="auto"/>
        </w:rPr>
      </w:pPr>
    </w:p>
    <w:p>
      <w:pPr>
        <w:sectPr>
          <w:pgSz w:w="11900" w:h="16838" w:orient="portrait"/>
          <w:cols w:equalWidth="0" w:num="3">
            <w:col w:w="960" w:space="200"/>
            <w:col w:w="1580" w:space="220"/>
            <w:col w:w="725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4" w:lineRule="exact"/>
        <w:rPr>
          <w:sz w:val="24"/>
          <w:szCs w:val="24"/>
          <w:color w:val="auto"/>
        </w:rPr>
      </w:pPr>
    </w:p>
    <w:p>
      <w:pPr>
        <w:ind w:left="3900"/>
        <w:spacing w:after="0"/>
        <w:rPr>
          <w:sz w:val="20"/>
          <w:szCs w:val="20"/>
          <w:color w:val="auto"/>
        </w:rPr>
      </w:pPr>
      <w:r>
        <w:rPr>
          <w:rFonts w:ascii="Courier New" w:cs="Courier New" w:eastAsia="Courier New" w:hAnsi="Courier New"/>
          <w:sz w:val="16"/>
          <w:szCs w:val="16"/>
          <w:color w:val="auto"/>
        </w:rPr>
        <w:t>5301 N. IRONWOOD RD.</w:t>
      </w:r>
    </w:p>
    <w:p>
      <w:pPr>
        <w:spacing w:after="0" w:line="16" w:lineRule="exact"/>
        <w:rPr>
          <w:sz w:val="24"/>
          <w:szCs w:val="24"/>
          <w:color w:val="auto"/>
        </w:rPr>
      </w:pPr>
    </w:p>
    <w:p>
      <w:pPr>
        <w:ind w:left="3900"/>
        <w:spacing w:after="0"/>
        <w:tabs>
          <w:tab w:leader="none" w:pos="5460" w:val="left"/>
        </w:tabs>
        <w:rPr>
          <w:sz w:val="20"/>
          <w:szCs w:val="20"/>
          <w:color w:val="auto"/>
        </w:rPr>
      </w:pPr>
      <w:r>
        <w:rPr>
          <w:rFonts w:ascii="Courier New" w:cs="Courier New" w:eastAsia="Courier New" w:hAnsi="Courier New"/>
          <w:sz w:val="18"/>
          <w:szCs w:val="18"/>
          <w:color w:val="auto"/>
        </w:rPr>
        <w:t>MILWAUKEE, WI</w:t>
        <w:tab/>
        <w:t>53217</w:t>
      </w:r>
    </w:p>
    <w:p>
      <w:pPr>
        <w:spacing w:after="0" w:line="200" w:lineRule="exact"/>
        <w:rPr>
          <w:sz w:val="24"/>
          <w:szCs w:val="24"/>
          <w:color w:val="auto"/>
        </w:rPr>
      </w:pPr>
    </w:p>
    <w:p>
      <w:pPr>
        <w:sectPr>
          <w:pgSz w:w="11900" w:h="16838" w:orient="portrait"/>
          <w:cols w:equalWidth="0" w:num="2">
            <w:col w:w="960" w:space="200"/>
            <w:col w:w="905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Name of Person Filing:</w:t>
      </w:r>
    </w:p>
    <w:p>
      <w:pPr>
        <w:spacing w:after="0" w:line="20" w:lineRule="exact"/>
        <w:rPr>
          <w:sz w:val="24"/>
          <w:szCs w:val="24"/>
          <w:color w:val="auto"/>
        </w:rPr>
      </w:pPr>
      <w:r>
        <w:rPr>
          <w:sz w:val="24"/>
          <w:szCs w:val="24"/>
          <w:color w:val="auto"/>
        </w:rPr>
        <w:br w:type="column"/>
      </w:r>
    </w:p>
    <w:p>
      <w:pPr>
        <w:ind w:right="2099"/>
        <w:spacing w:after="0" w:line="237" w:lineRule="auto"/>
        <w:rPr>
          <w:sz w:val="20"/>
          <w:szCs w:val="20"/>
          <w:color w:val="auto"/>
        </w:rPr>
      </w:pPr>
      <w:r>
        <w:rPr>
          <w:rFonts w:ascii="Courier New" w:cs="Courier New" w:eastAsia="Courier New" w:hAnsi="Courier New"/>
          <w:sz w:val="18"/>
          <w:szCs w:val="18"/>
          <w:color w:val="auto"/>
        </w:rPr>
        <w:t>Mellon Financial Corporation and any other reporting person(s) identified on the second part of the cover page(s) and Exhibit I.</w:t>
      </w:r>
    </w:p>
    <w:p>
      <w:pPr>
        <w:spacing w:after="0" w:line="200" w:lineRule="exact"/>
        <w:rPr>
          <w:sz w:val="24"/>
          <w:szCs w:val="24"/>
          <w:color w:val="auto"/>
        </w:rPr>
      </w:pPr>
    </w:p>
    <w:p>
      <w:pPr>
        <w:sectPr>
          <w:pgSz w:w="11900" w:h="16838" w:orient="portrait"/>
          <w:cols w:equalWidth="0" w:num="3">
            <w:col w:w="960" w:space="200"/>
            <w:col w:w="2320" w:space="220"/>
            <w:col w:w="651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c/o Mellon Financial Corporation</w:t>
      </w:r>
    </w:p>
    <w:p>
      <w:pPr>
        <w:spacing w:after="0" w:line="1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One Mellon Center</w:t>
      </w:r>
    </w:p>
    <w:p>
      <w:pPr>
        <w:ind w:left="3580"/>
        <w:spacing w:after="0" w:line="238" w:lineRule="auto"/>
        <w:rPr>
          <w:sz w:val="20"/>
          <w:szCs w:val="20"/>
          <w:color w:val="auto"/>
        </w:rPr>
      </w:pPr>
      <w:r>
        <w:rPr>
          <w:rFonts w:ascii="Courier New" w:cs="Courier New" w:eastAsia="Courier New" w:hAnsi="Courier New"/>
          <w:sz w:val="18"/>
          <w:szCs w:val="18"/>
          <w:color w:val="auto"/>
        </w:rPr>
        <w:t>Pittsburgh, Pennsylvania 15258</w:t>
      </w:r>
    </w:p>
    <w:p>
      <w:pPr>
        <w:ind w:left="3580"/>
        <w:spacing w:after="0"/>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4"/>
          <w:szCs w:val="24"/>
          <w:color w:val="auto"/>
        </w:rPr>
      </w:pPr>
    </w:p>
    <w:p>
      <w:pPr>
        <w:sectPr>
          <w:pgSz w:w="11900" w:h="16838" w:orient="portrait"/>
          <w:cols w:equalWidth="0" w:num="2">
            <w:col w:w="960" w:space="200"/>
            <w:col w:w="9059"/>
          </w:cols>
          <w:pgMar w:left="240" w:top="244" w:right="1440" w:bottom="0" w:gutter="0" w:footer="0" w:header="0"/>
          <w:type w:val="continuous"/>
        </w:sectPr>
      </w:pP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4"/>
          <w:szCs w:val="24"/>
          <w:color w:val="auto"/>
        </w:rPr>
      </w:pPr>
      <w:r>
        <w:rPr>
          <w:sz w:val="24"/>
          <w:szCs w:val="24"/>
          <w:color w:val="auto"/>
        </w:rPr>
        <w:br w:type="column"/>
      </w:r>
    </w:p>
    <w:p>
      <w:pPr>
        <w:jc w:val="center"/>
        <w:ind w:right="2419"/>
        <w:spacing w:after="0"/>
        <w:rPr>
          <w:sz w:val="20"/>
          <w:szCs w:val="20"/>
          <w:color w:val="auto"/>
        </w:rPr>
      </w:pPr>
      <w:r>
        <w:rPr>
          <w:rFonts w:ascii="Courier New" w:cs="Courier New" w:eastAsia="Courier New" w:hAnsi="Courier New"/>
          <w:sz w:val="16"/>
          <w:szCs w:val="16"/>
          <w:color w:val="auto"/>
        </w:rPr>
        <w:t>See cover page and Exhibit I.</w:t>
      </w:r>
    </w:p>
    <w:p>
      <w:pPr>
        <w:sectPr>
          <w:pgSz w:w="11900" w:h="16838" w:orient="portrait"/>
          <w:cols w:equalWidth="0" w:num="3">
            <w:col w:w="960" w:space="200"/>
            <w:col w:w="2860" w:space="720"/>
            <w:col w:w="5479"/>
          </w:cols>
          <w:pgMar w:left="240" w:top="244" w:right="1440" w:bottom="0" w:gutter="0" w:footer="0" w:header="0"/>
          <w:type w:val="continuous"/>
        </w:sectPr>
      </w:pPr>
    </w:p>
    <w:bookmarkStart w:id="1" w:name="page2"/>
    <w:bookmarkEnd w:id="1"/>
    <w:p>
      <w:pPr>
        <w:spacing w:after="0"/>
        <w:tabs>
          <w:tab w:leader="none" w:pos="1140" w:val="left"/>
          <w:tab w:leader="none" w:pos="4720" w:val="left"/>
        </w:tabs>
        <w:rPr>
          <w:sz w:val="20"/>
          <w:szCs w:val="20"/>
          <w:color w:val="auto"/>
        </w:rPr>
      </w:pPr>
      <w:r>
        <w:rPr>
          <w:rFonts w:ascii="Courier New" w:cs="Courier New" w:eastAsia="Courier New" w:hAnsi="Courier New"/>
          <w:sz w:val="18"/>
          <w:szCs w:val="18"/>
          <w:color w:val="auto"/>
        </w:rPr>
        <w:t>Item 2(d)</w:t>
        <w:tab/>
        <w:t>Title of Class of Securities:</w:t>
      </w:r>
      <w:r>
        <w:rPr>
          <w:sz w:val="20"/>
          <w:szCs w:val="20"/>
          <w:color w:val="auto"/>
        </w:rPr>
        <w:tab/>
      </w:r>
      <w:r>
        <w:rPr>
          <w:rFonts w:ascii="Courier New" w:cs="Courier New" w:eastAsia="Courier New" w:hAnsi="Courier New"/>
          <w:sz w:val="16"/>
          <w:szCs w:val="16"/>
          <w:color w:val="auto"/>
        </w:rPr>
        <w:t>Common</w:t>
      </w:r>
    </w:p>
    <w:p>
      <w:pPr>
        <w:spacing w:after="0" w:line="201" w:lineRule="exact"/>
        <w:rPr>
          <w:sz w:val="20"/>
          <w:szCs w:val="20"/>
          <w:color w:val="auto"/>
        </w:rPr>
      </w:pPr>
    </w:p>
    <w:p>
      <w:pPr>
        <w:spacing w:after="0"/>
        <w:tabs>
          <w:tab w:leader="none" w:pos="1140" w:val="left"/>
          <w:tab w:leader="none" w:pos="2720" w:val="left"/>
        </w:tabs>
        <w:rPr>
          <w:sz w:val="20"/>
          <w:szCs w:val="20"/>
          <w:color w:val="auto"/>
        </w:rPr>
      </w:pPr>
      <w:r>
        <w:rPr>
          <w:rFonts w:ascii="Courier New" w:cs="Courier New" w:eastAsia="Courier New" w:hAnsi="Courier New"/>
          <w:sz w:val="18"/>
          <w:szCs w:val="18"/>
          <w:color w:val="auto"/>
        </w:rPr>
        <w:t>Item 2(e)</w:t>
        <w:tab/>
        <w:t>CUSIP Number:</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ind w:left="1160"/>
        <w:spacing w:after="0" w:line="238" w:lineRule="auto"/>
        <w:rPr>
          <w:sz w:val="20"/>
          <w:szCs w:val="20"/>
          <w:color w:val="auto"/>
        </w:rPr>
      </w:pPr>
      <w:r>
        <w:rPr>
          <w:rFonts w:ascii="Courier New" w:cs="Courier New" w:eastAsia="Courier New" w:hAnsi="Courier New"/>
          <w:sz w:val="18"/>
          <w:szCs w:val="18"/>
          <w:color w:val="auto"/>
        </w:rPr>
        <w:t>Person") for each reporting person.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BK = Bank as defined in Section 3(a)(6) of the Act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IV = Investment Company registered under Section 8 of the</w:t>
      </w:r>
    </w:p>
    <w:p>
      <w:pPr>
        <w:ind w:left="2120"/>
        <w:spacing w:after="0" w:line="238" w:lineRule="auto"/>
        <w:rPr>
          <w:sz w:val="20"/>
          <w:szCs w:val="20"/>
          <w:color w:val="auto"/>
        </w:rPr>
      </w:pPr>
      <w:r>
        <w:rPr>
          <w:rFonts w:ascii="Courier New" w:cs="Courier New" w:eastAsia="Courier New" w:hAnsi="Courier New"/>
          <w:sz w:val="18"/>
          <w:szCs w:val="18"/>
          <w:color w:val="auto"/>
        </w:rPr>
        <w:t>Investment Company Act of 1940</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IA = Investment Advisor registered under Section 203 of the</w:t>
      </w:r>
    </w:p>
    <w:p>
      <w:pPr>
        <w:ind w:left="2120"/>
        <w:spacing w:after="0" w:line="238" w:lineRule="auto"/>
        <w:rPr>
          <w:sz w:val="20"/>
          <w:szCs w:val="20"/>
          <w:color w:val="auto"/>
        </w:rPr>
      </w:pPr>
      <w:r>
        <w:rPr>
          <w:rFonts w:ascii="Courier New" w:cs="Courier New" w:eastAsia="Courier New" w:hAnsi="Courier New"/>
          <w:sz w:val="18"/>
          <w:szCs w:val="18"/>
          <w:color w:val="auto"/>
        </w:rPr>
        <w:t>Investment Advisors Act of 1940</w:t>
      </w:r>
    </w:p>
    <w:p>
      <w:pPr>
        <w:spacing w:after="0" w:line="207" w:lineRule="exact"/>
        <w:rPr>
          <w:sz w:val="20"/>
          <w:szCs w:val="20"/>
          <w:color w:val="auto"/>
        </w:rPr>
      </w:pPr>
    </w:p>
    <w:p>
      <w:pPr>
        <w:ind w:left="2120" w:right="2319" w:hanging="526"/>
        <w:spacing w:after="0" w:line="236" w:lineRule="auto"/>
        <w:rPr>
          <w:sz w:val="20"/>
          <w:szCs w:val="20"/>
          <w:color w:val="auto"/>
        </w:rPr>
      </w:pPr>
      <w:r>
        <w:rPr>
          <w:rFonts w:ascii="Courier New" w:cs="Courier New" w:eastAsia="Courier New" w:hAnsi="Courier New"/>
          <w:sz w:val="18"/>
          <w:szCs w:val="18"/>
          <w:color w:val="auto"/>
        </w:rPr>
        <w:t>EP = Employee Benefit Plan, Pension Fund which is subject to the provisions of the Employee Retirement Income Security Act of 1974 or Endowment Fund; see</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Section 240.13-d(1)(b)(1)(ii)(F)</w:t>
      </w:r>
    </w:p>
    <w:p>
      <w:pPr>
        <w:spacing w:after="0" w:line="207" w:lineRule="exact"/>
        <w:rPr>
          <w:sz w:val="20"/>
          <w:szCs w:val="20"/>
          <w:color w:val="auto"/>
        </w:rPr>
      </w:pPr>
    </w:p>
    <w:p>
      <w:pPr>
        <w:ind w:left="2120" w:right="2839" w:hanging="526"/>
        <w:spacing w:after="0" w:line="235" w:lineRule="auto"/>
        <w:rPr>
          <w:sz w:val="20"/>
          <w:szCs w:val="20"/>
          <w:color w:val="auto"/>
        </w:rPr>
      </w:pPr>
      <w:r>
        <w:rPr>
          <w:rFonts w:ascii="Courier New" w:cs="Courier New" w:eastAsia="Courier New" w:hAnsi="Courier New"/>
          <w:sz w:val="18"/>
          <w:szCs w:val="18"/>
          <w:color w:val="auto"/>
        </w:rPr>
        <w:t>HC = Parent Holding Company, in accordance with Section 240.13-d(1)(b)(1)(ii)(G)</w:t>
      </w:r>
    </w:p>
    <w:p>
      <w:pPr>
        <w:spacing w:after="0" w:line="203"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Mellon Financial Corporation, or departments or units thereof, independently from the exercise of those powers over the</w:t>
      </w:r>
    </w:p>
    <w:tbl>
      <w:tblPr>
        <w:tblLayout w:type="fixed"/>
        <w:tblInd w:w="0" w:type="dxa"/>
        <w:tblCellMar>
          <w:top w:w="0" w:type="dxa"/>
          <w:left w:w="0" w:type="dxa"/>
          <w:bottom w:w="0" w:type="dxa"/>
          <w:right w:w="0" w:type="dxa"/>
        </w:tblCellMar>
      </w:tblPr>
      <w:tr>
        <w:trPr>
          <w:trHeight w:val="200"/>
        </w:trPr>
        <w:tc>
          <w:tcPr>
            <w:tcW w:w="3860" w:type="dxa"/>
            <w:vAlign w:val="bottom"/>
            <w:gridSpan w:val="2"/>
          </w:tcPr>
          <w:p>
            <w:pPr>
              <w:spacing w:after="0" w:line="199" w:lineRule="exact"/>
              <w:rPr>
                <w:sz w:val="20"/>
                <w:szCs w:val="20"/>
                <w:color w:val="auto"/>
              </w:rPr>
            </w:pPr>
            <w:r>
              <w:rPr>
                <w:rFonts w:ascii="Courier New" w:cs="Courier New" w:eastAsia="Courier New" w:hAnsi="Courier New"/>
                <w:sz w:val="18"/>
                <w:szCs w:val="18"/>
                <w:color w:val="auto"/>
                <w:w w:val="98"/>
              </w:rPr>
              <w:t>securities reported herein.  See SEC</w:t>
            </w:r>
          </w:p>
        </w:tc>
        <w:tc>
          <w:tcPr>
            <w:tcW w:w="4360" w:type="dxa"/>
            <w:vAlign w:val="bottom"/>
            <w:gridSpan w:val="3"/>
          </w:tcPr>
          <w:p>
            <w:pPr>
              <w:ind w:left="40"/>
              <w:spacing w:after="0" w:line="199" w:lineRule="exact"/>
              <w:rPr>
                <w:sz w:val="20"/>
                <w:szCs w:val="20"/>
                <w:color w:val="auto"/>
              </w:rPr>
            </w:pPr>
            <w:r>
              <w:rPr>
                <w:rFonts w:ascii="Courier New" w:cs="Courier New" w:eastAsia="Courier New" w:hAnsi="Courier New"/>
                <w:sz w:val="18"/>
                <w:szCs w:val="18"/>
                <w:color w:val="auto"/>
              </w:rPr>
              <w:t>Release No. 34-39538(January 12, 1998).</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filing of</w:t>
            </w:r>
          </w:p>
        </w:tc>
        <w:tc>
          <w:tcPr>
            <w:tcW w:w="4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this Schedule 13G shall not be construed as an</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admission</w:t>
            </w:r>
          </w:p>
        </w:tc>
      </w:tr>
      <w:tr>
        <w:trPr>
          <w:trHeight w:val="203"/>
        </w:trPr>
        <w:tc>
          <w:tcPr>
            <w:tcW w:w="5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that Mellon Financial Corporation, or its direct or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indirect</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6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including Mellon Bank, N.A., are for the purposes of Section</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 or 13(g)</w:t>
            </w:r>
          </w:p>
        </w:tc>
      </w:tr>
      <w:tr>
        <w:trPr>
          <w:trHeight w:val="203"/>
        </w:trPr>
        <w:tc>
          <w:tcPr>
            <w:tcW w:w="5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of the Act, the beneficial owners of any securities</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covered by this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13G.</w:t>
            </w:r>
          </w:p>
        </w:tc>
        <w:tc>
          <w:tcPr>
            <w:tcW w:w="2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The following</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information applies if checked: (</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 Mellon</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w w:val="95"/>
              </w:rPr>
              <w:t>Bank, N.A. is the</w:t>
            </w:r>
          </w:p>
        </w:tc>
      </w:tr>
    </w:tbl>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trustee of the issuer's employee benefit plan (the "Plan"), which is subject to ERISA. The securities reported include all shares held of record by Mellon Bank, N.A. as trustee of the Plan which have not been allocated to the individual accounts of employee participants in the Plan. The reporting person, however, disclaims beneficial ownership of all shares that have been allocated to the individual accounts of employee participants in the Plan for which directions have been received and followed.</w:t>
      </w:r>
    </w:p>
    <w:p>
      <w:pPr>
        <w:spacing w:after="0" w:line="211" w:lineRule="exact"/>
        <w:rPr>
          <w:sz w:val="20"/>
          <w:szCs w:val="20"/>
          <w:color w:val="auto"/>
        </w:rPr>
      </w:pPr>
    </w:p>
    <w:p>
      <w:pPr>
        <w:ind w:right="2839"/>
        <w:spacing w:after="0" w:line="275" w:lineRule="auto"/>
        <w:rPr>
          <w:sz w:val="20"/>
          <w:szCs w:val="20"/>
          <w:color w:val="auto"/>
        </w:rPr>
      </w:pPr>
      <w:r>
        <w:rPr>
          <w:rFonts w:ascii="Courier New" w:cs="Courier New" w:eastAsia="Courier New" w:hAnsi="Courier New"/>
          <w:sz w:val="16"/>
          <w:szCs w:val="16"/>
          <w:color w:val="auto"/>
        </w:rPr>
        <w:t>Item 5 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17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p>
      <w:pPr>
        <w:spacing w:after="0" w:line="4"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Person: All of the securities are beneficially owned by Mellon Financial Corporation and direct or indirect subsidiaries in their various fiduciary capacities. As a result, another entity in every instance</w:t>
      </w:r>
    </w:p>
    <w:p>
      <w:pPr>
        <w:spacing w:after="0" w:line="1"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w w:val="98"/>
              </w:rPr>
              <w:t>Identification and</w:t>
            </w:r>
          </w:p>
        </w:tc>
        <w:tc>
          <w:tcPr>
            <w:tcW w:w="5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Classification of the Subsidiary Which Acquired</w:t>
            </w:r>
          </w:p>
        </w:tc>
      </w:tr>
      <w:tr>
        <w:trPr>
          <w:trHeight w:val="203"/>
        </w:trPr>
        <w:tc>
          <w:tcPr>
            <w:tcW w:w="800" w:type="dxa"/>
            <w:vAlign w:val="bottom"/>
          </w:tcPr>
          <w:p>
            <w:pPr>
              <w:spacing w:after="0"/>
              <w:rPr>
                <w:sz w:val="17"/>
                <w:szCs w:val="17"/>
                <w:color w:val="auto"/>
              </w:rPr>
            </w:pPr>
          </w:p>
        </w:tc>
        <w:tc>
          <w:tcPr>
            <w:tcW w:w="6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Security Being Reported by the Parent Holding Company:</w:t>
            </w:r>
          </w:p>
        </w:tc>
        <w:tc>
          <w:tcPr>
            <w:tcW w:w="3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Exhibit I.</w:t>
            </w:r>
          </w:p>
        </w:tc>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N/A</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Notice of Dissolution of Group:</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N/A</w:t>
            </w:r>
          </w:p>
        </w:tc>
      </w:tr>
      <w:tr>
        <w:trPr>
          <w:trHeight w:val="810"/>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66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Certification:  By signing below I certify that, to the best of</w:t>
            </w:r>
          </w:p>
        </w:tc>
        <w:tc>
          <w:tcPr>
            <w:tcW w:w="32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my knowledge and</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belief,</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the securities referred to above were acquired and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are held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ordinary</w:t>
            </w:r>
          </w:p>
        </w:tc>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course of business and</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were not acquired and are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not held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for the</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purpose</w:t>
            </w:r>
          </w:p>
        </w:tc>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and do not have the</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effect of changing or</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influencing the</w:t>
            </w:r>
          </w:p>
        </w:tc>
        <w:tc>
          <w:tcPr>
            <w:tcW w:w="6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control of the issuer of such securities and were not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and are</w:t>
            </w: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not held in connection with or</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a participant in</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any transaction</w:t>
            </w:r>
          </w:p>
        </w:tc>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having such purpose or effect.</w:t>
            </w:r>
          </w:p>
        </w:tc>
        <w:tc>
          <w:tcPr>
            <w:tcW w:w="2880" w:type="dxa"/>
            <w:vAlign w:val="bottom"/>
          </w:tcPr>
          <w:p>
            <w:pPr>
              <w:spacing w:after="0"/>
              <w:rPr>
                <w:sz w:val="17"/>
                <w:szCs w:val="17"/>
                <w:color w:val="auto"/>
              </w:rPr>
            </w:pPr>
          </w:p>
        </w:tc>
      </w:tr>
    </w:tbl>
    <w:p>
      <w:pPr>
        <w:sectPr>
          <w:pgSz w:w="11900" w:h="16838" w:orient="portrait"/>
          <w:cols w:equalWidth="0" w:num="1">
            <w:col w:w="10219"/>
          </w:cols>
          <w:pgMar w:left="240" w:top="339" w:right="1440" w:bottom="132"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 This filing is signed by Mellon Financial Corporation on behalf of all reporting entities pursuant to Rule</w:t>
      </w:r>
    </w:p>
    <w:p>
      <w:pPr>
        <w:spacing w:after="0" w:line="1"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13d-1(f)(1) promulgated under the Securities and Exchange Act of 1934, as amended.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FINANCIAL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DAVID BELSTERLING</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David Belsterling</w:t>
      </w:r>
    </w:p>
    <w:p>
      <w:pPr>
        <w:ind w:left="640"/>
        <w:spacing w:after="0" w:line="237" w:lineRule="auto"/>
        <w:rPr>
          <w:sz w:val="20"/>
          <w:szCs w:val="20"/>
          <w:color w:val="auto"/>
        </w:rPr>
      </w:pPr>
      <w:r>
        <w:rPr>
          <w:rFonts w:ascii="Courier New" w:cs="Courier New" w:eastAsia="Courier New" w:hAnsi="Courier New"/>
          <w:sz w:val="18"/>
          <w:szCs w:val="18"/>
          <w:color w:val="auto"/>
        </w:rPr>
        <w:t>First Vice President</w:t>
      </w:r>
    </w:p>
    <w:p>
      <w:pPr>
        <w:ind w:left="640"/>
        <w:spacing w:after="0" w:line="238" w:lineRule="auto"/>
        <w:rPr>
          <w:sz w:val="20"/>
          <w:szCs w:val="20"/>
          <w:color w:val="auto"/>
        </w:rPr>
      </w:pPr>
      <w:r>
        <w:rPr>
          <w:rFonts w:ascii="Courier New" w:cs="Courier New" w:eastAsia="Courier New" w:hAnsi="Courier New"/>
          <w:sz w:val="18"/>
          <w:szCs w:val="18"/>
          <w:color w:val="auto"/>
        </w:rPr>
        <w:t>Mellon Bank, N.A.</w:t>
      </w:r>
    </w:p>
    <w:p>
      <w:pPr>
        <w:ind w:left="640"/>
        <w:spacing w:after="0"/>
        <w:rPr>
          <w:sz w:val="20"/>
          <w:szCs w:val="20"/>
          <w:color w:val="auto"/>
        </w:rPr>
      </w:pPr>
      <w:r>
        <w:rPr>
          <w:rFonts w:ascii="Courier New" w:cs="Courier New" w:eastAsia="Courier New" w:hAnsi="Courier New"/>
          <w:sz w:val="18"/>
          <w:szCs w:val="18"/>
          <w:color w:val="auto"/>
        </w:rPr>
        <w:t>Attorney-In-Fact for</w:t>
      </w:r>
    </w:p>
    <w:p>
      <w:pPr>
        <w:ind w:left="640"/>
        <w:spacing w:after="0" w:line="237" w:lineRule="auto"/>
        <w:rPr>
          <w:sz w:val="20"/>
          <w:szCs w:val="20"/>
          <w:color w:val="auto"/>
        </w:rPr>
      </w:pPr>
      <w:r>
        <w:rPr>
          <w:rFonts w:ascii="Courier New" w:cs="Courier New" w:eastAsia="Courier New" w:hAnsi="Courier New"/>
          <w:sz w:val="18"/>
          <w:szCs w:val="18"/>
          <w:color w:val="auto"/>
        </w:rPr>
        <w:t>Mellon Financial Corporation</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Mellon Financial Corporation, as marked (X):</w:t>
      </w:r>
    </w:p>
    <w:p>
      <w:pPr>
        <w:spacing w:after="0" w:line="209" w:lineRule="exact"/>
        <w:rPr>
          <w:sz w:val="20"/>
          <w:szCs w:val="20"/>
          <w:color w:val="auto"/>
        </w:rPr>
      </w:pPr>
    </w:p>
    <w:p>
      <w:pPr>
        <w:ind w:left="860" w:right="209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w:t>
      </w:r>
    </w:p>
    <w:p>
      <w:pPr>
        <w:spacing w:after="0" w:line="208" w:lineRule="exact"/>
        <w:rPr>
          <w:sz w:val="20"/>
          <w:szCs w:val="20"/>
          <w:color w:val="auto"/>
        </w:rPr>
      </w:pPr>
    </w:p>
    <w:p>
      <w:pPr>
        <w:ind w:left="1380" w:right="1679" w:hanging="529"/>
        <w:spacing w:after="0" w:line="235"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Bank, N.A. (parent holding company of MMIP, LLC; Mellon Trust of Delaware, National Association)</w:t>
      </w:r>
    </w:p>
    <w:p>
      <w:pPr>
        <w:spacing w:after="0" w:line="6" w:lineRule="exact"/>
        <w:rPr>
          <w:sz w:val="20"/>
          <w:szCs w:val="20"/>
          <w:color w:val="auto"/>
        </w:rPr>
      </w:pPr>
    </w:p>
    <w:p>
      <w:pPr>
        <w:ind w:left="1380" w:right="1999" w:hanging="529"/>
        <w:spacing w:after="0" w:line="235"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Trust of New England, National Association (parent holding company of Equity (DE) Trust 1 and Equity (DE) Trust 2)</w:t>
      </w:r>
    </w:p>
    <w:p>
      <w:pPr>
        <w:ind w:left="1380" w:hanging="529"/>
        <w:spacing w:after="0"/>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Private Trust Company, National Association</w:t>
      </w:r>
    </w:p>
    <w:p>
      <w:pPr>
        <w:ind w:left="1380" w:hanging="529"/>
        <w:spacing w:after="0" w:line="238" w:lineRule="auto"/>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Trust of California</w:t>
      </w:r>
    </w:p>
    <w:p>
      <w:pPr>
        <w:ind w:left="1380" w:hanging="529"/>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Trust of Delaware, National Association</w:t>
      </w:r>
    </w:p>
    <w:p>
      <w:pPr>
        <w:spacing w:after="0" w:line="3" w:lineRule="exact"/>
        <w:rPr>
          <w:sz w:val="20"/>
          <w:szCs w:val="20"/>
          <w:color w:val="auto"/>
        </w:rPr>
      </w:pPr>
    </w:p>
    <w:p>
      <w:pPr>
        <w:ind w:left="860" w:right="5779" w:hanging="9"/>
        <w:spacing w:after="0" w:line="290" w:lineRule="auto"/>
        <w:tabs>
          <w:tab w:leader="none" w:pos="1387"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Mellon Trust of New York, LLC ( ) Mellon Trust of Washington</w:t>
      </w:r>
    </w:p>
    <w:p>
      <w:pPr>
        <w:spacing w:after="0" w:line="169" w:lineRule="exact"/>
        <w:rPr>
          <w:rFonts w:ascii="Courier New" w:cs="Courier New" w:eastAsia="Courier New" w:hAnsi="Courier New"/>
          <w:sz w:val="16"/>
          <w:szCs w:val="16"/>
          <w:color w:val="auto"/>
        </w:rPr>
      </w:pPr>
    </w:p>
    <w:p>
      <w:pPr>
        <w:ind w:left="860" w:right="2099" w:hanging="852"/>
        <w:spacing w:after="0" w:line="236"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Investment Advisor registered under Section 203 of the Investment Advisors Act of 1940."</w:t>
      </w:r>
    </w:p>
    <w:p>
      <w:pPr>
        <w:spacing w:after="0" w:line="203"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Boston Safe Advisors, Inc.</w:t>
      </w:r>
    </w:p>
    <w:p>
      <w:pPr>
        <w:spacing w:after="0" w:line="4" w:lineRule="exact"/>
        <w:rPr>
          <w:rFonts w:ascii="Courier New" w:cs="Courier New" w:eastAsia="Courier New" w:hAnsi="Courier New"/>
          <w:sz w:val="18"/>
          <w:szCs w:val="18"/>
          <w:color w:val="auto"/>
        </w:rPr>
      </w:pPr>
    </w:p>
    <w:p>
      <w:pPr>
        <w:ind w:left="1380" w:right="1879" w:hanging="529"/>
        <w:spacing w:after="0" w:line="235" w:lineRule="auto"/>
        <w:tabs>
          <w:tab w:leader="none" w:pos="13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Dreyfus Corporation (parent holding company of Dreyfus Service Corporation)</w:t>
      </w:r>
    </w:p>
    <w:p>
      <w:pPr>
        <w:spacing w:after="0" w:line="6" w:lineRule="exact"/>
        <w:rPr>
          <w:sz w:val="20"/>
          <w:szCs w:val="20"/>
          <w:color w:val="auto"/>
        </w:rPr>
      </w:pPr>
    </w:p>
    <w:p>
      <w:pPr>
        <w:ind w:left="1380" w:right="1879" w:hanging="529"/>
        <w:spacing w:after="0" w:line="235"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Dreyfus Service Corporation (parent holding company Founders Asset Management LLC)</w:t>
      </w:r>
    </w:p>
    <w:p>
      <w:pPr>
        <w:spacing w:after="0" w:line="203" w:lineRule="exact"/>
        <w:rPr>
          <w:sz w:val="20"/>
          <w:szCs w:val="20"/>
          <w:color w:val="auto"/>
        </w:rPr>
      </w:pPr>
    </w:p>
    <w:p>
      <w:pPr>
        <w:ind w:left="1380" w:hanging="529"/>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Portfolio Associates LLC</w:t>
      </w:r>
    </w:p>
    <w:p>
      <w:pPr>
        <w:ind w:left="1380" w:hanging="529"/>
        <w:spacing w:after="0" w:line="238" w:lineRule="auto"/>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Laurel Capital Advisors, LLP</w:t>
      </w: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Capital Management Corporation</w:t>
      </w:r>
    </w:p>
    <w:p>
      <w:pPr>
        <w:ind w:left="1380" w:hanging="529"/>
        <w:spacing w:after="0" w:line="237" w:lineRule="auto"/>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Equity Associates, LLP</w:t>
      </w:r>
    </w:p>
    <w:p>
      <w:pPr>
        <w:ind w:left="1060" w:hanging="209"/>
        <w:spacing w:after="0" w:line="238" w:lineRule="auto"/>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Global Investments Limited</w:t>
      </w:r>
    </w:p>
    <w:p>
      <w:pPr>
        <w:ind w:left="1060" w:hanging="209"/>
        <w:spacing w:after="0" w:line="238" w:lineRule="auto"/>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Hedge Advisors, LLC</w:t>
      </w:r>
    </w:p>
    <w:p>
      <w:pPr>
        <w:ind w:left="1060" w:hanging="209"/>
        <w:spacing w:after="0" w:line="238" w:lineRule="auto"/>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Capital Management Limited</w:t>
      </w:r>
    </w:p>
    <w:p>
      <w:pPr>
        <w:ind w:left="1060" w:hanging="209"/>
        <w:spacing w:after="0" w:line="238" w:lineRule="auto"/>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Limited</w:t>
      </w:r>
    </w:p>
    <w:p>
      <w:pPr>
        <w:spacing w:after="0" w:line="5" w:lineRule="exact"/>
        <w:rPr>
          <w:sz w:val="20"/>
          <w:szCs w:val="20"/>
          <w:color w:val="auto"/>
        </w:rPr>
      </w:pPr>
    </w:p>
    <w:p>
      <w:pPr>
        <w:ind w:left="860" w:right="4199" w:hanging="9"/>
        <w:spacing w:after="0" w:line="268" w:lineRule="auto"/>
        <w:tabs>
          <w:tab w:leader="none" w:pos="1387"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Standish Mellon Asset Management Company LLC ( ) The Boston Company Asset Management, LLC</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Walter Scott &amp; Partners Limited</w:t>
      </w:r>
    </w:p>
    <w:p>
      <w:pPr>
        <w:spacing w:after="0" w:line="207" w:lineRule="exact"/>
        <w:rPr>
          <w:rFonts w:ascii="Courier New" w:cs="Courier New" w:eastAsia="Courier New" w:hAnsi="Courier New"/>
          <w:sz w:val="16"/>
          <w:szCs w:val="16"/>
          <w:color w:val="auto"/>
        </w:rPr>
      </w:pPr>
    </w:p>
    <w:p>
      <w:pPr>
        <w:ind w:left="860" w:right="1879" w:hanging="852"/>
        <w:spacing w:after="0" w:line="235"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legal entities listed below is "Item 3(g) Parent Holding Company, in accordance with</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240.13d-I(b)(ii)(G)."</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Financial Corporation</w:t>
      </w:r>
    </w:p>
    <w:p>
      <w:pPr>
        <w:ind w:left="1380" w:hanging="529"/>
        <w:spacing w:after="0" w:line="238" w:lineRule="auto"/>
        <w:tabs>
          <w:tab w:leader="none" w:pos="13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MMIP, LLC (parent holding company to Laurel Capital Advisors, LLP;</w:t>
      </w:r>
    </w:p>
    <w:p>
      <w:pPr>
        <w:spacing w:after="0" w:line="207" w:lineRule="exact"/>
        <w:rPr>
          <w:sz w:val="20"/>
          <w:szCs w:val="20"/>
          <w:color w:val="auto"/>
        </w:rPr>
      </w:pPr>
    </w:p>
    <w:p>
      <w:pPr>
        <w:ind w:left="1380" w:right="1879" w:hanging="529"/>
        <w:spacing w:after="0" w:line="268" w:lineRule="auto"/>
        <w:tabs>
          <w:tab w:leader="none" w:pos="1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Boston Company, Inc. (parent holding company of Mellon Private Trust Company, National Association; Mellon Trust of California; Mellon Trust of New York, LLC; Mellon Trust of Washington)</w:t>
      </w:r>
    </w:p>
    <w:p>
      <w:pPr>
        <w:spacing w:after="0" w:line="1" w:lineRule="exact"/>
        <w:rPr>
          <w:sz w:val="20"/>
          <w:szCs w:val="20"/>
          <w:color w:val="auto"/>
        </w:rPr>
      </w:pPr>
    </w:p>
    <w:p>
      <w:pPr>
        <w:ind w:left="1380" w:right="1879" w:hanging="529"/>
        <w:spacing w:after="0" w:line="235" w:lineRule="auto"/>
        <w:tabs>
          <w:tab w:leader="none" w:pos="106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Equity (MA) Trust (parent holding company of Boston Safe Advisors, Inc.; Mellon Hedge Advisors, LLC)</w:t>
      </w:r>
    </w:p>
    <w:p>
      <w:pPr>
        <w:spacing w:after="0" w:line="6" w:lineRule="exact"/>
        <w:rPr>
          <w:sz w:val="20"/>
          <w:szCs w:val="20"/>
          <w:color w:val="auto"/>
        </w:rPr>
      </w:pPr>
    </w:p>
    <w:p>
      <w:pPr>
        <w:ind w:left="1380" w:right="1579" w:hanging="529"/>
        <w:spacing w:after="0" w:line="235" w:lineRule="auto"/>
        <w:tabs>
          <w:tab w:leader="none" w:pos="106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Equity (DE) Trust 1 and Equity (DE) Trust 2 (parent holding companies of Equity (MA) Trust)</w:t>
      </w:r>
    </w:p>
    <w:p>
      <w:pPr>
        <w:spacing w:after="0" w:line="6" w:lineRule="exact"/>
        <w:rPr>
          <w:sz w:val="20"/>
          <w:szCs w:val="20"/>
          <w:color w:val="auto"/>
        </w:rPr>
      </w:pPr>
    </w:p>
    <w:p>
      <w:pPr>
        <w:ind w:left="1380" w:right="1779" w:hanging="529"/>
        <w:spacing w:after="0" w:line="235" w:lineRule="auto"/>
        <w:tabs>
          <w:tab w:leader="none" w:pos="106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Capital Management Limited; Newton Investment Management Limited)</w:t>
      </w:r>
    </w:p>
    <w:p>
      <w:pPr>
        <w:spacing w:after="0" w:line="6" w:lineRule="exact"/>
        <w:rPr>
          <w:sz w:val="20"/>
          <w:szCs w:val="20"/>
          <w:color w:val="auto"/>
        </w:rPr>
      </w:pPr>
    </w:p>
    <w:p>
      <w:pPr>
        <w:ind w:left="1380" w:right="1159" w:hanging="529"/>
        <w:spacing w:after="0" w:line="235" w:lineRule="auto"/>
        <w:tabs>
          <w:tab w:leader="none" w:pos="106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International Limited (parent holding company of Newton Management Limited; Walter Scott &amp; Partners Limited)</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tabs>
          <w:tab w:leader="none" w:pos="13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Neptune LLC (parent holding company of Mellon International Limited)</w:t>
      </w:r>
    </w:p>
    <w:p>
      <w:pPr>
        <w:spacing w:after="0" w:line="4" w:lineRule="exact"/>
        <w:rPr>
          <w:sz w:val="20"/>
          <w:szCs w:val="20"/>
          <w:color w:val="auto"/>
        </w:rPr>
      </w:pPr>
    </w:p>
    <w:p>
      <w:pPr>
        <w:ind w:left="1380" w:right="1579" w:hanging="529"/>
        <w:spacing w:after="0" w:line="235" w:lineRule="auto"/>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MBC Investments Corporation (parent holding company of Mellon Capital Management Corporation; Neptune LLC)</w:t>
      </w:r>
    </w:p>
    <w:p>
      <w:pPr>
        <w:spacing w:after="0" w:line="6" w:lineRule="exact"/>
        <w:rPr>
          <w:sz w:val="20"/>
          <w:szCs w:val="20"/>
          <w:color w:val="auto"/>
        </w:rPr>
      </w:pPr>
    </w:p>
    <w:p>
      <w:pPr>
        <w:ind w:left="1380" w:right="1579" w:hanging="529"/>
        <w:spacing w:after="0" w:line="236" w:lineRule="auto"/>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Income (MA) Trust (parent holding company of Franklin Portfolio Associates, LLC; The Boston Company Asset Management, LLC; Standish Mellon Asset Management Company LLC)</w:t>
      </w:r>
    </w:p>
    <w:p>
      <w:pPr>
        <w:spacing w:after="0" w:line="6" w:lineRule="exact"/>
        <w:rPr>
          <w:sz w:val="20"/>
          <w:szCs w:val="20"/>
          <w:color w:val="auto"/>
        </w:rPr>
      </w:pPr>
    </w:p>
    <w:p>
      <w:pPr>
        <w:ind w:left="1380" w:hanging="529"/>
        <w:spacing w:after="0"/>
        <w:tabs>
          <w:tab w:leader="none" w:pos="13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Income (DE) Trust (parent holding company of Fixed Income(MA) Trust)</w:t>
      </w:r>
    </w:p>
    <w:p>
      <w:pPr>
        <w:spacing w:after="0" w:line="200" w:lineRule="exact"/>
        <w:rPr>
          <w:sz w:val="20"/>
          <w:szCs w:val="20"/>
          <w:color w:val="auto"/>
        </w:rPr>
      </w:pPr>
    </w:p>
    <w:p>
      <w:pPr>
        <w:spacing w:after="0" w:line="22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NOTE: ALL OF THE LEGAL ENTITIES LISTED UNDER (A) AND (B) ABOVE ARE DIRECT OR INDIRECT SUBSIDIARIES OF MELLON FINANCIAL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MELLON FINANCIAL CORPORATION'S REPORTING PERSON PAGE. (DO NOT ADD THE SHARES OR PERCENT OF CLASS REPORTED ON EACH JOINT REPORTING PERSON PAGE ON THE ATTACHED SCHEDULE 13G TO DETERMINE THE TOTAL PERCENT OF CLASS FOR MELLON FINANCIAL CORPORATION).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1)"/>
      <w:numFmt w:val="decimal"/>
      <w:start w:val="9"/>
    </w:lvl>
  </w:abstractNum>
  <w:abstractNum w:abstractNumId="4">
    <w:nsid w:val="25E45D32"/>
    <w:multiLevelType w:val="hybridMultilevel"/>
    <w:lvl w:ilvl="0">
      <w:lvlJc w:val="left"/>
      <w:lvlText w:val="(%1)"/>
      <w:numFmt w:val="upperLetter"/>
      <w:start w:val="1"/>
    </w:lvl>
  </w:abstractNum>
  <w:abstractNum w:abstractNumId="5">
    <w:nsid w:val="519B500D"/>
    <w:multiLevelType w:val="hybridMultilevel"/>
    <w:lvl w:ilvl="0">
      <w:lvlJc w:val="left"/>
      <w:lvlText w:val="(%1)"/>
      <w:numFmt w:val="upperLetter"/>
      <w:start w:val="24"/>
    </w:lvl>
  </w:abstractNum>
  <w:abstractNum w:abstractNumId="6">
    <w:nsid w:val="431BD7B7"/>
    <w:multiLevelType w:val="hybridMultilevel"/>
    <w:lvl w:ilvl="0">
      <w:lvlJc w:val="left"/>
      <w:lvlText w:val="(%1)"/>
      <w:numFmt w:val="upperLetter"/>
      <w:start w:val="24"/>
    </w:lvl>
  </w:abstractNum>
  <w:abstractNum w:abstractNumId="7">
    <w:nsid w:val="3F2DBA31"/>
    <w:multiLevelType w:val="hybridMultilevel"/>
    <w:lvl w:ilvl="0">
      <w:lvlJc w:val="left"/>
      <w:lvlText w:val="(%1)"/>
      <w:numFmt w:val="upperLetter"/>
      <w:start w:val="24"/>
    </w:lvl>
  </w:abstractNum>
  <w:abstractNum w:abstractNumId="8">
    <w:nsid w:val="7C83E458"/>
    <w:multiLevelType w:val="hybridMultilevel"/>
    <w:lvl w:ilvl="0">
      <w:lvlJc w:val="left"/>
      <w:lvlText w:val="(%1)"/>
      <w:numFmt w:val="upperLetter"/>
      <w:start w:val="24"/>
    </w:lvl>
  </w:abstractNum>
  <w:abstractNum w:abstractNumId="9">
    <w:nsid w:val="257130A3"/>
    <w:multiLevelType w:val="hybridMultilevel"/>
    <w:lvl w:ilvl="0">
      <w:lvlJc w:val="left"/>
      <w:lvlText w:val="(%1)"/>
      <w:numFmt w:val="upperLetter"/>
      <w:start w:val="24"/>
    </w:lvl>
  </w:abstractNum>
  <w:abstractNum w:abstractNumId="10">
    <w:nsid w:val="62BBD95A"/>
    <w:multiLevelType w:val="hybridMultilevel"/>
    <w:lvl w:ilvl="0">
      <w:lvlJc w:val="left"/>
      <w:lvlText w:val="%1"/>
      <w:numFmt w:val="upperLetter"/>
      <w:start w:val="1"/>
    </w:lvl>
    <w:lvl w:ilvl="1">
      <w:lvlJc w:val="left"/>
      <w:lvlText w:val="(%2)"/>
      <w:numFmt w:val="upperLetter"/>
      <w:start w:val="24"/>
    </w:lvl>
  </w:abstractNum>
  <w:abstractNum w:abstractNumId="11">
    <w:nsid w:val="436C6125"/>
    <w:multiLevelType w:val="hybridMultilevel"/>
    <w:lvl w:ilvl="0">
      <w:lvlJc w:val="left"/>
      <w:lvlText w:val="(%1)"/>
      <w:numFmt w:val="upperLetter"/>
      <w:start w:val="2"/>
    </w:lvl>
    <w:lvl w:ilvl="1">
      <w:lvlJc w:val="left"/>
      <w:lvlText w:val="(%2)"/>
      <w:numFmt w:val="upperLetter"/>
      <w:start w:val="24"/>
    </w:lvl>
  </w:abstractNum>
  <w:abstractNum w:abstractNumId="12">
    <w:nsid w:val="628C895D"/>
    <w:multiLevelType w:val="hybridMultilevel"/>
    <w:lvl w:ilvl="0">
      <w:lvlJc w:val="left"/>
      <w:lvlText w:val="(%1)"/>
      <w:numFmt w:val="upperLetter"/>
      <w:start w:val="24"/>
    </w:lvl>
  </w:abstractNum>
  <w:abstractNum w:abstractNumId="13">
    <w:nsid w:val="333AB105"/>
    <w:multiLevelType w:val="hybridMultilevel"/>
    <w:lvl w:ilvl="0">
      <w:lvlJc w:val="left"/>
      <w:lvlText w:val="(%1)"/>
      <w:numFmt w:val="upperLetter"/>
      <w:start w:val="24"/>
    </w:lvl>
  </w:abstractNum>
  <w:abstractNum w:abstractNumId="14">
    <w:nsid w:val="721DA317"/>
    <w:multiLevelType w:val="hybridMultilevel"/>
    <w:lvl w:ilvl="0">
      <w:lvlJc w:val="left"/>
      <w:lvlText w:val="(%1)"/>
      <w:numFmt w:val="upperLetter"/>
      <w:start w:val="24"/>
    </w:lvl>
  </w:abstractNum>
  <w:abstractNum w:abstractNumId="15">
    <w:nsid w:val="2443A858"/>
    <w:multiLevelType w:val="hybridMultilevel"/>
    <w:lvl w:ilvl="0">
      <w:lvlJc w:val="left"/>
      <w:lvlText w:val="(%1)"/>
      <w:numFmt w:val="upperLetter"/>
      <w:start w:val="24"/>
    </w:lvl>
  </w:abstractNum>
  <w:abstractNum w:abstractNumId="16">
    <w:nsid w:val="2D1D5AE9"/>
    <w:multiLevelType w:val="hybridMultilevel"/>
    <w:lvl w:ilvl="0">
      <w:lvlJc w:val="left"/>
      <w:lvlText w:val="(%1)"/>
      <w:numFmt w:val="upperLetter"/>
      <w:start w:val="24"/>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upperLetter"/>
      <w:start w:val="1"/>
    </w:lvl>
    <w:lvl w:ilvl="1">
      <w:lvlJc w:val="left"/>
      <w:lvlText w:val="(%2)"/>
      <w:numFmt w:val="upperLetter"/>
      <w:start w:val="24"/>
    </w:lvl>
  </w:abstractNum>
  <w:abstractNum w:abstractNumId="19">
    <w:nsid w:val="8EDBDAB"/>
    <w:multiLevelType w:val="hybridMultilevel"/>
    <w:lvl w:ilvl="0">
      <w:lvlJc w:val="left"/>
      <w:lvlText w:val="(%1)"/>
      <w:numFmt w:val="upperLetter"/>
      <w:start w:val="3"/>
    </w:lvl>
    <w:lvl w:ilvl="1">
      <w:lvlJc w:val="left"/>
      <w:lvlText w:val="(%2)"/>
      <w:numFmt w:val="upperLetter"/>
      <w:start w:val="24"/>
    </w:lvl>
  </w:abstractNum>
  <w:abstractNum w:abstractNumId="20">
    <w:nsid w:val="79838CB2"/>
    <w:multiLevelType w:val="hybridMultilevel"/>
    <w:lvl w:ilvl="0">
      <w:lvlJc w:val="left"/>
      <w:lvlText w:val="(%1)"/>
      <w:numFmt w:val="upperLetter"/>
      <w:start w:val="24"/>
    </w:lvl>
  </w:abstractNum>
  <w:abstractNum w:abstractNumId="21">
    <w:nsid w:val="4353D0CD"/>
    <w:multiLevelType w:val="hybridMultilevel"/>
    <w:lvl w:ilvl="0">
      <w:lvlJc w:val="left"/>
      <w:lvlText w:val="(%1)"/>
      <w:numFmt w:val="upperLetter"/>
      <w:start w:val="24"/>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upperLetter"/>
      <w:start w:val="24"/>
    </w:lvl>
  </w:abstractNum>
  <w:abstractNum w:abstractNumId="27">
    <w:nsid w:val="836C40E"/>
    <w:multiLevelType w:val="hybridMultilevel"/>
    <w:lvl w:ilvl="0">
      <w:lvlJc w:val="left"/>
      <w:lvlText w:val="(%1)"/>
      <w:numFmt w:val="upperLetter"/>
      <w:start w:val="24"/>
    </w:lvl>
  </w:abstractNum>
  <w:abstractNum w:abstractNumId="28">
    <w:nsid w:val="2901D82"/>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2019-12-11T21:26:25Z</dcterms:created>
  <dcterms:modified xsi:type="dcterms:W3CDTF">2019-12-11T21:26:25Z</dcterms:modified>
</cp:coreProperties>
</file>