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Manpower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#56418H100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#56418H100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782,568</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4,461,488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4,461,488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5.468%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#56418H100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4,461,488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4,461,488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5.468%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Manpower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5301 North Ironwood Road</w:t>
      </w:r>
    </w:p>
    <w:p>
      <w:pPr>
        <w:spacing w:after="0" w:line="201" w:lineRule="exact"/>
        <w:rPr>
          <w:sz w:val="24"/>
          <w:szCs w:val="24"/>
          <w:color w:val="auto"/>
        </w:rPr>
      </w:pP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Milwaukee, WI</w:t>
      </w:r>
      <w:r>
        <w:rPr>
          <w:sz w:val="20"/>
          <w:szCs w:val="20"/>
          <w:color w:val="auto"/>
        </w:rPr>
        <w:tab/>
      </w:r>
      <w:r>
        <w:rPr>
          <w:rFonts w:ascii="Courier New" w:cs="Courier New" w:eastAsia="Courier New" w:hAnsi="Courier New"/>
          <w:sz w:val="16"/>
          <w:szCs w:val="16"/>
          <w:color w:val="auto"/>
        </w:rPr>
        <w:t>53217</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56418H100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4,461,488</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5.468%</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782,568</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4,461,488</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Manpower Incorporated. No</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one person's interest in the Common Stock of Manpower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 I also certify that, to the best of my knowledge and belief, FIL Limited and its various non-U.S. investment management subsidiaries</w:t>
      </w:r>
    </w:p>
    <w:p>
      <w:pPr>
        <w:spacing w:after="0" w:line="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included on 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73" w:lineRule="auto"/>
        <w:rPr>
          <w:sz w:val="20"/>
          <w:szCs w:val="20"/>
          <w:color w:val="auto"/>
        </w:rPr>
      </w:pPr>
      <w:r>
        <w:rPr>
          <w:rFonts w:ascii="Courier New" w:cs="Courier New" w:eastAsia="Courier New" w:hAnsi="Courier New"/>
          <w:sz w:val="16"/>
          <w:szCs w:val="16"/>
          <w:color w:val="auto"/>
        </w:rPr>
        <w:t>of 1940, is the beneficial owner of 3,678,920 shares or 4.509% of the Common Stock outstanding of Manpower Incorporated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3,678,920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215 shares, or 0.000%, of the Common Stock outstanding of Manpower Incorporated, beneficially owned through Strategic Advisers, Inc.</w:t>
      </w:r>
    </w:p>
    <w:p>
      <w:pPr>
        <w:spacing w:after="0" w:line="21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240.13d-1(b)(1)(ii), is the beneficial owner of 782,353 shares or 0.959% of the Common Stock outstanding of the Company.</w:t>
      </w:r>
    </w:p>
    <w:p>
      <w:pPr>
        <w:spacing w:after="0" w:line="212"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68" w:lineRule="auto"/>
        <w:rPr>
          <w:sz w:val="20"/>
          <w:szCs w:val="20"/>
          <w:color w:val="auto"/>
        </w:rPr>
      </w:pPr>
      <w:r>
        <w:rPr>
          <w:rFonts w:ascii="Courier New" w:cs="Courier New" w:eastAsia="Courier New" w:hAnsi="Courier New"/>
          <w:sz w:val="16"/>
          <w:szCs w:val="16"/>
          <w:color w:val="auto"/>
        </w:rPr>
        <w:t>and FIL, or trusts for their benefit, own shares of FIL voting stock. While the percentage of total voting power represented</w:t>
      </w:r>
    </w:p>
    <w:p>
      <w:pPr>
        <w:ind w:right="3359"/>
        <w:spacing w:after="0" w:line="268" w:lineRule="auto"/>
        <w:rPr>
          <w:sz w:val="20"/>
          <w:szCs w:val="20"/>
          <w:color w:val="auto"/>
        </w:rPr>
      </w:pPr>
      <w:r>
        <w:rPr>
          <w:rFonts w:ascii="Courier New" w:cs="Courier New" w:eastAsia="Courier New" w:hAnsi="Courier New"/>
          <w:sz w:val="16"/>
          <w:szCs w:val="16"/>
          <w:color w:val="auto"/>
        </w:rPr>
        <w:t>by these shares may fluctuate as a result of changes in the total number of shares of FIL voting stock outstanding from time to time, it normally represents more than 25% and less than 50%</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of the total votes which may be cast by all holders of FIL voting stock. FMR LLC and FIL are separate and independent corporate entities, and their Boards of Directors are generally composed of different individuals.</w:t>
      </w:r>
    </w:p>
    <w:p>
      <w:pPr>
        <w:spacing w:after="0" w:line="207" w:lineRule="exact"/>
        <w:rPr>
          <w:sz w:val="20"/>
          <w:szCs w:val="20"/>
          <w:color w:val="auto"/>
        </w:rPr>
      </w:pPr>
    </w:p>
    <w:p>
      <w:pPr>
        <w:ind w:right="3999" w:firstLine="843"/>
        <w:spacing w:after="0" w:line="279" w:lineRule="auto"/>
        <w:rPr>
          <w:sz w:val="20"/>
          <w:szCs w:val="20"/>
          <w:color w:val="auto"/>
        </w:rPr>
      </w:pPr>
      <w:r>
        <w:rPr>
          <w:rFonts w:ascii="Courier New" w:cs="Courier New" w:eastAsia="Courier New" w:hAnsi="Courier New"/>
          <w:sz w:val="16"/>
          <w:szCs w:val="16"/>
          <w:color w:val="auto"/>
        </w:rPr>
        <w:t>FMR LLC and FIL are of the view that they are not acting as a "group" for purposes of Section 13(d) under the Securities Exchange Act of 1934 (the "1934" Act) and that</w:t>
      </w:r>
    </w:p>
    <w:p>
      <w:pPr>
        <w:sectPr>
          <w:pgSz w:w="11900" w:h="16838" w:orient="portrait"/>
          <w:cols w:equalWidth="0" w:num="1">
            <w:col w:w="10219"/>
          </w:cols>
          <w:pgMar w:left="240" w:top="136" w:right="1440" w:bottom="0" w:gutter="0" w:footer="0" w:header="0"/>
        </w:sectPr>
      </w:pPr>
    </w:p>
    <w:bookmarkStart w:id="3" w:name="page4"/>
    <w:bookmarkEnd w:id="3"/>
    <w:p>
      <w:pPr>
        <w:ind w:right="3679"/>
        <w:spacing w:after="0" w:line="268" w:lineRule="auto"/>
        <w:rPr>
          <w:sz w:val="20"/>
          <w:szCs w:val="20"/>
          <w:color w:val="auto"/>
        </w:rPr>
      </w:pPr>
      <w:r>
        <w:rPr>
          <w:rFonts w:ascii="Courier New" w:cs="Courier New" w:eastAsia="Courier New" w:hAnsi="Courier New"/>
          <w:sz w:val="16"/>
          <w:szCs w:val="16"/>
          <w:color w:val="auto"/>
        </w:rPr>
        <w:t>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w:t>
      </w:r>
    </w:p>
    <w:p>
      <w:pPr>
        <w:spacing w:after="0" w:line="1"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2012, agree and consent to the joint filing on their behalf of this Schedule 13G in connection with their beneficial ownership of the Common Stock of Manpower Incorporated at December 31, 2011.</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2019-12-09T10:45:05Z</dcterms:created>
  <dcterms:modified xsi:type="dcterms:W3CDTF">2019-12-09T10:45:05Z</dcterms:modified>
</cp:coreProperties>
</file>