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13, 2013</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920" w:type="dxa"/>
            <w:vAlign w:val="bottom"/>
            <w:gridSpan w:val="2"/>
          </w:tcPr>
          <w:p>
            <w:pPr>
              <w:ind w:left="3880"/>
              <w:spacing w:after="0"/>
              <w:rPr>
                <w:sz w:val="20"/>
                <w:szCs w:val="20"/>
                <w:color w:val="auto"/>
              </w:rPr>
            </w:pPr>
            <w:r>
              <w:rPr>
                <w:rFonts w:ascii="Arial" w:cs="Arial" w:eastAsia="Arial" w:hAnsi="Arial"/>
                <w:sz w:val="18"/>
                <w:szCs w:val="18"/>
                <w:color w:val="auto"/>
                <w:w w:val="98"/>
              </w:rPr>
              <w:t>(Exact name of registrant as specified in its charter)</w:t>
            </w:r>
          </w:p>
        </w:tc>
        <w:tc>
          <w:tcPr>
            <w:tcW w:w="3500" w:type="dxa"/>
            <w:vAlign w:val="bottom"/>
          </w:tcPr>
          <w:p>
            <w:pPr>
              <w:spacing w:after="0"/>
              <w:rPr>
                <w:sz w:val="20"/>
                <w:szCs w:val="20"/>
                <w:color w:val="auto"/>
              </w:rPr>
            </w:pPr>
          </w:p>
        </w:tc>
      </w:tr>
      <w:tr>
        <w:trPr>
          <w:trHeight w:val="666"/>
        </w:trPr>
        <w:tc>
          <w:tcPr>
            <w:tcW w:w="48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Wisconsin</w:t>
            </w:r>
          </w:p>
        </w:tc>
        <w:tc>
          <w:tcPr>
            <w:tcW w:w="306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1-10686</w:t>
            </w:r>
          </w:p>
        </w:tc>
        <w:tc>
          <w:tcPr>
            <w:tcW w:w="350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8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306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(Commission File Number)</w:t>
            </w:r>
          </w:p>
        </w:tc>
        <w:tc>
          <w:tcPr>
            <w:tcW w:w="3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66"/>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91"/>
              </w:rPr>
              <w:t>100 Manpower Place</w:t>
            </w:r>
          </w:p>
        </w:tc>
        <w:tc>
          <w:tcPr>
            <w:tcW w:w="306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41"/>
        </w:trPr>
        <w:tc>
          <w:tcPr>
            <w:tcW w:w="486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b w:val="1"/>
                <w:bCs w:val="1"/>
                <w:color w:val="auto"/>
                <w:w w:val="91"/>
              </w:rPr>
              <w:t>Milwaukee, Wisconsin</w:t>
            </w:r>
          </w:p>
        </w:tc>
        <w:tc>
          <w:tcPr>
            <w:tcW w:w="306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jc w:val="right"/>
              <w:ind w:right="2330"/>
              <w:spacing w:after="0"/>
              <w:rPr>
                <w:sz w:val="20"/>
                <w:szCs w:val="20"/>
                <w:color w:val="auto"/>
              </w:rPr>
            </w:pPr>
            <w:r>
              <w:rPr>
                <w:rFonts w:ascii="Arial" w:cs="Arial" w:eastAsia="Arial" w:hAnsi="Arial"/>
                <w:sz w:val="18"/>
                <w:szCs w:val="18"/>
                <w:b w:val="1"/>
                <w:bCs w:val="1"/>
                <w:color w:val="auto"/>
              </w:rPr>
              <w:t>53212</w:t>
            </w:r>
          </w:p>
        </w:tc>
      </w:tr>
      <w:tr>
        <w:trPr>
          <w:trHeight w:val="234"/>
        </w:trPr>
        <w:tc>
          <w:tcPr>
            <w:tcW w:w="4860" w:type="dxa"/>
            <w:vAlign w:val="bottom"/>
          </w:tcPr>
          <w:p>
            <w:pPr>
              <w:jc w:val="center"/>
              <w:ind w:left="11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60" w:type="dxa"/>
            <w:vAlign w:val="bottom"/>
          </w:tcPr>
          <w:p>
            <w:pPr>
              <w:spacing w:after="0"/>
              <w:rPr>
                <w:sz w:val="20"/>
                <w:szCs w:val="20"/>
                <w:color w:val="auto"/>
              </w:rPr>
            </w:pPr>
          </w:p>
        </w:tc>
        <w:tc>
          <w:tcPr>
            <w:tcW w:w="3500" w:type="dxa"/>
            <w:vAlign w:val="bottom"/>
          </w:tcPr>
          <w:p>
            <w:pPr>
              <w:jc w:val="center"/>
              <w:ind w:right="1690"/>
              <w:spacing w:after="0"/>
              <w:rPr>
                <w:sz w:val="20"/>
                <w:szCs w:val="20"/>
                <w:color w:val="auto"/>
              </w:rPr>
            </w:pPr>
            <w:r>
              <w:rPr>
                <w:rFonts w:ascii="Arial" w:cs="Arial" w:eastAsia="Arial" w:hAnsi="Arial"/>
                <w:sz w:val="18"/>
                <w:szCs w:val="18"/>
                <w:b w:val="1"/>
                <w:bCs w:val="1"/>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Soliciting material pursuant to Rule 14a-12 under the Securities Act (17 CFR 240.14a-12)</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ind w:right="4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August 13, 2013, ManpowerGroup Inc. (the “Company”) entered into a severance agreement with Darryl Green, its President, effective as of August 1, 2013. This severance agreement replaces a similar agreement that expired on July 31, 2013. The new severance agreement expires on August 1, 2016, three years from the expiration date of the severance agreement it replaces. Aside from the new term, the severance agreement is in substantially the same form as the severance agreement it replaces with certain other modifications including the following changes:</w:t>
      </w:r>
    </w:p>
    <w:p>
      <w:pPr>
        <w:spacing w:after="0" w:line="198" w:lineRule="exact"/>
        <w:rPr>
          <w:sz w:val="20"/>
          <w:szCs w:val="20"/>
          <w:color w:val="auto"/>
        </w:rPr>
      </w:pPr>
    </w:p>
    <w:p>
      <w:pPr>
        <w:jc w:val="both"/>
        <w:ind w:left="1300" w:hanging="130"/>
        <w:spacing w:after="0" w:line="286" w:lineRule="auto"/>
        <w:tabs>
          <w:tab w:leader="none" w:pos="1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Under the severance agreement, upon the executive’s (i) involuntary termination (other than for “cause”), (ii) voluntary termination for “good reason” or (iii) termination due to the death or disability of the executive, the executive is entitled to receive a prorated incentive for the year in which termination occurs. Under the prior agreement, Mr. Green was entitled to receive his target annual incentive.</w:t>
      </w:r>
    </w:p>
    <w:p>
      <w:pPr>
        <w:spacing w:after="0" w:line="192" w:lineRule="exact"/>
        <w:rPr>
          <w:rFonts w:ascii="Arial" w:cs="Arial" w:eastAsia="Arial" w:hAnsi="Arial"/>
          <w:sz w:val="17"/>
          <w:szCs w:val="17"/>
          <w:color w:val="auto"/>
        </w:rPr>
      </w:pPr>
    </w:p>
    <w:p>
      <w:pPr>
        <w:jc w:val="both"/>
        <w:ind w:left="1300" w:hanging="130"/>
        <w:spacing w:after="0" w:line="253"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definition of “good reason” has been modified to include (i) any material breach by the Company or one of its affiliates of a material obligation to pay or provide benefits or compensation to the executive, (ii) a material diminution in base salary, (iii) a material diminution in the executive’s authority, duties or authority, coupled with a material reduction in the executive’s target bonus opportunity, (iv) a material diminution in the executive’s authority, duties or responsibility which is not coupled with a material reduction in the executive’s target bonus opportunity, but which occurs within 2 years after a change of control; or (v) a material reduction in the executive’s target bonus opportunity which is not coupled with a material diminution in the executive’s authority, duties or responsibilities, but which occurs within 2 years after a change of control. Under the prior agreement, “good reason” included a material diminution of the executive’s authority, duties or responsibilities (except in the case of a good faith reassignment to another senior executive level position by the CEO prior to a change in control), but did not include a material diminution in his target bonus opportunity (other than in the two years following a change of control).</w:t>
      </w:r>
    </w:p>
    <w:p>
      <w:pPr>
        <w:spacing w:after="0" w:line="222" w:lineRule="exact"/>
        <w:rPr>
          <w:sz w:val="20"/>
          <w:szCs w:val="20"/>
          <w:color w:val="auto"/>
        </w:rPr>
      </w:pPr>
    </w:p>
    <w:p>
      <w:pPr>
        <w:jc w:val="both"/>
        <w:ind w:left="1300" w:hanging="44"/>
        <w:spacing w:after="0" w:line="264" w:lineRule="auto"/>
        <w:rPr>
          <w:sz w:val="20"/>
          <w:szCs w:val="20"/>
          <w:color w:val="auto"/>
        </w:rPr>
      </w:pPr>
      <w:r>
        <w:rPr>
          <w:rFonts w:ascii="Arial" w:cs="Arial" w:eastAsia="Arial" w:hAnsi="Arial"/>
          <w:sz w:val="18"/>
          <w:szCs w:val="18"/>
          <w:color w:val="auto"/>
        </w:rPr>
        <w:t>·The healthcare continuation benefits for a termination that does not occur in connection with a change of control have been revised so that the Company will pay the total cost of benefit continuation for twelve months. Under the prior agreement, the Company was required only to pay the normal employer-portion of such cost.</w:t>
      </w:r>
    </w:p>
    <w:p>
      <w:pPr>
        <w:spacing w:after="0" w:line="208"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foregoing description of the severance agreements is qualified in its entirety be reference to the severance agreement filed therewith as exhibit 10.1, which is incorporated by reference into this Item 5.02.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tcPr>
          <w:p>
            <w:pPr>
              <w:ind w:left="440"/>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tc>
      </w:tr>
      <w:tr>
        <w:trPr>
          <w:trHeight w:val="466"/>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10.1</w:t>
            </w:r>
          </w:p>
        </w:tc>
        <w:tc>
          <w:tcPr>
            <w:tcW w:w="10100" w:type="dxa"/>
            <w:vAlign w:val="bottom"/>
          </w:tcPr>
          <w:p>
            <w:pPr>
              <w:ind w:left="880"/>
              <w:spacing w:after="0"/>
              <w:rPr>
                <w:sz w:val="20"/>
                <w:szCs w:val="20"/>
                <w:color w:val="auto"/>
              </w:rPr>
            </w:pPr>
            <w:r>
              <w:rPr>
                <w:rFonts w:ascii="Arial" w:cs="Arial" w:eastAsia="Arial" w:hAnsi="Arial"/>
                <w:sz w:val="18"/>
                <w:szCs w:val="18"/>
                <w:color w:val="auto"/>
              </w:rPr>
              <w:t>Severance Agreement dated August 13, 2013 between the Company and Darryl Green.</w:t>
            </w:r>
          </w:p>
        </w:tc>
      </w:tr>
      <w:tr>
        <w:trPr>
          <w:trHeight w:val="982"/>
        </w:trPr>
        <w:tc>
          <w:tcPr>
            <w:tcW w:w="132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67"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MANPOWERGROUP INC.</w:t>
      </w:r>
    </w:p>
    <w:p>
      <w:pPr>
        <w:spacing w:after="0" w:line="225" w:lineRule="exact"/>
        <w:rPr>
          <w:sz w:val="20"/>
          <w:szCs w:val="20"/>
          <w:color w:val="auto"/>
        </w:rPr>
      </w:pPr>
    </w:p>
    <w:p>
      <w:pPr>
        <w:spacing w:after="0"/>
        <w:tabs>
          <w:tab w:leader="none" w:pos="3420" w:val="left"/>
          <w:tab w:leader="none" w:pos="3900" w:val="left"/>
        </w:tabs>
        <w:rPr>
          <w:sz w:val="20"/>
          <w:szCs w:val="20"/>
          <w:color w:val="auto"/>
        </w:rPr>
      </w:pPr>
      <w:r>
        <w:rPr>
          <w:rFonts w:ascii="Arial" w:cs="Arial" w:eastAsia="Arial" w:hAnsi="Arial"/>
          <w:sz w:val="18"/>
          <w:szCs w:val="18"/>
          <w:color w:val="auto"/>
        </w:rPr>
        <w:t>Dated: August 19,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040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890"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Richard Buchband</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938530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607"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982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82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10.1</w:t>
            </w:r>
          </w:p>
        </w:tc>
        <w:tc>
          <w:tcPr>
            <w:tcW w:w="9820" w:type="dxa"/>
            <w:vAlign w:val="bottom"/>
          </w:tcPr>
          <w:p>
            <w:pPr>
              <w:ind w:left="720"/>
              <w:spacing w:after="0"/>
              <w:rPr>
                <w:sz w:val="20"/>
                <w:szCs w:val="20"/>
                <w:color w:val="auto"/>
              </w:rPr>
            </w:pPr>
            <w:r>
              <w:rPr>
                <w:rFonts w:ascii="Arial" w:cs="Arial" w:eastAsia="Arial" w:hAnsi="Arial"/>
                <w:sz w:val="18"/>
                <w:szCs w:val="18"/>
                <w:color w:val="auto"/>
              </w:rPr>
              <w:t>Severance Agreement dated August 13, 2013 between the Company and Darryl Green.</w:t>
            </w:r>
          </w:p>
        </w:tc>
      </w:tr>
    </w:tbl>
    <w:p>
      <w:pPr>
        <w:sectPr>
          <w:pgSz w:w="11900" w:h="16838" w:orient="portrait"/>
          <w:cols w:equalWidth="0" w:num="1">
            <w:col w:w="11420"/>
          </w:cols>
          <w:pgMar w:left="240" w:top="607" w:right="239" w:bottom="1440" w:gutter="0" w:footer="0" w:header="0"/>
        </w:sectPr>
      </w:pPr>
    </w:p>
    <w:bookmarkStart w:id="4" w:name="page5"/>
    <w:bookmarkEnd w:id="4"/>
    <w:p>
      <w:pPr>
        <w:ind w:left="10540"/>
        <w:spacing w:after="0"/>
        <w:rPr>
          <w:sz w:val="20"/>
          <w:szCs w:val="20"/>
          <w:color w:val="auto"/>
        </w:rPr>
      </w:pPr>
      <w:r>
        <w:rPr>
          <w:rFonts w:ascii="Arial" w:cs="Arial" w:eastAsia="Arial" w:hAnsi="Arial"/>
          <w:sz w:val="16"/>
          <w:szCs w:val="16"/>
          <w:color w:val="auto"/>
        </w:rPr>
        <w:t>Exhibit 10.1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Mr. Darryl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Darryl:</w:t>
      </w:r>
    </w:p>
    <w:p>
      <w:pPr>
        <w:spacing w:after="0" w:line="252"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74" w:lineRule="exact"/>
        <w:rPr>
          <w:sz w:val="20"/>
          <w:szCs w:val="20"/>
          <w:color w:val="auto"/>
        </w:rPr>
      </w:pPr>
    </w:p>
    <w:p>
      <w:pPr>
        <w:ind w:left="660" w:hanging="22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52" w:lineRule="exact"/>
        <w:rPr>
          <w:rFonts w:ascii="Arial" w:cs="Arial" w:eastAsia="Arial" w:hAnsi="Arial"/>
          <w:sz w:val="18"/>
          <w:szCs w:val="18"/>
          <w:color w:val="auto"/>
        </w:rPr>
      </w:pPr>
    </w:p>
    <w:p>
      <w:pPr>
        <w:ind w:left="1300" w:right="20" w:hanging="285"/>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97" w:lineRule="exact"/>
        <w:rPr>
          <w:rFonts w:ascii="Arial" w:cs="Arial" w:eastAsia="Arial" w:hAnsi="Arial"/>
          <w:sz w:val="18"/>
          <w:szCs w:val="18"/>
          <w:color w:val="auto"/>
        </w:rPr>
      </w:pPr>
    </w:p>
    <w:p>
      <w:pPr>
        <w:jc w:val="both"/>
        <w:ind w:left="1300" w:hanging="295"/>
        <w:spacing w:after="0" w:line="268" w:lineRule="auto"/>
        <w:tabs>
          <w:tab w:leader="none" w:pos="1300"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Policy on Insider Trading, the Foreign Corrupt Practices Act Compliance Policy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210" w:lineRule="exact"/>
        <w:rPr>
          <w:rFonts w:ascii="Arial" w:cs="Arial" w:eastAsia="Arial" w:hAnsi="Arial"/>
          <w:sz w:val="17"/>
          <w:szCs w:val="17"/>
          <w:color w:val="auto"/>
        </w:rPr>
      </w:pPr>
    </w:p>
    <w:p>
      <w:pPr>
        <w:ind w:left="1300" w:hanging="285"/>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52" w:lineRule="exact"/>
        <w:rPr>
          <w:rFonts w:ascii="Arial" w:cs="Arial" w:eastAsia="Arial" w:hAnsi="Arial"/>
          <w:sz w:val="18"/>
          <w:szCs w:val="18"/>
          <w:color w:val="auto"/>
        </w:rPr>
      </w:pPr>
    </w:p>
    <w:p>
      <w:pPr>
        <w:jc w:val="both"/>
        <w:ind w:left="1960" w:hanging="267"/>
        <w:spacing w:after="0" w:line="286" w:lineRule="auto"/>
        <w:tabs>
          <w:tab w:leader="none" w:pos="1960" w:val="left"/>
        </w:tabs>
        <w:numPr>
          <w:ilvl w:val="2"/>
          <w:numId w:val="2"/>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201" w:lineRule="exact"/>
        <w:rPr>
          <w:rFonts w:ascii="Arial" w:cs="Arial" w:eastAsia="Arial" w:hAnsi="Arial"/>
          <w:sz w:val="16"/>
          <w:szCs w:val="16"/>
          <w:color w:val="auto"/>
        </w:rPr>
      </w:pPr>
    </w:p>
    <w:p>
      <w:pPr>
        <w:jc w:val="both"/>
        <w:ind w:left="1960" w:hanging="317"/>
        <w:spacing w:after="0" w:line="272" w:lineRule="auto"/>
        <w:tabs>
          <w:tab w:leader="none" w:pos="1960" w:val="left"/>
        </w:tabs>
        <w:numPr>
          <w:ilvl w:val="2"/>
          <w:numId w:val="2"/>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204" w:lineRule="exact"/>
        <w:rPr>
          <w:rFonts w:ascii="Arial" w:cs="Arial" w:eastAsia="Arial" w:hAnsi="Arial"/>
          <w:sz w:val="17"/>
          <w:szCs w:val="17"/>
          <w:color w:val="auto"/>
        </w:rPr>
      </w:pPr>
    </w:p>
    <w:p>
      <w:pPr>
        <w:ind w:left="1960" w:hanging="367"/>
        <w:spacing w:after="0" w:line="277" w:lineRule="auto"/>
        <w:tabs>
          <w:tab w:leader="none" w:pos="19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97" w:lineRule="exact"/>
        <w:rPr>
          <w:rFonts w:ascii="Arial" w:cs="Arial" w:eastAsia="Arial" w:hAnsi="Arial"/>
          <w:sz w:val="18"/>
          <w:szCs w:val="18"/>
          <w:color w:val="auto"/>
        </w:rPr>
      </w:pPr>
    </w:p>
    <w:p>
      <w:pPr>
        <w:jc w:val="both"/>
        <w:ind w:left="1960" w:hanging="357"/>
        <w:spacing w:after="0" w:line="302" w:lineRule="auto"/>
        <w:tabs>
          <w:tab w:leader="none" w:pos="1960" w:val="left"/>
        </w:tabs>
        <w:numPr>
          <w:ilvl w:val="2"/>
          <w:numId w:val="2"/>
        </w:numPr>
        <w:rPr>
          <w:rFonts w:ascii="Arial" w:cs="Arial" w:eastAsia="Arial" w:hAnsi="Arial"/>
          <w:sz w:val="16"/>
          <w:szCs w:val="16"/>
          <w:color w:val="auto"/>
        </w:rPr>
      </w:pPr>
      <w:r>
        <w:rPr>
          <w:rFonts w:ascii="Arial" w:cs="Arial" w:eastAsia="Arial" w:hAnsi="Arial"/>
          <w:sz w:val="16"/>
          <w:szCs w:val="16"/>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w:t>
      </w:r>
    </w:p>
    <w:p>
      <w:pPr>
        <w:sectPr>
          <w:pgSz w:w="11900" w:h="16838" w:orient="portrait"/>
          <w:cols w:equalWidth="0" w:num="1">
            <w:col w:w="11420"/>
          </w:cols>
          <w:pgMar w:left="240" w:top="368" w:right="239" w:bottom="0" w:gutter="0" w:footer="0" w:header="0"/>
        </w:sectPr>
      </w:pPr>
    </w:p>
    <w:bookmarkStart w:id="5" w:name="page6"/>
    <w:bookmarkEnd w:id="5"/>
    <w:p>
      <w:pPr>
        <w:jc w:val="both"/>
        <w:ind w:left="1960"/>
        <w:spacing w:after="0" w:line="264" w:lineRule="auto"/>
        <w:rPr>
          <w:sz w:val="20"/>
          <w:szCs w:val="20"/>
          <w:color w:val="auto"/>
        </w:rPr>
      </w:pPr>
      <w:r>
        <w:rPr>
          <w:rFonts w:ascii="Arial" w:cs="Arial" w:eastAsia="Arial" w:hAnsi="Arial"/>
          <w:sz w:val="18"/>
          <w:szCs w:val="18"/>
          <w:color w:val="auto"/>
        </w:rPr>
        <w:t>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08" w:lineRule="exact"/>
        <w:rPr>
          <w:sz w:val="20"/>
          <w:szCs w:val="20"/>
          <w:color w:val="auto"/>
        </w:rPr>
      </w:pPr>
    </w:p>
    <w:p>
      <w:pPr>
        <w:jc w:val="both"/>
        <w:ind w:left="1960" w:hanging="307"/>
        <w:spacing w:after="0" w:line="259"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214"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74" w:lineRule="exact"/>
        <w:rPr>
          <w:sz w:val="20"/>
          <w:szCs w:val="20"/>
          <w:color w:val="auto"/>
        </w:rPr>
      </w:pPr>
    </w:p>
    <w:p>
      <w:pPr>
        <w:ind w:left="1300" w:hanging="295"/>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63" w:lineRule="exact"/>
        <w:rPr>
          <w:rFonts w:ascii="Arial" w:cs="Arial" w:eastAsia="Arial" w:hAnsi="Arial"/>
          <w:sz w:val="17"/>
          <w:szCs w:val="17"/>
          <w:color w:val="auto"/>
        </w:rPr>
      </w:pPr>
    </w:p>
    <w:p>
      <w:pPr>
        <w:ind w:left="1960" w:right="160" w:hanging="655"/>
        <w:spacing w:after="0" w:line="277"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any member of the Consolidated ManpowerGroup for the payment or provision of compensation or other benefits to you;</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material diminution in your base salary;</w:t>
      </w:r>
    </w:p>
    <w:p>
      <w:pPr>
        <w:spacing w:after="0" w:line="252" w:lineRule="exact"/>
        <w:rPr>
          <w:rFonts w:ascii="Arial" w:cs="Arial" w:eastAsia="Arial" w:hAnsi="Arial"/>
          <w:sz w:val="18"/>
          <w:szCs w:val="18"/>
          <w:color w:val="auto"/>
        </w:rPr>
      </w:pPr>
    </w:p>
    <w:p>
      <w:pPr>
        <w:ind w:left="1960" w:right="420" w:hanging="655"/>
        <w:spacing w:after="0" w:line="264"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08" w:lineRule="exact"/>
        <w:rPr>
          <w:rFonts w:ascii="Arial" w:cs="Arial" w:eastAsia="Arial" w:hAnsi="Arial"/>
          <w:sz w:val="18"/>
          <w:szCs w:val="18"/>
          <w:color w:val="auto"/>
        </w:rPr>
      </w:pPr>
    </w:p>
    <w:p>
      <w:pPr>
        <w:ind w:left="1960" w:right="180" w:hanging="655"/>
        <w:spacing w:after="0" w:line="308"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73" w:lineRule="exact"/>
        <w:rPr>
          <w:rFonts w:ascii="Arial" w:cs="Arial" w:eastAsia="Arial" w:hAnsi="Arial"/>
          <w:sz w:val="17"/>
          <w:szCs w:val="17"/>
          <w:color w:val="auto"/>
        </w:rPr>
      </w:pPr>
    </w:p>
    <w:p>
      <w:pPr>
        <w:ind w:left="1960" w:right="40" w:hanging="655"/>
        <w:spacing w:after="0" w:line="264"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w:t>
      </w:r>
    </w:p>
    <w:p>
      <w:pPr>
        <w:spacing w:after="0" w:line="20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Subsections 1(d)(i) – (v)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w:t>
      </w:r>
    </w:p>
    <w:p>
      <w:pPr>
        <w:spacing w:after="0" w:line="214" w:lineRule="exact"/>
        <w:rPr>
          <w:sz w:val="20"/>
          <w:szCs w:val="20"/>
          <w:color w:val="auto"/>
        </w:rPr>
      </w:pPr>
    </w:p>
    <w:p>
      <w:pPr>
        <w:jc w:val="both"/>
        <w:ind w:left="1300" w:hanging="285"/>
        <w:spacing w:after="0" w:line="276"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Consolidated ManpowerGroup,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99" w:lineRule="exact"/>
        <w:rPr>
          <w:rFonts w:ascii="Arial" w:cs="Arial" w:eastAsia="Arial" w:hAnsi="Arial"/>
          <w:sz w:val="17"/>
          <w:szCs w:val="17"/>
          <w:color w:val="auto"/>
        </w:rPr>
      </w:pPr>
    </w:p>
    <w:p>
      <w:pPr>
        <w:jc w:val="both"/>
        <w:ind w:left="1300" w:hanging="265"/>
        <w:spacing w:after="0" w:line="264"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208" w:lineRule="exact"/>
        <w:rPr>
          <w:rFonts w:ascii="Arial" w:cs="Arial" w:eastAsia="Arial" w:hAnsi="Arial"/>
          <w:sz w:val="18"/>
          <w:szCs w:val="18"/>
          <w:color w:val="auto"/>
        </w:rPr>
      </w:pPr>
    </w:p>
    <w:p>
      <w:pPr>
        <w:ind w:left="1300" w:hanging="295"/>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52" w:lineRule="exact"/>
        <w:rPr>
          <w:rFonts w:ascii="Arial" w:cs="Arial" w:eastAsia="Arial" w:hAnsi="Arial"/>
          <w:sz w:val="18"/>
          <w:szCs w:val="18"/>
          <w:color w:val="auto"/>
        </w:rPr>
      </w:pPr>
    </w:p>
    <w:p>
      <w:pPr>
        <w:jc w:val="both"/>
        <w:ind w:left="1960" w:hanging="267"/>
        <w:spacing w:after="0" w:line="259"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3" w:lineRule="exact"/>
        <w:rPr>
          <w:rFonts w:ascii="Arial" w:cs="Arial" w:eastAsia="Arial" w:hAnsi="Arial"/>
          <w:sz w:val="18"/>
          <w:szCs w:val="18"/>
          <w:color w:val="auto"/>
        </w:rPr>
      </w:pPr>
    </w:p>
    <w:p>
      <w:pPr>
        <w:jc w:val="both"/>
        <w:ind w:left="1960" w:hanging="317"/>
        <w:spacing w:after="0" w:line="259"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13" w:lineRule="exact"/>
        <w:rPr>
          <w:rFonts w:ascii="Arial" w:cs="Arial" w:eastAsia="Arial" w:hAnsi="Arial"/>
          <w:sz w:val="18"/>
          <w:szCs w:val="18"/>
          <w:color w:val="auto"/>
        </w:rPr>
      </w:pPr>
    </w:p>
    <w:p>
      <w:pPr>
        <w:jc w:val="both"/>
        <w:ind w:left="1960" w:hanging="367"/>
        <w:spacing w:after="0" w:line="264" w:lineRule="auto"/>
        <w:tabs>
          <w:tab w:leader="none" w:pos="1960" w:val="left"/>
        </w:tabs>
        <w:numPr>
          <w:ilvl w:val="2"/>
          <w:numId w:val="5"/>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208" w:lineRule="exact"/>
        <w:rPr>
          <w:rFonts w:ascii="Arial" w:cs="Arial" w:eastAsia="Arial" w:hAnsi="Arial"/>
          <w:sz w:val="18"/>
          <w:szCs w:val="18"/>
          <w:color w:val="auto"/>
        </w:rPr>
      </w:pPr>
    </w:p>
    <w:p>
      <w:pPr>
        <w:jc w:val="both"/>
        <w:ind w:left="1300" w:hanging="295"/>
        <w:spacing w:after="0" w:line="25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date of this letter indicated above and ending on the first to occur of the following: (a) the date which is the two-year anniversary of the occurrence of a Change of Control; (b) the date which is the three year anniversary of the date of this letter indicated above if no Change of Control occurs between the date of this letter indicated above and such three year anniversary; or (c) the Date of Termination.</w:t>
      </w:r>
    </w:p>
    <w:p>
      <w:pPr>
        <w:spacing w:after="0" w:line="213" w:lineRule="exact"/>
        <w:rPr>
          <w:rFonts w:ascii="Arial" w:cs="Arial" w:eastAsia="Arial" w:hAnsi="Arial"/>
          <w:sz w:val="18"/>
          <w:szCs w:val="18"/>
          <w:color w:val="auto"/>
        </w:rPr>
      </w:pPr>
    </w:p>
    <w:p>
      <w:pPr>
        <w:ind w:left="660" w:hanging="2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left="1300" w:hanging="285"/>
        <w:spacing w:after="0" w:line="279"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u w:val="single" w:color="auto"/>
          <w:color w:val="auto"/>
        </w:rPr>
        <w:t>Termination by the Consolidated ManpowerGroup for Cause or by You Other Than for Good Reason</w:t>
      </w:r>
      <w:r>
        <w:rPr>
          <w:rFonts w:ascii="Arial" w:cs="Arial" w:eastAsia="Arial" w:hAnsi="Arial"/>
          <w:sz w:val="17"/>
          <w:szCs w:val="17"/>
          <w:color w:val="auto"/>
        </w:rPr>
        <w:t>. If your employment with the Consolidated ManpowerGroup is terminated by the Consolidated ManpowerGroup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w:t>
      </w:r>
    </w:p>
    <w:p>
      <w:pPr>
        <w:sectPr>
          <w:pgSz w:w="11900" w:h="16838" w:orient="portrait"/>
          <w:cols w:equalWidth="0" w:num="1">
            <w:col w:w="11420"/>
          </w:cols>
          <w:pgMar w:left="240" w:top="125" w:right="239" w:bottom="0" w:gutter="0" w:footer="0" w:header="0"/>
        </w:sectPr>
      </w:pPr>
    </w:p>
    <w:bookmarkStart w:id="6" w:name="page7"/>
    <w:bookmarkEnd w:id="6"/>
    <w:p>
      <w:pPr>
        <w:spacing w:after="0" w:line="83" w:lineRule="exact"/>
        <w:rPr>
          <w:sz w:val="20"/>
          <w:szCs w:val="20"/>
          <w:color w:val="auto"/>
        </w:rPr>
      </w:pPr>
    </w:p>
    <w:p>
      <w:pPr>
        <w:ind w:left="295" w:right="20"/>
        <w:spacing w:after="0" w:line="277" w:lineRule="auto"/>
        <w:rPr>
          <w:sz w:val="20"/>
          <w:szCs w:val="20"/>
          <w:color w:val="auto"/>
        </w:rPr>
      </w:pPr>
      <w:r>
        <w:rPr>
          <w:rFonts w:ascii="Arial" w:cs="Arial" w:eastAsia="Arial" w:hAnsi="Arial"/>
          <w:sz w:val="18"/>
          <w:szCs w:val="18"/>
          <w:color w:val="auto"/>
        </w:rPr>
        <w:t>occurs), and (ii) all benefits to which you are entitled under any Benefit Plans in accordance with the terms of such plans. The Consolidated ManpowerGroup will have no further obligations to you.</w:t>
      </w:r>
    </w:p>
    <w:p>
      <w:pPr>
        <w:spacing w:after="0" w:line="197" w:lineRule="exact"/>
        <w:rPr>
          <w:sz w:val="20"/>
          <w:szCs w:val="20"/>
          <w:color w:val="auto"/>
        </w:rPr>
      </w:pPr>
    </w:p>
    <w:p>
      <w:pPr>
        <w:jc w:val="both"/>
        <w:ind w:left="295" w:hanging="295"/>
        <w:spacing w:after="0" w:line="270" w:lineRule="auto"/>
        <w:tabs>
          <w:tab w:leader="none" w:pos="295"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 or Death</w:t>
      </w:r>
      <w:r>
        <w:rPr>
          <w:rFonts w:ascii="Arial" w:cs="Arial" w:eastAsia="Arial" w:hAnsi="Arial"/>
          <w:sz w:val="17"/>
          <w:szCs w:val="17"/>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204" w:lineRule="exact"/>
        <w:rPr>
          <w:rFonts w:ascii="Arial" w:cs="Arial" w:eastAsia="Arial" w:hAnsi="Arial"/>
          <w:sz w:val="17"/>
          <w:szCs w:val="17"/>
          <w:color w:val="auto"/>
        </w:rPr>
      </w:pPr>
    </w:p>
    <w:p>
      <w:pPr>
        <w:jc w:val="both"/>
        <w:ind w:left="295" w:hanging="285"/>
        <w:spacing w:after="0" w:line="264"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Other than in a Change of Control</w:t>
      </w:r>
      <w:r>
        <w:rPr>
          <w:rFonts w:ascii="Arial" w:cs="Arial" w:eastAsia="Arial" w:hAnsi="Arial"/>
          <w:sz w:val="18"/>
          <w:szCs w:val="18"/>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208" w:lineRule="exact"/>
        <w:rPr>
          <w:rFonts w:ascii="Arial" w:cs="Arial" w:eastAsia="Arial" w:hAnsi="Arial"/>
          <w:sz w:val="18"/>
          <w:szCs w:val="18"/>
          <w:color w:val="auto"/>
        </w:rPr>
      </w:pPr>
    </w:p>
    <w:p>
      <w:pPr>
        <w:ind w:left="1595" w:right="460" w:hanging="647"/>
        <w:spacing w:after="0" w:line="277" w:lineRule="auto"/>
        <w:tabs>
          <w:tab w:leader="none" w:pos="159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rFonts w:ascii="Arial" w:cs="Arial" w:eastAsia="Arial" w:hAnsi="Arial"/>
          <w:sz w:val="18"/>
          <w:szCs w:val="18"/>
          <w:color w:val="auto"/>
        </w:rPr>
      </w:pPr>
    </w:p>
    <w:p>
      <w:pPr>
        <w:ind w:left="1595" w:right="100" w:hanging="647"/>
        <w:spacing w:after="0" w:line="297" w:lineRule="auto"/>
        <w:tabs>
          <w:tab w:leader="none" w:pos="1595"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5" w:lineRule="exact"/>
        <w:rPr>
          <w:rFonts w:ascii="Arial" w:cs="Arial" w:eastAsia="Arial" w:hAnsi="Arial"/>
          <w:sz w:val="16"/>
          <w:szCs w:val="16"/>
          <w:color w:val="auto"/>
        </w:rPr>
      </w:pPr>
    </w:p>
    <w:p>
      <w:pPr>
        <w:jc w:val="both"/>
        <w:ind w:left="1595" w:right="120" w:hanging="647"/>
        <w:spacing w:after="0" w:line="264" w:lineRule="auto"/>
        <w:tabs>
          <w:tab w:leader="none" w:pos="159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208" w:lineRule="exact"/>
        <w:rPr>
          <w:rFonts w:ascii="Arial" w:cs="Arial" w:eastAsia="Arial" w:hAnsi="Arial"/>
          <w:sz w:val="18"/>
          <w:szCs w:val="18"/>
          <w:color w:val="auto"/>
        </w:rPr>
      </w:pPr>
    </w:p>
    <w:p>
      <w:pPr>
        <w:ind w:left="1595" w:right="100" w:hanging="647"/>
        <w:spacing w:after="0" w:line="254" w:lineRule="auto"/>
        <w:tabs>
          <w:tab w:leader="none" w:pos="1595" w:val="left"/>
        </w:tabs>
        <w:numPr>
          <w:ilvl w:val="1"/>
          <w:numId w:val="7"/>
        </w:numPr>
        <w:rPr>
          <w:rFonts w:ascii="Arial" w:cs="Arial" w:eastAsia="Arial" w:hAnsi="Arial"/>
          <w:sz w:val="18"/>
          <w:szCs w:val="18"/>
          <w:color w:val="auto"/>
        </w:rPr>
      </w:pPr>
      <w:r>
        <w:rPr>
          <w:rFonts w:ascii="Arial" w:cs="Arial" w:eastAsia="Arial" w:hAnsi="Arial"/>
          <w:sz w:val="18"/>
          <w:szCs w:val="18"/>
          <w:color w:val="auto"/>
        </w:rPr>
        <w:t>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19" w:lineRule="exact"/>
        <w:rPr>
          <w:rFonts w:ascii="Arial" w:cs="Arial" w:eastAsia="Arial" w:hAnsi="Arial"/>
          <w:sz w:val="18"/>
          <w:szCs w:val="18"/>
          <w:color w:val="auto"/>
        </w:rPr>
      </w:pPr>
    </w:p>
    <w:p>
      <w:pPr>
        <w:ind w:left="1595" w:right="100"/>
        <w:spacing w:after="0" w:line="284" w:lineRule="auto"/>
        <w:rPr>
          <w:rFonts w:ascii="Arial" w:cs="Arial" w:eastAsia="Arial" w:hAnsi="Arial"/>
          <w:sz w:val="18"/>
          <w:szCs w:val="18"/>
          <w:color w:val="auto"/>
        </w:rPr>
      </w:pPr>
      <w:r>
        <w:rPr>
          <w:rFonts w:ascii="Arial" w:cs="Arial" w:eastAsia="Arial" w:hAnsi="Arial"/>
          <w:sz w:val="16"/>
          <w:szCs w:val="16"/>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w:t>
      </w:r>
    </w:p>
    <w:p>
      <w:pPr>
        <w:spacing w:after="0" w:line="5" w:lineRule="exact"/>
        <w:rPr>
          <w:sz w:val="20"/>
          <w:szCs w:val="20"/>
          <w:color w:val="auto"/>
        </w:rPr>
      </w:pPr>
    </w:p>
    <w:p>
      <w:pPr>
        <w:ind w:left="1595" w:right="20"/>
        <w:spacing w:after="0" w:line="267" w:lineRule="auto"/>
        <w:rPr>
          <w:sz w:val="20"/>
          <w:szCs w:val="20"/>
          <w:color w:val="auto"/>
        </w:rPr>
      </w:pPr>
      <w:r>
        <w:rPr>
          <w:rFonts w:ascii="Arial" w:cs="Arial" w:eastAsia="Arial" w:hAnsi="Arial"/>
          <w:sz w:val="17"/>
          <w:szCs w:val="17"/>
          <w:color w:val="auto"/>
        </w:rPr>
        <w:t>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14" w:lineRule="exact"/>
        <w:rPr>
          <w:sz w:val="20"/>
          <w:szCs w:val="20"/>
          <w:color w:val="auto"/>
        </w:rPr>
      </w:pPr>
    </w:p>
    <w:p>
      <w:pPr>
        <w:ind w:left="1595" w:right="80" w:hanging="647"/>
        <w:spacing w:after="0" w:line="272" w:lineRule="auto"/>
        <w:tabs>
          <w:tab w:leader="none" w:pos="1595"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204" w:lineRule="exact"/>
        <w:rPr>
          <w:rFonts w:ascii="Arial" w:cs="Arial" w:eastAsia="Arial" w:hAnsi="Arial"/>
          <w:sz w:val="17"/>
          <w:szCs w:val="17"/>
          <w:color w:val="auto"/>
        </w:rPr>
      </w:pPr>
    </w:p>
    <w:p>
      <w:pPr>
        <w:jc w:val="both"/>
        <w:ind w:left="295" w:hanging="295"/>
        <w:spacing w:after="0" w:line="264" w:lineRule="auto"/>
        <w:tabs>
          <w:tab w:leader="none" w:pos="29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Change of Control</w:t>
      </w:r>
      <w:r>
        <w:rPr>
          <w:rFonts w:ascii="Arial" w:cs="Arial" w:eastAsia="Arial" w:hAnsi="Arial"/>
          <w:sz w:val="18"/>
          <w:szCs w:val="18"/>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208" w:lineRule="exact"/>
        <w:rPr>
          <w:rFonts w:ascii="Arial" w:cs="Arial" w:eastAsia="Arial" w:hAnsi="Arial"/>
          <w:sz w:val="18"/>
          <w:szCs w:val="18"/>
          <w:color w:val="auto"/>
        </w:rPr>
      </w:pPr>
    </w:p>
    <w:p>
      <w:pPr>
        <w:ind w:left="1595" w:right="460" w:hanging="647"/>
        <w:spacing w:after="0" w:line="277" w:lineRule="auto"/>
        <w:tabs>
          <w:tab w:leader="none" w:pos="1595"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97" w:lineRule="exact"/>
        <w:rPr>
          <w:sz w:val="20"/>
          <w:szCs w:val="20"/>
          <w:color w:val="auto"/>
        </w:rPr>
      </w:pPr>
    </w:p>
    <w:p>
      <w:pPr>
        <w:ind w:left="1595" w:right="120" w:hanging="647"/>
        <w:spacing w:after="0" w:line="342" w:lineRule="auto"/>
        <w:tabs>
          <w:tab w:leader="none" w:pos="15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your target annual bonus for the fiscal year in which the Change of Control occurs; provided, however, that the bonus</w:t>
      </w:r>
    </w:p>
    <w:p>
      <w:pPr>
        <w:sectPr>
          <w:pgSz w:w="11900" w:h="16921" w:orient="portrait"/>
          <w:cols w:equalWidth="0" w:num="1">
            <w:col w:w="10415"/>
          </w:cols>
          <w:pgMar w:left="1245" w:top="125" w:right="239" w:bottom="0" w:gutter="0" w:footer="0" w:header="0"/>
        </w:sectPr>
      </w:pPr>
    </w:p>
    <w:bookmarkStart w:id="7" w:name="page8"/>
    <w:bookmarkEnd w:id="7"/>
    <w:p>
      <w:pPr>
        <w:ind w:left="1944" w:right="100"/>
        <w:spacing w:after="0" w:line="277" w:lineRule="auto"/>
        <w:rPr>
          <w:sz w:val="20"/>
          <w:szCs w:val="20"/>
          <w:color w:val="auto"/>
        </w:rPr>
      </w:pPr>
      <w:r>
        <w:rPr>
          <w:rFonts w:ascii="Arial" w:cs="Arial" w:eastAsia="Arial" w:hAnsi="Arial"/>
          <w:sz w:val="18"/>
          <w:szCs w:val="18"/>
          <w:color w:val="auto"/>
        </w:rPr>
        <w:t>payable hereunder will be prorated for the actual number of days you were employed during the fiscal year during which the Date of Termination occurs;</w:t>
      </w:r>
    </w:p>
    <w:p>
      <w:pPr>
        <w:spacing w:after="0" w:line="197" w:lineRule="exact"/>
        <w:rPr>
          <w:sz w:val="20"/>
          <w:szCs w:val="20"/>
          <w:color w:val="auto"/>
        </w:rPr>
      </w:pPr>
    </w:p>
    <w:p>
      <w:pPr>
        <w:ind w:left="1944" w:right="400" w:hanging="647"/>
        <w:spacing w:after="0" w:line="264" w:lineRule="auto"/>
        <w:tabs>
          <w:tab w:leader="none" w:pos="194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208" w:lineRule="exact"/>
        <w:rPr>
          <w:rFonts w:ascii="Arial" w:cs="Arial" w:eastAsia="Arial" w:hAnsi="Arial"/>
          <w:sz w:val="18"/>
          <w:szCs w:val="18"/>
          <w:color w:val="auto"/>
        </w:rPr>
      </w:pPr>
    </w:p>
    <w:p>
      <w:pPr>
        <w:ind w:left="1944" w:hanging="647"/>
        <w:spacing w:after="0" w:line="270" w:lineRule="auto"/>
        <w:tabs>
          <w:tab w:leader="none" w:pos="1944" w:val="left"/>
        </w:tabs>
        <w:numPr>
          <w:ilvl w:val="1"/>
          <w:numId w:val="11"/>
        </w:numPr>
        <w:rPr>
          <w:rFonts w:ascii="Arial" w:cs="Arial" w:eastAsia="Arial" w:hAnsi="Arial"/>
          <w:sz w:val="17"/>
          <w:szCs w:val="17"/>
          <w:color w:val="auto"/>
        </w:rPr>
      </w:pPr>
      <w:r>
        <w:rPr>
          <w:rFonts w:ascii="Arial" w:cs="Arial" w:eastAsia="Arial" w:hAnsi="Arial"/>
          <w:sz w:val="17"/>
          <w:szCs w:val="17"/>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208" w:lineRule="exact"/>
        <w:rPr>
          <w:rFonts w:ascii="Arial" w:cs="Arial" w:eastAsia="Arial" w:hAnsi="Arial"/>
          <w:sz w:val="17"/>
          <w:szCs w:val="17"/>
          <w:color w:val="auto"/>
        </w:rPr>
      </w:pPr>
    </w:p>
    <w:p>
      <w:pPr>
        <w:ind w:left="1944" w:right="220"/>
        <w:spacing w:after="0" w:line="285" w:lineRule="auto"/>
        <w:rPr>
          <w:rFonts w:ascii="Arial" w:cs="Arial" w:eastAsia="Arial" w:hAnsi="Arial"/>
          <w:sz w:val="17"/>
          <w:szCs w:val="17"/>
          <w:color w:val="auto"/>
        </w:rPr>
      </w:pPr>
      <w:r>
        <w:rPr>
          <w:rFonts w:ascii="Arial" w:cs="Arial" w:eastAsia="Arial" w:hAnsi="Arial"/>
          <w:sz w:val="16"/>
          <w:szCs w:val="16"/>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202" w:lineRule="exact"/>
        <w:rPr>
          <w:rFonts w:ascii="Arial" w:cs="Arial" w:eastAsia="Arial" w:hAnsi="Arial"/>
          <w:sz w:val="17"/>
          <w:szCs w:val="17"/>
          <w:color w:val="auto"/>
        </w:rPr>
      </w:pPr>
    </w:p>
    <w:p>
      <w:pPr>
        <w:ind w:left="1944" w:right="60" w:hanging="647"/>
        <w:spacing w:after="0" w:line="272" w:lineRule="auto"/>
        <w:tabs>
          <w:tab w:leader="none" w:pos="1944"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204" w:lineRule="exact"/>
        <w:rPr>
          <w:rFonts w:ascii="Arial" w:cs="Arial" w:eastAsia="Arial" w:hAnsi="Arial"/>
          <w:sz w:val="17"/>
          <w:szCs w:val="17"/>
          <w:color w:val="auto"/>
        </w:rPr>
      </w:pPr>
    </w:p>
    <w:p>
      <w:pPr>
        <w:ind w:left="644" w:hanging="644"/>
        <w:spacing w:after="0" w:line="268" w:lineRule="auto"/>
        <w:tabs>
          <w:tab w:leader="none" w:pos="644"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Limitation on Benefits</w:t>
      </w:r>
      <w:r>
        <w:rPr>
          <w:rFonts w:ascii="Arial" w:cs="Arial" w:eastAsia="Arial" w:hAnsi="Arial"/>
          <w:sz w:val="17"/>
          <w:szCs w:val="17"/>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212" w:lineRule="exact"/>
        <w:rPr>
          <w:rFonts w:ascii="Arial" w:cs="Arial" w:eastAsia="Arial" w:hAnsi="Arial"/>
          <w:sz w:val="17"/>
          <w:szCs w:val="17"/>
          <w:color w:val="auto"/>
        </w:rPr>
      </w:pPr>
    </w:p>
    <w:p>
      <w:pPr>
        <w:ind w:left="644" w:right="120" w:hanging="644"/>
        <w:spacing w:after="0" w:line="278" w:lineRule="auto"/>
        <w:tabs>
          <w:tab w:leader="none" w:pos="64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Midwest edition (or, if not so reported, as reported in such other similar source(s) as the Corporation shall select).</w:t>
      </w:r>
    </w:p>
    <w:p>
      <w:pPr>
        <w:spacing w:after="0" w:line="204" w:lineRule="exact"/>
        <w:rPr>
          <w:rFonts w:ascii="Arial" w:cs="Arial" w:eastAsia="Arial" w:hAnsi="Arial"/>
          <w:sz w:val="16"/>
          <w:szCs w:val="16"/>
          <w:color w:val="auto"/>
        </w:rPr>
      </w:pPr>
    </w:p>
    <w:p>
      <w:pPr>
        <w:ind w:left="644" w:right="140" w:hanging="644"/>
        <w:spacing w:after="0" w:line="342" w:lineRule="auto"/>
        <w:tabs>
          <w:tab w:leader="none" w:pos="64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Notwithstanding the foregoing, you will have no right to receive any payment or benefit described in Subsections 2(c) (ii)-(v) or 2(d)(ii)-(v), above, unless and until you execute, and there shall be effective following any statutory period for revocation, a</w:t>
      </w:r>
    </w:p>
    <w:p>
      <w:pPr>
        <w:sectPr>
          <w:pgSz w:w="11900" w:h="16838" w:orient="portrait"/>
          <w:cols w:equalWidth="0" w:num="1">
            <w:col w:w="10744"/>
          </w:cols>
          <w:pgMar w:left="896" w:top="125" w:right="259" w:bottom="0" w:gutter="0" w:footer="0" w:header="0"/>
        </w:sectPr>
      </w:pPr>
    </w:p>
    <w:bookmarkStart w:id="8" w:name="page9"/>
    <w:bookmarkEnd w:id="8"/>
    <w:p>
      <w:pPr>
        <w:spacing w:after="0" w:line="42" w:lineRule="exact"/>
        <w:rPr>
          <w:sz w:val="20"/>
          <w:szCs w:val="20"/>
          <w:color w:val="auto"/>
        </w:rPr>
      </w:pPr>
    </w:p>
    <w:p>
      <w:pPr>
        <w:ind w:left="1292" w:right="100"/>
        <w:spacing w:after="0" w:line="256" w:lineRule="auto"/>
        <w:rPr>
          <w:sz w:val="20"/>
          <w:szCs w:val="20"/>
          <w:color w:val="auto"/>
        </w:rPr>
      </w:pPr>
      <w:r>
        <w:rPr>
          <w:rFonts w:ascii="Arial" w:cs="Arial" w:eastAsia="Arial" w:hAnsi="Arial"/>
          <w:sz w:val="18"/>
          <w:szCs w:val="18"/>
          <w:color w:val="auto"/>
        </w:rPr>
        <w:t>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5"/>
          <w:szCs w:val="25"/>
          <w:color w:val="auto"/>
          <w:vertAlign w:val="superscript"/>
        </w:rPr>
        <w:t>th</w:t>
      </w:r>
      <w:r>
        <w:rPr>
          <w:rFonts w:ascii="Arial" w:cs="Arial" w:eastAsia="Arial" w:hAnsi="Arial"/>
          <w:sz w:val="18"/>
          <w:szCs w:val="18"/>
          <w:color w:val="auto"/>
        </w:rPr>
        <w:t>) day after the Date of Termination.</w:t>
      </w:r>
    </w:p>
    <w:p>
      <w:pPr>
        <w:spacing w:after="0" w:line="120" w:lineRule="exact"/>
        <w:rPr>
          <w:sz w:val="20"/>
          <w:szCs w:val="20"/>
          <w:color w:val="auto"/>
        </w:rPr>
      </w:pPr>
    </w:p>
    <w:p>
      <w:pPr>
        <w:ind w:left="1292" w:right="260" w:hanging="644"/>
        <w:spacing w:after="0" w:line="259" w:lineRule="auto"/>
        <w:tabs>
          <w:tab w:leader="none" w:pos="1292" w:val="left"/>
        </w:tabs>
        <w:numPr>
          <w:ilvl w:val="2"/>
          <w:numId w:val="13"/>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13" w:lineRule="exact"/>
        <w:rPr>
          <w:rFonts w:ascii="Arial" w:cs="Arial" w:eastAsia="Arial" w:hAnsi="Arial"/>
          <w:sz w:val="18"/>
          <w:szCs w:val="18"/>
          <w:color w:val="auto"/>
        </w:rPr>
      </w:pPr>
    </w:p>
    <w:p>
      <w:pPr>
        <w:jc w:val="both"/>
        <w:ind w:left="652" w:hanging="229"/>
        <w:spacing w:after="0" w:line="264" w:lineRule="auto"/>
        <w:tabs>
          <w:tab w:leader="none" w:pos="65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Restrictions During Employment</w:t>
      </w:r>
      <w:r>
        <w:rPr>
          <w:rFonts w:ascii="Arial" w:cs="Arial" w:eastAsia="Arial" w:hAnsi="Arial"/>
          <w:sz w:val="18"/>
          <w:szCs w:val="18"/>
          <w:color w:val="auto"/>
        </w:rPr>
        <w:t>. During the term of your employment with the Corporation, you will not directly or indirectly compete against the Corporation, or directly or indirectly divert or attempt to divert customers’ business from the Corporation anywhere the Corporation does or is taking steps to do business.</w:t>
      </w:r>
    </w:p>
    <w:p>
      <w:pPr>
        <w:spacing w:after="0" w:line="208" w:lineRule="exact"/>
        <w:rPr>
          <w:rFonts w:ascii="Arial" w:cs="Arial" w:eastAsia="Arial" w:hAnsi="Arial"/>
          <w:sz w:val="18"/>
          <w:szCs w:val="18"/>
          <w:color w:val="auto"/>
        </w:rPr>
      </w:pPr>
    </w:p>
    <w:p>
      <w:pPr>
        <w:jc w:val="both"/>
        <w:ind w:left="652" w:hanging="229"/>
        <w:spacing w:after="0" w:line="255" w:lineRule="auto"/>
        <w:tabs>
          <w:tab w:leader="none" w:pos="652"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216" w:lineRule="exact"/>
        <w:rPr>
          <w:rFonts w:ascii="Arial" w:cs="Arial" w:eastAsia="Arial" w:hAnsi="Arial"/>
          <w:sz w:val="18"/>
          <w:szCs w:val="18"/>
          <w:color w:val="auto"/>
        </w:rPr>
      </w:pPr>
    </w:p>
    <w:p>
      <w:pPr>
        <w:ind w:left="652" w:right="40" w:hanging="652"/>
        <w:spacing w:after="0" w:line="273"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Customer Nonsolicitation</w:t>
      </w:r>
      <w:r>
        <w:rPr>
          <w:rFonts w:ascii="Arial" w:cs="Arial" w:eastAsia="Arial" w:hAnsi="Arial"/>
          <w:sz w:val="17"/>
          <w:szCs w:val="17"/>
          <w:color w:val="auto"/>
        </w:rPr>
        <w:t>. During the one-year period which immediately follows the termination, for whatever reason, of your employment with the Consolidated ManpowerGroup, you will not, directly or indirectly, contact any customer of the Consolidated ManpowerGroup with whom/which you have had contact on behalf of the Consolidated ManpowerGroup during the two-year period preceding the Date of Termination or about whom/which you obtained confidential information in connection with your employment with the Consolidated ManpowerGroup during such two-year period so as to cause or attempt to cause such customer not to do business or to reduce such customer’s business with the Consolidated ManpowerGroup or divert any business from any company in the Consolidated ManpowerGroup.</w:t>
      </w:r>
    </w:p>
    <w:p>
      <w:pPr>
        <w:spacing w:after="0" w:line="205" w:lineRule="exact"/>
        <w:rPr>
          <w:rFonts w:ascii="Arial" w:cs="Arial" w:eastAsia="Arial" w:hAnsi="Arial"/>
          <w:sz w:val="17"/>
          <w:szCs w:val="17"/>
          <w:color w:val="auto"/>
        </w:rPr>
      </w:pPr>
    </w:p>
    <w:p>
      <w:pPr>
        <w:ind w:left="652" w:right="40" w:hanging="652"/>
        <w:spacing w:after="0" w:line="268"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one-year period which immediately follows the termination, for whatever reason, of your employment with the Consolidated ManpowerGroup, 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for which you have responsibility during the Term and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human resource services (including consulting, task based services, recruitment or other talent solutions) anywhere in the United States or any other country for which you have responsibility during the Term and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14" w:lineRule="exact"/>
        <w:rPr>
          <w:rFonts w:ascii="Arial" w:cs="Arial" w:eastAsia="Arial" w:hAnsi="Arial"/>
          <w:sz w:val="17"/>
          <w:szCs w:val="17"/>
          <w:color w:val="auto"/>
        </w:rPr>
      </w:pPr>
    </w:p>
    <w:p>
      <w:pPr>
        <w:ind w:left="632" w:hanging="632"/>
        <w:spacing w:after="0"/>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292" w:right="220" w:hanging="644"/>
        <w:spacing w:after="0" w:line="291" w:lineRule="auto"/>
        <w:tabs>
          <w:tab w:leader="none" w:pos="1292" w:val="left"/>
        </w:tabs>
        <w:numPr>
          <w:ilvl w:val="2"/>
          <w:numId w:val="15"/>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4" w:lineRule="exact"/>
        <w:rPr>
          <w:rFonts w:ascii="Arial" w:cs="Arial" w:eastAsia="Arial" w:hAnsi="Arial"/>
          <w:sz w:val="16"/>
          <w:szCs w:val="16"/>
          <w:color w:val="auto"/>
        </w:rPr>
      </w:pPr>
    </w:p>
    <w:p>
      <w:pPr>
        <w:ind w:left="1292" w:right="120" w:hanging="644"/>
        <w:spacing w:after="0" w:line="277" w:lineRule="auto"/>
        <w:tabs>
          <w:tab w:leader="none" w:pos="1292"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3-6, above, will be extended by any period during which such restriction is violated by you.</w:t>
      </w:r>
    </w:p>
    <w:p>
      <w:pPr>
        <w:spacing w:after="0" w:line="197" w:lineRule="exact"/>
        <w:rPr>
          <w:rFonts w:ascii="Arial" w:cs="Arial" w:eastAsia="Arial" w:hAnsi="Arial"/>
          <w:sz w:val="18"/>
          <w:szCs w:val="18"/>
          <w:color w:val="auto"/>
        </w:rPr>
      </w:pPr>
    </w:p>
    <w:p>
      <w:pPr>
        <w:ind w:left="1292" w:right="60" w:hanging="644"/>
        <w:spacing w:after="0" w:line="264" w:lineRule="auto"/>
        <w:tabs>
          <w:tab w:leader="none" w:pos="1292" w:val="left"/>
        </w:tabs>
        <w:numPr>
          <w:ilvl w:val="2"/>
          <w:numId w:val="15"/>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5 and 6, above, will not apply if your employment with the Consolidated ManpowerGroup is terminated by you for Good Reason or by the Corporation without Cause either during a Protected Period or within two years after the occurrence of a Change of Control.</w:t>
      </w:r>
    </w:p>
    <w:p>
      <w:pPr>
        <w:spacing w:after="0" w:line="208" w:lineRule="exact"/>
        <w:rPr>
          <w:rFonts w:ascii="Arial" w:cs="Arial" w:eastAsia="Arial" w:hAnsi="Arial"/>
          <w:sz w:val="18"/>
          <w:szCs w:val="18"/>
          <w:color w:val="auto"/>
        </w:rPr>
      </w:pPr>
    </w:p>
    <w:p>
      <w:pPr>
        <w:ind w:left="652" w:right="40" w:hanging="652"/>
        <w:spacing w:after="0" w:line="259"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2(c)(iii) will be assigned for unemployment compensation benefit purposes to the one-year period following the Date of Termination, and the severance benefits provided for in Subsection 2(d)(iii) will be assigned for unemployment compensation purposes to the two-year period following the Date of Termination, and you will be ineligible to receive, and you agree not to apply for, unemployment compensation during such periods.</w:t>
      </w:r>
    </w:p>
    <w:p>
      <w:pPr>
        <w:spacing w:after="0" w:line="213" w:lineRule="exact"/>
        <w:rPr>
          <w:rFonts w:ascii="Arial" w:cs="Arial" w:eastAsia="Arial" w:hAnsi="Arial"/>
          <w:sz w:val="18"/>
          <w:szCs w:val="18"/>
          <w:color w:val="auto"/>
        </w:rPr>
      </w:pPr>
    </w:p>
    <w:p>
      <w:pPr>
        <w:ind w:left="652" w:right="140" w:hanging="652"/>
        <w:spacing w:after="0" w:line="293" w:lineRule="auto"/>
        <w:tabs>
          <w:tab w:leader="none" w:pos="652"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for whatever reason, of employment with the Consolidated ManpowerGroup,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w:t>
      </w:r>
    </w:p>
    <w:p>
      <w:pPr>
        <w:sectPr>
          <w:pgSz w:w="11900" w:h="16880" w:orient="portrait"/>
          <w:cols w:equalWidth="0" w:num="1">
            <w:col w:w="11412"/>
          </w:cols>
          <w:pgMar w:left="248" w:top="125" w:right="239" w:bottom="0" w:gutter="0" w:footer="0" w:header="0"/>
        </w:sectPr>
      </w:pPr>
    </w:p>
    <w:bookmarkStart w:id="9" w:name="page10"/>
    <w:bookmarkEnd w:id="9"/>
    <w:p>
      <w:pPr>
        <w:spacing w:after="0" w:line="76" w:lineRule="exact"/>
        <w:rPr>
          <w:sz w:val="20"/>
          <w:szCs w:val="20"/>
          <w:color w:val="auto"/>
        </w:rPr>
      </w:pPr>
    </w:p>
    <w:p>
      <w:pPr>
        <w:jc w:val="both"/>
        <w:ind w:left="652" w:right="180"/>
        <w:spacing w:after="0" w:line="264" w:lineRule="auto"/>
        <w:rPr>
          <w:sz w:val="20"/>
          <w:szCs w:val="20"/>
          <w:color w:val="auto"/>
        </w:rPr>
      </w:pPr>
      <w:r>
        <w:rPr>
          <w:rFonts w:ascii="Arial" w:cs="Arial" w:eastAsia="Arial" w:hAnsi="Arial"/>
          <w:sz w:val="18"/>
          <w:szCs w:val="18"/>
          <w:color w:val="auto"/>
        </w:rPr>
        <w:t>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208" w:lineRule="exact"/>
        <w:rPr>
          <w:sz w:val="20"/>
          <w:szCs w:val="20"/>
          <w:color w:val="auto"/>
        </w:rPr>
      </w:pPr>
    </w:p>
    <w:p>
      <w:pPr>
        <w:ind w:left="652" w:right="180" w:hanging="652"/>
        <w:spacing w:after="0" w:line="277"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97" w:lineRule="exact"/>
        <w:rPr>
          <w:rFonts w:ascii="Arial" w:cs="Arial" w:eastAsia="Arial" w:hAnsi="Arial"/>
          <w:sz w:val="18"/>
          <w:szCs w:val="18"/>
          <w:color w:val="auto"/>
        </w:rPr>
      </w:pPr>
    </w:p>
    <w:p>
      <w:pPr>
        <w:ind w:left="652" w:right="40" w:hanging="652"/>
        <w:spacing w:after="0" w:line="264"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8" w:lineRule="exact"/>
        <w:rPr>
          <w:rFonts w:ascii="Arial" w:cs="Arial" w:eastAsia="Arial" w:hAnsi="Arial"/>
          <w:sz w:val="18"/>
          <w:szCs w:val="18"/>
          <w:color w:val="auto"/>
        </w:rPr>
      </w:pPr>
    </w:p>
    <w:p>
      <w:pPr>
        <w:ind w:left="652" w:right="440" w:hanging="652"/>
        <w:spacing w:after="0" w:line="259"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213" w:lineRule="exact"/>
        <w:rPr>
          <w:rFonts w:ascii="Arial" w:cs="Arial" w:eastAsia="Arial" w:hAnsi="Arial"/>
          <w:sz w:val="18"/>
          <w:szCs w:val="18"/>
          <w:color w:val="auto"/>
        </w:rPr>
      </w:pPr>
    </w:p>
    <w:p>
      <w:pPr>
        <w:ind w:left="652" w:right="540" w:hanging="652"/>
        <w:spacing w:after="0" w:line="277"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97" w:lineRule="exact"/>
        <w:rPr>
          <w:rFonts w:ascii="Arial" w:cs="Arial" w:eastAsia="Arial" w:hAnsi="Arial"/>
          <w:sz w:val="18"/>
          <w:szCs w:val="18"/>
          <w:color w:val="auto"/>
        </w:rPr>
      </w:pPr>
    </w:p>
    <w:p>
      <w:pPr>
        <w:ind w:left="652" w:right="140" w:hanging="652"/>
        <w:spacing w:after="0" w:line="277"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Consolidated ManpowerGroup shall be entitled to withhold from amounts to be paid to you hereunder any federal, state, or local withholding or other taxes or charges which it is, from time to time, required to withhold under applicable law.</w:t>
      </w:r>
    </w:p>
    <w:p>
      <w:pPr>
        <w:spacing w:after="0" w:line="197" w:lineRule="exact"/>
        <w:rPr>
          <w:rFonts w:ascii="Arial" w:cs="Arial" w:eastAsia="Arial" w:hAnsi="Arial"/>
          <w:sz w:val="18"/>
          <w:szCs w:val="18"/>
          <w:color w:val="auto"/>
        </w:rPr>
      </w:pPr>
    </w:p>
    <w:p>
      <w:pPr>
        <w:ind w:left="652" w:right="500" w:hanging="652"/>
        <w:spacing w:after="0" w:line="277"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97" w:lineRule="exact"/>
        <w:rPr>
          <w:rFonts w:ascii="Arial" w:cs="Arial" w:eastAsia="Arial" w:hAnsi="Arial"/>
          <w:sz w:val="18"/>
          <w:szCs w:val="18"/>
          <w:color w:val="auto"/>
        </w:rPr>
      </w:pPr>
    </w:p>
    <w:p>
      <w:pPr>
        <w:ind w:left="652" w:right="80" w:hanging="652"/>
        <w:spacing w:after="0" w:line="276"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9" w:lineRule="exact"/>
        <w:rPr>
          <w:rFonts w:ascii="Arial" w:cs="Arial" w:eastAsia="Arial" w:hAnsi="Arial"/>
          <w:sz w:val="17"/>
          <w:szCs w:val="17"/>
          <w:color w:val="auto"/>
        </w:rPr>
      </w:pPr>
    </w:p>
    <w:p>
      <w:pPr>
        <w:ind w:left="652" w:right="100" w:hanging="652"/>
        <w:spacing w:after="0" w:line="255"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Previous Agreements</w:t>
      </w:r>
      <w:r>
        <w:rPr>
          <w:rFonts w:ascii="Arial" w:cs="Arial" w:eastAsia="Arial" w:hAnsi="Arial"/>
          <w:sz w:val="18"/>
          <w:szCs w:val="18"/>
          <w:color w:val="auto"/>
        </w:rPr>
        <w:t>. This letter, upon acceptance by you, expressly supersedes any and all previous agreements or understandings relating to your employment by the Corporation or the Consolidated ManpowerGroup, except for the letter from the Corporation to you dated April 4, 2007, as amended from time to time, regarding the Corporation’s offer of employment to you (provided this letter will supersede the sections of that prior letter concerning severance protection and restrictive covenants) and the Nondisclosure Agreement between you and the Corporation dated May 12, 2007, or the termination of such employment, and any such agreements or understandings shall, as of the date of your acceptance, have no further force or effect.</w:t>
      </w:r>
    </w:p>
    <w:p>
      <w:pPr>
        <w:spacing w:after="0" w:line="220" w:lineRule="exact"/>
        <w:rPr>
          <w:rFonts w:ascii="Arial" w:cs="Arial" w:eastAsia="Arial" w:hAnsi="Arial"/>
          <w:sz w:val="18"/>
          <w:szCs w:val="18"/>
          <w:color w:val="auto"/>
        </w:rPr>
      </w:pPr>
    </w:p>
    <w:p>
      <w:pPr>
        <w:ind w:left="652" w:right="80" w:hanging="652"/>
        <w:spacing w:after="0" w:line="257"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15" w:lineRule="exact"/>
        <w:rPr>
          <w:rFonts w:ascii="Arial" w:cs="Arial" w:eastAsia="Arial" w:hAnsi="Arial"/>
          <w:sz w:val="18"/>
          <w:szCs w:val="18"/>
          <w:color w:val="auto"/>
        </w:rPr>
      </w:pPr>
    </w:p>
    <w:p>
      <w:pPr>
        <w:ind w:left="1292" w:right="140" w:hanging="644"/>
        <w:spacing w:after="0" w:line="284" w:lineRule="auto"/>
        <w:tabs>
          <w:tab w:leader="none" w:pos="1292"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w:t>
      </w:r>
    </w:p>
    <w:p>
      <w:pPr>
        <w:spacing w:after="0" w:line="2" w:lineRule="exact"/>
        <w:rPr>
          <w:rFonts w:ascii="Arial" w:cs="Arial" w:eastAsia="Arial" w:hAnsi="Arial"/>
          <w:sz w:val="16"/>
          <w:szCs w:val="16"/>
          <w:color w:val="auto"/>
        </w:rPr>
      </w:pPr>
    </w:p>
    <w:p>
      <w:pPr>
        <w:ind w:left="1292" w:right="60"/>
        <w:spacing w:after="0" w:line="292" w:lineRule="auto"/>
        <w:rPr>
          <w:rFonts w:ascii="Arial" w:cs="Arial" w:eastAsia="Arial" w:hAnsi="Arial"/>
          <w:sz w:val="16"/>
          <w:szCs w:val="16"/>
          <w:color w:val="auto"/>
        </w:rPr>
      </w:pPr>
      <w:r>
        <w:rPr>
          <w:rFonts w:ascii="Arial" w:cs="Arial" w:eastAsia="Arial" w:hAnsi="Arial"/>
          <w:sz w:val="16"/>
          <w:szCs w:val="16"/>
          <w:color w:val="auto"/>
        </w:rPr>
        <w:t>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89" w:lineRule="exact"/>
        <w:rPr>
          <w:rFonts w:ascii="Arial" w:cs="Arial" w:eastAsia="Arial" w:hAnsi="Arial"/>
          <w:sz w:val="16"/>
          <w:szCs w:val="16"/>
          <w:color w:val="auto"/>
        </w:rPr>
      </w:pPr>
    </w:p>
    <w:p>
      <w:pPr>
        <w:jc w:val="both"/>
        <w:ind w:left="1292" w:hanging="295"/>
        <w:spacing w:after="0" w:line="287" w:lineRule="auto"/>
        <w:tabs>
          <w:tab w:leader="none" w:pos="1292" w:val="left"/>
        </w:tabs>
        <w:numPr>
          <w:ilvl w:val="2"/>
          <w:numId w:val="16"/>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5" w:lineRule="exact"/>
        <w:rPr>
          <w:rFonts w:ascii="Arial" w:cs="Arial" w:eastAsia="Arial" w:hAnsi="Arial"/>
          <w:sz w:val="16"/>
          <w:szCs w:val="16"/>
          <w:color w:val="auto"/>
        </w:rPr>
      </w:pPr>
    </w:p>
    <w:p>
      <w:pPr>
        <w:jc w:val="both"/>
        <w:ind w:left="652" w:hanging="652"/>
        <w:spacing w:after="0" w:line="297" w:lineRule="auto"/>
        <w:tabs>
          <w:tab w:leader="none" w:pos="65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obligations imposed by Paragraphs 3-6, above, of this agreement are severable and should be construed independently of each other. The invalidity of one such provision shall not affect the validity of any other such provision. If any provision of Paragraphs 3-6 shall be invalid or unenforceable, in whole or in part, or as applied to any circumstance, under the laws of any jurisdiction which may govern for such purpose, then such provision shall be deemed to be modified or restricted to the extent and in the manner necessary to render the same valid and enforceable, either generally or as applied to such circumstance, or shall be deemed excised from this Agreement, as the case may require, and this</w:t>
      </w:r>
    </w:p>
    <w:p>
      <w:pPr>
        <w:sectPr>
          <w:pgSz w:w="11900" w:h="16914" w:orient="portrait"/>
          <w:cols w:equalWidth="0" w:num="1">
            <w:col w:w="11412"/>
          </w:cols>
          <w:pgMar w:left="248" w:top="125" w:right="239" w:bottom="0" w:gutter="0" w:footer="0" w:header="0"/>
        </w:sectPr>
      </w:pPr>
    </w:p>
    <w:bookmarkStart w:id="10" w:name="page11"/>
    <w:bookmarkEnd w:id="10"/>
    <w:p>
      <w:pPr>
        <w:ind w:left="660"/>
        <w:spacing w:after="0" w:line="308" w:lineRule="auto"/>
        <w:rPr>
          <w:sz w:val="20"/>
          <w:szCs w:val="20"/>
          <w:color w:val="auto"/>
        </w:rPr>
      </w:pPr>
      <w:r>
        <w:rPr>
          <w:rFonts w:ascii="Arial" w:cs="Arial" w:eastAsia="Arial" w:hAnsi="Arial"/>
          <w:sz w:val="17"/>
          <w:szCs w:val="17"/>
          <w:color w:val="auto"/>
        </w:rPr>
        <w:t>Agreement shall be construed and enforced to the maximum extent permitted by law, as if such provision had been originally incorporated herein as so modified or restricted, or as if such provision had not been originally incorporated herein, as the case may be.</w:t>
      </w:r>
    </w:p>
    <w:p>
      <w:pPr>
        <w:spacing w:after="0" w:line="200" w:lineRule="exact"/>
        <w:rPr>
          <w:sz w:val="20"/>
          <w:szCs w:val="20"/>
          <w:color w:val="auto"/>
        </w:rPr>
      </w:pPr>
    </w:p>
    <w:p>
      <w:pPr>
        <w:spacing w:after="0" w:line="21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9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4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A. Joerres</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Jeffrey A. Joerres, Chief</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Agreed as of the 13th day of August,</w:t>
      </w:r>
    </w:p>
    <w:p>
      <w:pPr>
        <w:spacing w:after="0" w:line="2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2013.</w:t>
      </w:r>
    </w:p>
    <w:p>
      <w:pPr>
        <w:spacing w:after="0" w:line="200" w:lineRule="exact"/>
        <w:rPr>
          <w:sz w:val="20"/>
          <w:szCs w:val="20"/>
          <w:color w:val="auto"/>
        </w:rPr>
      </w:pPr>
    </w:p>
    <w:p>
      <w:pPr>
        <w:spacing w:after="0" w:line="227" w:lineRule="exact"/>
        <w:rPr>
          <w:sz w:val="20"/>
          <w:szCs w:val="20"/>
          <w:color w:val="auto"/>
        </w:rPr>
      </w:pPr>
    </w:p>
    <w:p>
      <w:pPr>
        <w:ind w:left="2920"/>
        <w:spacing w:after="0"/>
        <w:rPr>
          <w:sz w:val="20"/>
          <w:szCs w:val="20"/>
          <w:color w:val="auto"/>
        </w:rPr>
      </w:pPr>
      <w:r>
        <w:rPr>
          <w:rFonts w:ascii="Arial" w:cs="Arial" w:eastAsia="Arial" w:hAnsi="Arial"/>
          <w:sz w:val="18"/>
          <w:szCs w:val="18"/>
          <w:u w:val="single" w:color="auto"/>
          <w:color w:val="auto"/>
        </w:rPr>
        <w:t>/s/ Darryl Green</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Darryl Green</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12200854"/>
    <w:multiLevelType w:val="hybridMultilevel"/>
    <w:lvl w:ilvl="0">
      <w:lvlJc w:val="left"/>
      <w:lvlText w:val="(%1)"/>
      <w:numFmt w:val="lowerRoman"/>
      <w:start w:val="5"/>
    </w:lvl>
  </w:abstractNum>
  <w:abstractNum w:abstractNumId="3">
    <w:nsid w:val="4DB127F8"/>
    <w:multiLevelType w:val="hybridMultilevel"/>
    <w:lvl w:ilvl="0">
      <w:lvlJc w:val="left"/>
      <w:lvlText w:val="(%1)"/>
      <w:numFmt w:val="lowerLetter"/>
      <w:start w:val="4"/>
    </w:lvl>
    <w:lvl w:ilvl="1">
      <w:lvlJc w:val="left"/>
      <w:lvlText w:val="(%2)"/>
      <w:numFmt w:val="lowerRoman"/>
      <w:start w:val="1"/>
    </w:lvl>
  </w:abstractNum>
  <w:abstractNum w:abstractNumId="4">
    <w:nsid w:val="216231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
    <w:nsid w:val="1F16E9E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
    <w:nsid w:val="1190CDE7"/>
    <w:multiLevelType w:val="hybridMultilevel"/>
    <w:lvl w:ilvl="0">
      <w:lvlJc w:val="left"/>
      <w:lvlText w:val="(%1)"/>
      <w:numFmt w:val="lowerLetter"/>
      <w:start w:val="2"/>
    </w:lvl>
    <w:lvl w:ilvl="1">
      <w:lvlJc w:val="left"/>
      <w:lvlText w:val="(%2)"/>
      <w:numFmt w:val="lowerRoman"/>
      <w:start w:val="1"/>
    </w:lvl>
  </w:abstractNum>
  <w:abstractNum w:abstractNumId="7">
    <w:nsid w:val="66EF438D"/>
    <w:multiLevelType w:val="hybridMultilevel"/>
    <w:lvl w:ilvl="0">
      <w:lvlJc w:val="left"/>
      <w:lvlText w:val="%1"/>
      <w:numFmt w:val="lowerLetter"/>
      <w:start w:val="1"/>
    </w:lvl>
    <w:lvl w:ilvl="1">
      <w:lvlJc w:val="left"/>
      <w:lvlText w:val="(%2)"/>
      <w:numFmt w:val="lowerLetter"/>
      <w:start w:val="22"/>
    </w:lvl>
  </w:abstractNum>
  <w:abstractNum w:abstractNumId="8">
    <w:nsid w:val="140E0F76"/>
    <w:multiLevelType w:val="hybridMultilevel"/>
    <w:lvl w:ilvl="0">
      <w:lvlJc w:val="left"/>
      <w:lvlText w:val="(%1)"/>
      <w:numFmt w:val="lowerLetter"/>
      <w:start w:val="4"/>
    </w:lvl>
    <w:lvl w:ilvl="1">
      <w:lvlJc w:val="left"/>
      <w:lvlText w:val="(%2)"/>
      <w:numFmt w:val="lowerLetter"/>
      <w:start w:val="9"/>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1"/>
      <w:numFmt w:val="lowerLetter"/>
      <w:start w:val="1"/>
    </w:lvl>
    <w:lvl w:ilvl="1">
      <w:lvlJc w:val="left"/>
      <w:lvlText w:val="(%2)"/>
      <w:numFmt w:val="lowerRoman"/>
      <w:start w:val="3"/>
    </w:lvl>
  </w:abstractNum>
  <w:abstractNum w:abstractNumId="11">
    <w:nsid w:val="DED7263"/>
    <w:multiLevelType w:val="hybridMultilevel"/>
    <w:lvl w:ilvl="0">
      <w:lvlJc w:val="left"/>
      <w:lvlText w:val="(%1)"/>
      <w:numFmt w:val="lowerLetter"/>
      <w:start w:val="5"/>
    </w:lvl>
    <w:lvl w:ilvl="1">
      <w:lvlJc w:val="left"/>
      <w:lvlText w:val="%2"/>
      <w:numFmt w:val="lowerRoman"/>
      <w:start w:val="1"/>
    </w:lvl>
  </w:abstractNum>
  <w:abstractNum w:abstractNumId="12">
    <w:nsid w:val="7FDCC233"/>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abstractNum>
  <w:abstractNum w:abstractNumId="13">
    <w:nsid w:val="1BEFD79F"/>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4">
    <w:nsid w:val="41A7C4C9"/>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5">
    <w:nsid w:val="6B68079A"/>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2019-12-06T05:26:22Z</dcterms:created>
  <dcterms:modified xsi:type="dcterms:W3CDTF">2019-12-06T05:26:22Z</dcterms:modified>
</cp:coreProperties>
</file>